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FF8E6">
      <w:pPr>
        <w:snapToGrid w:val="0"/>
        <w:spacing w:line="460" w:lineRule="exact"/>
        <w:jc w:val="center"/>
        <w:outlineLvl w:val="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项目需求说明</w:t>
      </w:r>
    </w:p>
    <w:p w14:paraId="1A82A1F7">
      <w:pPr>
        <w:pStyle w:val="5"/>
        <w:snapToGrid w:val="0"/>
        <w:spacing w:before="240" w:line="360" w:lineRule="auto"/>
        <w:ind w:firstLine="562" w:firstLineChars="200"/>
        <w:contextualSpacing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sz w:val="28"/>
          <w:lang w:val="zh-CN"/>
        </w:rPr>
        <w:t>请</w:t>
      </w:r>
      <w:r>
        <w:rPr>
          <w:rFonts w:hint="eastAsia" w:ascii="宋体" w:hAnsi="宋体" w:eastAsia="宋体" w:cs="宋体"/>
          <w:b/>
          <w:sz w:val="28"/>
        </w:rPr>
        <w:t>参</w:t>
      </w:r>
      <w:r>
        <w:rPr>
          <w:rFonts w:hint="eastAsia" w:ascii="宋体" w:hAnsi="宋体" w:eastAsia="宋体" w:cs="宋体"/>
          <w:b/>
          <w:sz w:val="28"/>
          <w:lang w:val="zh-CN"/>
        </w:rPr>
        <w:t>选人在制作</w:t>
      </w:r>
      <w:r>
        <w:rPr>
          <w:rFonts w:hint="eastAsia" w:ascii="宋体" w:hAnsi="宋体" w:eastAsia="宋体" w:cs="宋体"/>
          <w:b/>
          <w:sz w:val="28"/>
        </w:rPr>
        <w:t>参</w:t>
      </w:r>
      <w:r>
        <w:rPr>
          <w:rFonts w:hint="eastAsia" w:ascii="宋体" w:hAnsi="宋体" w:eastAsia="宋体" w:cs="宋体"/>
          <w:b/>
          <w:sz w:val="28"/>
          <w:lang w:val="zh-CN"/>
        </w:rPr>
        <w:t>选文件时仔细研究项目需求说明。</w:t>
      </w:r>
      <w:r>
        <w:rPr>
          <w:rFonts w:hint="eastAsia" w:ascii="宋体" w:hAnsi="宋体" w:eastAsia="宋体" w:cs="宋体"/>
          <w:sz w:val="28"/>
        </w:rPr>
        <w:t>参</w:t>
      </w:r>
      <w:r>
        <w:rPr>
          <w:rFonts w:hint="eastAsia" w:ascii="宋体" w:hAnsi="宋体" w:eastAsia="宋体" w:cs="宋体"/>
          <w:sz w:val="28"/>
          <w:lang w:val="zh-CN"/>
        </w:rPr>
        <w:t>选人不能简单照搬照抄采购单位项目需求说明中的技术、商务要求，必须作实事求是的响应。如照搬照抄项目需求说明中的技术、商务要求的，中标后供应商在同采购单位签订合同和履约环节中不得提出异议，一切后果和损失由中标供应商承担。</w:t>
      </w:r>
    </w:p>
    <w:p w14:paraId="347FB69A">
      <w:pPr>
        <w:snapToGrid w:val="0"/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一、有关要求说明</w:t>
      </w:r>
    </w:p>
    <w:p w14:paraId="06B28803">
      <w:pPr>
        <w:snapToGrid w:val="0"/>
        <w:spacing w:line="360" w:lineRule="auto"/>
        <w:ind w:firstLine="562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1.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产品要求：</w:t>
      </w:r>
      <w:r>
        <w:rPr>
          <w:rFonts w:hint="eastAsia" w:ascii="宋体" w:hAnsi="宋体" w:cs="宋体"/>
          <w:sz w:val="28"/>
          <w:szCs w:val="28"/>
          <w:lang w:val="zh-CN"/>
        </w:rPr>
        <w:t>产品必须是全新、未使用过的原装合格正品，完全符合采购文件规定的质量、规格和性能的要求，达到国家或行业规定的标准，实行生产许可证制度的，应提供生产许可证；属于国家强制认证的产品，必须通过认证。</w:t>
      </w:r>
    </w:p>
    <w:p w14:paraId="241F8E8B">
      <w:pPr>
        <w:snapToGrid w:val="0"/>
        <w:spacing w:line="360" w:lineRule="auto"/>
        <w:ind w:left="420" w:leftChars="200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二、项目需求</w:t>
      </w:r>
    </w:p>
    <w:p w14:paraId="7EB686E8">
      <w:pPr>
        <w:snapToGrid w:val="0"/>
        <w:spacing w:line="360" w:lineRule="auto"/>
        <w:jc w:val="left"/>
        <w:outlineLvl w:val="1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（一）项目总体要求</w:t>
      </w:r>
    </w:p>
    <w:p w14:paraId="6237D842">
      <w:pPr>
        <w:pStyle w:val="6"/>
        <w:numPr>
          <w:ilvl w:val="0"/>
          <w:numId w:val="1"/>
        </w:numPr>
        <w:spacing w:before="0" w:beforeAutospacing="0" w:after="0" w:afterAutospacing="0" w:line="460" w:lineRule="exact"/>
        <w:ind w:firstLine="561"/>
        <w:rPr>
          <w:rFonts w:cs="宋体"/>
          <w:kern w:val="2"/>
          <w:sz w:val="28"/>
          <w:szCs w:val="28"/>
          <w:lang w:val="zh-CN"/>
        </w:rPr>
      </w:pPr>
      <w:r>
        <w:rPr>
          <w:rFonts w:cs="宋体"/>
          <w:kern w:val="2"/>
          <w:sz w:val="28"/>
          <w:szCs w:val="28"/>
          <w:lang w:val="zh-CN"/>
        </w:rPr>
        <w:t>本项目为</w:t>
      </w:r>
      <w:r>
        <w:rPr>
          <w:rFonts w:cs="宋体"/>
          <w:b/>
          <w:bCs/>
          <w:kern w:val="2"/>
          <w:sz w:val="28"/>
          <w:szCs w:val="28"/>
          <w:lang w:val="zh-CN"/>
        </w:rPr>
        <w:t>“交钥匙工程”</w:t>
      </w:r>
      <w:r>
        <w:rPr>
          <w:rFonts w:cs="宋体"/>
          <w:kern w:val="2"/>
          <w:sz w:val="28"/>
          <w:szCs w:val="28"/>
          <w:lang w:val="zh-CN"/>
        </w:rPr>
        <w:t>，项目所需</w:t>
      </w:r>
      <w:r>
        <w:rPr>
          <w:rFonts w:cs="宋体"/>
          <w:kern w:val="2"/>
          <w:sz w:val="28"/>
          <w:szCs w:val="28"/>
        </w:rPr>
        <w:t>产品、器材等货物</w:t>
      </w:r>
      <w:r>
        <w:rPr>
          <w:rFonts w:cs="宋体"/>
          <w:kern w:val="2"/>
          <w:sz w:val="28"/>
          <w:szCs w:val="28"/>
          <w:lang w:val="zh-CN"/>
        </w:rPr>
        <w:t>的制造、包装、运输（运到采购单位指定地点），</w:t>
      </w:r>
      <w:r>
        <w:rPr>
          <w:rFonts w:cs="宋体"/>
          <w:kern w:val="2"/>
          <w:sz w:val="28"/>
          <w:szCs w:val="28"/>
        </w:rPr>
        <w:t>产品、器材</w:t>
      </w:r>
      <w:r>
        <w:rPr>
          <w:rFonts w:cs="宋体"/>
          <w:kern w:val="2"/>
          <w:sz w:val="28"/>
          <w:szCs w:val="28"/>
          <w:lang w:val="zh-CN"/>
        </w:rPr>
        <w:t>安装调试、售后服务、质保、维护保养等，直至最后交付使用的完整性项目。</w:t>
      </w:r>
    </w:p>
    <w:p w14:paraId="24D3C248">
      <w:pPr>
        <w:pStyle w:val="6"/>
        <w:numPr>
          <w:ilvl w:val="0"/>
          <w:numId w:val="1"/>
        </w:numPr>
        <w:spacing w:before="0" w:beforeAutospacing="0" w:after="0" w:afterAutospacing="0" w:line="360" w:lineRule="auto"/>
        <w:ind w:firstLine="561"/>
        <w:rPr>
          <w:rFonts w:cs="宋体"/>
          <w:sz w:val="28"/>
          <w:szCs w:val="28"/>
        </w:rPr>
      </w:pPr>
      <w:r>
        <w:rPr>
          <w:rFonts w:cs="宋体"/>
          <w:kern w:val="2"/>
          <w:sz w:val="28"/>
          <w:szCs w:val="28"/>
          <w:lang w:val="zh-CN"/>
        </w:rPr>
        <w:t>投标供应商提供的所有产品（包括设计、制造、调试以及节能、环保等）都应符合已颁布的现行中华人民共和国认可的国家标准、地方标准和行业标准。如这些标准内容有矛盾时，应按最高标准的条款执行。</w:t>
      </w:r>
    </w:p>
    <w:p w14:paraId="5533293D"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（二）法治教育特色基地配置清单及技术要求</w:t>
      </w:r>
    </w:p>
    <w:p w14:paraId="23788700"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 w14:paraId="01923D35"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69"/>
        <w:gridCol w:w="978"/>
        <w:gridCol w:w="5582"/>
        <w:gridCol w:w="427"/>
        <w:gridCol w:w="428"/>
      </w:tblGrid>
      <w:tr w14:paraId="5570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noWrap w:val="0"/>
            <w:vAlign w:val="center"/>
          </w:tcPr>
          <w:p w14:paraId="7FA467A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77" w:type="dxa"/>
            <w:noWrap w:val="0"/>
            <w:vAlign w:val="center"/>
          </w:tcPr>
          <w:p w14:paraId="7740F3E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 w14:paraId="1C5DCCB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6345" w:type="dxa"/>
            <w:noWrap w:val="0"/>
            <w:vAlign w:val="center"/>
          </w:tcPr>
          <w:p w14:paraId="72930BDF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0" w:type="auto"/>
            <w:noWrap w:val="0"/>
            <w:vAlign w:val="center"/>
          </w:tcPr>
          <w:p w14:paraId="087766D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0" w:type="auto"/>
            <w:noWrap w:val="0"/>
            <w:vAlign w:val="center"/>
          </w:tcPr>
          <w:p w14:paraId="6B87C66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14:paraId="5BA4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 w14:paraId="2679605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266DD5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475B50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法治课程教学系统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3A6E649D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需包含小学1-6年级的青少年法治教育课程并有多种课程类型资源包，包括但不限于以互动为主的法治互动课.以宪法.未成年人保护法为核心的主题课.以实践教育为主线的线上基地课等等。</w:t>
            </w:r>
          </w:p>
          <w:p w14:paraId="35558E94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每个年级以互动为主的法治互动课在线课程课时数需≥8，总课时≥48；</w:t>
            </w:r>
          </w:p>
          <w:p w14:paraId="1DB86CAD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以上2中课程课程内容需由国内知名法学.教育学专家团队研发，且需配备相应的教师指导手册≥48套，课堂游戏配套教学用具≥20套。</w:t>
            </w:r>
          </w:p>
          <w:p w14:paraId="5A858C1A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以上2中资源包需涵盖以生动.活泼的动画表现法律知识的法治动画≥180分钟；需涵盖以探索中国古代法律文化为主题的视频课程≥120分钟；需含用于课堂教学的法律知识类互动游戏视频≥40分钟</w:t>
            </w:r>
          </w:p>
          <w:p w14:paraId="06C7ED14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以上2中资源包每一课需配备相应的教学测评题目与解析，每课≥8道，题目包括但不限于选择题.判断题。</w:t>
            </w:r>
          </w:p>
          <w:p w14:paraId="222DDC37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每个年级以宪法.未成年人保护法为核心的主题课课时数需≥8，需以录播课的形式邀请相应领域的法学专家或教师进行授课，时长≥180分钟。</w:t>
            </w:r>
          </w:p>
          <w:p w14:paraId="526A3C13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每个年级以实践教育为主线的线上基地课课时数需≥5，需以法治实践场所实景拍摄和动画视频为主要形式，时长≥80分钟。</w:t>
            </w:r>
          </w:p>
          <w:p w14:paraId="7421288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注：投标时提供软件截图加盖公章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0AD941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1743FB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776E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7927A613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16BC80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603FA6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宪法知识竞赛系统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66FDD3F7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可检测学生法治知识学习成果，比拼法治知识。</w:t>
            </w:r>
          </w:p>
          <w:p w14:paraId="4EDA95E2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成绩与全国青少年普法网实时更新同步。</w:t>
            </w:r>
          </w:p>
          <w:p w14:paraId="673B8137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具备测评反馈功能：学生学习过程中参与互动活动，实时答题，实时统计，实时检测学习结果。</w:t>
            </w:r>
          </w:p>
          <w:p w14:paraId="7D5E97B4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包含≥20000道法治知识题库。</w:t>
            </w:r>
          </w:p>
          <w:p w14:paraId="23495B40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需含历届全国学生学宪法讲宪法活动知识竞赛题目单选题。</w:t>
            </w:r>
          </w:p>
          <w:p w14:paraId="4606BAD5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至少涵盖宪法专题、未成年人保护法专题、教育法专题、义务教育法专题。</w:t>
            </w:r>
          </w:p>
          <w:p w14:paraId="77F4EB9C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至少分小学、初中、高中三个学段。</w:t>
            </w:r>
          </w:p>
          <w:p w14:paraId="3A37A9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注：投标时提供软件截图加盖公章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2D2584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5A5060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55A9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209D4844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1E3E1D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4280FE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优质法治教育资源展示系统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42BE2DBD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需汇集全国青少年普法网的优秀法治教育资源。</w:t>
            </w:r>
          </w:p>
          <w:p w14:paraId="50242EE8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内容至少包括全国学生“学宪法 讲宪法”活动风采展示、在线法治知识学习、法治校园、互动留言等板块。</w:t>
            </w:r>
          </w:p>
          <w:p w14:paraId="3CA8AD9B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系统内资源至少需要包含以下专题内容：</w:t>
            </w:r>
          </w:p>
          <w:p w14:paraId="6F7038D5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（1）宪法专题：需以宪法核心，至少包括宪法的内容、宪法的发展、新时代宪法的修订等内容；需至少通过动画、知名法学专家讲解等方式展示内容。</w:t>
            </w:r>
          </w:p>
          <w:p w14:paraId="6BECB876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（2）青少年权利与义务专题：需围绕青少年的各种权利和义务展开话题，至少通过问题讨论、互动留言、视频学习等方式展示内容。</w:t>
            </w:r>
          </w:p>
          <w:p w14:paraId="4A9E5B48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（3）青少年爱国专题：需围绕国家意识，认知公民身份，深入了解国家主权、国家标志、国防等知识，至少通过问题讨论、互动留言、视频学习等方式展示内容。</w:t>
            </w:r>
          </w:p>
          <w:p w14:paraId="0C2CD001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（4）青少年自我保护与预防违法犯罪专题：需围绕青少年自我保护、违法与犯罪展开话题，至少通过问题讨论、互动留言、视频学习等方式展示内容。</w:t>
            </w:r>
          </w:p>
          <w:p w14:paraId="6A8C8C3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注：投标时提供软件截图加盖公章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516893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6AAFA7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436B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466DFAF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485D86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4CB7F6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定制体感互动游戏系统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6DEF465B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需包含与宪法、民法典和未成年人相关的法律知识点；</w:t>
            </w:r>
          </w:p>
          <w:p w14:paraId="7FB4D6AB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需通过体感交互技术，同步实时操作三维场景中的人物的左右移动；</w:t>
            </w:r>
          </w:p>
          <w:p w14:paraId="50CB21EE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需通过拾取或触碰良好行为，躲避违法行为积累得分；</w:t>
            </w:r>
          </w:p>
          <w:p w14:paraId="1443D0C7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需支持相关题目的问答测试，并给予一定的奖励措施;</w:t>
            </w:r>
          </w:p>
          <w:p w14:paraId="38B8E6B4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需支持分数核算，竞赛排名。</w:t>
            </w:r>
          </w:p>
          <w:p w14:paraId="39F2F6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注：投标时提供软件截图加盖公章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33E217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3B5650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4885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00909A6A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2D1605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37D1F0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宪法与个人成长关系认知系统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6DCDED6D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需通过游戏方式展示宪法对人一生的保护作用；</w:t>
            </w:r>
          </w:p>
          <w:p w14:paraId="7B652244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需设置人一生中与宪法相关的重要年龄节点（如胎儿时期、18岁成年、法定结婚年龄等），展示该节点人所获得和享受的权利、义务；</w:t>
            </w:r>
          </w:p>
          <w:p w14:paraId="61C5F210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游戏中需设定青少年学生容易犯的错误，潜移默化的进行纠正；</w:t>
            </w:r>
          </w:p>
          <w:p w14:paraId="239AF0B2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需至少支持1-4人同时游戏，每位玩家可选择有不同人物形象；</w:t>
            </w:r>
          </w:p>
          <w:p w14:paraId="15B9E34F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需有输赢评判机制和奖惩机制。</w:t>
            </w:r>
          </w:p>
          <w:p w14:paraId="57EF075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注：投标时提供软件截图加盖公章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0DA0F7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71B36F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0F47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 w14:paraId="2C09EE4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硬件</w:t>
            </w: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2AFC46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742DB4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86寸触控一体机（含支架）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2A9F6A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1.显示尺寸≥86英寸，分辨率≥3840*2160 ，采用红外触控技术，在双系统下均支持20点同时触控及书写</w:t>
            </w:r>
          </w:p>
          <w:p w14:paraId="7820F1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2.交互平板功率≤360W，且符合GB21520-2015能源1级要求</w:t>
            </w:r>
          </w:p>
          <w:p w14:paraId="023DFE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3.交互平板表面玻璃采用高强度钢化玻璃，硬度可达莫氏7级，高于石墨1-9H硬度；</w:t>
            </w:r>
          </w:p>
          <w:p w14:paraId="13D323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4.智能交互平板显示部分需采用高色域覆盖技术，NTSC色域标准下覆盖率不低于85%</w:t>
            </w:r>
          </w:p>
          <w:p w14:paraId="03AB10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5.为方便外接信号源的输入，设备至少1路前置HDMI接口（非转接），2路前置USB3.0接口</w:t>
            </w:r>
          </w:p>
          <w:p w14:paraId="32C412A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6.为方便用户外接拓展设备，整机标配VGA输入接口≥1路</w:t>
            </w:r>
          </w:p>
          <w:p w14:paraId="0247E54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7.交互平板具有通屏笔槽结构，可放置书写笔、粉笔、水性笔等</w:t>
            </w:r>
          </w:p>
          <w:p w14:paraId="1A5C4CF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8.为方便用户进行各类设置和操作，设备前置按键不少于8个，可实现音量加减、窗口关闭、触控开关等功能，且每个按键不少于两种以上功能。</w:t>
            </w:r>
          </w:p>
          <w:p w14:paraId="70C365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9.前面板具有标识的天线模块，包含 2.4G 、5G双频 Wifi及蓝牙接发装置，保证信号使用稳定性</w:t>
            </w:r>
          </w:p>
          <w:p w14:paraId="3EE7B8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10.无需打开智能平板背板，前置接口面板和前置按键面板支持单独前拆</w:t>
            </w:r>
          </w:p>
          <w:p w14:paraId="34BE902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前置U盘接口</w:t>
            </w:r>
          </w:p>
          <w:p w14:paraId="2DC1FE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12.2.0声道音箱，采用针孔阵列发声设计，2个前置15W中高音音箱，且为保证高人声还原度，谐振频率低于300Hz；</w:t>
            </w:r>
          </w:p>
          <w:p w14:paraId="0061EB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13.采用物理减滤蓝光设计，无需其他操作即可实现防蓝光，且设备具备智能护眼组合功能，通过扫描设备自带的二维码可获取检测机构的认证证书。</w:t>
            </w:r>
          </w:p>
          <w:p w14:paraId="3FAEF8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14.为满足教学场景使用需求，支持不少于3种方式进行屏幕下移，屏幕下移后仍可进行触控、书写等操作 </w:t>
            </w:r>
          </w:p>
          <w:p w14:paraId="77B72B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15.智能交互平板 Android 主板具备四核CPU， 内存不小于2G，Android 系统不低于11.0，主页提供不少于5 个应用程序，也可替代其他应用程序; </w:t>
            </w:r>
          </w:p>
          <w:p w14:paraId="376C308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16.一体化2D降噪4K摄像头，支持 1300W有效像素的视频采集，视角在120°的范围下，畸变不大于5%， 支持搭配AI软件实现自动点名点数功能。</w:t>
            </w:r>
          </w:p>
          <w:p w14:paraId="224F83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17.通过多指滑动屏幕，可快速实现Windows与教学系统界面的切换</w:t>
            </w:r>
          </w:p>
          <w:p w14:paraId="4ECFDA8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18.智能平板左右两侧可提供与教学应用密切相关的快捷键，数量各不少于15个，可以双侧同时显示，该快捷键至少具有关闭窗口 ，展台，桌面、多屏互动等常教学常用按键。</w:t>
            </w:r>
          </w:p>
          <w:p w14:paraId="38F38A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19.智能交互平板具有悬浮菜单，两指可快速移动悬浮菜单至按压位置，悬浮菜单可进行自定义分组，可添加 AI 互动软件等不少于 30 个应用；</w:t>
            </w:r>
          </w:p>
          <w:p w14:paraId="56A675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20.整机可一键进行硬件自检，包括对系统内存、存储、触控系统、光感系统、内置电脑、屏体信息、主板型号、CPU型号、CPU使用率、设备名称等进行状态提示、及故障提示。</w:t>
            </w:r>
          </w:p>
          <w:p w14:paraId="764CA42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21.智能平板具备前置电脑还原按键，不需专业人员即可轻松解决电脑系统故障，为避免误碰按键采用针孔式设计，并有配有中文标识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 w14:paraId="595070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22.本地安卓白板软件具备面积识别功能，通过接触交互设备的面积大小实现智能擦除、粗细笔迹书写</w:t>
            </w:r>
          </w:p>
          <w:p w14:paraId="3CA9AC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23.智能节电，在无操作或无信号输入15分钟时,出现关机提示倒计时；在无操作或无信号输入30分钟时, 自动关机</w:t>
            </w:r>
          </w:p>
          <w:p w14:paraId="2F0B6C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24.通过五指抓取屏幕任意位置可调出多任务处理窗口，并对正在运行的应用进行浏览、快速切换或结束进程</w:t>
            </w:r>
          </w:p>
          <w:p w14:paraId="730DEF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25.交互平板处于关机通电状态，外接电脑、机顶盒等设备接入交互平板时，交互平板可识别到外接设备的输入信号后自动开机</w:t>
            </w:r>
          </w:p>
          <w:p w14:paraId="18350C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26.在任意信号源下，从屏幕下方任意位置向上滑动，可调用快捷设置菜单；无需切换系统，可快速调节Windows 和Android 的设置</w:t>
            </w:r>
          </w:p>
          <w:p w14:paraId="1469583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27.整机采用OPS-C 标准的80pin针口设计，方便用户后续自主升级维护或对接第三方智慧教室类插拔电脑产品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17B56E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6DFEC2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 w14:paraId="39B4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53F314B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67182D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7A40FE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55寸触控一体机（含支架）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03BB27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1.显示尺寸≧55英寸，分辨率：3840*2160，采用红外触控技术，在双系统下均支持40点同时触控。</w:t>
            </w:r>
          </w:p>
          <w:p w14:paraId="0B9690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2.智能交互平板表面玻璃应采用高强度AG防眩钢化玻璃，玻璃厚度≤3.2mm，硬度可达莫氏7级，可达到石英抗划等级，屏体表面强度≥100Mpa。</w:t>
            </w:r>
          </w:p>
          <w:p w14:paraId="608303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3.智能交互平板双侧边框宽度≤17mm，提升视觉效果及教学沉浸感。</w:t>
            </w:r>
          </w:p>
          <w:p w14:paraId="6405BA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4.智能交互平板前面板可支持≥1根磁吸笔吸附。</w:t>
            </w:r>
          </w:p>
          <w:p w14:paraId="1AF893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5.智能交互平板前面板至少具备2路USB3.0接口，1路USB Type-c接口。</w:t>
            </w:r>
          </w:p>
          <w:p w14:paraId="7E7912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6.智能交互平板前置物理按键≤1个，具备电脑开关、节能息屏、锁屏功能。</w:t>
            </w:r>
          </w:p>
          <w:p w14:paraId="6C9C4C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7.智能交互平板内置Wi-Fi6无线网卡，在Android和Windows系统下，可实现Wi-Fi无线上网连接、AP无线热点发射，在Android和Windows系统下支持无线设备同时连接数量≥30个。</w:t>
            </w:r>
          </w:p>
          <w:p w14:paraId="048779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8.整机内置蓝牙Bluetooth 5.0模块，支持连接外部蓝牙音箱播放音频。</w:t>
            </w:r>
          </w:p>
          <w:p w14:paraId="5A05EA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9.智能交互平板左右两侧可提供便于操作的快捷键，数量各不少于3个，该快捷键至少具有批注、关闭窗口、多任务、主页等常用按键。主页快捷键可识别当前使用的系统进入对应主页。</w:t>
            </w:r>
          </w:p>
          <w:p w14:paraId="0EC689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10.可通过手机微信扫码解锁，手机通过权限后，交互平板有网时，可扫码直接进入操作系统；交互平板无网时，可手动输入动态密码进入操作系统。</w:t>
            </w:r>
          </w:p>
          <w:p w14:paraId="021216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11.可开启企业微信扫码解锁，配置成功后，开机时可使用已绑定企业的企业微信扫码进入操作系统，企业外用户无法扫码进入操作系统。</w:t>
            </w:r>
          </w:p>
          <w:p w14:paraId="38663B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12.安卓白板软件具备面积识别功能，通过接触交互设备的面积大小实现智能擦除、粗细笔迹书写。</w:t>
            </w:r>
          </w:p>
          <w:p w14:paraId="7CE7E0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13.智能交互平板采用硬件低蓝光背光技术，无需其他操作即可达到蓝光防护效果。</w:t>
            </w:r>
          </w:p>
          <w:p w14:paraId="4B099C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14.智能交互平板全通道支持纸质护眼模式，可实现画面纹理的实时调整；支持纸质纹理：素描纸、宣纸、水彩纸；支持透明度调节与色温调节。</w:t>
            </w:r>
          </w:p>
          <w:p w14:paraId="7528EE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15.通过五指抓取屏幕任意位置可调出多任务处理窗口，并对正在运行的应用进行浏览、快速切换或结束进程。</w:t>
            </w:r>
          </w:p>
          <w:p w14:paraId="098FAE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16.智能交互平板背光系统支持DC调光方式，多级亮度调节。</w:t>
            </w:r>
          </w:p>
          <w:p w14:paraId="026CF62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17.在任意信号源下，从屏幕下方任意位置向上滑动，可调用快捷设置菜单；无需切换系统，可快速调节Windows 和Android 的设置，并支持拖拽到屏幕任意位置。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0C8C88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0F9574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 w14:paraId="60E4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1298E2B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7024C5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3EEA54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43寸液晶电视机（含支架）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41264F4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需为43寸，LED电视，高清，16:9，立体声，2G内存，32G存储，HDMI 2.1接口2个，USB接口2个，AV输入口1个，网线接口1个。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2850F7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08D9E8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 w14:paraId="0953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35F32BA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4761D4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7031DB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体感器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751326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体感器，64位处理器，需为1080p彩色相机，4GB RAN，活动红外线功能，支持USB3.0，DX11DX12图形适配器。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201D16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4AE4E6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 w14:paraId="5712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3D5A458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7227B5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777604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宪法宣誓台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06C7916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实木宣誓台，环保漆面，尺寸60*53*110cm（长*宽*高），需含宪法宣誓本1本。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6BE015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26928C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</w:tr>
      <w:tr w14:paraId="5950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2866A9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trike/>
                <w:color w:val="000000"/>
                <w:kern w:val="0"/>
                <w:szCs w:val="21"/>
              </w:rPr>
              <w:t>装修</w:t>
            </w: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5E1F4E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0C4E49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宪法墙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76FD81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宪法墙尺寸不低于7.5*3.9米，框架为轻钢龙骨和石膏板，画面使用红色和金色油画布，两侧为2cm双层雪弗板，正面UV喷绘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4F822D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29C8DF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1B29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2BB9423F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1E391A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71E5BD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民法典展墙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7966ED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阻燃板打底石膏板贴面刷乳胶漆，小治快跑部分为轻钢龙骨石膏板，跑道处做隐藏门，画面使油画布或相纸背胶喷绘；民法典部分1.5cm雪弗板立体字18个平板喷绘，标牌1.5cm雪弗板平板喷绘1个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7C88DA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21153C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71FC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080EB2C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029A3D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214746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权利与义务展墙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541645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阻燃板打底石膏板贴面基础，1cm雪弗板平板立体字喷绘，标牌1.5cm雪弗板平板喷绘2个；法治天平托盘处埋磁贴两块，底板为1.5cm雪弗板、天平框架为1cm雪弗板，平板喷绘。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44A443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722FCD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20E3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4DD08FE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5CBD09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2F277A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墙面涂料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72B53F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教室内环保腻子修面，打磨平整，涂刷环保乳胶漆。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46EFAD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3F5E63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1CE4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4F22F05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4EE880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472EA0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40D0E8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安装定制遮光窗帘，罗马杆或轨道或卷帘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072BBA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02D497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</w:tr>
      <w:tr w14:paraId="3B25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61B9365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50F94C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3FE6F3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法治文化走廊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67FA29E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法治文化氛围营造，底面为2cm白色雪弗板正面UV喷绘，标牌1.5cm雪弗板平板喷绘1个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22A280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40311E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 w14:paraId="6159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 w14:paraId="4A99872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noWrap w:val="0"/>
            <w:vAlign w:val="center"/>
          </w:tcPr>
          <w:p w14:paraId="667723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2" w:type="dxa"/>
            <w:shd w:val="clear" w:color="000000" w:fill="FFFFFF"/>
            <w:noWrap w:val="0"/>
            <w:vAlign w:val="center"/>
          </w:tcPr>
          <w:p w14:paraId="3ADB23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楼梯下图书角</w:t>
            </w:r>
          </w:p>
        </w:tc>
        <w:tc>
          <w:tcPr>
            <w:tcW w:w="6345" w:type="dxa"/>
            <w:shd w:val="clear" w:color="000000" w:fill="FFFFFF"/>
            <w:noWrap w:val="0"/>
            <w:vAlign w:val="center"/>
          </w:tcPr>
          <w:p w14:paraId="54CDA2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环保生态板异形书柜，中间层板固定，书柜下为阅读座位，书柜长不低于8.45米，高度高点4.3米低点2米，根据楼梯高度呈坡度下降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586D00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 w14:paraId="795B51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</w:tbl>
    <w:p w14:paraId="321C072C"/>
    <w:p w14:paraId="61F27F84">
      <w:pPr>
        <w:spacing w:line="460" w:lineRule="exact"/>
        <w:ind w:left="38" w:leftChars="18"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（三）教室平面图</w:t>
      </w:r>
    </w:p>
    <w:p w14:paraId="7A5672B0">
      <w:pPr>
        <w:spacing w:line="360" w:lineRule="auto"/>
        <w:rPr>
          <w:b/>
          <w:color w:val="000000"/>
          <w:sz w:val="24"/>
        </w:rPr>
      </w:pPr>
    </w:p>
    <w:p w14:paraId="4029478C">
      <w:pPr>
        <w:snapToGrid w:val="0"/>
        <w:spacing w:line="360" w:lineRule="auto"/>
        <w:jc w:val="left"/>
        <w:rPr>
          <w:color w:val="000000"/>
          <w:sz w:val="24"/>
        </w:rPr>
      </w:pPr>
    </w:p>
    <w:p w14:paraId="6E88BA2D">
      <w:pPr>
        <w:widowControl/>
        <w:jc w:val="left"/>
        <w:rPr>
          <w:rFonts w:ascii="Arial,Bold" w:hAnsi="Arial,Bold" w:eastAsia="PMingLiU"/>
          <w:kern w:val="0"/>
          <w:sz w:val="20"/>
          <w:szCs w:val="20"/>
        </w:rPr>
      </w:pPr>
      <w:r>
        <w:br w:type="page"/>
      </w:r>
    </w:p>
    <w:p w14:paraId="5D78E170">
      <w:pPr>
        <w:pStyle w:val="7"/>
        <w:rPr>
          <w:lang w:eastAsia="zh-CN"/>
        </w:rPr>
      </w:pPr>
      <w:r>
        <w:drawing>
          <wp:inline distT="0" distB="0" distL="114300" distR="114300">
            <wp:extent cx="5274310" cy="34639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22CD">
      <w:pPr>
        <w:numPr>
          <w:ilvl w:val="0"/>
          <w:numId w:val="7"/>
        </w:numPr>
        <w:spacing w:line="460" w:lineRule="exact"/>
        <w:ind w:left="38" w:leftChars="18" w:firstLine="551" w:firstLineChars="196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基本要求</w:t>
      </w:r>
    </w:p>
    <w:p w14:paraId="5F9922E2">
      <w:pPr>
        <w:spacing w:line="460" w:lineRule="exact"/>
        <w:ind w:firstLine="562" w:firstLineChars="200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（1）本项目硬件和装修部分不接受负偏离应标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。不能满足则视为未能实质性响应招标文件。供应商提供承诺书格式详见附件2。</w:t>
      </w:r>
    </w:p>
    <w:p w14:paraId="67E89410">
      <w:pPr>
        <w:spacing w:line="460" w:lineRule="exact"/>
        <w:ind w:firstLine="562" w:firstLineChars="200"/>
        <w:outlineLvl w:val="1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（2）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以上产品未提出型号规格要求的，由投标供应商自行确定，但必须完全满足相应的技术规格要求。项目所用线材辅料必须为国标达标产品。</w:t>
      </w:r>
    </w:p>
    <w:p w14:paraId="2E6E1C1D">
      <w:pPr>
        <w:spacing w:line="460" w:lineRule="exact"/>
        <w:ind w:firstLine="560" w:firstLineChars="200"/>
        <w:outlineLvl w:val="1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（3）本项目中，采购单位提供的产品规格型号（含技术参数）要求如有排它性指标，则该指标不作强制性要</w:t>
      </w:r>
      <w:r>
        <w:rPr>
          <w:rFonts w:hint="eastAsia" w:ascii="宋体" w:hAnsi="宋体" w:cs="宋体"/>
          <w:bCs/>
          <w:sz w:val="28"/>
          <w:szCs w:val="28"/>
        </w:rPr>
        <w:t>求，供应商可以自行调整，但必须保证不出现负偏离应标，同时还必须提供以下材料：</w:t>
      </w:r>
    </w:p>
    <w:p w14:paraId="09B5B7CF">
      <w:pPr>
        <w:spacing w:line="460" w:lineRule="exact"/>
        <w:ind w:firstLine="560" w:firstLineChars="200"/>
        <w:outlineLvl w:val="1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①指标排它性的证明材料；②产品调整对比表；③调整后产品的详细技术参数。</w:t>
      </w:r>
    </w:p>
    <w:p w14:paraId="1F63F314">
      <w:pPr>
        <w:spacing w:line="360" w:lineRule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三、</w:t>
      </w:r>
      <w:r>
        <w:rPr>
          <w:rFonts w:hint="eastAsia" w:ascii="宋体" w:hAnsi="宋体" w:cs="宋体"/>
          <w:b/>
          <w:sz w:val="28"/>
          <w:szCs w:val="28"/>
        </w:rPr>
        <w:t>商务要求</w:t>
      </w:r>
    </w:p>
    <w:p w14:paraId="7502B1B0">
      <w:pPr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1.服务期限：</w:t>
      </w:r>
      <w:bookmarkStart w:id="0" w:name="_Hlk141431136"/>
      <w:r>
        <w:rPr>
          <w:rFonts w:hint="eastAsia" w:ascii="宋体" w:hAnsi="宋体" w:cs="宋体"/>
          <w:sz w:val="28"/>
          <w:szCs w:val="28"/>
        </w:rPr>
        <w:t>根据实际场地的情况，约为30日历天。包括进场测量、布局规划、施工装修、美工实施、设备安装、软件调试、试运行等环节。</w:t>
      </w:r>
    </w:p>
    <w:p w14:paraId="3D85A269">
      <w:pPr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2.付款条件和方式：项目实施完成并经验收合格后，年底一次性支付。</w:t>
      </w:r>
    </w:p>
    <w:p w14:paraId="4A06A13C">
      <w:pPr>
        <w:pStyle w:val="2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.项目验收要求：采购人在接到中标供应商以书面形式提出验收申请后，在7个工作日内及时组织相关专业技术人员，必要时邀请质检等部门共同参与验收，并出具验收报告，作为支付货款的依据。如验收不合格，使用方有权中止合同，验收不合格所发生的一切费用由中标供应商承担，按照实际发生的费用从履约保证金中扣除，扣完为止。</w:t>
      </w:r>
    </w:p>
    <w:p w14:paraId="3969BC80">
      <w:pPr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4.项目培训要求：</w:t>
      </w:r>
      <w:r>
        <w:rPr>
          <w:rFonts w:hint="eastAsia" w:ascii="宋体" w:hAnsi="宋体" w:cs="宋体"/>
          <w:color w:val="000000"/>
          <w:sz w:val="28"/>
          <w:szCs w:val="28"/>
        </w:rPr>
        <w:t>供应商应对采购方进行一次简单维护、维修培训，确保使用者了解维护方法和进行简单的维修操作。</w:t>
      </w:r>
    </w:p>
    <w:p w14:paraId="17B176B1">
      <w:pPr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项目售后服务：本项目质保期三年，免费送货、免费安装、免费培训，在保修期内免费维护维修及技术支持，保修期以外提供免费维护和技术支持，维修只收材料成本费。设备发生故障时，接到用户通知4小时内上门，48小时内解决问题。</w:t>
      </w:r>
      <w:bookmarkEnd w:id="0"/>
    </w:p>
    <w:p w14:paraId="088C173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00"/>
    <w:family w:val="roma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BC18B"/>
    <w:multiLevelType w:val="singleLevel"/>
    <w:tmpl w:val="A6EBC18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8760102"/>
    <w:multiLevelType w:val="singleLevel"/>
    <w:tmpl w:val="A876010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E2B1B6"/>
    <w:multiLevelType w:val="singleLevel"/>
    <w:tmpl w:val="E6E2B1B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A815EE2"/>
    <w:multiLevelType w:val="singleLevel"/>
    <w:tmpl w:val="2A815EE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9642F7B"/>
    <w:multiLevelType w:val="singleLevel"/>
    <w:tmpl w:val="49642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9AA3DE"/>
    <w:multiLevelType w:val="singleLevel"/>
    <w:tmpl w:val="5A9AA3D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7F88EEB"/>
    <w:multiLevelType w:val="singleLevel"/>
    <w:tmpl w:val="77F88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  <w:kern w:val="0"/>
      <w:sz w:val="24"/>
      <w:szCs w:val="21"/>
    </w:rPr>
  </w:style>
  <w:style w:type="paragraph" w:customStyle="1" w:styleId="5">
    <w:name w:val="正文缩进2格"/>
    <w:basedOn w:val="1"/>
    <w:qFormat/>
    <w:uiPriority w:val="0"/>
    <w:pPr>
      <w:spacing w:line="600" w:lineRule="exact"/>
      <w:ind w:firstLine="206" w:firstLineChars="206"/>
    </w:pPr>
    <w:rPr>
      <w:rFonts w:ascii="仿宋_GB2312" w:eastAsia="仿宋_GB2312"/>
      <w:kern w:val="0"/>
      <w:sz w:val="31"/>
      <w:szCs w:val="28"/>
    </w:rPr>
  </w:style>
  <w:style w:type="paragraph" w:customStyle="1" w:styleId="6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2024-12-02T07:12:21Z</dcterms:created>
  <dc:creator>acer</dc:creator>
  <cp:lastModifiedBy>Apple</cp:lastModifiedBy>
  <dcterms:modified xsi:type="dcterms:W3CDTF">2024-12-02T07:12:31Z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258790CAE34A4C629EDDA950ABB34FD1_12</vt:lpwstr>
  </property>
</Properties>
</file>