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3110D">
      <w:pPr>
        <w:spacing w:line="500" w:lineRule="exact"/>
        <w:jc w:val="center"/>
        <w:rPr>
          <w:rFonts w:ascii="宋体" w:hAnsi="宋体" w:cs="宋体"/>
          <w:b/>
          <w:spacing w:val="20"/>
          <w:sz w:val="44"/>
          <w:highlight w:val="yellow"/>
          <w:u w:val="single"/>
        </w:rPr>
      </w:pPr>
    </w:p>
    <w:p w14:paraId="3C4AA2CB">
      <w:pPr>
        <w:jc w:val="center"/>
        <w:rPr>
          <w:rFonts w:ascii="宋体" w:hAnsi="宋体" w:cs="宋体"/>
          <w:b/>
          <w:sz w:val="100"/>
          <w:szCs w:val="100"/>
        </w:rPr>
      </w:pPr>
      <w:r>
        <w:rPr>
          <w:rFonts w:hint="eastAsia" w:ascii="宋体" w:hAnsi="宋体" w:cs="宋体"/>
          <w:b/>
          <w:sz w:val="52"/>
          <w:szCs w:val="52"/>
          <w:lang w:eastAsia="zh-CN"/>
        </w:rPr>
        <w:t>南通开放大学工业机器人基础运用项目</w:t>
      </w:r>
    </w:p>
    <w:p w14:paraId="73E7A923">
      <w:pPr>
        <w:jc w:val="center"/>
        <w:rPr>
          <w:rFonts w:ascii="宋体" w:hAnsi="宋体" w:cs="宋体"/>
          <w:b/>
          <w:sz w:val="100"/>
          <w:szCs w:val="100"/>
        </w:rPr>
      </w:pPr>
    </w:p>
    <w:p w14:paraId="5C9706F0">
      <w:pPr>
        <w:jc w:val="center"/>
        <w:rPr>
          <w:rFonts w:ascii="宋体" w:hAnsi="宋体" w:cs="宋体"/>
          <w:b/>
          <w:sz w:val="36"/>
        </w:rPr>
      </w:pPr>
      <w:r>
        <w:rPr>
          <w:rFonts w:hint="eastAsia" w:ascii="宋体" w:hAnsi="宋体" w:cs="宋体"/>
          <w:b/>
          <w:sz w:val="96"/>
          <w:szCs w:val="96"/>
        </w:rPr>
        <w:t>招标文件</w:t>
      </w:r>
    </w:p>
    <w:p w14:paraId="36DD3B07">
      <w:pPr>
        <w:pStyle w:val="2"/>
        <w:ind w:firstLine="562"/>
        <w:jc w:val="center"/>
        <w:rPr>
          <w:rFonts w:hint="eastAsia" w:hAnsi="宋体" w:eastAsia="宋体" w:cs="宋体"/>
          <w:b/>
          <w:bCs/>
          <w:sz w:val="28"/>
          <w:szCs w:val="28"/>
          <w:lang w:eastAsia="zh-CN"/>
        </w:rPr>
      </w:pPr>
      <w:r>
        <w:rPr>
          <w:rFonts w:hint="eastAsia" w:hAnsi="宋体" w:cs="宋体"/>
          <w:b/>
          <w:bCs/>
          <w:sz w:val="28"/>
          <w:szCs w:val="28"/>
        </w:rPr>
        <w:t>项目编号：</w:t>
      </w:r>
      <w:r>
        <w:rPr>
          <w:rFonts w:hint="eastAsia" w:hAnsi="宋体" w:cs="宋体"/>
          <w:b/>
          <w:bCs/>
          <w:sz w:val="28"/>
          <w:szCs w:val="28"/>
          <w:lang w:eastAsia="zh-CN"/>
        </w:rPr>
        <w:t xml:space="preserve"> KD-2025022</w:t>
      </w:r>
    </w:p>
    <w:p w14:paraId="6E9EFD2C">
      <w:pPr>
        <w:pStyle w:val="2"/>
        <w:ind w:firstLine="420"/>
        <w:rPr>
          <w:rFonts w:hAnsi="宋体" w:cs="宋体"/>
        </w:rPr>
      </w:pPr>
    </w:p>
    <w:p w14:paraId="045EF9E3">
      <w:pPr>
        <w:spacing w:line="500" w:lineRule="exact"/>
        <w:jc w:val="center"/>
        <w:rPr>
          <w:rFonts w:ascii="宋体" w:hAnsi="宋体" w:cs="宋体"/>
          <w:b/>
          <w:sz w:val="36"/>
        </w:rPr>
      </w:pPr>
    </w:p>
    <w:p w14:paraId="71E1CE07">
      <w:pPr>
        <w:spacing w:line="500" w:lineRule="exact"/>
        <w:jc w:val="center"/>
        <w:rPr>
          <w:rFonts w:ascii="宋体" w:hAnsi="宋体" w:cs="宋体"/>
          <w:b/>
          <w:sz w:val="36"/>
        </w:rPr>
      </w:pPr>
    </w:p>
    <w:p w14:paraId="4B396A40">
      <w:pPr>
        <w:spacing w:line="500" w:lineRule="exact"/>
        <w:rPr>
          <w:rFonts w:ascii="宋体" w:hAnsi="宋体" w:cs="宋体"/>
        </w:rPr>
      </w:pPr>
    </w:p>
    <w:p w14:paraId="0A3263F5">
      <w:pPr>
        <w:pStyle w:val="27"/>
        <w:ind w:firstLine="560"/>
      </w:pPr>
    </w:p>
    <w:p w14:paraId="596736BD">
      <w:pPr>
        <w:spacing w:line="500" w:lineRule="exact"/>
        <w:jc w:val="center"/>
        <w:rPr>
          <w:rFonts w:ascii="宋体" w:hAnsi="宋体" w:cs="宋体"/>
          <w:sz w:val="32"/>
        </w:rPr>
      </w:pPr>
    </w:p>
    <w:p w14:paraId="1C55CF8C">
      <w:pPr>
        <w:adjustRightInd w:val="0"/>
        <w:snapToGrid w:val="0"/>
        <w:spacing w:line="640" w:lineRule="exact"/>
        <w:ind w:firstLine="1606" w:firstLineChars="500"/>
        <w:rPr>
          <w:rFonts w:hint="eastAsia" w:eastAsia="宋体"/>
          <w:b/>
          <w:bCs/>
          <w:sz w:val="32"/>
          <w:szCs w:val="32"/>
          <w:lang w:eastAsia="zh-CN"/>
        </w:rPr>
      </w:pPr>
      <w:r>
        <w:rPr>
          <w:rFonts w:hint="eastAsia"/>
          <w:b/>
          <w:bCs/>
          <w:sz w:val="32"/>
          <w:szCs w:val="32"/>
        </w:rPr>
        <w:t>采购单位：</w:t>
      </w:r>
      <w:r>
        <w:rPr>
          <w:rFonts w:hint="eastAsia"/>
          <w:b/>
          <w:bCs/>
          <w:sz w:val="32"/>
          <w:szCs w:val="32"/>
          <w:lang w:eastAsia="zh-CN"/>
        </w:rPr>
        <w:t>南通开放大学</w:t>
      </w:r>
    </w:p>
    <w:p w14:paraId="41AF09F7">
      <w:pPr>
        <w:adjustRightInd w:val="0"/>
        <w:snapToGrid w:val="0"/>
        <w:spacing w:line="640" w:lineRule="exact"/>
        <w:ind w:firstLine="1606" w:firstLineChars="500"/>
        <w:rPr>
          <w:b/>
          <w:bCs/>
          <w:sz w:val="32"/>
          <w:szCs w:val="32"/>
        </w:rPr>
      </w:pPr>
      <w:r>
        <w:rPr>
          <w:rFonts w:hint="eastAsia"/>
          <w:b/>
          <w:bCs/>
          <w:sz w:val="32"/>
          <w:szCs w:val="32"/>
        </w:rPr>
        <w:t>代理单位：</w:t>
      </w:r>
      <w:r>
        <w:rPr>
          <w:rFonts w:hint="eastAsia" w:ascii="宋体" w:hAnsi="宋体" w:cs="宋体"/>
          <w:b/>
          <w:bCs/>
          <w:spacing w:val="20"/>
          <w:sz w:val="30"/>
          <w:szCs w:val="30"/>
        </w:rPr>
        <w:t>东方华星建设管理（江苏）有限公司</w:t>
      </w:r>
    </w:p>
    <w:p w14:paraId="5550D905">
      <w:pPr>
        <w:adjustRightInd w:val="0"/>
        <w:snapToGrid w:val="0"/>
        <w:spacing w:line="640" w:lineRule="exact"/>
        <w:ind w:firstLine="1606" w:firstLineChars="500"/>
        <w:rPr>
          <w:rFonts w:ascii="宋体" w:hAnsi="宋体" w:cs="宋体"/>
          <w:b/>
          <w:bCs/>
          <w:spacing w:val="20"/>
          <w:sz w:val="30"/>
          <w:szCs w:val="30"/>
        </w:rPr>
        <w:sectPr>
          <w:pgSz w:w="11906" w:h="16838"/>
          <w:pgMar w:top="1418" w:right="1474" w:bottom="1418" w:left="1474" w:header="851" w:footer="907" w:gutter="0"/>
          <w:cols w:space="720" w:num="1"/>
          <w:docGrid w:type="lines" w:linePitch="312" w:charSpace="0"/>
        </w:sectPr>
      </w:pPr>
      <w:r>
        <w:rPr>
          <w:rFonts w:hint="eastAsia"/>
          <w:b/>
          <w:bCs/>
          <w:sz w:val="32"/>
          <w:szCs w:val="32"/>
        </w:rPr>
        <w:t>时    间：2025年</w:t>
      </w:r>
      <w:r>
        <w:rPr>
          <w:rFonts w:hint="eastAsia"/>
          <w:b/>
          <w:bCs/>
          <w:sz w:val="32"/>
          <w:szCs w:val="32"/>
          <w:lang w:val="en-US" w:eastAsia="zh-CN"/>
        </w:rPr>
        <w:t>9</w:t>
      </w:r>
      <w:r>
        <w:rPr>
          <w:rFonts w:hint="eastAsia"/>
          <w:b/>
          <w:bCs/>
          <w:sz w:val="32"/>
          <w:szCs w:val="32"/>
        </w:rPr>
        <w:t>月</w:t>
      </w:r>
    </w:p>
    <w:p w14:paraId="7C8E7B22">
      <w:pPr>
        <w:spacing w:line="500" w:lineRule="exact"/>
        <w:jc w:val="center"/>
        <w:rPr>
          <w:rFonts w:ascii="宋体" w:hAnsi="宋体" w:cs="宋体"/>
          <w:sz w:val="44"/>
          <w:szCs w:val="44"/>
        </w:rPr>
      </w:pPr>
      <w:r>
        <w:rPr>
          <w:rFonts w:hint="eastAsia" w:ascii="宋体" w:hAnsi="宋体" w:cs="宋体"/>
          <w:sz w:val="44"/>
          <w:szCs w:val="44"/>
        </w:rPr>
        <w:t>目      录</w:t>
      </w:r>
    </w:p>
    <w:p w14:paraId="03677382">
      <w:pPr>
        <w:spacing w:line="500" w:lineRule="exact"/>
        <w:jc w:val="center"/>
        <w:rPr>
          <w:rFonts w:ascii="宋体" w:hAnsi="宋体" w:cs="宋体"/>
          <w:sz w:val="44"/>
        </w:rPr>
      </w:pPr>
    </w:p>
    <w:p w14:paraId="56A559D0">
      <w:pPr>
        <w:tabs>
          <w:tab w:val="left" w:pos="7740"/>
        </w:tabs>
        <w:spacing w:line="500" w:lineRule="exact"/>
        <w:rPr>
          <w:rFonts w:ascii="宋体" w:hAnsi="宋体" w:cs="宋体"/>
          <w:spacing w:val="2"/>
          <w:sz w:val="32"/>
          <w:szCs w:val="32"/>
        </w:rPr>
      </w:pPr>
      <w:r>
        <w:rPr>
          <w:rFonts w:hint="eastAsia" w:ascii="宋体" w:hAnsi="宋体" w:cs="宋体"/>
          <w:bCs/>
          <w:sz w:val="32"/>
          <w:szCs w:val="32"/>
        </w:rPr>
        <w:t>第一章   招标公告</w:t>
      </w:r>
    </w:p>
    <w:p w14:paraId="59829E3E">
      <w:pPr>
        <w:tabs>
          <w:tab w:val="left" w:pos="7740"/>
        </w:tabs>
        <w:spacing w:line="500" w:lineRule="exact"/>
        <w:rPr>
          <w:rFonts w:ascii="宋体" w:hAnsi="宋体" w:cs="宋体"/>
          <w:sz w:val="32"/>
          <w:szCs w:val="32"/>
        </w:rPr>
      </w:pPr>
    </w:p>
    <w:p w14:paraId="6E312B18">
      <w:pPr>
        <w:tabs>
          <w:tab w:val="left" w:pos="7740"/>
        </w:tabs>
        <w:spacing w:line="500" w:lineRule="exact"/>
        <w:rPr>
          <w:rFonts w:ascii="宋体" w:hAnsi="宋体" w:cs="宋体"/>
          <w:spacing w:val="2"/>
          <w:sz w:val="32"/>
          <w:szCs w:val="32"/>
        </w:rPr>
      </w:pPr>
      <w:r>
        <w:rPr>
          <w:rFonts w:hint="eastAsia" w:ascii="宋体" w:hAnsi="宋体" w:cs="宋体"/>
          <w:bCs/>
          <w:sz w:val="32"/>
          <w:szCs w:val="32"/>
        </w:rPr>
        <w:t>第二章   投标须知</w:t>
      </w:r>
    </w:p>
    <w:p w14:paraId="6E710F58">
      <w:pPr>
        <w:spacing w:line="500" w:lineRule="exact"/>
        <w:rPr>
          <w:rFonts w:ascii="宋体" w:hAnsi="宋体" w:cs="宋体"/>
          <w:sz w:val="32"/>
          <w:szCs w:val="32"/>
        </w:rPr>
      </w:pPr>
    </w:p>
    <w:p w14:paraId="2512D751">
      <w:pPr>
        <w:tabs>
          <w:tab w:val="left" w:pos="7740"/>
        </w:tabs>
        <w:spacing w:line="500" w:lineRule="exact"/>
        <w:rPr>
          <w:rFonts w:ascii="宋体" w:hAnsi="宋体" w:cs="宋体"/>
          <w:spacing w:val="2"/>
          <w:sz w:val="32"/>
          <w:szCs w:val="32"/>
        </w:rPr>
      </w:pPr>
      <w:r>
        <w:rPr>
          <w:rFonts w:hint="eastAsia" w:ascii="宋体" w:hAnsi="宋体" w:cs="宋体"/>
          <w:bCs/>
          <w:sz w:val="32"/>
          <w:szCs w:val="32"/>
        </w:rPr>
        <w:t>第三章   项目需求说明</w:t>
      </w:r>
    </w:p>
    <w:p w14:paraId="041F10B4">
      <w:pPr>
        <w:pStyle w:val="13"/>
        <w:tabs>
          <w:tab w:val="left" w:pos="7740"/>
          <w:tab w:val="left" w:pos="7920"/>
        </w:tabs>
        <w:spacing w:line="500" w:lineRule="exact"/>
        <w:ind w:left="0"/>
        <w:rPr>
          <w:rFonts w:ascii="宋体" w:hAnsi="宋体" w:eastAsia="宋体" w:cs="宋体"/>
          <w:sz w:val="32"/>
          <w:szCs w:val="32"/>
        </w:rPr>
      </w:pPr>
    </w:p>
    <w:p w14:paraId="7E9B8AFC">
      <w:pPr>
        <w:tabs>
          <w:tab w:val="left" w:pos="7740"/>
        </w:tabs>
        <w:spacing w:line="500" w:lineRule="exact"/>
        <w:rPr>
          <w:rFonts w:ascii="宋体" w:hAnsi="宋体" w:cs="宋体"/>
          <w:spacing w:val="2"/>
          <w:sz w:val="32"/>
          <w:szCs w:val="32"/>
        </w:rPr>
      </w:pPr>
      <w:r>
        <w:rPr>
          <w:rFonts w:hint="eastAsia" w:ascii="宋体" w:hAnsi="宋体" w:cs="宋体"/>
          <w:sz w:val="32"/>
          <w:szCs w:val="32"/>
        </w:rPr>
        <w:t>第四</w:t>
      </w:r>
      <w:r>
        <w:rPr>
          <w:rFonts w:hint="eastAsia" w:ascii="宋体" w:hAnsi="宋体" w:cs="宋体"/>
          <w:bCs/>
          <w:sz w:val="32"/>
          <w:szCs w:val="32"/>
        </w:rPr>
        <w:t>章   开标和评标</w:t>
      </w:r>
    </w:p>
    <w:p w14:paraId="36DD237A">
      <w:pPr>
        <w:spacing w:line="500" w:lineRule="exact"/>
        <w:rPr>
          <w:rFonts w:ascii="宋体" w:hAnsi="宋体" w:cs="宋体"/>
          <w:sz w:val="32"/>
          <w:szCs w:val="32"/>
        </w:rPr>
      </w:pPr>
    </w:p>
    <w:p w14:paraId="365EBA62">
      <w:pPr>
        <w:tabs>
          <w:tab w:val="left" w:pos="7740"/>
        </w:tabs>
        <w:spacing w:line="500" w:lineRule="exact"/>
        <w:rPr>
          <w:rFonts w:ascii="宋体" w:hAnsi="宋体" w:cs="宋体"/>
          <w:spacing w:val="2"/>
          <w:sz w:val="32"/>
          <w:szCs w:val="32"/>
        </w:rPr>
      </w:pPr>
      <w:r>
        <w:rPr>
          <w:rFonts w:hint="eastAsia" w:ascii="宋体" w:hAnsi="宋体" w:cs="宋体"/>
          <w:bCs/>
          <w:sz w:val="32"/>
          <w:szCs w:val="32"/>
        </w:rPr>
        <w:t>第五章   合同签订与验收付款</w:t>
      </w:r>
    </w:p>
    <w:p w14:paraId="2CADD9CB">
      <w:pPr>
        <w:spacing w:line="500" w:lineRule="exact"/>
        <w:rPr>
          <w:rFonts w:ascii="宋体" w:hAnsi="宋体" w:cs="宋体"/>
          <w:sz w:val="32"/>
          <w:szCs w:val="32"/>
        </w:rPr>
      </w:pPr>
    </w:p>
    <w:p w14:paraId="67E25F83">
      <w:pPr>
        <w:tabs>
          <w:tab w:val="left" w:pos="7740"/>
        </w:tabs>
        <w:spacing w:line="500" w:lineRule="exact"/>
        <w:rPr>
          <w:rFonts w:ascii="宋体" w:hAnsi="宋体" w:cs="宋体"/>
          <w:spacing w:val="2"/>
          <w:sz w:val="32"/>
          <w:szCs w:val="32"/>
        </w:rPr>
      </w:pPr>
      <w:r>
        <w:rPr>
          <w:rFonts w:hint="eastAsia" w:ascii="宋体" w:hAnsi="宋体" w:cs="宋体"/>
          <w:bCs/>
          <w:sz w:val="32"/>
          <w:szCs w:val="32"/>
        </w:rPr>
        <w:t>第六章   质疑提出和处理</w:t>
      </w:r>
    </w:p>
    <w:p w14:paraId="6A2B79B4">
      <w:pPr>
        <w:spacing w:line="500" w:lineRule="exact"/>
        <w:rPr>
          <w:rFonts w:ascii="宋体" w:hAnsi="宋体" w:cs="宋体"/>
          <w:sz w:val="32"/>
          <w:szCs w:val="32"/>
        </w:rPr>
      </w:pPr>
    </w:p>
    <w:p w14:paraId="6F37068E">
      <w:pPr>
        <w:tabs>
          <w:tab w:val="left" w:pos="7740"/>
        </w:tabs>
        <w:spacing w:line="500" w:lineRule="exact"/>
        <w:rPr>
          <w:rFonts w:ascii="宋体" w:hAnsi="宋体" w:cs="宋体"/>
          <w:spacing w:val="2"/>
          <w:sz w:val="32"/>
          <w:szCs w:val="32"/>
        </w:rPr>
      </w:pPr>
      <w:r>
        <w:rPr>
          <w:rFonts w:hint="eastAsia" w:ascii="宋体" w:hAnsi="宋体" w:cs="宋体"/>
          <w:bCs/>
          <w:sz w:val="32"/>
          <w:szCs w:val="32"/>
        </w:rPr>
        <w:t>第七章   投标文件组成</w:t>
      </w:r>
    </w:p>
    <w:p w14:paraId="55AD9727">
      <w:pPr>
        <w:snapToGrid w:val="0"/>
        <w:spacing w:line="300" w:lineRule="auto"/>
        <w:jc w:val="center"/>
        <w:outlineLvl w:val="0"/>
        <w:rPr>
          <w:rFonts w:hint="eastAsia" w:ascii="宋体" w:hAnsi="宋体" w:cs="宋体"/>
          <w:b/>
          <w:sz w:val="36"/>
          <w:szCs w:val="36"/>
        </w:rPr>
        <w:sectPr>
          <w:footerReference r:id="rId3" w:type="default"/>
          <w:pgSz w:w="11906" w:h="16838"/>
          <w:pgMar w:top="1418" w:right="1474" w:bottom="1418" w:left="1474" w:header="851" w:footer="907" w:gutter="0"/>
          <w:pgNumType w:start="1"/>
          <w:cols w:space="720" w:num="1"/>
          <w:docGrid w:type="lines" w:linePitch="312" w:charSpace="0"/>
        </w:sectPr>
      </w:pPr>
    </w:p>
    <w:p w14:paraId="4285FB45">
      <w:pPr>
        <w:snapToGrid w:val="0"/>
        <w:spacing w:line="300" w:lineRule="auto"/>
        <w:jc w:val="center"/>
        <w:outlineLvl w:val="0"/>
        <w:rPr>
          <w:rFonts w:ascii="宋体" w:hAnsi="宋体" w:cs="宋体"/>
          <w:b/>
          <w:sz w:val="36"/>
          <w:szCs w:val="36"/>
        </w:rPr>
      </w:pPr>
      <w:r>
        <w:rPr>
          <w:rFonts w:hint="eastAsia" w:ascii="宋体" w:hAnsi="宋体" w:cs="宋体"/>
          <w:b/>
          <w:sz w:val="36"/>
          <w:szCs w:val="36"/>
        </w:rPr>
        <w:t xml:space="preserve">第一章  </w:t>
      </w:r>
      <w:bookmarkStart w:id="0" w:name="OLE_LINK5"/>
      <w:bookmarkStart w:id="1" w:name="OLE_LINK7"/>
      <w:r>
        <w:rPr>
          <w:rFonts w:hint="eastAsia" w:ascii="宋体" w:hAnsi="宋体" w:cs="宋体"/>
          <w:b/>
          <w:sz w:val="36"/>
          <w:szCs w:val="36"/>
        </w:rPr>
        <w:t>招标公告</w:t>
      </w:r>
      <w:bookmarkEnd w:id="0"/>
      <w:bookmarkEnd w:id="1"/>
    </w:p>
    <w:p w14:paraId="6C2CC2B0">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sz w:val="24"/>
        </w:rPr>
      </w:pPr>
      <w:r>
        <w:rPr>
          <w:rFonts w:hint="eastAsia" w:ascii="宋体" w:hAnsi="宋体" w:cs="宋体"/>
          <w:b/>
          <w:bCs/>
          <w:sz w:val="24"/>
        </w:rPr>
        <w:t>项目概况</w:t>
      </w:r>
    </w:p>
    <w:p w14:paraId="0E9E07DF">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u w:val="single"/>
          <w:lang w:eastAsia="zh-CN"/>
        </w:rPr>
        <w:t>南通开放大学工业机器人基础运用项目</w:t>
      </w:r>
      <w:r>
        <w:rPr>
          <w:rFonts w:hint="eastAsia" w:ascii="宋体" w:hAnsi="宋体" w:cs="宋体"/>
          <w:sz w:val="24"/>
        </w:rPr>
        <w:t>的潜在投标人应在</w:t>
      </w:r>
      <w:r>
        <w:rPr>
          <w:rFonts w:hint="eastAsia" w:ascii="宋体" w:hAnsi="宋体" w:cs="宋体"/>
          <w:sz w:val="24"/>
          <w:lang w:eastAsia="zh-CN"/>
        </w:rPr>
        <w:t>南通市教育局网站或南通开放大学官网</w:t>
      </w:r>
      <w:r>
        <w:rPr>
          <w:rFonts w:hint="eastAsia" w:ascii="宋体" w:hAnsi="宋体" w:cs="宋体"/>
          <w:sz w:val="24"/>
        </w:rPr>
        <w:t>获取招标文件，并于</w:t>
      </w:r>
      <w:r>
        <w:rPr>
          <w:rFonts w:hint="eastAsia" w:ascii="宋体" w:hAnsi="宋体" w:cs="宋体"/>
          <w:color w:val="FF0000"/>
          <w:sz w:val="24"/>
          <w:u w:val="single"/>
        </w:rPr>
        <w:t xml:space="preserve"> 2025年</w:t>
      </w:r>
      <w:r>
        <w:rPr>
          <w:rFonts w:hint="eastAsia" w:ascii="宋体" w:hAnsi="宋体" w:cs="宋体"/>
          <w:color w:val="FF0000"/>
          <w:sz w:val="24"/>
          <w:u w:val="single"/>
          <w:lang w:val="en-US" w:eastAsia="zh-CN"/>
        </w:rPr>
        <w:t xml:space="preserve">10 </w:t>
      </w:r>
      <w:r>
        <w:rPr>
          <w:rFonts w:hint="eastAsia" w:ascii="宋体" w:hAnsi="宋体" w:cs="宋体"/>
          <w:color w:val="FF0000"/>
          <w:sz w:val="24"/>
          <w:u w:val="single"/>
        </w:rPr>
        <w:t>月</w:t>
      </w:r>
      <w:r>
        <w:rPr>
          <w:rFonts w:hint="eastAsia" w:ascii="宋体" w:hAnsi="宋体" w:cs="宋体"/>
          <w:color w:val="FF0000"/>
          <w:sz w:val="24"/>
          <w:u w:val="single"/>
          <w:lang w:val="en-US" w:eastAsia="zh-CN"/>
        </w:rPr>
        <w:t xml:space="preserve"> 15 </w:t>
      </w:r>
      <w:r>
        <w:rPr>
          <w:rFonts w:hint="eastAsia" w:ascii="宋体" w:hAnsi="宋体" w:cs="宋体"/>
          <w:color w:val="FF0000"/>
          <w:sz w:val="24"/>
          <w:u w:val="single"/>
        </w:rPr>
        <w:t>日</w:t>
      </w:r>
      <w:r>
        <w:rPr>
          <w:rFonts w:hint="eastAsia" w:ascii="宋体" w:hAnsi="宋体" w:cs="宋体"/>
          <w:color w:val="FF0000"/>
          <w:sz w:val="24"/>
          <w:u w:val="single"/>
          <w:lang w:val="en-US" w:eastAsia="zh-CN"/>
        </w:rPr>
        <w:t>09</w:t>
      </w:r>
      <w:r>
        <w:rPr>
          <w:rFonts w:hint="eastAsia" w:ascii="宋体" w:hAnsi="宋体" w:cs="宋体"/>
          <w:color w:val="FF0000"/>
          <w:sz w:val="24"/>
          <w:u w:val="single"/>
        </w:rPr>
        <w:t>时30分</w:t>
      </w:r>
      <w:r>
        <w:rPr>
          <w:rFonts w:hint="eastAsia" w:ascii="宋体" w:hAnsi="宋体" w:cs="宋体"/>
          <w:sz w:val="24"/>
          <w:u w:val="single"/>
        </w:rPr>
        <w:t>（北京时间）前递交投标文件。</w:t>
      </w:r>
    </w:p>
    <w:p w14:paraId="3D2905AE">
      <w:pPr>
        <w:snapToGrid w:val="0"/>
        <w:spacing w:line="360" w:lineRule="auto"/>
        <w:ind w:firstLine="482" w:firstLineChars="200"/>
        <w:rPr>
          <w:rFonts w:ascii="宋体" w:hAnsi="宋体" w:cs="宋体"/>
          <w:b/>
          <w:sz w:val="24"/>
        </w:rPr>
      </w:pPr>
      <w:r>
        <w:rPr>
          <w:rFonts w:hint="eastAsia" w:ascii="宋体" w:hAnsi="宋体" w:cs="宋体"/>
          <w:b/>
          <w:sz w:val="24"/>
        </w:rPr>
        <w:t>一、项目基本情况</w:t>
      </w:r>
    </w:p>
    <w:p w14:paraId="60782DC2">
      <w:pPr>
        <w:snapToGrid w:val="0"/>
        <w:spacing w:line="360" w:lineRule="auto"/>
        <w:ind w:firstLine="480" w:firstLineChars="200"/>
        <w:rPr>
          <w:rFonts w:hint="eastAsia" w:ascii="宋体" w:hAnsi="宋体" w:eastAsia="宋体" w:cs="宋体"/>
          <w:color w:val="FF0000"/>
          <w:sz w:val="24"/>
          <w:lang w:eastAsia="zh-CN"/>
        </w:rPr>
      </w:pPr>
      <w:r>
        <w:rPr>
          <w:rFonts w:hint="eastAsia" w:ascii="宋体" w:hAnsi="宋体" w:cs="宋体"/>
          <w:sz w:val="24"/>
        </w:rPr>
        <w:t>项目编号：</w:t>
      </w:r>
      <w:r>
        <w:rPr>
          <w:rFonts w:hint="eastAsia" w:ascii="宋体" w:hAnsi="宋体" w:cs="宋体"/>
          <w:color w:val="FF0000"/>
          <w:sz w:val="24"/>
          <w:lang w:eastAsia="zh-CN"/>
        </w:rPr>
        <w:t xml:space="preserve"> KD-2025022</w:t>
      </w:r>
    </w:p>
    <w:p w14:paraId="5714A8D3">
      <w:pPr>
        <w:pStyle w:val="51"/>
        <w:widowControl/>
        <w:spacing w:line="360" w:lineRule="auto"/>
        <w:ind w:firstLine="480"/>
        <w:outlineLvl w:val="9"/>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南通开放大学工业机器人基础运用项目</w:t>
      </w:r>
    </w:p>
    <w:p w14:paraId="3E2FAFC5">
      <w:pPr>
        <w:pStyle w:val="51"/>
        <w:widowControl/>
        <w:spacing w:line="360" w:lineRule="auto"/>
        <w:ind w:firstLine="480"/>
        <w:outlineLvl w:val="9"/>
        <w:rPr>
          <w:rFonts w:hint="eastAsia" w:ascii="宋体" w:hAnsi="宋体" w:eastAsia="宋体" w:cs="宋体"/>
          <w:sz w:val="24"/>
          <w:lang w:eastAsia="zh-CN"/>
        </w:rPr>
      </w:pPr>
      <w:r>
        <w:rPr>
          <w:rFonts w:hint="eastAsia" w:ascii="宋体" w:hAnsi="宋体" w:cs="宋体"/>
          <w:sz w:val="24"/>
        </w:rPr>
        <w:t>预算总额：</w:t>
      </w:r>
      <w:r>
        <w:rPr>
          <w:rFonts w:hint="eastAsia" w:ascii="宋体" w:hAnsi="宋体" w:cs="宋体"/>
          <w:sz w:val="24"/>
          <w:lang w:eastAsia="zh-CN"/>
        </w:rPr>
        <w:t>47万元</w:t>
      </w:r>
    </w:p>
    <w:p w14:paraId="3D05F8D1">
      <w:pPr>
        <w:spacing w:line="360" w:lineRule="auto"/>
        <w:ind w:firstLine="480" w:firstLineChars="200"/>
        <w:outlineLvl w:val="9"/>
        <w:rPr>
          <w:rFonts w:hint="eastAsia" w:ascii="宋体" w:hAnsi="宋体" w:eastAsia="宋体" w:cs="宋体"/>
          <w:sz w:val="24"/>
          <w:lang w:eastAsia="zh-CN"/>
        </w:rPr>
      </w:pPr>
      <w:r>
        <w:rPr>
          <w:rFonts w:hint="eastAsia" w:ascii="宋体" w:hAnsi="宋体" w:eastAsia="宋体" w:cs="宋体"/>
          <w:sz w:val="24"/>
        </w:rPr>
        <w:t>最高限价：</w:t>
      </w:r>
      <w:r>
        <w:rPr>
          <w:rFonts w:hint="eastAsia" w:ascii="宋体" w:hAnsi="宋体" w:eastAsia="宋体" w:cs="宋体"/>
          <w:sz w:val="24"/>
          <w:lang w:eastAsia="zh-CN"/>
        </w:rPr>
        <w:t>47万元</w:t>
      </w:r>
    </w:p>
    <w:p w14:paraId="3D9B0C10">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采购需求：详见第三章“项目需求说明”</w:t>
      </w:r>
    </w:p>
    <w:p w14:paraId="5D585512">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lang w:val="en-US" w:eastAsia="zh-CN"/>
        </w:rPr>
        <w:t>交货地点：</w:t>
      </w:r>
      <w:r>
        <w:rPr>
          <w:rFonts w:hint="eastAsia" w:ascii="宋体" w:hAnsi="宋体" w:eastAsia="宋体" w:cs="宋体"/>
          <w:sz w:val="24"/>
        </w:rPr>
        <w:t>南通市中远路169号，南通开放大学</w:t>
      </w:r>
    </w:p>
    <w:p w14:paraId="695FF4A4">
      <w:pPr>
        <w:spacing w:line="360" w:lineRule="auto"/>
        <w:ind w:firstLine="480" w:firstLineChars="200"/>
        <w:outlineLvl w:val="9"/>
        <w:rPr>
          <w:rFonts w:hint="default" w:ascii="宋体" w:hAnsi="宋体" w:eastAsia="宋体" w:cs="宋体"/>
          <w:sz w:val="24"/>
          <w:lang w:val="en-US" w:eastAsia="zh-CN"/>
        </w:rPr>
      </w:pPr>
      <w:r>
        <w:rPr>
          <w:rFonts w:hint="eastAsia" w:ascii="宋体" w:hAnsi="宋体" w:eastAsia="宋体" w:cs="宋体"/>
          <w:sz w:val="24"/>
          <w:lang w:val="en-US" w:eastAsia="zh-CN"/>
        </w:rPr>
        <w:t>交货期限：15日历天，具体供货时间以采购单位通知为准</w:t>
      </w:r>
    </w:p>
    <w:p w14:paraId="30645653">
      <w:pPr>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本项目不接受联合体投标。</w:t>
      </w:r>
    </w:p>
    <w:p w14:paraId="04FF5136">
      <w:pPr>
        <w:snapToGrid w:val="0"/>
        <w:spacing w:line="360" w:lineRule="auto"/>
        <w:ind w:firstLine="482" w:firstLineChars="200"/>
        <w:rPr>
          <w:rFonts w:ascii="宋体" w:hAnsi="宋体" w:cs="宋体"/>
          <w:b/>
          <w:sz w:val="24"/>
        </w:rPr>
      </w:pPr>
      <w:r>
        <w:rPr>
          <w:rFonts w:hint="eastAsia" w:ascii="宋体" w:hAnsi="宋体" w:cs="宋体"/>
          <w:b/>
          <w:sz w:val="24"/>
        </w:rPr>
        <w:t>二、申请人的资格要求：</w:t>
      </w:r>
    </w:p>
    <w:p w14:paraId="6EC13A82">
      <w:pPr>
        <w:pStyle w:val="51"/>
        <w:widowControl/>
        <w:spacing w:line="360" w:lineRule="auto"/>
        <w:ind w:firstLine="480"/>
        <w:outlineLvl w:val="9"/>
        <w:rPr>
          <w:rFonts w:ascii="宋体" w:hAnsi="宋体" w:cs="宋体"/>
          <w:sz w:val="24"/>
        </w:rPr>
      </w:pPr>
      <w:r>
        <w:rPr>
          <w:rFonts w:hint="eastAsia" w:ascii="宋体" w:hAnsi="宋体" w:cs="宋体"/>
          <w:sz w:val="24"/>
        </w:rPr>
        <w:t>1.投标人提供有效的营业执照及税务登记证（或者是三证合一的营业执照），有能力提供本次采购项目及所要求的服务。</w:t>
      </w:r>
    </w:p>
    <w:p w14:paraId="4473727A">
      <w:pPr>
        <w:pStyle w:val="51"/>
        <w:widowControl/>
        <w:spacing w:line="360" w:lineRule="auto"/>
        <w:ind w:firstLine="480"/>
        <w:outlineLvl w:val="9"/>
        <w:rPr>
          <w:rFonts w:ascii="宋体" w:hAnsi="宋体" w:cs="宋体"/>
          <w:sz w:val="24"/>
        </w:rPr>
      </w:pPr>
      <w:r>
        <w:rPr>
          <w:rFonts w:hint="eastAsia" w:ascii="宋体" w:hAnsi="宋体" w:cs="宋体"/>
          <w:sz w:val="24"/>
        </w:rPr>
        <w:t>2.投标人法定代表人参加投标的，必须提供法定代表人身份证明及法定代表人本人身份证复印件；非法定代表人参加投标的，必须提供法定代表人签名或盖章的授权委托书及法定代表人和被授权人两个人的身份证复印件，被授权人为投标人正式人员证明材料【提供①与投标人签订的有效劳动合同复印件；②社保机构出具并盖章的投标人为其缴纳2025年</w:t>
      </w:r>
      <w:r>
        <w:rPr>
          <w:rFonts w:hint="eastAsia" w:ascii="宋体" w:hAnsi="宋体" w:cs="宋体"/>
          <w:sz w:val="24"/>
          <w:lang w:val="en-US" w:eastAsia="zh-CN"/>
        </w:rPr>
        <w:t>5月以来</w:t>
      </w:r>
      <w:r>
        <w:rPr>
          <w:rFonts w:hint="eastAsia" w:ascii="宋体" w:hAnsi="宋体" w:cs="宋体"/>
          <w:sz w:val="24"/>
        </w:rPr>
        <w:t>任意一个月的养老保险缴费清单复印件】。</w:t>
      </w:r>
    </w:p>
    <w:p w14:paraId="6F22BE81">
      <w:pPr>
        <w:widowControl/>
        <w:spacing w:line="360" w:lineRule="auto"/>
        <w:ind w:firstLine="480" w:firstLineChars="200"/>
        <w:outlineLvl w:val="9"/>
        <w:rPr>
          <w:sz w:val="24"/>
        </w:rPr>
      </w:pPr>
      <w:r>
        <w:rPr>
          <w:rFonts w:hint="eastAsia"/>
          <w:sz w:val="24"/>
        </w:rPr>
        <w:t>3.</w:t>
      </w:r>
      <w:r>
        <w:rPr>
          <w:rFonts w:hint="eastAsia" w:ascii="宋体" w:hAnsi="宋体" w:cs="宋体"/>
          <w:sz w:val="24"/>
        </w:rPr>
        <w:t xml:space="preserve"> 具有良好的商业信誉和健全的财务会计制度，具有履行合同所必需的设备和专业技术能力，有依法缴纳税收和社会保障资金的良好记录。</w:t>
      </w:r>
    </w:p>
    <w:p w14:paraId="66A44365">
      <w:pPr>
        <w:widowControl/>
        <w:spacing w:line="360" w:lineRule="auto"/>
        <w:ind w:firstLine="480" w:firstLineChars="200"/>
        <w:outlineLvl w:val="9"/>
        <w:rPr>
          <w:sz w:val="24"/>
        </w:rPr>
      </w:pPr>
      <w:r>
        <w:rPr>
          <w:rFonts w:hint="eastAsia"/>
          <w:sz w:val="24"/>
        </w:rPr>
        <w:t>4. 投标人</w:t>
      </w:r>
      <w:r>
        <w:rPr>
          <w:sz w:val="24"/>
        </w:rPr>
        <w:t>须提供参与本次项目采购活动前三年内，在经营活动中没有重大违法记录的书面《无重大违法记录声明函》</w:t>
      </w:r>
    </w:p>
    <w:p w14:paraId="44356519">
      <w:pPr>
        <w:widowControl/>
        <w:spacing w:line="360" w:lineRule="auto"/>
        <w:ind w:firstLine="480" w:firstLineChars="200"/>
        <w:outlineLvl w:val="9"/>
        <w:rPr>
          <w:sz w:val="24"/>
        </w:rPr>
      </w:pPr>
      <w:r>
        <w:rPr>
          <w:rFonts w:hint="eastAsia"/>
          <w:sz w:val="24"/>
          <w:lang w:val="en-US" w:eastAsia="zh-CN"/>
        </w:rPr>
        <w:t>5</w:t>
      </w:r>
      <w:r>
        <w:rPr>
          <w:rFonts w:hint="eastAsia"/>
          <w:sz w:val="24"/>
        </w:rPr>
        <w:t>.未被“信用中国”网站列入失信被执行人、重大税收违法案件当事人名单、政府采购严重失信行为记录名单。</w:t>
      </w:r>
    </w:p>
    <w:p w14:paraId="1A1D497E">
      <w:pPr>
        <w:pStyle w:val="43"/>
        <w:outlineLvl w:val="9"/>
        <w:rPr>
          <w:b/>
          <w:bCs/>
        </w:rPr>
      </w:pPr>
      <w:r>
        <w:rPr>
          <w:rFonts w:hint="eastAsia" w:ascii="宋体" w:hAnsi="宋体" w:eastAsia="宋体" w:cs="宋体"/>
          <w:b/>
          <w:bCs/>
          <w:sz w:val="24"/>
          <w:szCs w:val="24"/>
        </w:rPr>
        <w:t>注：1.单位负责人为同一人或者存在直接控股、管理关系的不同投标人，不得参加同一合同项下的采购活动；2.法定代表人为同一人的两个及两个以上的法人、母公司、全资子公司及其控股公司，都不得在同一招标项目中同时投标。</w:t>
      </w:r>
    </w:p>
    <w:p w14:paraId="09777691">
      <w:pPr>
        <w:widowControl/>
        <w:spacing w:line="360" w:lineRule="auto"/>
        <w:ind w:firstLine="482" w:firstLineChars="200"/>
        <w:rPr>
          <w:rFonts w:ascii="宋体" w:hAnsi="宋体" w:cs="宋体"/>
          <w:b/>
          <w:bCs/>
          <w:sz w:val="24"/>
        </w:rPr>
      </w:pPr>
      <w:r>
        <w:rPr>
          <w:rFonts w:hint="eastAsia" w:ascii="宋体" w:hAnsi="宋体" w:cs="宋体"/>
          <w:b/>
          <w:bCs/>
          <w:sz w:val="24"/>
        </w:rPr>
        <w:t>三、获取招标文件</w:t>
      </w:r>
    </w:p>
    <w:p w14:paraId="7E2A1BDE">
      <w:pPr>
        <w:snapToGrid w:val="0"/>
        <w:spacing w:line="360" w:lineRule="auto"/>
        <w:ind w:firstLine="480" w:firstLineChars="200"/>
        <w:rPr>
          <w:rFonts w:hint="eastAsia" w:ascii="宋体" w:hAnsi="宋体" w:cs="宋体"/>
          <w:b w:val="0"/>
          <w:bCs/>
          <w:color w:val="FF0000"/>
          <w:sz w:val="24"/>
          <w:u w:val="none"/>
          <w:lang w:val="en-US" w:eastAsia="zh-CN"/>
        </w:rPr>
      </w:pPr>
      <w:r>
        <w:rPr>
          <w:rFonts w:hint="eastAsia" w:ascii="宋体" w:hAnsi="宋体" w:cs="宋体"/>
          <w:b w:val="0"/>
          <w:bCs/>
          <w:sz w:val="24"/>
        </w:rPr>
        <w:t>时间：</w:t>
      </w:r>
      <w:r>
        <w:rPr>
          <w:rFonts w:hint="eastAsia" w:ascii="宋体" w:hAnsi="宋体" w:cs="宋体"/>
          <w:b w:val="0"/>
          <w:bCs/>
          <w:sz w:val="24"/>
          <w:lang w:val="en-US" w:eastAsia="zh-CN"/>
        </w:rPr>
        <w:t>自公告上网之日起</w:t>
      </w:r>
      <w:r>
        <w:rPr>
          <w:rFonts w:hint="eastAsia" w:ascii="宋体" w:hAnsi="宋体" w:cs="宋体"/>
          <w:b w:val="0"/>
          <w:bCs/>
          <w:sz w:val="24"/>
        </w:rPr>
        <w:t>至</w:t>
      </w:r>
      <w:r>
        <w:rPr>
          <w:rFonts w:hint="eastAsia" w:ascii="宋体" w:hAnsi="宋体" w:cs="宋体"/>
          <w:color w:val="FF0000"/>
          <w:sz w:val="24"/>
          <w:u w:val="none"/>
        </w:rPr>
        <w:t>2025年</w:t>
      </w:r>
      <w:r>
        <w:rPr>
          <w:rFonts w:hint="eastAsia" w:ascii="宋体" w:hAnsi="宋体" w:cs="宋体"/>
          <w:color w:val="FF0000"/>
          <w:sz w:val="24"/>
          <w:u w:val="none"/>
          <w:lang w:val="en-US" w:eastAsia="zh-CN"/>
        </w:rPr>
        <w:t>10</w:t>
      </w:r>
      <w:r>
        <w:rPr>
          <w:rFonts w:hint="eastAsia" w:ascii="宋体" w:hAnsi="宋体" w:cs="宋体"/>
          <w:color w:val="FF0000"/>
          <w:sz w:val="24"/>
          <w:u w:val="none"/>
        </w:rPr>
        <w:t>月</w:t>
      </w:r>
      <w:r>
        <w:rPr>
          <w:rFonts w:hint="eastAsia" w:ascii="宋体" w:hAnsi="宋体" w:cs="宋体"/>
          <w:color w:val="FF0000"/>
          <w:sz w:val="24"/>
          <w:u w:val="none"/>
          <w:lang w:val="en-US" w:eastAsia="zh-CN"/>
        </w:rPr>
        <w:t>15</w:t>
      </w:r>
      <w:r>
        <w:rPr>
          <w:rFonts w:hint="eastAsia" w:ascii="宋体" w:hAnsi="宋体" w:cs="宋体"/>
          <w:color w:val="FF0000"/>
          <w:sz w:val="24"/>
          <w:u w:val="none"/>
        </w:rPr>
        <w:t>日</w:t>
      </w:r>
      <w:r>
        <w:rPr>
          <w:rFonts w:hint="eastAsia" w:ascii="宋体" w:hAnsi="宋体" w:cs="宋体"/>
          <w:color w:val="FF0000"/>
          <w:sz w:val="24"/>
          <w:u w:val="none"/>
          <w:lang w:val="en-US" w:eastAsia="zh-CN"/>
        </w:rPr>
        <w:t>09</w:t>
      </w:r>
      <w:r>
        <w:rPr>
          <w:rFonts w:hint="eastAsia" w:ascii="宋体" w:hAnsi="宋体" w:cs="宋体"/>
          <w:color w:val="FF0000"/>
          <w:sz w:val="24"/>
          <w:u w:val="none"/>
        </w:rPr>
        <w:t>时30分</w:t>
      </w:r>
    </w:p>
    <w:p w14:paraId="3C8E0C52">
      <w:pPr>
        <w:snapToGrid w:val="0"/>
        <w:spacing w:line="360" w:lineRule="auto"/>
        <w:ind w:firstLine="480" w:firstLineChars="200"/>
        <w:rPr>
          <w:rFonts w:hint="eastAsia" w:ascii="宋体" w:hAnsi="宋体" w:cs="宋体"/>
          <w:b w:val="0"/>
          <w:bCs/>
          <w:sz w:val="24"/>
        </w:rPr>
      </w:pPr>
      <w:r>
        <w:rPr>
          <w:rFonts w:hint="eastAsia" w:ascii="宋体" w:hAnsi="宋体" w:cs="宋体"/>
          <w:b w:val="0"/>
          <w:bCs/>
          <w:sz w:val="24"/>
        </w:rPr>
        <w:t>地点：</w:t>
      </w:r>
      <w:r>
        <w:rPr>
          <w:rFonts w:hint="eastAsia" w:ascii="宋体" w:hAnsi="宋体" w:cs="宋体"/>
          <w:b w:val="0"/>
          <w:bCs/>
          <w:sz w:val="24"/>
          <w:lang w:eastAsia="zh-CN"/>
        </w:rPr>
        <w:t>南通市教育局网站或南通开放大学官网</w:t>
      </w:r>
    </w:p>
    <w:p w14:paraId="7A817EDC">
      <w:pPr>
        <w:snapToGrid w:val="0"/>
        <w:spacing w:line="360" w:lineRule="auto"/>
        <w:ind w:firstLine="480" w:firstLineChars="200"/>
        <w:rPr>
          <w:rFonts w:hint="eastAsia" w:ascii="宋体" w:hAnsi="宋体" w:cs="宋体"/>
          <w:b w:val="0"/>
          <w:bCs/>
          <w:sz w:val="24"/>
        </w:rPr>
      </w:pPr>
      <w:r>
        <w:rPr>
          <w:rFonts w:hint="eastAsia" w:ascii="宋体" w:hAnsi="宋体" w:cs="宋体"/>
          <w:b w:val="0"/>
          <w:bCs/>
          <w:sz w:val="24"/>
        </w:rPr>
        <w:t>方式：自行下载</w:t>
      </w:r>
    </w:p>
    <w:p w14:paraId="5ADAFD14">
      <w:pPr>
        <w:snapToGrid w:val="0"/>
        <w:spacing w:line="360" w:lineRule="auto"/>
        <w:ind w:firstLine="482" w:firstLineChars="200"/>
        <w:rPr>
          <w:rFonts w:ascii="宋体" w:hAnsi="宋体" w:cs="宋体"/>
          <w:b/>
          <w:sz w:val="24"/>
        </w:rPr>
      </w:pPr>
      <w:r>
        <w:rPr>
          <w:rFonts w:hint="eastAsia" w:ascii="宋体" w:hAnsi="宋体" w:cs="宋体"/>
          <w:b/>
          <w:sz w:val="24"/>
        </w:rPr>
        <w:t>四、提交投标文件截止时间、开标时间和地点</w:t>
      </w:r>
    </w:p>
    <w:p w14:paraId="3F671FD2">
      <w:pPr>
        <w:snapToGrid w:val="0"/>
        <w:spacing w:line="360" w:lineRule="auto"/>
        <w:ind w:firstLine="480" w:firstLineChars="200"/>
        <w:rPr>
          <w:rFonts w:ascii="宋体" w:hAnsi="宋体" w:cs="宋体"/>
          <w:bCs/>
          <w:sz w:val="24"/>
        </w:rPr>
      </w:pPr>
      <w:r>
        <w:rPr>
          <w:rFonts w:hint="eastAsia" w:ascii="宋体" w:hAnsi="宋体" w:cs="宋体"/>
          <w:bCs/>
          <w:sz w:val="24"/>
        </w:rPr>
        <w:t>时间</w:t>
      </w:r>
      <w:r>
        <w:rPr>
          <w:rFonts w:hint="eastAsia" w:ascii="宋体" w:hAnsi="宋体" w:cs="宋体"/>
          <w:bCs/>
          <w:color w:val="auto"/>
          <w:sz w:val="24"/>
        </w:rPr>
        <w:t>：</w:t>
      </w:r>
      <w:r>
        <w:rPr>
          <w:rFonts w:hint="eastAsia" w:ascii="宋体" w:hAnsi="宋体" w:cs="宋体"/>
          <w:color w:val="FF0000"/>
          <w:sz w:val="24"/>
          <w:u w:val="none"/>
        </w:rPr>
        <w:t>2025年</w:t>
      </w:r>
      <w:r>
        <w:rPr>
          <w:rFonts w:hint="eastAsia" w:ascii="宋体" w:hAnsi="宋体" w:cs="宋体"/>
          <w:color w:val="FF0000"/>
          <w:sz w:val="24"/>
          <w:u w:val="none"/>
          <w:lang w:val="en-US" w:eastAsia="zh-CN"/>
        </w:rPr>
        <w:t>10</w:t>
      </w:r>
      <w:r>
        <w:rPr>
          <w:rFonts w:hint="eastAsia" w:ascii="宋体" w:hAnsi="宋体" w:cs="宋体"/>
          <w:color w:val="FF0000"/>
          <w:sz w:val="24"/>
          <w:u w:val="none"/>
        </w:rPr>
        <w:t>月</w:t>
      </w:r>
      <w:r>
        <w:rPr>
          <w:rFonts w:hint="eastAsia" w:ascii="宋体" w:hAnsi="宋体" w:cs="宋体"/>
          <w:color w:val="FF0000"/>
          <w:sz w:val="24"/>
          <w:u w:val="none"/>
          <w:lang w:val="en-US" w:eastAsia="zh-CN"/>
        </w:rPr>
        <w:t>15</w:t>
      </w:r>
      <w:r>
        <w:rPr>
          <w:rFonts w:hint="eastAsia" w:ascii="宋体" w:hAnsi="宋体" w:cs="宋体"/>
          <w:color w:val="FF0000"/>
          <w:sz w:val="24"/>
          <w:u w:val="none"/>
        </w:rPr>
        <w:t>日</w:t>
      </w:r>
      <w:r>
        <w:rPr>
          <w:rFonts w:hint="eastAsia" w:ascii="宋体" w:hAnsi="宋体" w:cs="宋体"/>
          <w:color w:val="FF0000"/>
          <w:sz w:val="24"/>
          <w:u w:val="none"/>
          <w:lang w:val="en-US" w:eastAsia="zh-CN"/>
        </w:rPr>
        <w:t>09</w:t>
      </w:r>
      <w:r>
        <w:rPr>
          <w:rFonts w:hint="eastAsia" w:ascii="宋体" w:hAnsi="宋体" w:cs="宋体"/>
          <w:color w:val="FF0000"/>
          <w:sz w:val="24"/>
          <w:u w:val="none"/>
        </w:rPr>
        <w:t>时30分</w:t>
      </w:r>
      <w:r>
        <w:rPr>
          <w:rFonts w:hint="eastAsia" w:ascii="宋体" w:hAnsi="宋体" w:cs="宋体"/>
          <w:bCs/>
          <w:color w:val="FF0000"/>
          <w:sz w:val="24"/>
        </w:rPr>
        <w:t>（北京时间）</w:t>
      </w:r>
      <w:r>
        <w:rPr>
          <w:rFonts w:hint="eastAsia" w:ascii="宋体" w:hAnsi="宋体" w:cs="宋体"/>
          <w:bCs/>
          <w:sz w:val="24"/>
        </w:rPr>
        <w:t xml:space="preserve">。 </w:t>
      </w:r>
    </w:p>
    <w:p w14:paraId="5367CA94">
      <w:pPr>
        <w:snapToGrid w:val="0"/>
        <w:spacing w:line="360" w:lineRule="auto"/>
        <w:ind w:firstLine="480" w:firstLineChars="200"/>
        <w:rPr>
          <w:rFonts w:hint="eastAsia" w:ascii="宋体" w:hAnsi="宋体" w:cs="宋体"/>
          <w:bCs/>
          <w:sz w:val="24"/>
          <w:lang w:val="en-US" w:eastAsia="zh-CN"/>
        </w:rPr>
      </w:pPr>
      <w:r>
        <w:rPr>
          <w:rFonts w:hint="eastAsia" w:ascii="宋体" w:hAnsi="宋体" w:cs="宋体"/>
          <w:bCs/>
          <w:sz w:val="24"/>
        </w:rPr>
        <w:t>地点：</w:t>
      </w:r>
      <w:r>
        <w:rPr>
          <w:rFonts w:hint="eastAsia" w:ascii="宋体" w:hAnsi="宋体" w:cs="宋体"/>
          <w:bCs/>
          <w:sz w:val="24"/>
          <w:lang w:val="en-US" w:eastAsia="zh-CN"/>
        </w:rPr>
        <w:t>南通市万科壹中心2402室，如有变动另行通知。</w:t>
      </w:r>
    </w:p>
    <w:p w14:paraId="11AA6B91">
      <w:pPr>
        <w:snapToGrid w:val="0"/>
        <w:spacing w:line="360" w:lineRule="auto"/>
        <w:ind w:firstLine="482" w:firstLineChars="200"/>
        <w:rPr>
          <w:rFonts w:ascii="宋体" w:hAnsi="宋体" w:cs="宋体"/>
          <w:b/>
          <w:sz w:val="24"/>
        </w:rPr>
      </w:pPr>
      <w:r>
        <w:rPr>
          <w:rFonts w:hint="eastAsia" w:ascii="宋体" w:hAnsi="宋体" w:cs="宋体"/>
          <w:b/>
          <w:sz w:val="24"/>
        </w:rPr>
        <w:t>五、公告期限</w:t>
      </w:r>
    </w:p>
    <w:p w14:paraId="601FA474">
      <w:pPr>
        <w:snapToGrid w:val="0"/>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7522C886">
      <w:pPr>
        <w:numPr>
          <w:ilvl w:val="0"/>
          <w:numId w:val="2"/>
        </w:numPr>
        <w:snapToGrid w:val="0"/>
        <w:spacing w:line="360" w:lineRule="auto"/>
        <w:ind w:firstLine="472" w:firstLineChars="196"/>
        <w:rPr>
          <w:rFonts w:ascii="宋体" w:hAnsi="宋体" w:cs="宋体"/>
          <w:b/>
          <w:sz w:val="24"/>
        </w:rPr>
      </w:pPr>
      <w:r>
        <w:rPr>
          <w:rFonts w:hint="eastAsia" w:ascii="宋体" w:hAnsi="宋体" w:cs="宋体"/>
          <w:b/>
          <w:sz w:val="24"/>
        </w:rPr>
        <w:t>其他说明</w:t>
      </w:r>
    </w:p>
    <w:p w14:paraId="1545E34F">
      <w:pPr>
        <w:snapToGrid w:val="0"/>
        <w:spacing w:line="360" w:lineRule="auto"/>
        <w:ind w:firstLine="480" w:firstLineChars="200"/>
        <w:rPr>
          <w:rFonts w:hint="eastAsia" w:ascii="宋体" w:hAnsi="宋体" w:cs="宋体"/>
          <w:bCs/>
          <w:sz w:val="24"/>
        </w:rPr>
      </w:pPr>
      <w:r>
        <w:rPr>
          <w:rFonts w:hint="eastAsia" w:ascii="宋体" w:hAnsi="宋体" w:cs="宋体"/>
          <w:bCs/>
          <w:sz w:val="24"/>
        </w:rPr>
        <w:t>投标保证金：免收</w:t>
      </w:r>
    </w:p>
    <w:p w14:paraId="2AE39A0A">
      <w:pPr>
        <w:snapToGrid w:val="0"/>
        <w:spacing w:line="360" w:lineRule="auto"/>
        <w:ind w:firstLine="480" w:firstLineChars="200"/>
        <w:rPr>
          <w:rFonts w:hint="eastAsia" w:ascii="宋体" w:hAnsi="宋体" w:cs="宋体"/>
          <w:bCs/>
          <w:sz w:val="24"/>
        </w:rPr>
      </w:pPr>
      <w:r>
        <w:rPr>
          <w:rFonts w:hint="eastAsia" w:ascii="宋体" w:hAnsi="宋体" w:cs="宋体"/>
          <w:bCs/>
          <w:sz w:val="24"/>
        </w:rPr>
        <w:t>项目</w:t>
      </w:r>
      <w:r>
        <w:rPr>
          <w:rFonts w:hint="eastAsia" w:ascii="宋体" w:hAnsi="宋体" w:cs="宋体"/>
          <w:bCs/>
          <w:sz w:val="24"/>
          <w:lang w:val="en-US" w:eastAsia="zh-CN"/>
        </w:rPr>
        <w:t>开标</w:t>
      </w:r>
      <w:r>
        <w:rPr>
          <w:rFonts w:hint="eastAsia" w:ascii="宋体" w:hAnsi="宋体" w:cs="宋体"/>
          <w:bCs/>
          <w:sz w:val="24"/>
        </w:rPr>
        <w:t>活动模式：见面</w:t>
      </w:r>
      <w:r>
        <w:rPr>
          <w:rFonts w:hint="eastAsia" w:ascii="宋体" w:hAnsi="宋体" w:cs="宋体"/>
          <w:bCs/>
          <w:sz w:val="24"/>
          <w:lang w:val="en-US" w:eastAsia="zh-CN"/>
        </w:rPr>
        <w:t>开标</w:t>
      </w:r>
      <w:r>
        <w:rPr>
          <w:rFonts w:hint="eastAsia" w:ascii="宋体" w:hAnsi="宋体" w:cs="宋体"/>
          <w:bCs/>
          <w:sz w:val="24"/>
        </w:rPr>
        <w:t>模式，供应商在南通市万科壹中心</w:t>
      </w:r>
      <w:r>
        <w:rPr>
          <w:rFonts w:hint="eastAsia" w:ascii="宋体" w:hAnsi="宋体" w:cs="宋体"/>
          <w:bCs/>
          <w:sz w:val="24"/>
          <w:lang w:val="en-US" w:eastAsia="zh-CN"/>
        </w:rPr>
        <w:t>2402</w:t>
      </w:r>
      <w:r>
        <w:rPr>
          <w:rFonts w:hint="eastAsia" w:ascii="宋体" w:hAnsi="宋体" w:cs="宋体"/>
          <w:bCs/>
          <w:sz w:val="24"/>
        </w:rPr>
        <w:t>室参加</w:t>
      </w:r>
      <w:r>
        <w:rPr>
          <w:rFonts w:hint="eastAsia" w:ascii="宋体" w:hAnsi="宋体" w:cs="宋体"/>
          <w:bCs/>
          <w:sz w:val="24"/>
          <w:lang w:eastAsia="zh-CN"/>
        </w:rPr>
        <w:t>招标</w:t>
      </w:r>
      <w:r>
        <w:rPr>
          <w:rFonts w:hint="eastAsia" w:ascii="宋体" w:hAnsi="宋体" w:cs="宋体"/>
          <w:bCs/>
          <w:sz w:val="24"/>
        </w:rPr>
        <w:t>活动。</w:t>
      </w:r>
    </w:p>
    <w:p w14:paraId="7FA12ED8">
      <w:pPr>
        <w:snapToGrid w:val="0"/>
        <w:spacing w:line="360" w:lineRule="auto"/>
        <w:ind w:firstLine="480" w:firstLineChars="200"/>
        <w:rPr>
          <w:rFonts w:ascii="宋体" w:hAnsi="宋体" w:cs="宋体"/>
          <w:bCs/>
          <w:sz w:val="24"/>
        </w:rPr>
      </w:pPr>
      <w:r>
        <w:rPr>
          <w:rFonts w:hint="eastAsia" w:ascii="宋体" w:hAnsi="宋体" w:cs="宋体"/>
          <w:bCs/>
          <w:sz w:val="24"/>
        </w:rPr>
        <w:t>投标人应依照规定提交各类声明函、承诺函，不再同时提供原件备查或提供有关部门出具的相关证明文件。但中标人应做好提交声明函、承诺函、证书等相应原件的核查准备；核查后发现无法提供或虚假或违背承诺的，依照相关法律法规规定处理。</w:t>
      </w:r>
    </w:p>
    <w:p w14:paraId="07ECBB5C">
      <w:pPr>
        <w:snapToGrid w:val="0"/>
        <w:spacing w:line="360" w:lineRule="auto"/>
        <w:ind w:firstLine="472" w:firstLineChars="196"/>
        <w:rPr>
          <w:rFonts w:ascii="宋体" w:hAnsi="宋体" w:cs="宋体"/>
          <w:b/>
          <w:sz w:val="24"/>
        </w:rPr>
      </w:pPr>
      <w:r>
        <w:rPr>
          <w:rFonts w:hint="eastAsia" w:ascii="宋体" w:hAnsi="宋体" w:cs="宋体"/>
          <w:b/>
          <w:sz w:val="24"/>
        </w:rPr>
        <w:t>七、对本次招标提出询问，请按以下方式联系。</w:t>
      </w:r>
    </w:p>
    <w:p w14:paraId="0E5B0CD7">
      <w:pPr>
        <w:spacing w:line="360" w:lineRule="auto"/>
        <w:ind w:firstLine="480" w:firstLineChars="200"/>
        <w:jc w:val="left"/>
        <w:textAlignment w:val="baseline"/>
        <w:outlineLvl w:val="9"/>
        <w:rPr>
          <w:rFonts w:hint="eastAsia" w:eastAsia="宋体"/>
          <w:sz w:val="24"/>
          <w:lang w:eastAsia="zh-CN"/>
        </w:rPr>
      </w:pPr>
      <w:bookmarkStart w:id="2" w:name="_Toc28359087"/>
      <w:bookmarkStart w:id="3" w:name="_Toc28359010"/>
      <w:r>
        <w:rPr>
          <w:rFonts w:hint="eastAsia"/>
          <w:sz w:val="24"/>
          <w:lang w:eastAsia="zh-CN"/>
        </w:rPr>
        <w:t>1.</w:t>
      </w:r>
      <w:r>
        <w:rPr>
          <w:sz w:val="24"/>
        </w:rPr>
        <w:t>采购单位：</w:t>
      </w:r>
      <w:r>
        <w:rPr>
          <w:rFonts w:hint="eastAsia"/>
          <w:sz w:val="24"/>
          <w:lang w:eastAsia="zh-CN"/>
        </w:rPr>
        <w:t>南通开放大学</w:t>
      </w:r>
    </w:p>
    <w:p w14:paraId="1F13F65D">
      <w:pPr>
        <w:spacing w:line="360" w:lineRule="auto"/>
        <w:ind w:firstLine="840" w:firstLineChars="350"/>
        <w:jc w:val="left"/>
        <w:textAlignment w:val="baseline"/>
        <w:outlineLvl w:val="9"/>
        <w:rPr>
          <w:rFonts w:hint="eastAsia" w:ascii="Times New Roman" w:hAnsi="Times New Roman" w:eastAsia="宋体" w:cs="Times New Roman"/>
          <w:sz w:val="24"/>
          <w:lang w:val="en-US" w:eastAsia="zh-CN"/>
        </w:rPr>
      </w:pPr>
      <w:r>
        <w:rPr>
          <w:rFonts w:hint="eastAsia" w:ascii="Times New Roman" w:hAnsi="Times New Roman" w:eastAsia="宋体" w:cs="Times New Roman"/>
          <w:sz w:val="24"/>
        </w:rPr>
        <w:t>联系人：吴老师  　联系电话：（0513）89090630</w:t>
      </w:r>
      <w:r>
        <w:rPr>
          <w:rFonts w:hint="eastAsia" w:ascii="Times New Roman" w:hAnsi="Times New Roman" w:eastAsia="宋体" w:cs="Times New Roman"/>
          <w:sz w:val="24"/>
          <w:lang w:val="en-US" w:eastAsia="zh-CN"/>
        </w:rPr>
        <w:t xml:space="preserve">                   </w:t>
      </w:r>
    </w:p>
    <w:p w14:paraId="0CE09013">
      <w:pPr>
        <w:spacing w:line="360" w:lineRule="auto"/>
        <w:ind w:firstLine="1800" w:firstLineChars="750"/>
        <w:jc w:val="left"/>
        <w:textAlignment w:val="baseline"/>
        <w:outlineLvl w:val="9"/>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蔡老师    联系电话：（0513）83559922</w:t>
      </w:r>
    </w:p>
    <w:p w14:paraId="105F44A7">
      <w:pPr>
        <w:spacing w:line="360" w:lineRule="auto"/>
        <w:ind w:firstLine="480" w:firstLineChars="200"/>
        <w:jc w:val="left"/>
        <w:textAlignment w:val="baseline"/>
        <w:outlineLvl w:val="9"/>
        <w:rPr>
          <w:sz w:val="24"/>
        </w:rPr>
      </w:pPr>
      <w:r>
        <w:rPr>
          <w:rFonts w:hint="eastAsia"/>
          <w:sz w:val="24"/>
          <w:lang w:eastAsia="zh-CN"/>
        </w:rPr>
        <w:t>2.</w:t>
      </w:r>
      <w:r>
        <w:rPr>
          <w:rFonts w:hint="eastAsia"/>
          <w:sz w:val="24"/>
        </w:rPr>
        <w:t>代理机构：</w:t>
      </w:r>
      <w:r>
        <w:rPr>
          <w:rFonts w:hint="eastAsia" w:ascii="宋体" w:hAnsi="宋体" w:cs="宋体"/>
          <w:sz w:val="24"/>
        </w:rPr>
        <w:t>东方华星建设管理（江苏）有限公司</w:t>
      </w:r>
    </w:p>
    <w:p w14:paraId="5EE9776D">
      <w:pPr>
        <w:spacing w:line="360" w:lineRule="auto"/>
        <w:ind w:firstLine="840" w:firstLineChars="350"/>
        <w:jc w:val="left"/>
        <w:textAlignment w:val="baseline"/>
        <w:outlineLvl w:val="9"/>
        <w:rPr>
          <w:sz w:val="24"/>
        </w:rPr>
      </w:pPr>
      <w:r>
        <w:rPr>
          <w:rFonts w:hint="eastAsia"/>
          <w:sz w:val="24"/>
        </w:rPr>
        <w:t>地址：南通市万科壹中心2402室　</w:t>
      </w:r>
    </w:p>
    <w:p w14:paraId="5A0C9B70">
      <w:pPr>
        <w:spacing w:line="360" w:lineRule="auto"/>
        <w:ind w:firstLine="840" w:firstLineChars="350"/>
        <w:jc w:val="left"/>
        <w:textAlignment w:val="baseline"/>
        <w:outlineLvl w:val="9"/>
        <w:rPr>
          <w:sz w:val="24"/>
        </w:rPr>
      </w:pPr>
      <w:r>
        <w:rPr>
          <w:rFonts w:hint="eastAsia"/>
          <w:sz w:val="24"/>
        </w:rPr>
        <w:t>联系人：</w:t>
      </w:r>
      <w:r>
        <w:rPr>
          <w:rFonts w:hint="eastAsia"/>
          <w:sz w:val="24"/>
          <w:lang w:val="en-US" w:eastAsia="zh-CN"/>
        </w:rPr>
        <w:t>赵</w:t>
      </w:r>
      <w:r>
        <w:rPr>
          <w:rFonts w:hint="eastAsia"/>
          <w:sz w:val="24"/>
        </w:rPr>
        <w:t>工</w:t>
      </w:r>
    </w:p>
    <w:p w14:paraId="31E9A7C1">
      <w:pPr>
        <w:spacing w:line="360" w:lineRule="auto"/>
        <w:ind w:firstLine="840" w:firstLineChars="350"/>
        <w:jc w:val="left"/>
        <w:textAlignment w:val="baseline"/>
        <w:outlineLvl w:val="9"/>
        <w:rPr>
          <w:rFonts w:hint="default" w:eastAsia="宋体"/>
          <w:sz w:val="24"/>
          <w:lang w:val="en-US" w:eastAsia="zh-CN"/>
        </w:rPr>
      </w:pPr>
      <w:r>
        <w:rPr>
          <w:rFonts w:hint="eastAsia"/>
          <w:sz w:val="24"/>
        </w:rPr>
        <w:t>联系电话：</w:t>
      </w:r>
      <w:r>
        <w:rPr>
          <w:rFonts w:hint="eastAsia"/>
          <w:sz w:val="24"/>
          <w:lang w:val="en-US" w:eastAsia="zh-CN"/>
        </w:rPr>
        <w:t>13114196992</w:t>
      </w:r>
    </w:p>
    <w:p w14:paraId="5A0EDF47">
      <w:pPr>
        <w:spacing w:line="360" w:lineRule="auto"/>
        <w:ind w:firstLine="840" w:firstLineChars="350"/>
        <w:jc w:val="left"/>
        <w:textAlignment w:val="baseline"/>
        <w:outlineLvl w:val="9"/>
        <w:rPr>
          <w:sz w:val="24"/>
        </w:rPr>
      </w:pPr>
      <w:r>
        <w:rPr>
          <w:rFonts w:hint="eastAsia"/>
          <w:sz w:val="24"/>
        </w:rPr>
        <w:t>邮箱：</w:t>
      </w:r>
      <w:r>
        <w:rPr>
          <w:rFonts w:hint="eastAsia" w:ascii="宋体" w:hAnsi="宋体" w:cs="宋体"/>
          <w:sz w:val="24"/>
        </w:rPr>
        <w:t>dfhxnt@126.com</w:t>
      </w:r>
      <w:bookmarkEnd w:id="2"/>
      <w:bookmarkEnd w:id="3"/>
    </w:p>
    <w:p w14:paraId="1AB43FD6">
      <w:pPr>
        <w:snapToGrid w:val="0"/>
        <w:spacing w:line="480" w:lineRule="exact"/>
        <w:jc w:val="left"/>
        <w:rPr>
          <w:rFonts w:ascii="宋体" w:hAnsi="宋体" w:cs="宋体"/>
          <w:b/>
          <w:sz w:val="36"/>
          <w:szCs w:val="36"/>
        </w:rPr>
      </w:pPr>
    </w:p>
    <w:p w14:paraId="00A7C381">
      <w:pPr>
        <w:rPr>
          <w:rFonts w:ascii="宋体" w:hAnsi="宋体" w:cs="宋体"/>
          <w:b/>
          <w:sz w:val="36"/>
          <w:szCs w:val="36"/>
        </w:rPr>
      </w:pPr>
      <w:r>
        <w:rPr>
          <w:rFonts w:hint="eastAsia" w:ascii="宋体" w:hAnsi="宋体" w:cs="宋体"/>
          <w:b/>
          <w:sz w:val="36"/>
          <w:szCs w:val="36"/>
        </w:rPr>
        <w:br w:type="page"/>
      </w:r>
    </w:p>
    <w:p w14:paraId="0E60FABE">
      <w:pPr>
        <w:snapToGrid w:val="0"/>
        <w:spacing w:line="480" w:lineRule="exact"/>
        <w:ind w:firstLine="723" w:firstLineChars="200"/>
        <w:jc w:val="center"/>
        <w:outlineLvl w:val="0"/>
        <w:rPr>
          <w:rFonts w:ascii="宋体" w:hAnsi="宋体" w:cs="宋体"/>
          <w:sz w:val="28"/>
          <w:szCs w:val="28"/>
        </w:rPr>
      </w:pPr>
      <w:r>
        <w:rPr>
          <w:rFonts w:hint="eastAsia" w:ascii="宋体" w:hAnsi="宋体" w:cs="宋体"/>
          <w:b/>
          <w:sz w:val="36"/>
          <w:szCs w:val="36"/>
        </w:rPr>
        <w:t>第二章  投标须知</w:t>
      </w:r>
    </w:p>
    <w:p w14:paraId="59605B99">
      <w:pPr>
        <w:snapToGrid w:val="0"/>
        <w:spacing w:line="360" w:lineRule="auto"/>
        <w:ind w:firstLine="482" w:firstLineChars="200"/>
        <w:outlineLvl w:val="1"/>
        <w:rPr>
          <w:b/>
          <w:bCs/>
          <w:sz w:val="24"/>
        </w:rPr>
      </w:pPr>
      <w:r>
        <w:rPr>
          <w:b/>
          <w:bCs/>
          <w:sz w:val="24"/>
        </w:rPr>
        <w:t>一、说明</w:t>
      </w:r>
    </w:p>
    <w:p w14:paraId="360EF9C6">
      <w:pPr>
        <w:snapToGrid w:val="0"/>
        <w:spacing w:line="360" w:lineRule="auto"/>
        <w:ind w:firstLine="480" w:firstLineChars="200"/>
        <w:rPr>
          <w:sz w:val="24"/>
        </w:rPr>
      </w:pPr>
      <w:r>
        <w:rPr>
          <w:rFonts w:hint="eastAsia"/>
          <w:sz w:val="24"/>
          <w:lang w:eastAsia="zh-CN"/>
        </w:rPr>
        <w:t>1.</w:t>
      </w:r>
      <w:r>
        <w:rPr>
          <w:sz w:val="24"/>
        </w:rPr>
        <w:t>本招标文件仅适用于</w:t>
      </w:r>
      <w:r>
        <w:rPr>
          <w:rFonts w:hint="eastAsia" w:ascii="宋体" w:hAnsi="宋体" w:cs="宋体"/>
          <w:sz w:val="24"/>
        </w:rPr>
        <w:t>东方华星建设管理（江苏）有限公司</w:t>
      </w:r>
      <w:r>
        <w:rPr>
          <w:sz w:val="24"/>
        </w:rPr>
        <w:t>组织的公开招标活动。</w:t>
      </w:r>
    </w:p>
    <w:p w14:paraId="2A827759">
      <w:pPr>
        <w:snapToGrid w:val="0"/>
        <w:spacing w:line="360" w:lineRule="auto"/>
        <w:ind w:firstLine="480" w:firstLineChars="200"/>
        <w:rPr>
          <w:sz w:val="24"/>
        </w:rPr>
      </w:pPr>
      <w:r>
        <w:rPr>
          <w:rFonts w:hint="eastAsia"/>
          <w:sz w:val="24"/>
          <w:lang w:eastAsia="zh-CN"/>
        </w:rPr>
        <w:t>2.</w:t>
      </w:r>
      <w:r>
        <w:rPr>
          <w:sz w:val="24"/>
        </w:rPr>
        <w:t>公开招标活动及因本次招标产生的合同受中国法律制约和保护。</w:t>
      </w:r>
    </w:p>
    <w:p w14:paraId="1B4D589E">
      <w:pPr>
        <w:snapToGrid w:val="0"/>
        <w:spacing w:line="360" w:lineRule="auto"/>
        <w:ind w:firstLine="480" w:firstLineChars="200"/>
        <w:rPr>
          <w:sz w:val="24"/>
        </w:rPr>
      </w:pPr>
      <w:r>
        <w:rPr>
          <w:rFonts w:hint="eastAsia"/>
          <w:sz w:val="24"/>
          <w:lang w:eastAsia="zh-CN"/>
        </w:rPr>
        <w:t>3.</w:t>
      </w:r>
      <w:r>
        <w:rPr>
          <w:sz w:val="24"/>
        </w:rPr>
        <w:t>招标文件的解释权属于</w:t>
      </w:r>
      <w:r>
        <w:rPr>
          <w:rFonts w:hint="eastAsia" w:ascii="宋体" w:hAnsi="宋体" w:cs="宋体"/>
          <w:sz w:val="24"/>
        </w:rPr>
        <w:t>东方华星建设管理（江苏）有限公司</w:t>
      </w:r>
    </w:p>
    <w:p w14:paraId="1E345265">
      <w:pPr>
        <w:snapToGrid w:val="0"/>
        <w:spacing w:line="360" w:lineRule="auto"/>
        <w:ind w:firstLine="472" w:firstLineChars="200"/>
        <w:rPr>
          <w:b/>
          <w:bCs/>
          <w:spacing w:val="-2"/>
          <w:sz w:val="24"/>
        </w:rPr>
      </w:pPr>
      <w:r>
        <w:rPr>
          <w:rFonts w:hint="eastAsia"/>
          <w:spacing w:val="-2"/>
          <w:sz w:val="24"/>
          <w:lang w:eastAsia="zh-CN"/>
        </w:rPr>
        <w:t>4.</w:t>
      </w:r>
      <w:r>
        <w:rPr>
          <w:rFonts w:hint="eastAsia"/>
          <w:spacing w:val="-2"/>
          <w:sz w:val="24"/>
        </w:rPr>
        <w:t>投标人</w:t>
      </w:r>
      <w:r>
        <w:rPr>
          <w:spacing w:val="-2"/>
          <w:sz w:val="24"/>
        </w:rPr>
        <w:t>在知道或应当知道本项目招标公告及招标文件中的所有内容：如内容或页码短缺、资格要求和技术参数出现倾向性或排他性等表述的，</w:t>
      </w:r>
      <w:r>
        <w:rPr>
          <w:rFonts w:hint="eastAsia"/>
          <w:spacing w:val="-2"/>
          <w:sz w:val="24"/>
        </w:rPr>
        <w:t>应在收到</w:t>
      </w:r>
      <w:r>
        <w:rPr>
          <w:rFonts w:hint="eastAsia"/>
          <w:spacing w:val="-2"/>
          <w:sz w:val="24"/>
          <w:lang w:eastAsia="zh-CN"/>
        </w:rPr>
        <w:t>招标文件</w:t>
      </w:r>
      <w:r>
        <w:rPr>
          <w:rFonts w:hint="eastAsia"/>
          <w:spacing w:val="-2"/>
          <w:sz w:val="24"/>
        </w:rPr>
        <w:t>之日起7个工作日内提出询问或以书面实名制形式提出质疑</w:t>
      </w:r>
      <w:r>
        <w:rPr>
          <w:spacing w:val="-2"/>
          <w:sz w:val="24"/>
        </w:rPr>
        <w:t>；未提出询问、质疑或是未在规定期间内提出询问、质疑的，视作供应商接受本项目招标公告及招标文件中的全部内容；</w:t>
      </w:r>
      <w:r>
        <w:rPr>
          <w:rFonts w:hint="eastAsia"/>
          <w:spacing w:val="-2"/>
          <w:sz w:val="24"/>
        </w:rPr>
        <w:t>投标人</w:t>
      </w:r>
      <w:r>
        <w:rPr>
          <w:spacing w:val="-2"/>
          <w:sz w:val="24"/>
        </w:rPr>
        <w:t>不得在招标活动期间及招标结束后针对本项目招标公告及招标文件中的所有内容提出质疑、投诉。非书面形式的不作为日后质疑提出的依据。</w:t>
      </w:r>
    </w:p>
    <w:p w14:paraId="2F535B77">
      <w:pPr>
        <w:snapToGrid w:val="0"/>
        <w:spacing w:line="360" w:lineRule="auto"/>
        <w:ind w:firstLine="480" w:firstLineChars="200"/>
        <w:rPr>
          <w:sz w:val="24"/>
        </w:rPr>
      </w:pPr>
      <w:r>
        <w:rPr>
          <w:rFonts w:hint="eastAsia"/>
          <w:sz w:val="24"/>
          <w:lang w:eastAsia="zh-CN"/>
        </w:rPr>
        <w:t>5.</w:t>
      </w:r>
      <w:r>
        <w:rPr>
          <w:rFonts w:hint="eastAsia"/>
          <w:sz w:val="24"/>
        </w:rPr>
        <w:t>投标人</w:t>
      </w:r>
      <w:r>
        <w:rPr>
          <w:sz w:val="24"/>
        </w:rPr>
        <w:t>应认真审阅招标文件中所有的事项、格式、条款和规范要求等，如果供应商没有按照招标文件要求提交响应文件，或者响应文件没有对招标文件</w:t>
      </w:r>
      <w:r>
        <w:rPr>
          <w:rFonts w:hint="eastAsia"/>
          <w:sz w:val="24"/>
        </w:rPr>
        <w:t>作</w:t>
      </w:r>
      <w:r>
        <w:rPr>
          <w:sz w:val="24"/>
        </w:rPr>
        <w:t>出实质性响应，将被拒绝参与投标。</w:t>
      </w:r>
    </w:p>
    <w:p w14:paraId="05975FE9">
      <w:pPr>
        <w:snapToGrid w:val="0"/>
        <w:spacing w:line="360" w:lineRule="auto"/>
        <w:ind w:firstLine="480" w:firstLineChars="200"/>
        <w:rPr>
          <w:rFonts w:ascii="宋体" w:hAnsi="宋体" w:cs="宋体"/>
          <w:sz w:val="24"/>
        </w:rPr>
      </w:pPr>
      <w:r>
        <w:rPr>
          <w:rFonts w:hint="eastAsia" w:ascii="宋体" w:hAnsi="宋体" w:cs="宋体"/>
          <w:sz w:val="24"/>
          <w:lang w:eastAsia="zh-CN"/>
        </w:rPr>
        <w:t>6.</w:t>
      </w:r>
      <w:r>
        <w:rPr>
          <w:rFonts w:hint="eastAsia" w:ascii="宋体" w:hAnsi="宋体" w:cs="宋体"/>
          <w:sz w:val="24"/>
        </w:rPr>
        <w:t>招标文件项目需求提供的可能涉及到的材料、设备、技术规范、参数规格等，仅作为说明并没有限制性，投标人在投标中可以选用替代标准，但这些替代标准要优于或相当于项目需求技术规格中要求的标准，以满足采购人的需要。</w:t>
      </w:r>
    </w:p>
    <w:p w14:paraId="6A1D7AFB">
      <w:pPr>
        <w:snapToGrid w:val="0"/>
        <w:spacing w:line="360" w:lineRule="auto"/>
        <w:ind w:firstLine="482" w:firstLineChars="200"/>
        <w:outlineLvl w:val="1"/>
        <w:rPr>
          <w:b/>
          <w:bCs/>
          <w:sz w:val="24"/>
        </w:rPr>
      </w:pPr>
      <w:r>
        <w:rPr>
          <w:b/>
          <w:bCs/>
          <w:sz w:val="24"/>
        </w:rPr>
        <w:t>二、招标文件的补充说明、澄清、修改、答疑</w:t>
      </w:r>
    </w:p>
    <w:p w14:paraId="7D1B09C8">
      <w:pPr>
        <w:snapToGrid w:val="0"/>
        <w:spacing w:line="360" w:lineRule="auto"/>
        <w:ind w:firstLine="480" w:firstLineChars="200"/>
        <w:rPr>
          <w:sz w:val="24"/>
        </w:rPr>
      </w:pPr>
      <w:r>
        <w:rPr>
          <w:rFonts w:hint="eastAsia"/>
          <w:sz w:val="24"/>
          <w:lang w:eastAsia="zh-CN"/>
        </w:rPr>
        <w:t>1.</w:t>
      </w:r>
      <w:r>
        <w:rPr>
          <w:sz w:val="24"/>
        </w:rPr>
        <w:t>代理机构有权对发出的招标文件进行必要的补充说明、澄清或修改。</w:t>
      </w:r>
    </w:p>
    <w:p w14:paraId="1106774E">
      <w:pPr>
        <w:snapToGrid w:val="0"/>
        <w:spacing w:line="360" w:lineRule="auto"/>
        <w:ind w:firstLine="480" w:firstLineChars="200"/>
        <w:jc w:val="left"/>
        <w:rPr>
          <w:sz w:val="24"/>
        </w:rPr>
      </w:pPr>
      <w:r>
        <w:rPr>
          <w:rFonts w:hint="eastAsia"/>
          <w:sz w:val="24"/>
          <w:lang w:eastAsia="zh-CN"/>
        </w:rPr>
        <w:t>2.</w:t>
      </w:r>
      <w:r>
        <w:rPr>
          <w:sz w:val="24"/>
        </w:rPr>
        <w:t>招标文件的澄清、修改、补充等内容均以书面明确的形式发布，且以在</w:t>
      </w:r>
      <w:r>
        <w:rPr>
          <w:rFonts w:hint="eastAsia"/>
          <w:sz w:val="24"/>
          <w:lang w:eastAsia="zh-CN"/>
        </w:rPr>
        <w:t>南通市教育局网站或南通开放大学官网</w:t>
      </w:r>
      <w:r>
        <w:rPr>
          <w:sz w:val="24"/>
        </w:rPr>
        <w:t>发布的信息为准。</w:t>
      </w:r>
    </w:p>
    <w:p w14:paraId="4DEAADC2">
      <w:pPr>
        <w:snapToGrid w:val="0"/>
        <w:spacing w:line="360" w:lineRule="auto"/>
        <w:ind w:firstLine="480" w:firstLineChars="200"/>
        <w:rPr>
          <w:sz w:val="24"/>
        </w:rPr>
      </w:pPr>
      <w:r>
        <w:rPr>
          <w:rFonts w:hint="eastAsia"/>
          <w:sz w:val="24"/>
          <w:lang w:eastAsia="zh-CN"/>
        </w:rPr>
        <w:t>3.</w:t>
      </w:r>
      <w:r>
        <w:rPr>
          <w:sz w:val="24"/>
        </w:rPr>
        <w:t>代理机构对招标文件的补充说明、澄清或修改，将构成招标文件的一部分，对</w:t>
      </w:r>
      <w:r>
        <w:rPr>
          <w:rFonts w:hint="eastAsia"/>
          <w:sz w:val="24"/>
        </w:rPr>
        <w:t>投标人</w:t>
      </w:r>
      <w:r>
        <w:rPr>
          <w:sz w:val="24"/>
        </w:rPr>
        <w:t>具有约束力。</w:t>
      </w:r>
    </w:p>
    <w:p w14:paraId="5F3F1024">
      <w:pPr>
        <w:snapToGrid w:val="0"/>
        <w:spacing w:line="360" w:lineRule="auto"/>
        <w:ind w:firstLine="480" w:firstLineChars="200"/>
        <w:rPr>
          <w:sz w:val="24"/>
        </w:rPr>
      </w:pPr>
      <w:r>
        <w:rPr>
          <w:rFonts w:hint="eastAsia"/>
          <w:sz w:val="24"/>
          <w:lang w:eastAsia="zh-CN"/>
        </w:rPr>
        <w:t>4.</w:t>
      </w:r>
      <w:r>
        <w:rPr>
          <w:sz w:val="24"/>
        </w:rPr>
        <w:t>补充说明、澄清或修改的内容可能影响到响应文件编制的，代理机构将在提交首次响应文件截止之日</w:t>
      </w:r>
      <w:r>
        <w:rPr>
          <w:rFonts w:hint="eastAsia"/>
          <w:sz w:val="24"/>
        </w:rPr>
        <w:t>15</w:t>
      </w:r>
      <w:r>
        <w:rPr>
          <w:sz w:val="24"/>
        </w:rPr>
        <w:t>日前，发布补充说明、澄清或修改公告，不足1</w:t>
      </w:r>
      <w:r>
        <w:rPr>
          <w:rFonts w:hint="eastAsia"/>
          <w:sz w:val="24"/>
        </w:rPr>
        <w:t>5</w:t>
      </w:r>
      <w:r>
        <w:rPr>
          <w:sz w:val="24"/>
        </w:rPr>
        <w:t>日的，应当顺延提交首次响应文件截止之日。</w:t>
      </w:r>
    </w:p>
    <w:p w14:paraId="31680823">
      <w:pPr>
        <w:spacing w:line="360" w:lineRule="auto"/>
        <w:ind w:firstLine="480" w:firstLineChars="200"/>
        <w:rPr>
          <w:sz w:val="24"/>
        </w:rPr>
      </w:pPr>
      <w:r>
        <w:rPr>
          <w:rFonts w:hint="eastAsia"/>
          <w:sz w:val="24"/>
          <w:lang w:eastAsia="zh-CN"/>
        </w:rPr>
        <w:t>5.</w:t>
      </w:r>
      <w:r>
        <w:rPr>
          <w:sz w:val="24"/>
        </w:rPr>
        <w:t>除非代理机构以书面的形式对招标文件作出澄清、修改及补充，</w:t>
      </w:r>
      <w:r>
        <w:rPr>
          <w:rFonts w:hint="eastAsia"/>
          <w:sz w:val="24"/>
        </w:rPr>
        <w:t>投标人</w:t>
      </w:r>
      <w:r>
        <w:rPr>
          <w:sz w:val="24"/>
        </w:rPr>
        <w:t>对涉及招标文件的任何推论、理解和结论所造成的结果，均由</w:t>
      </w:r>
      <w:r>
        <w:rPr>
          <w:rFonts w:hint="eastAsia"/>
          <w:sz w:val="24"/>
        </w:rPr>
        <w:t>投标人</w:t>
      </w:r>
      <w:r>
        <w:rPr>
          <w:sz w:val="24"/>
        </w:rPr>
        <w:t>自负。</w:t>
      </w:r>
    </w:p>
    <w:p w14:paraId="64436F4E">
      <w:pPr>
        <w:spacing w:line="360" w:lineRule="auto"/>
        <w:ind w:firstLine="480" w:firstLineChars="200"/>
        <w:rPr>
          <w:sz w:val="24"/>
        </w:rPr>
      </w:pPr>
      <w:r>
        <w:rPr>
          <w:rFonts w:hint="eastAsia"/>
          <w:sz w:val="24"/>
          <w:lang w:eastAsia="zh-CN"/>
        </w:rPr>
        <w:t>6.</w:t>
      </w:r>
      <w:r>
        <w:rPr>
          <w:sz w:val="24"/>
        </w:rPr>
        <w:t>采购单位视情组织答疑会。如有产生答疑且对招标文件内容有修改，代理机构将按照本须知有关规定，以补充通知（公告）的方式发出。</w:t>
      </w:r>
    </w:p>
    <w:p w14:paraId="562DA245">
      <w:pPr>
        <w:spacing w:line="360" w:lineRule="auto"/>
        <w:ind w:firstLine="482" w:firstLineChars="200"/>
        <w:outlineLvl w:val="1"/>
        <w:rPr>
          <w:b/>
          <w:bCs/>
          <w:sz w:val="24"/>
        </w:rPr>
      </w:pPr>
      <w:r>
        <w:rPr>
          <w:b/>
          <w:bCs/>
          <w:sz w:val="24"/>
        </w:rPr>
        <w:t>三、投标项目涉及到的现场勘察</w:t>
      </w:r>
    </w:p>
    <w:p w14:paraId="124CD9B6">
      <w:pPr>
        <w:spacing w:line="360" w:lineRule="auto"/>
        <w:ind w:firstLine="480" w:firstLineChars="200"/>
        <w:rPr>
          <w:sz w:val="24"/>
        </w:rPr>
      </w:pPr>
      <w:r>
        <w:rPr>
          <w:rFonts w:hint="eastAsia"/>
          <w:sz w:val="24"/>
        </w:rPr>
        <w:t>本项目不涉及现场勘察。</w:t>
      </w:r>
    </w:p>
    <w:p w14:paraId="1E5CF9F5">
      <w:pPr>
        <w:spacing w:line="360" w:lineRule="auto"/>
        <w:ind w:firstLine="482" w:firstLineChars="200"/>
        <w:outlineLvl w:val="1"/>
        <w:rPr>
          <w:b/>
          <w:bCs/>
          <w:sz w:val="24"/>
        </w:rPr>
      </w:pPr>
      <w:r>
        <w:rPr>
          <w:b/>
          <w:bCs/>
          <w:sz w:val="24"/>
        </w:rPr>
        <w:t>四、投标文件的组成及装订</w:t>
      </w:r>
      <w:r>
        <w:rPr>
          <w:rFonts w:hint="eastAsia"/>
          <w:b/>
          <w:bCs/>
          <w:sz w:val="24"/>
        </w:rPr>
        <w:t>、密封</w:t>
      </w:r>
    </w:p>
    <w:p w14:paraId="58539449">
      <w:pPr>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1.投标文件的组成（分为纸质投标文件、电子投标文件）</w:t>
      </w:r>
    </w:p>
    <w:p w14:paraId="4C70029A">
      <w:pPr>
        <w:adjustRightInd w:val="0"/>
        <w:snapToGrid w:val="0"/>
        <w:spacing w:line="420" w:lineRule="exact"/>
        <w:ind w:firstLine="482" w:firstLineChars="200"/>
        <w:rPr>
          <w:rFonts w:ascii="宋体" w:hAnsi="宋体" w:cs="宋体"/>
          <w:kern w:val="0"/>
          <w:sz w:val="24"/>
        </w:rPr>
      </w:pPr>
      <w:r>
        <w:rPr>
          <w:rFonts w:hint="eastAsia" w:ascii="宋体" w:hAnsi="宋体" w:cs="宋体"/>
          <w:b/>
          <w:bCs/>
          <w:kern w:val="0"/>
          <w:sz w:val="24"/>
        </w:rPr>
        <w:t>1.1纸质投标文件分“资格审查文件”、“技术标文件”、“商务标文件”</w:t>
      </w:r>
      <w:r>
        <w:rPr>
          <w:rFonts w:hint="eastAsia" w:ascii="宋体" w:hAnsi="宋体" w:cs="宋体"/>
          <w:b/>
          <w:bCs/>
          <w:kern w:val="0"/>
          <w:sz w:val="24"/>
          <w:lang w:val="en-US" w:eastAsia="zh-CN"/>
        </w:rPr>
        <w:t>三</w:t>
      </w:r>
      <w:r>
        <w:rPr>
          <w:rFonts w:hint="eastAsia" w:ascii="宋体" w:hAnsi="宋体" w:cs="宋体"/>
          <w:b/>
          <w:bCs/>
          <w:kern w:val="0"/>
          <w:sz w:val="24"/>
        </w:rPr>
        <w:t>部分内容。</w:t>
      </w:r>
      <w:r>
        <w:rPr>
          <w:rFonts w:hint="eastAsia" w:ascii="宋体" w:hAnsi="宋体" w:cs="宋体"/>
          <w:kern w:val="0"/>
          <w:sz w:val="24"/>
        </w:rPr>
        <w:t>每一部分内容均须提供“一份正本、两份副本”纸质投标文件，须分别单独牢固装订，不得相互混淆，文件自编目录并连续标注页码，不得将内容拆开。商务标文件不得出现于资格审查文件和技术标文件中。</w:t>
      </w:r>
    </w:p>
    <w:p w14:paraId="08CEA3DC">
      <w:pPr>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1.1.1纸质投标文件分三个密封袋（箱）提交。其中：</w:t>
      </w:r>
    </w:p>
    <w:p w14:paraId="7FB15200">
      <w:pPr>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资格审查文件的正、副本纸质投标文件密封在一个单独的密封袋内；</w:t>
      </w:r>
    </w:p>
    <w:p w14:paraId="6CDF297E">
      <w:pPr>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技术标文件的正、副本纸质投标文件及图纸类（如需提供图纸等其它资料的话）等密封在一个单独的密封袋或密封箱内（如有A3大小的图纸类，可单独密封）；</w:t>
      </w:r>
    </w:p>
    <w:p w14:paraId="1208A808">
      <w:pPr>
        <w:adjustRightInd w:val="0"/>
        <w:snapToGrid w:val="0"/>
        <w:spacing w:line="420" w:lineRule="exact"/>
        <w:ind w:firstLine="480" w:firstLineChars="200"/>
        <w:rPr>
          <w:rFonts w:hint="eastAsia" w:ascii="宋体" w:hAnsi="宋体" w:cs="宋体"/>
          <w:kern w:val="0"/>
          <w:sz w:val="24"/>
          <w:lang w:eastAsia="zh-CN"/>
        </w:rPr>
      </w:pPr>
      <w:r>
        <w:rPr>
          <w:rFonts w:hint="eastAsia" w:ascii="宋体" w:hAnsi="宋体" w:cs="宋体"/>
          <w:kern w:val="0"/>
          <w:sz w:val="24"/>
        </w:rPr>
        <w:t>商务标文件的正、副本纸质投标文件密封在一个单独的密封袋内</w:t>
      </w:r>
      <w:r>
        <w:rPr>
          <w:rFonts w:hint="eastAsia" w:ascii="宋体" w:hAnsi="宋体" w:cs="宋体"/>
          <w:kern w:val="0"/>
          <w:sz w:val="24"/>
          <w:lang w:eastAsia="zh-CN"/>
        </w:rPr>
        <w:t>；</w:t>
      </w:r>
    </w:p>
    <w:p w14:paraId="14FA7A21">
      <w:pPr>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1.1.2纸质投标文件须采用A4纸（图纸等除外），正、副本须打印并由法定代表人或授权人签字并加盖单位印章。文件内容中不得行间插字、涂改、增删，如修补错漏处，须由投标文件签署人签字并加盖公章。</w:t>
      </w:r>
    </w:p>
    <w:p w14:paraId="590A5A66">
      <w:pPr>
        <w:adjustRightInd w:val="0"/>
        <w:snapToGrid w:val="0"/>
        <w:spacing w:line="420" w:lineRule="exact"/>
        <w:ind w:firstLine="482" w:firstLineChars="200"/>
        <w:rPr>
          <w:rFonts w:ascii="宋体" w:hAnsi="宋体" w:cs="宋体"/>
          <w:b/>
          <w:bCs/>
          <w:kern w:val="0"/>
          <w:sz w:val="24"/>
        </w:rPr>
      </w:pPr>
      <w:r>
        <w:rPr>
          <w:rFonts w:hint="eastAsia" w:ascii="宋体" w:hAnsi="宋体" w:cs="宋体"/>
          <w:b/>
          <w:bCs/>
          <w:kern w:val="0"/>
          <w:sz w:val="24"/>
        </w:rPr>
        <w:t>注：凡是投标文件中涉及投标人</w:t>
      </w:r>
      <w:r>
        <w:rPr>
          <w:rFonts w:hint="eastAsia" w:ascii="宋体" w:hAnsi="宋体" w:cs="宋体"/>
          <w:b/>
          <w:bCs/>
          <w:kern w:val="0"/>
          <w:sz w:val="24"/>
          <w:highlight w:val="none"/>
        </w:rPr>
        <w:t>资信认证、人员证书、业绩荣誉</w:t>
      </w:r>
      <w:r>
        <w:rPr>
          <w:rFonts w:hint="eastAsia" w:ascii="宋体" w:hAnsi="宋体" w:cs="宋体"/>
          <w:b/>
          <w:bCs/>
          <w:kern w:val="0"/>
          <w:sz w:val="24"/>
        </w:rPr>
        <w:t>等复印件</w:t>
      </w:r>
      <w:r>
        <w:rPr>
          <w:rFonts w:hint="eastAsia" w:ascii="宋体" w:hAnsi="宋体" w:cs="宋体"/>
          <w:b/>
          <w:bCs/>
          <w:kern w:val="0"/>
          <w:sz w:val="24"/>
          <w:lang w:eastAsia="zh-CN"/>
        </w:rPr>
        <w:t>，</w:t>
      </w:r>
      <w:r>
        <w:rPr>
          <w:rFonts w:hint="eastAsia" w:ascii="宋体" w:hAnsi="宋体" w:cs="宋体"/>
          <w:b/>
          <w:bCs/>
          <w:kern w:val="0"/>
          <w:sz w:val="24"/>
        </w:rPr>
        <w:t>要求法定代表人或授权委托人签字，和以投标人名称落款并注明需要盖章的，均需相应盖章或签字。否则视为未按照招标文件要求盖章或签字。</w:t>
      </w:r>
    </w:p>
    <w:p w14:paraId="7F889DF6">
      <w:pPr>
        <w:adjustRightInd w:val="0"/>
        <w:snapToGrid w:val="0"/>
        <w:spacing w:line="420" w:lineRule="exact"/>
        <w:ind w:firstLine="482" w:firstLineChars="200"/>
        <w:rPr>
          <w:rFonts w:ascii="宋体" w:hAnsi="宋体" w:cs="宋体"/>
          <w:b/>
          <w:bCs/>
          <w:kern w:val="0"/>
          <w:sz w:val="24"/>
        </w:rPr>
      </w:pPr>
      <w:r>
        <w:rPr>
          <w:rFonts w:hint="eastAsia" w:ascii="宋体" w:hAnsi="宋体" w:cs="宋体"/>
          <w:b/>
          <w:bCs/>
          <w:kern w:val="0"/>
          <w:sz w:val="24"/>
        </w:rPr>
        <w:t>1.2电子投标文件（一份，单独密封提交）</w:t>
      </w:r>
    </w:p>
    <w:p w14:paraId="0474FEC0">
      <w:pPr>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本项目要求提供电子投标文件一份，电子投标文件的内容为“资格审查文件”、“技术标文件”、“商务标文件”打印盖章（或电子签章）后的投标文件的扫描件（“资格审查文件”、“技术标文件”、“商务标文件”需分别逐页连续扫描为三个独立的PDF文件），可以采取U盘方式提交，需单独密封提交。</w:t>
      </w:r>
    </w:p>
    <w:p w14:paraId="2EFE4187">
      <w:pPr>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电子投标文件内容应与提交的纸质投标文件内容一致。否则，由此产生的后果投标人自负。</w:t>
      </w:r>
    </w:p>
    <w:p w14:paraId="27F315EB">
      <w:pPr>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1.3投标文件密封后应标明投标文件项目名称、项目编号、边缝处加盖单位骑缝章或骑缝签字等关键信息，</w:t>
      </w:r>
      <w:r>
        <w:rPr>
          <w:rFonts w:hint="eastAsia" w:ascii="宋体" w:hAnsi="宋体" w:cs="宋体"/>
          <w:b/>
          <w:bCs/>
          <w:kern w:val="0"/>
          <w:sz w:val="24"/>
        </w:rPr>
        <w:t>密封完好以不泄露投标文件内容为主要判断依据</w:t>
      </w:r>
      <w:r>
        <w:rPr>
          <w:rFonts w:hint="eastAsia" w:ascii="宋体" w:hAnsi="宋体" w:cs="宋体"/>
          <w:kern w:val="0"/>
          <w:sz w:val="24"/>
        </w:rPr>
        <w:t>。</w:t>
      </w:r>
    </w:p>
    <w:p w14:paraId="71DF3CCA">
      <w:pPr>
        <w:adjustRightInd w:val="0"/>
        <w:snapToGrid w:val="0"/>
        <w:spacing w:line="420" w:lineRule="exact"/>
        <w:ind w:firstLine="480" w:firstLineChars="200"/>
        <w:rPr>
          <w:rFonts w:ascii="宋体" w:hAnsi="宋体" w:cs="宋体"/>
          <w:kern w:val="0"/>
          <w:sz w:val="24"/>
        </w:rPr>
      </w:pPr>
      <w:r>
        <w:rPr>
          <w:rFonts w:hint="eastAsia" w:ascii="宋体" w:hAnsi="宋体" w:cs="宋体"/>
          <w:kern w:val="0"/>
          <w:sz w:val="24"/>
        </w:rPr>
        <w:t>1.4递交时间：投标人须在规定的投标文件接收截止时间前送达指定地点。投标人提交投标文件，即视为已响应参加采购活动。</w:t>
      </w:r>
    </w:p>
    <w:p w14:paraId="2C940AFA">
      <w:pPr>
        <w:spacing w:line="360" w:lineRule="auto"/>
        <w:ind w:firstLine="496" w:firstLineChars="206"/>
        <w:outlineLvl w:val="1"/>
        <w:rPr>
          <w:b/>
          <w:bCs/>
          <w:sz w:val="24"/>
        </w:rPr>
      </w:pPr>
      <w:r>
        <w:rPr>
          <w:rFonts w:hint="eastAsia"/>
          <w:b/>
          <w:bCs/>
          <w:sz w:val="24"/>
          <w:lang w:val="en-US" w:eastAsia="zh-CN"/>
        </w:rPr>
        <w:t>五</w:t>
      </w:r>
      <w:r>
        <w:rPr>
          <w:b/>
          <w:bCs/>
          <w:sz w:val="24"/>
        </w:rPr>
        <w:t>、投标文件的有效期</w:t>
      </w:r>
    </w:p>
    <w:p w14:paraId="784EB99E">
      <w:pPr>
        <w:spacing w:line="360" w:lineRule="auto"/>
        <w:ind w:firstLine="494" w:firstLineChars="206"/>
        <w:outlineLvl w:val="9"/>
        <w:rPr>
          <w:sz w:val="24"/>
        </w:rPr>
      </w:pPr>
      <w:r>
        <w:rPr>
          <w:rFonts w:hint="eastAsia"/>
          <w:sz w:val="24"/>
          <w:lang w:eastAsia="zh-CN"/>
        </w:rPr>
        <w:t>1.</w:t>
      </w:r>
      <w:r>
        <w:rPr>
          <w:sz w:val="24"/>
        </w:rPr>
        <w:t>从投标文件接收截止之日算起，</w:t>
      </w:r>
      <w:r>
        <w:rPr>
          <w:rFonts w:hint="eastAsia"/>
          <w:sz w:val="24"/>
          <w:u w:val="single"/>
          <w:lang w:eastAsia="zh-CN"/>
        </w:rPr>
        <w:t>90</w:t>
      </w:r>
      <w:r>
        <w:rPr>
          <w:sz w:val="24"/>
        </w:rPr>
        <w:t>内投标书应保持有效。有效期短于这个规定期限的，投标将被拒绝。</w:t>
      </w:r>
    </w:p>
    <w:p w14:paraId="5189D664">
      <w:pPr>
        <w:spacing w:line="360" w:lineRule="auto"/>
        <w:ind w:firstLine="494" w:firstLineChars="206"/>
        <w:outlineLvl w:val="9"/>
        <w:rPr>
          <w:sz w:val="24"/>
        </w:rPr>
      </w:pPr>
      <w:r>
        <w:rPr>
          <w:rFonts w:hint="eastAsia"/>
          <w:sz w:val="24"/>
          <w:lang w:eastAsia="zh-CN"/>
        </w:rPr>
        <w:t>2.</w:t>
      </w:r>
      <w:r>
        <w:rPr>
          <w:sz w:val="24"/>
        </w:rPr>
        <w:t>在特殊情况下，采购代理机构可与</w:t>
      </w:r>
      <w:r>
        <w:rPr>
          <w:rFonts w:hint="eastAsia"/>
          <w:sz w:val="24"/>
        </w:rPr>
        <w:t>投标人</w:t>
      </w:r>
      <w:r>
        <w:rPr>
          <w:sz w:val="24"/>
        </w:rPr>
        <w:t>协商延长投标书的有效期。这种要求和答复都应以书面、传真、或电报的形式进行。同意延长有效期的</w:t>
      </w:r>
      <w:r>
        <w:rPr>
          <w:rFonts w:hint="eastAsia"/>
          <w:sz w:val="24"/>
        </w:rPr>
        <w:t>投标人</w:t>
      </w:r>
      <w:r>
        <w:rPr>
          <w:sz w:val="24"/>
        </w:rPr>
        <w:t>不能修改投标文件。拒绝接受延期要求的</w:t>
      </w:r>
      <w:r>
        <w:rPr>
          <w:rFonts w:hint="eastAsia"/>
          <w:sz w:val="24"/>
        </w:rPr>
        <w:t>投标人</w:t>
      </w:r>
      <w:r>
        <w:rPr>
          <w:sz w:val="24"/>
        </w:rPr>
        <w:t>的投标书将被拒绝。</w:t>
      </w:r>
    </w:p>
    <w:p w14:paraId="11468366">
      <w:pPr>
        <w:spacing w:line="360" w:lineRule="auto"/>
        <w:ind w:firstLine="496" w:firstLineChars="206"/>
        <w:outlineLvl w:val="1"/>
        <w:rPr>
          <w:b/>
          <w:bCs/>
          <w:sz w:val="24"/>
        </w:rPr>
      </w:pPr>
      <w:r>
        <w:rPr>
          <w:rFonts w:hint="eastAsia"/>
          <w:b/>
          <w:bCs/>
          <w:sz w:val="24"/>
          <w:lang w:val="en-US" w:eastAsia="zh-CN"/>
        </w:rPr>
        <w:t>六</w:t>
      </w:r>
      <w:r>
        <w:rPr>
          <w:b/>
          <w:bCs/>
          <w:sz w:val="24"/>
        </w:rPr>
        <w:t>、投标报价</w:t>
      </w:r>
    </w:p>
    <w:p w14:paraId="33BD5619">
      <w:pPr>
        <w:spacing w:line="360" w:lineRule="auto"/>
        <w:ind w:firstLine="494" w:firstLineChars="206"/>
        <w:rPr>
          <w:sz w:val="24"/>
        </w:rPr>
      </w:pPr>
      <w:r>
        <w:rPr>
          <w:rFonts w:hint="eastAsia"/>
          <w:sz w:val="24"/>
          <w:lang w:eastAsia="zh-CN"/>
        </w:rPr>
        <w:t>1.</w:t>
      </w:r>
      <w:r>
        <w:rPr>
          <w:sz w:val="24"/>
        </w:rPr>
        <w:t>本项目不接受任何有选择的报价。</w:t>
      </w:r>
    </w:p>
    <w:p w14:paraId="3E51CFAB">
      <w:pPr>
        <w:spacing w:line="360" w:lineRule="auto"/>
        <w:ind w:firstLine="494" w:firstLineChars="206"/>
        <w:rPr>
          <w:sz w:val="24"/>
        </w:rPr>
      </w:pPr>
      <w:r>
        <w:rPr>
          <w:rFonts w:hint="eastAsia"/>
          <w:sz w:val="24"/>
          <w:lang w:eastAsia="zh-CN"/>
        </w:rPr>
        <w:t>2.</w:t>
      </w:r>
      <w:r>
        <w:rPr>
          <w:sz w:val="24"/>
        </w:rPr>
        <w:t>投标报价均以人民币为报价的币种。</w:t>
      </w:r>
    </w:p>
    <w:p w14:paraId="780C7433">
      <w:pPr>
        <w:spacing w:line="360" w:lineRule="auto"/>
        <w:ind w:firstLine="494" w:firstLineChars="206"/>
        <w:rPr>
          <w:sz w:val="24"/>
        </w:rPr>
      </w:pPr>
      <w:r>
        <w:rPr>
          <w:rFonts w:hint="eastAsia"/>
          <w:sz w:val="24"/>
          <w:lang w:eastAsia="zh-CN"/>
        </w:rPr>
        <w:t>3.</w:t>
      </w:r>
      <w:r>
        <w:rPr>
          <w:sz w:val="24"/>
        </w:rPr>
        <w:t>报价表必须加盖</w:t>
      </w:r>
      <w:r>
        <w:rPr>
          <w:rFonts w:hint="eastAsia"/>
          <w:sz w:val="24"/>
        </w:rPr>
        <w:t>投标人</w:t>
      </w:r>
      <w:r>
        <w:rPr>
          <w:sz w:val="24"/>
        </w:rPr>
        <w:t>公章且必须经法定代表人或被授权人签字或盖章。</w:t>
      </w:r>
    </w:p>
    <w:p w14:paraId="0ED8ED7F">
      <w:pPr>
        <w:spacing w:line="360" w:lineRule="auto"/>
        <w:ind w:firstLine="494" w:firstLineChars="206"/>
        <w:rPr>
          <w:sz w:val="24"/>
        </w:rPr>
      </w:pPr>
      <w:r>
        <w:rPr>
          <w:rFonts w:hint="eastAsia"/>
          <w:sz w:val="24"/>
          <w:lang w:eastAsia="zh-CN"/>
        </w:rPr>
        <w:t>4.</w:t>
      </w:r>
      <w:r>
        <w:rPr>
          <w:sz w:val="24"/>
        </w:rPr>
        <w:t>报价出现前后不一致的，按照下列规定修正：</w:t>
      </w:r>
    </w:p>
    <w:p w14:paraId="2644BDC1">
      <w:pPr>
        <w:spacing w:line="360" w:lineRule="auto"/>
        <w:ind w:firstLine="494" w:firstLineChars="206"/>
        <w:rPr>
          <w:sz w:val="24"/>
        </w:rPr>
      </w:pPr>
      <w:r>
        <w:rPr>
          <w:sz w:val="24"/>
        </w:rPr>
        <w:t>（1）投标文件中报价表内容与投标文件技术响应中内容明细不一致的，以报价表为准；</w:t>
      </w:r>
    </w:p>
    <w:p w14:paraId="2265F7FE">
      <w:pPr>
        <w:spacing w:line="360" w:lineRule="auto"/>
        <w:ind w:firstLine="494" w:firstLineChars="206"/>
        <w:rPr>
          <w:sz w:val="24"/>
        </w:rPr>
      </w:pPr>
      <w:r>
        <w:rPr>
          <w:sz w:val="24"/>
        </w:rPr>
        <w:t>（2）投标文件中涉及大写金额和小写金额不一致的，以大写金额为准；</w:t>
      </w:r>
    </w:p>
    <w:p w14:paraId="59980B8D">
      <w:pPr>
        <w:spacing w:line="360" w:lineRule="auto"/>
        <w:ind w:firstLine="494" w:firstLineChars="206"/>
        <w:rPr>
          <w:sz w:val="24"/>
        </w:rPr>
      </w:pPr>
      <w:r>
        <w:rPr>
          <w:sz w:val="24"/>
        </w:rPr>
        <w:t>（3）单价金额小数点或者百分比有明显错位的，以报价表的总价为准，并修改单价；</w:t>
      </w:r>
    </w:p>
    <w:p w14:paraId="5F8BB5DC">
      <w:pPr>
        <w:spacing w:line="360" w:lineRule="auto"/>
        <w:ind w:firstLine="494" w:firstLineChars="206"/>
        <w:rPr>
          <w:sz w:val="24"/>
        </w:rPr>
      </w:pPr>
      <w:r>
        <w:rPr>
          <w:sz w:val="24"/>
        </w:rPr>
        <w:t>（4）总价金额与按单价汇总金额不一致的，以单价金额计算结果为准。</w:t>
      </w:r>
    </w:p>
    <w:p w14:paraId="24AD2E49">
      <w:pPr>
        <w:spacing w:line="360" w:lineRule="auto"/>
        <w:ind w:firstLine="494" w:firstLineChars="206"/>
        <w:rPr>
          <w:sz w:val="24"/>
        </w:rPr>
      </w:pPr>
      <w:r>
        <w:rPr>
          <w:sz w:val="24"/>
        </w:rPr>
        <w:t>同时出现两种以上不一致的，按照前款规定的顺序修正。修正后的报价应当由投标人的法定代表人或分支机构负责人或其被授权人签字确认后产生约束力，投标人不确认的，其投标无效。</w:t>
      </w:r>
    </w:p>
    <w:p w14:paraId="42471EDB">
      <w:pPr>
        <w:spacing w:line="360" w:lineRule="auto"/>
        <w:ind w:firstLine="482" w:firstLineChars="200"/>
        <w:rPr>
          <w:rFonts w:ascii="宋体" w:hAnsi="宋体" w:cs="宋体"/>
          <w:b/>
          <w:sz w:val="24"/>
        </w:rPr>
      </w:pPr>
      <w:r>
        <w:rPr>
          <w:rFonts w:hint="eastAsia" w:ascii="宋体" w:hAnsi="宋体" w:cs="宋体"/>
          <w:b/>
          <w:sz w:val="24"/>
          <w:lang w:eastAsia="zh-CN"/>
        </w:rPr>
        <w:t>5.</w:t>
      </w:r>
      <w:r>
        <w:rPr>
          <w:rFonts w:hint="eastAsia" w:ascii="宋体" w:hAnsi="宋体" w:cs="宋体"/>
          <w:b/>
          <w:sz w:val="24"/>
        </w:rPr>
        <w:t>本项目投标总报价（以人民币计价）应包含响应及完成本项目工作所需的一切费用，即项目履行到执行结束的过程中所发生的一切费用及招标要求的所有费用。</w:t>
      </w:r>
    </w:p>
    <w:p w14:paraId="35462C4B">
      <w:pPr>
        <w:spacing w:line="360" w:lineRule="auto"/>
        <w:ind w:firstLine="480" w:firstLineChars="200"/>
        <w:rPr>
          <w:sz w:val="24"/>
        </w:rPr>
      </w:pPr>
      <w:r>
        <w:rPr>
          <w:rFonts w:hint="eastAsia"/>
          <w:sz w:val="24"/>
          <w:lang w:eastAsia="zh-CN"/>
        </w:rPr>
        <w:t>6.</w:t>
      </w:r>
      <w:r>
        <w:rPr>
          <w:sz w:val="24"/>
        </w:rPr>
        <w:t>一次报定的投标报价为</w:t>
      </w:r>
      <w:r>
        <w:rPr>
          <w:rFonts w:hint="eastAsia"/>
          <w:sz w:val="24"/>
        </w:rPr>
        <w:t>中标</w:t>
      </w:r>
      <w:r>
        <w:rPr>
          <w:sz w:val="24"/>
        </w:rPr>
        <w:t>价，同时，</w:t>
      </w:r>
      <w:r>
        <w:rPr>
          <w:rFonts w:hint="eastAsia"/>
          <w:sz w:val="24"/>
        </w:rPr>
        <w:t>中标人</w:t>
      </w:r>
      <w:r>
        <w:rPr>
          <w:sz w:val="24"/>
        </w:rPr>
        <w:t>的</w:t>
      </w:r>
      <w:r>
        <w:rPr>
          <w:rFonts w:hint="eastAsia"/>
          <w:sz w:val="24"/>
        </w:rPr>
        <w:t>中标</w:t>
      </w:r>
      <w:r>
        <w:rPr>
          <w:sz w:val="24"/>
        </w:rPr>
        <w:t>价在合同实施期间不因市场变化因素而变动。</w:t>
      </w:r>
    </w:p>
    <w:p w14:paraId="5E3B446F">
      <w:pPr>
        <w:spacing w:line="360" w:lineRule="auto"/>
        <w:ind w:firstLine="494" w:firstLineChars="206"/>
        <w:rPr>
          <w:sz w:val="24"/>
        </w:rPr>
      </w:pPr>
      <w:r>
        <w:rPr>
          <w:rFonts w:hint="eastAsia"/>
          <w:sz w:val="24"/>
          <w:lang w:eastAsia="zh-CN"/>
        </w:rPr>
        <w:t>7.</w:t>
      </w:r>
      <w:r>
        <w:rPr>
          <w:rFonts w:hint="eastAsia"/>
          <w:sz w:val="24"/>
        </w:rPr>
        <w:t>投标人</w:t>
      </w:r>
      <w:r>
        <w:rPr>
          <w:sz w:val="24"/>
        </w:rPr>
        <w:t>应详细阅读招标文件的全部内容，根据采购项目需求，准确制定相关工作方案等，必须对本采购项目全部进行报价，如有漏项，视同对本项目的优惠。不按招标文件的要求提供响应文件，导致报价无效，按无效标处理。</w:t>
      </w:r>
    </w:p>
    <w:p w14:paraId="4DBF4025">
      <w:pPr>
        <w:spacing w:line="360" w:lineRule="auto"/>
        <w:ind w:firstLine="482" w:firstLineChars="200"/>
        <w:outlineLvl w:val="1"/>
        <w:rPr>
          <w:b/>
          <w:bCs/>
          <w:sz w:val="24"/>
          <w:lang w:val="zh-CN"/>
        </w:rPr>
      </w:pPr>
      <w:r>
        <w:rPr>
          <w:rFonts w:hint="eastAsia"/>
          <w:b/>
          <w:bCs/>
          <w:sz w:val="24"/>
          <w:lang w:val="en-US" w:eastAsia="zh-CN"/>
        </w:rPr>
        <w:t>七</w:t>
      </w:r>
      <w:r>
        <w:rPr>
          <w:b/>
          <w:bCs/>
          <w:sz w:val="24"/>
          <w:lang w:val="zh-CN"/>
        </w:rPr>
        <w:t>、投标费用</w:t>
      </w:r>
    </w:p>
    <w:p w14:paraId="7D1879C7">
      <w:pPr>
        <w:spacing w:line="360" w:lineRule="auto"/>
        <w:ind w:firstLine="496" w:firstLineChars="206"/>
        <w:rPr>
          <w:b/>
          <w:bCs/>
          <w:sz w:val="24"/>
        </w:rPr>
      </w:pPr>
      <w:r>
        <w:rPr>
          <w:rFonts w:hint="eastAsia"/>
          <w:b/>
          <w:bCs/>
          <w:sz w:val="24"/>
          <w:lang w:eastAsia="zh-CN"/>
        </w:rPr>
        <w:t>1.</w:t>
      </w:r>
      <w:r>
        <w:rPr>
          <w:b/>
          <w:bCs/>
          <w:sz w:val="24"/>
        </w:rPr>
        <w:t>无论招标过程和结果如何，参加投标的</w:t>
      </w:r>
      <w:r>
        <w:rPr>
          <w:rFonts w:hint="eastAsia"/>
          <w:b/>
          <w:bCs/>
          <w:sz w:val="24"/>
        </w:rPr>
        <w:t>投标人</w:t>
      </w:r>
      <w:r>
        <w:rPr>
          <w:b/>
          <w:bCs/>
          <w:sz w:val="24"/>
        </w:rPr>
        <w:t>自行承担与本次项目招标有关的全部费用。</w:t>
      </w:r>
    </w:p>
    <w:p w14:paraId="6EB45527">
      <w:pPr>
        <w:spacing w:line="360" w:lineRule="auto"/>
        <w:ind w:firstLine="496" w:firstLineChars="206"/>
        <w:rPr>
          <w:rFonts w:hint="eastAsia"/>
          <w:b/>
          <w:bCs/>
          <w:sz w:val="24"/>
        </w:rPr>
      </w:pPr>
      <w:r>
        <w:rPr>
          <w:rFonts w:hint="eastAsia"/>
          <w:b/>
          <w:bCs/>
          <w:sz w:val="24"/>
          <w:lang w:eastAsia="zh-CN"/>
        </w:rPr>
        <w:t>2.</w:t>
      </w:r>
      <w:r>
        <w:rPr>
          <w:rFonts w:hint="eastAsia"/>
          <w:b/>
          <w:bCs/>
          <w:sz w:val="24"/>
        </w:rPr>
        <w:t>开标现场确定中标人后，中标单位现场需缴纳</w:t>
      </w:r>
      <w:r>
        <w:rPr>
          <w:rFonts w:hint="eastAsia"/>
          <w:b/>
          <w:bCs/>
          <w:sz w:val="24"/>
          <w:highlight w:val="none"/>
          <w:lang w:val="en-US" w:eastAsia="zh-CN"/>
        </w:rPr>
        <w:t>3000</w:t>
      </w:r>
      <w:r>
        <w:rPr>
          <w:rFonts w:hint="eastAsia"/>
          <w:b/>
          <w:bCs/>
          <w:sz w:val="24"/>
        </w:rPr>
        <w:t>元招标代理费用</w:t>
      </w:r>
      <w:r>
        <w:rPr>
          <w:rFonts w:hint="eastAsia"/>
          <w:b/>
          <w:bCs/>
          <w:sz w:val="24"/>
          <w:lang w:val="en-US" w:eastAsia="zh-CN"/>
        </w:rPr>
        <w:t>及评审费</w:t>
      </w:r>
      <w:r>
        <w:rPr>
          <w:rFonts w:hint="eastAsia"/>
          <w:b/>
          <w:bCs/>
          <w:sz w:val="24"/>
        </w:rPr>
        <w:t>。</w:t>
      </w:r>
    </w:p>
    <w:p w14:paraId="01C7931F">
      <w:pPr>
        <w:pStyle w:val="2"/>
        <w:rPr>
          <w:u w:val="none"/>
        </w:rPr>
      </w:pPr>
      <w:r>
        <w:rPr>
          <w:rFonts w:hint="eastAsia" w:ascii="宋体" w:hAnsi="宋体" w:eastAsia="宋体" w:cs="宋体"/>
          <w:b/>
          <w:bCs/>
          <w:color w:val="auto"/>
          <w:sz w:val="24"/>
          <w:u w:val="none"/>
          <w:lang w:val="en-US" w:eastAsia="zh-CN"/>
        </w:rPr>
        <w:t>3.</w:t>
      </w:r>
      <w:r>
        <w:rPr>
          <w:rFonts w:hint="eastAsia" w:ascii="宋体" w:hAnsi="宋体" w:eastAsia="宋体" w:cs="宋体"/>
          <w:b/>
          <w:bCs/>
          <w:color w:val="auto"/>
          <w:sz w:val="24"/>
          <w:u w:val="none"/>
        </w:rPr>
        <w:t>本项目招标文件费300元/份，在</w:t>
      </w:r>
      <w:r>
        <w:rPr>
          <w:rFonts w:hint="eastAsia" w:ascii="宋体" w:hAnsi="宋体" w:cs="宋体"/>
          <w:b/>
          <w:bCs/>
          <w:color w:val="auto"/>
          <w:sz w:val="24"/>
          <w:u w:val="none"/>
          <w:lang w:val="en-US" w:eastAsia="zh-CN"/>
        </w:rPr>
        <w:t>递交投标响应文件时</w:t>
      </w:r>
      <w:r>
        <w:rPr>
          <w:rFonts w:hint="eastAsia" w:ascii="宋体" w:hAnsi="宋体" w:eastAsia="宋体" w:cs="宋体"/>
          <w:b/>
          <w:bCs/>
          <w:color w:val="auto"/>
          <w:sz w:val="24"/>
          <w:u w:val="none"/>
        </w:rPr>
        <w:t>支付给代理机构，无论成交与否不予退还。</w:t>
      </w:r>
    </w:p>
    <w:p w14:paraId="461D3558">
      <w:pPr>
        <w:spacing w:line="360" w:lineRule="auto"/>
        <w:ind w:firstLine="496" w:firstLineChars="206"/>
        <w:rPr>
          <w:b/>
          <w:bCs/>
          <w:sz w:val="24"/>
          <w:lang w:val="zh-CN"/>
        </w:rPr>
      </w:pPr>
      <w:r>
        <w:rPr>
          <w:rFonts w:hint="eastAsia"/>
          <w:b/>
          <w:bCs/>
          <w:sz w:val="24"/>
          <w:lang w:val="en-US" w:eastAsia="zh-CN"/>
        </w:rPr>
        <w:t>八</w:t>
      </w:r>
      <w:r>
        <w:rPr>
          <w:b/>
          <w:bCs/>
          <w:sz w:val="24"/>
          <w:lang w:val="zh-CN"/>
        </w:rPr>
        <w:t>、投标文件递交时间及地址</w:t>
      </w:r>
    </w:p>
    <w:p w14:paraId="5142E2C9">
      <w:pPr>
        <w:spacing w:line="360" w:lineRule="auto"/>
        <w:ind w:firstLine="480" w:firstLineChars="200"/>
        <w:rPr>
          <w:sz w:val="24"/>
        </w:rPr>
      </w:pPr>
      <w:r>
        <w:rPr>
          <w:rFonts w:hint="eastAsia"/>
          <w:sz w:val="24"/>
        </w:rPr>
        <w:t>投标人</w:t>
      </w:r>
      <w:r>
        <w:rPr>
          <w:sz w:val="24"/>
        </w:rPr>
        <w:t>必须在规定的时间将投标文件送达指定地点，采购单位拒绝接收在截止时间后递交的投标文件。</w:t>
      </w:r>
    </w:p>
    <w:p w14:paraId="5DB1BEF2">
      <w:pPr>
        <w:spacing w:line="360" w:lineRule="auto"/>
        <w:ind w:firstLine="482" w:firstLineChars="200"/>
        <w:outlineLvl w:val="1"/>
        <w:rPr>
          <w:b/>
          <w:bCs/>
          <w:sz w:val="24"/>
          <w:lang w:val="zh-CN"/>
        </w:rPr>
      </w:pPr>
      <w:r>
        <w:rPr>
          <w:rFonts w:hint="eastAsia"/>
          <w:b/>
          <w:bCs/>
          <w:sz w:val="24"/>
          <w:lang w:val="en-US" w:eastAsia="zh-CN"/>
        </w:rPr>
        <w:t>九</w:t>
      </w:r>
      <w:r>
        <w:rPr>
          <w:b/>
          <w:bCs/>
          <w:sz w:val="24"/>
          <w:lang w:val="zh-CN"/>
        </w:rPr>
        <w:t>、履约保证金</w:t>
      </w:r>
    </w:p>
    <w:p w14:paraId="22B9C527">
      <w:pPr>
        <w:spacing w:line="360" w:lineRule="auto"/>
        <w:ind w:firstLine="494" w:firstLineChars="206"/>
        <w:outlineLvl w:val="9"/>
        <w:rPr>
          <w:sz w:val="24"/>
        </w:rPr>
      </w:pPr>
      <w:r>
        <w:rPr>
          <w:sz w:val="24"/>
        </w:rPr>
        <w:t>1</w:t>
      </w:r>
      <w:r>
        <w:rPr>
          <w:rFonts w:hint="eastAsia"/>
          <w:sz w:val="24"/>
        </w:rPr>
        <w:t>.</w:t>
      </w:r>
      <w:r>
        <w:rPr>
          <w:sz w:val="24"/>
        </w:rPr>
        <w:t>本项目</w:t>
      </w:r>
      <w:r>
        <w:rPr>
          <w:rFonts w:hint="eastAsia"/>
          <w:sz w:val="24"/>
        </w:rPr>
        <w:t>中标</w:t>
      </w:r>
      <w:r>
        <w:rPr>
          <w:sz w:val="24"/>
        </w:rPr>
        <w:t>后的履约保证金为项目中标价的</w:t>
      </w:r>
      <w:r>
        <w:rPr>
          <w:rFonts w:hint="eastAsia"/>
          <w:sz w:val="24"/>
          <w:u w:val="single"/>
          <w:lang w:val="en-US" w:eastAsia="zh-CN"/>
        </w:rPr>
        <w:t>10%</w:t>
      </w:r>
      <w:r>
        <w:rPr>
          <w:sz w:val="24"/>
        </w:rPr>
        <w:t>。</w:t>
      </w:r>
    </w:p>
    <w:p w14:paraId="24527153">
      <w:pPr>
        <w:spacing w:line="360" w:lineRule="auto"/>
        <w:ind w:firstLine="494" w:firstLineChars="206"/>
        <w:outlineLvl w:val="9"/>
        <w:rPr>
          <w:sz w:val="24"/>
        </w:rPr>
      </w:pPr>
      <w:r>
        <w:rPr>
          <w:sz w:val="24"/>
        </w:rPr>
        <w:t>2</w:t>
      </w:r>
      <w:r>
        <w:rPr>
          <w:rFonts w:hint="eastAsia"/>
          <w:sz w:val="24"/>
        </w:rPr>
        <w:t>.中标人</w:t>
      </w:r>
      <w:r>
        <w:rPr>
          <w:sz w:val="24"/>
        </w:rPr>
        <w:t>的履约保证金须在</w:t>
      </w:r>
      <w:r>
        <w:rPr>
          <w:rFonts w:hint="eastAsia"/>
          <w:sz w:val="24"/>
        </w:rPr>
        <w:t>中标通知书</w:t>
      </w:r>
      <w:r>
        <w:rPr>
          <w:sz w:val="24"/>
        </w:rPr>
        <w:t>发出</w:t>
      </w:r>
      <w:r>
        <w:rPr>
          <w:rFonts w:hint="eastAsia"/>
          <w:sz w:val="24"/>
        </w:rPr>
        <w:t>5</w:t>
      </w:r>
      <w:r>
        <w:rPr>
          <w:sz w:val="24"/>
        </w:rPr>
        <w:t>个工作日内汇入采购人账户，</w:t>
      </w:r>
      <w:r>
        <w:rPr>
          <w:rFonts w:hint="eastAsia"/>
          <w:sz w:val="24"/>
        </w:rPr>
        <w:t>中标人</w:t>
      </w:r>
      <w:r>
        <w:rPr>
          <w:sz w:val="24"/>
        </w:rPr>
        <w:t>凭</w:t>
      </w:r>
      <w:r>
        <w:rPr>
          <w:rFonts w:hint="eastAsia"/>
          <w:sz w:val="24"/>
        </w:rPr>
        <w:t>中标通知书</w:t>
      </w:r>
      <w:r>
        <w:rPr>
          <w:sz w:val="24"/>
        </w:rPr>
        <w:t>及履约保证金缴费证明</w:t>
      </w:r>
      <w:r>
        <w:rPr>
          <w:sz w:val="24"/>
          <w:highlight w:val="none"/>
        </w:rPr>
        <w:t>30日内与</w:t>
      </w:r>
      <w:r>
        <w:rPr>
          <w:sz w:val="24"/>
        </w:rPr>
        <w:t>采购人签订合同。超期或未有协商，则视为自动放弃</w:t>
      </w:r>
      <w:r>
        <w:rPr>
          <w:rFonts w:hint="eastAsia"/>
          <w:sz w:val="24"/>
        </w:rPr>
        <w:t>中标</w:t>
      </w:r>
      <w:r>
        <w:rPr>
          <w:sz w:val="24"/>
        </w:rPr>
        <w:t>资格。</w:t>
      </w:r>
    </w:p>
    <w:p w14:paraId="3999ADB4">
      <w:pPr>
        <w:spacing w:line="360" w:lineRule="auto"/>
        <w:ind w:firstLine="494" w:firstLineChars="206"/>
        <w:outlineLvl w:val="9"/>
        <w:rPr>
          <w:sz w:val="24"/>
        </w:rPr>
      </w:pPr>
      <w:r>
        <w:rPr>
          <w:sz w:val="24"/>
        </w:rPr>
        <w:t>3</w:t>
      </w:r>
      <w:r>
        <w:rPr>
          <w:rFonts w:hint="eastAsia"/>
          <w:sz w:val="24"/>
        </w:rPr>
        <w:t>.中标人</w:t>
      </w:r>
      <w:r>
        <w:rPr>
          <w:sz w:val="24"/>
        </w:rPr>
        <w:t>在按要求保质保量的完成该项目合同并通过验收后，采购人凭</w:t>
      </w:r>
      <w:r>
        <w:rPr>
          <w:rFonts w:hint="eastAsia"/>
          <w:sz w:val="24"/>
        </w:rPr>
        <w:t>中标人</w:t>
      </w:r>
      <w:r>
        <w:rPr>
          <w:sz w:val="24"/>
        </w:rPr>
        <w:t>提交的申请，一次性无息退还该合同项目的履约保证金。</w:t>
      </w:r>
    </w:p>
    <w:p w14:paraId="7B88CD33">
      <w:pPr>
        <w:spacing w:line="360" w:lineRule="auto"/>
        <w:ind w:firstLine="494" w:firstLineChars="206"/>
        <w:outlineLvl w:val="9"/>
        <w:rPr>
          <w:sz w:val="24"/>
        </w:rPr>
      </w:pPr>
      <w:r>
        <w:rPr>
          <w:sz w:val="24"/>
        </w:rPr>
        <w:t>4</w:t>
      </w:r>
      <w:r>
        <w:rPr>
          <w:rFonts w:hint="eastAsia"/>
          <w:sz w:val="24"/>
        </w:rPr>
        <w:t>.</w:t>
      </w:r>
      <w:r>
        <w:rPr>
          <w:sz w:val="24"/>
        </w:rPr>
        <w:t>由于</w:t>
      </w:r>
      <w:r>
        <w:rPr>
          <w:rFonts w:hint="eastAsia"/>
          <w:sz w:val="24"/>
        </w:rPr>
        <w:t>中标人</w:t>
      </w:r>
      <w:r>
        <w:rPr>
          <w:sz w:val="24"/>
        </w:rPr>
        <w:t>原因，在签订合同后出现不按合同履行的情况，采购单位有权将履约保证金作为违约金，全额不予退还，同时采购单位亦有权终止合同，</w:t>
      </w:r>
      <w:r>
        <w:rPr>
          <w:rFonts w:hint="eastAsia"/>
          <w:sz w:val="24"/>
        </w:rPr>
        <w:t>中标人</w:t>
      </w:r>
      <w:r>
        <w:rPr>
          <w:sz w:val="24"/>
        </w:rPr>
        <w:t>还须承担相应的法律赔偿责任。</w:t>
      </w:r>
    </w:p>
    <w:p w14:paraId="09CCDF76">
      <w:pPr>
        <w:spacing w:line="360" w:lineRule="auto"/>
        <w:ind w:firstLine="482" w:firstLineChars="200"/>
        <w:outlineLvl w:val="1"/>
        <w:rPr>
          <w:b/>
          <w:bCs/>
          <w:sz w:val="24"/>
          <w:lang w:val="zh-CN"/>
        </w:rPr>
      </w:pPr>
      <w:r>
        <w:rPr>
          <w:rFonts w:hint="eastAsia"/>
          <w:b/>
          <w:bCs/>
          <w:sz w:val="24"/>
          <w:lang w:val="en-US" w:eastAsia="zh-CN"/>
        </w:rPr>
        <w:t>十</w:t>
      </w:r>
      <w:r>
        <w:rPr>
          <w:rFonts w:hint="eastAsia"/>
          <w:b/>
          <w:bCs/>
          <w:sz w:val="24"/>
          <w:lang w:val="zh-CN"/>
        </w:rPr>
        <w:t>、付款方式</w:t>
      </w:r>
    </w:p>
    <w:p w14:paraId="4763063A">
      <w:pPr>
        <w:spacing w:line="360" w:lineRule="auto"/>
        <w:ind w:firstLine="477" w:firstLineChars="199"/>
        <w:rPr>
          <w:rFonts w:hint="eastAsia"/>
          <w:b w:val="0"/>
          <w:bCs w:val="0"/>
          <w:sz w:val="24"/>
        </w:rPr>
      </w:pPr>
      <w:r>
        <w:rPr>
          <w:rFonts w:hint="eastAsia"/>
          <w:b w:val="0"/>
          <w:bCs w:val="0"/>
          <w:sz w:val="24"/>
        </w:rPr>
        <w:t>合同签订后，待项目履行结束并通过验收后一次性付清全部合同价款。</w:t>
      </w:r>
    </w:p>
    <w:p w14:paraId="4CA5A571">
      <w:pPr>
        <w:spacing w:line="360" w:lineRule="auto"/>
        <w:ind w:firstLine="479" w:firstLineChars="199"/>
        <w:outlineLvl w:val="1"/>
        <w:rPr>
          <w:b/>
          <w:bCs/>
          <w:sz w:val="24"/>
        </w:rPr>
      </w:pPr>
      <w:r>
        <w:rPr>
          <w:b/>
          <w:bCs/>
          <w:sz w:val="24"/>
        </w:rPr>
        <w:t>十</w:t>
      </w:r>
      <w:r>
        <w:rPr>
          <w:rFonts w:hint="eastAsia"/>
          <w:b/>
          <w:bCs/>
          <w:sz w:val="24"/>
          <w:lang w:val="en-US" w:eastAsia="zh-CN"/>
        </w:rPr>
        <w:t>一</w:t>
      </w:r>
      <w:r>
        <w:rPr>
          <w:b/>
          <w:bCs/>
          <w:sz w:val="24"/>
        </w:rPr>
        <w:t>、未尽事宜</w:t>
      </w:r>
    </w:p>
    <w:p w14:paraId="75891D4F">
      <w:pPr>
        <w:spacing w:line="360" w:lineRule="auto"/>
        <w:ind w:firstLine="494" w:firstLineChars="206"/>
        <w:outlineLvl w:val="9"/>
        <w:rPr>
          <w:rFonts w:ascii="宋体" w:hAnsi="宋体" w:cs="宋体"/>
          <w:sz w:val="24"/>
        </w:rPr>
      </w:pPr>
      <w:r>
        <w:rPr>
          <w:sz w:val="24"/>
        </w:rPr>
        <w:t>按</w:t>
      </w:r>
      <w:r>
        <w:rPr>
          <w:rFonts w:hint="eastAsia"/>
          <w:sz w:val="24"/>
          <w:lang w:eastAsia="zh-CN"/>
        </w:rPr>
        <w:t>南通开放大学</w:t>
      </w:r>
      <w:r>
        <w:rPr>
          <w:rFonts w:hint="eastAsia"/>
          <w:sz w:val="24"/>
        </w:rPr>
        <w:t>采购内控制度</w:t>
      </w:r>
      <w:r>
        <w:rPr>
          <w:sz w:val="24"/>
        </w:rPr>
        <w:t>及其他有关的法律法规的规定执行。</w:t>
      </w:r>
      <w:r>
        <w:rPr>
          <w:rFonts w:hint="eastAsia" w:ascii="宋体" w:hAnsi="宋体" w:cs="宋体"/>
          <w:sz w:val="24"/>
        </w:rPr>
        <w:br w:type="page"/>
      </w:r>
    </w:p>
    <w:p w14:paraId="5F101805">
      <w:pPr>
        <w:snapToGrid w:val="0"/>
        <w:spacing w:line="480" w:lineRule="exact"/>
        <w:ind w:firstLine="555"/>
        <w:contextualSpacing/>
        <w:jc w:val="center"/>
        <w:outlineLvl w:val="0"/>
        <w:rPr>
          <w:rFonts w:ascii="宋体" w:hAnsi="宋体" w:cs="宋体"/>
          <w:sz w:val="28"/>
          <w:szCs w:val="28"/>
          <w:u w:val="single"/>
        </w:rPr>
      </w:pPr>
      <w:r>
        <w:rPr>
          <w:rFonts w:hint="eastAsia" w:ascii="宋体" w:hAnsi="宋体" w:cs="宋体"/>
          <w:b/>
          <w:bCs/>
          <w:sz w:val="36"/>
          <w:szCs w:val="36"/>
        </w:rPr>
        <w:t>第三章  项目需求说明</w:t>
      </w:r>
      <w:bookmarkStart w:id="4" w:name="OLE_LINK4"/>
      <w:bookmarkStart w:id="5" w:name="OLE_LINK3"/>
    </w:p>
    <w:bookmarkEnd w:id="4"/>
    <w:bookmarkEnd w:id="5"/>
    <w:p w14:paraId="07430E88">
      <w:pPr>
        <w:pStyle w:val="2"/>
        <w:ind w:firstLine="0" w:firstLineChars="0"/>
        <w:rPr>
          <w:sz w:val="24"/>
          <w:szCs w:val="24"/>
        </w:rPr>
      </w:pPr>
      <w:r>
        <w:rPr>
          <w:rFonts w:hint="eastAsia"/>
          <w:sz w:val="24"/>
          <w:szCs w:val="24"/>
          <w:lang w:val="en-US" w:eastAsia="zh-CN"/>
        </w:rPr>
        <w:t>一、</w:t>
      </w:r>
      <w:r>
        <w:rPr>
          <w:rFonts w:hint="eastAsia"/>
          <w:sz w:val="24"/>
          <w:szCs w:val="24"/>
        </w:rPr>
        <w:t>配置清单</w:t>
      </w:r>
      <w:r>
        <w:rPr>
          <w:rFonts w:hint="eastAsia"/>
          <w:sz w:val="24"/>
          <w:szCs w:val="24"/>
          <w:lang w:eastAsia="zh-CN"/>
        </w:rPr>
        <w:t>：</w:t>
      </w:r>
    </w:p>
    <w:tbl>
      <w:tblPr>
        <w:tblStyle w:val="28"/>
        <w:tblpPr w:leftFromText="180" w:rightFromText="180" w:vertAnchor="text" w:tblpXSpec="center" w:tblpY="1"/>
        <w:tblOverlap w:val="never"/>
        <w:tblW w:w="93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796"/>
        <w:gridCol w:w="3449"/>
        <w:gridCol w:w="709"/>
        <w:gridCol w:w="708"/>
        <w:gridCol w:w="1949"/>
      </w:tblGrid>
      <w:tr w14:paraId="750BA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exact"/>
        </w:trPr>
        <w:tc>
          <w:tcPr>
            <w:tcW w:w="694" w:type="dxa"/>
            <w:noWrap w:val="0"/>
            <w:vAlign w:val="center"/>
          </w:tcPr>
          <w:p w14:paraId="16E90D40">
            <w:pPr>
              <w:jc w:val="center"/>
              <w:rPr>
                <w:rFonts w:ascii="宋体" w:hAnsi="宋体" w:cs="宋体"/>
                <w:color w:val="000000"/>
                <w:kern w:val="0"/>
              </w:rPr>
            </w:pPr>
            <w:r>
              <w:rPr>
                <w:rFonts w:hint="eastAsia" w:ascii="宋体" w:hAnsi="宋体" w:cs="宋体"/>
                <w:b/>
                <w:bCs/>
                <w:color w:val="000000"/>
                <w:kern w:val="0"/>
              </w:rPr>
              <w:t>序号</w:t>
            </w:r>
          </w:p>
        </w:tc>
        <w:tc>
          <w:tcPr>
            <w:tcW w:w="1796" w:type="dxa"/>
            <w:noWrap w:val="0"/>
            <w:vAlign w:val="center"/>
          </w:tcPr>
          <w:p w14:paraId="45F29A14">
            <w:pPr>
              <w:jc w:val="center"/>
              <w:rPr>
                <w:rFonts w:ascii="宋体" w:hAnsi="宋体"/>
                <w:color w:val="000000"/>
              </w:rPr>
            </w:pPr>
            <w:r>
              <w:rPr>
                <w:rFonts w:hint="eastAsia" w:ascii="宋体" w:hAnsi="宋体" w:cs="宋体"/>
                <w:b/>
                <w:bCs/>
                <w:color w:val="000000"/>
                <w:kern w:val="0"/>
              </w:rPr>
              <w:t>单元名称</w:t>
            </w:r>
          </w:p>
        </w:tc>
        <w:tc>
          <w:tcPr>
            <w:tcW w:w="3449" w:type="dxa"/>
            <w:noWrap w:val="0"/>
            <w:vAlign w:val="center"/>
          </w:tcPr>
          <w:p w14:paraId="1ECD2013">
            <w:pPr>
              <w:ind w:left="422" w:hanging="422"/>
              <w:jc w:val="center"/>
              <w:rPr>
                <w:b/>
              </w:rPr>
            </w:pPr>
            <w:r>
              <w:rPr>
                <w:rFonts w:hint="eastAsia"/>
                <w:b/>
              </w:rPr>
              <w:t>设备名称</w:t>
            </w:r>
          </w:p>
        </w:tc>
        <w:tc>
          <w:tcPr>
            <w:tcW w:w="709" w:type="dxa"/>
            <w:noWrap w:val="0"/>
            <w:vAlign w:val="center"/>
          </w:tcPr>
          <w:p w14:paraId="0114CA04">
            <w:pPr>
              <w:ind w:left="422" w:hanging="422"/>
              <w:jc w:val="center"/>
            </w:pPr>
            <w:r>
              <w:rPr>
                <w:rFonts w:hint="eastAsia" w:ascii="宋体" w:hAnsi="宋体" w:cs="宋体"/>
                <w:b/>
                <w:bCs/>
                <w:color w:val="000000"/>
                <w:kern w:val="0"/>
              </w:rPr>
              <w:t>数量</w:t>
            </w:r>
          </w:p>
        </w:tc>
        <w:tc>
          <w:tcPr>
            <w:tcW w:w="708" w:type="dxa"/>
            <w:noWrap w:val="0"/>
            <w:vAlign w:val="center"/>
          </w:tcPr>
          <w:p w14:paraId="20DE3521">
            <w:pPr>
              <w:ind w:left="422" w:hanging="422"/>
              <w:jc w:val="center"/>
            </w:pPr>
            <w:r>
              <w:rPr>
                <w:rFonts w:hint="eastAsia" w:ascii="宋体" w:hAnsi="宋体" w:cs="宋体"/>
                <w:b/>
                <w:bCs/>
                <w:color w:val="000000"/>
                <w:kern w:val="0"/>
              </w:rPr>
              <w:t>单位</w:t>
            </w:r>
          </w:p>
        </w:tc>
        <w:tc>
          <w:tcPr>
            <w:tcW w:w="1949" w:type="dxa"/>
            <w:noWrap w:val="0"/>
            <w:vAlign w:val="top"/>
          </w:tcPr>
          <w:p w14:paraId="7A1797A4">
            <w:pPr>
              <w:spacing w:before="96" w:beforeLines="40"/>
              <w:ind w:left="422" w:hanging="422" w:hangingChars="200"/>
              <w:jc w:val="center"/>
              <w:rPr>
                <w:rFonts w:ascii="宋体" w:hAnsi="宋体" w:cs="宋体"/>
                <w:b/>
                <w:bCs/>
                <w:color w:val="000000"/>
                <w:kern w:val="0"/>
              </w:rPr>
            </w:pPr>
            <w:r>
              <w:rPr>
                <w:rFonts w:hint="eastAsia" w:ascii="宋体" w:hAnsi="宋体" w:cs="宋体"/>
                <w:b/>
                <w:bCs/>
                <w:color w:val="000000"/>
                <w:kern w:val="0"/>
              </w:rPr>
              <w:t>备注</w:t>
            </w:r>
          </w:p>
        </w:tc>
      </w:tr>
      <w:tr w14:paraId="5E16AB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exact"/>
        </w:trPr>
        <w:tc>
          <w:tcPr>
            <w:tcW w:w="694" w:type="dxa"/>
            <w:noWrap w:val="0"/>
            <w:vAlign w:val="center"/>
          </w:tcPr>
          <w:p w14:paraId="563B592B">
            <w:pPr>
              <w:numPr>
                <w:ilvl w:val="0"/>
                <w:numId w:val="3"/>
              </w:numPr>
              <w:ind w:hangingChars="200"/>
              <w:jc w:val="right"/>
              <w:rPr>
                <w:rFonts w:ascii="宋体" w:hAnsi="宋体" w:cs="宋体"/>
                <w:color w:val="000000"/>
                <w:kern w:val="0"/>
              </w:rPr>
            </w:pPr>
          </w:p>
        </w:tc>
        <w:tc>
          <w:tcPr>
            <w:tcW w:w="1796" w:type="dxa"/>
            <w:vMerge w:val="restart"/>
            <w:noWrap w:val="0"/>
            <w:vAlign w:val="center"/>
          </w:tcPr>
          <w:p w14:paraId="0F434BEA">
            <w:pPr>
              <w:rPr>
                <w:rFonts w:hint="default" w:ascii="宋体" w:hAnsi="宋体" w:cs="宋体"/>
                <w:bCs/>
                <w:color w:val="000000"/>
                <w:kern w:val="0"/>
                <w:lang w:val="en-US" w:bidi="ar"/>
              </w:rPr>
            </w:pPr>
            <w:r>
              <w:rPr>
                <w:b/>
              </w:rPr>
              <w:t>工业机器人</w:t>
            </w:r>
            <w:r>
              <w:rPr>
                <w:rFonts w:hint="eastAsia"/>
                <w:b/>
                <w:lang w:val="en-US" w:eastAsia="zh-CN"/>
              </w:rPr>
              <w:t>搬运码垛工作站</w:t>
            </w:r>
          </w:p>
        </w:tc>
        <w:tc>
          <w:tcPr>
            <w:tcW w:w="3449" w:type="dxa"/>
            <w:noWrap w:val="0"/>
            <w:vAlign w:val="center"/>
          </w:tcPr>
          <w:p w14:paraId="6E07D5A1">
            <w:pPr>
              <w:jc w:val="left"/>
            </w:pPr>
            <w:r>
              <w:rPr>
                <w:rFonts w:hint="eastAsia"/>
              </w:rPr>
              <w:t>工业机器人</w:t>
            </w:r>
          </w:p>
        </w:tc>
        <w:tc>
          <w:tcPr>
            <w:tcW w:w="709" w:type="dxa"/>
            <w:noWrap w:val="0"/>
            <w:vAlign w:val="center"/>
          </w:tcPr>
          <w:p w14:paraId="7DA53B6E">
            <w:pPr>
              <w:jc w:val="center"/>
              <w:rPr>
                <w:rFonts w:hint="eastAsia" w:eastAsia="宋体"/>
                <w:lang w:val="en-US" w:eastAsia="zh-CN"/>
              </w:rPr>
            </w:pPr>
            <w:r>
              <w:rPr>
                <w:rFonts w:hint="eastAsia"/>
                <w:lang w:val="en-US" w:eastAsia="zh-CN"/>
              </w:rPr>
              <w:t>3</w:t>
            </w:r>
          </w:p>
        </w:tc>
        <w:tc>
          <w:tcPr>
            <w:tcW w:w="708" w:type="dxa"/>
            <w:noWrap w:val="0"/>
            <w:vAlign w:val="center"/>
          </w:tcPr>
          <w:p w14:paraId="0BDB2489">
            <w:pPr>
              <w:jc w:val="center"/>
            </w:pPr>
            <w:r>
              <w:rPr>
                <w:rFonts w:hint="eastAsia"/>
              </w:rPr>
              <w:t>套</w:t>
            </w:r>
          </w:p>
        </w:tc>
        <w:tc>
          <w:tcPr>
            <w:tcW w:w="1949" w:type="dxa"/>
            <w:noWrap w:val="0"/>
            <w:vAlign w:val="top"/>
          </w:tcPr>
          <w:p w14:paraId="05D30642">
            <w:pPr>
              <w:pStyle w:val="2"/>
              <w:spacing w:before="96" w:beforeLines="40"/>
              <w:ind w:firstLine="0" w:firstLineChars="0"/>
              <w:jc w:val="left"/>
            </w:pPr>
          </w:p>
        </w:tc>
      </w:tr>
      <w:tr w14:paraId="4DD79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exact"/>
        </w:trPr>
        <w:tc>
          <w:tcPr>
            <w:tcW w:w="694" w:type="dxa"/>
            <w:noWrap w:val="0"/>
            <w:vAlign w:val="center"/>
          </w:tcPr>
          <w:p w14:paraId="235973A5">
            <w:pPr>
              <w:numPr>
                <w:ilvl w:val="0"/>
                <w:numId w:val="3"/>
              </w:numPr>
              <w:ind w:hangingChars="200"/>
              <w:jc w:val="center"/>
              <w:rPr>
                <w:rFonts w:ascii="宋体" w:hAnsi="宋体" w:cs="宋体"/>
                <w:color w:val="000000"/>
                <w:kern w:val="0"/>
              </w:rPr>
            </w:pPr>
          </w:p>
        </w:tc>
        <w:tc>
          <w:tcPr>
            <w:tcW w:w="1796" w:type="dxa"/>
            <w:vMerge w:val="continue"/>
            <w:noWrap w:val="0"/>
            <w:vAlign w:val="center"/>
          </w:tcPr>
          <w:p w14:paraId="7E9A0A10">
            <w:pPr>
              <w:rPr>
                <w:rFonts w:ascii="宋体" w:hAnsi="宋体" w:cs="宋体"/>
                <w:bCs/>
                <w:color w:val="000000"/>
                <w:kern w:val="0"/>
                <w:lang w:bidi="ar"/>
              </w:rPr>
            </w:pPr>
          </w:p>
        </w:tc>
        <w:tc>
          <w:tcPr>
            <w:tcW w:w="3449" w:type="dxa"/>
            <w:noWrap w:val="0"/>
            <w:vAlign w:val="center"/>
          </w:tcPr>
          <w:p w14:paraId="59C57F20">
            <w:pPr>
              <w:jc w:val="left"/>
              <w:rPr>
                <w:rFonts w:hint="eastAsia" w:eastAsia="宋体"/>
                <w:lang w:eastAsia="zh-CN"/>
              </w:rPr>
            </w:pPr>
            <w:r>
              <w:rPr>
                <w:rFonts w:hint="eastAsia"/>
                <w:lang w:val="en-US" w:eastAsia="zh-CN"/>
              </w:rPr>
              <w:t>标准实训台</w:t>
            </w:r>
          </w:p>
        </w:tc>
        <w:tc>
          <w:tcPr>
            <w:tcW w:w="709" w:type="dxa"/>
            <w:noWrap w:val="0"/>
            <w:vAlign w:val="center"/>
          </w:tcPr>
          <w:p w14:paraId="54390E06">
            <w:pPr>
              <w:jc w:val="center"/>
              <w:rPr>
                <w:rFonts w:hint="eastAsia" w:eastAsia="宋体"/>
                <w:lang w:val="en-US" w:eastAsia="zh-CN"/>
              </w:rPr>
            </w:pPr>
            <w:r>
              <w:rPr>
                <w:rFonts w:hint="eastAsia"/>
                <w:lang w:val="en-US" w:eastAsia="zh-CN"/>
              </w:rPr>
              <w:t>3</w:t>
            </w:r>
          </w:p>
        </w:tc>
        <w:tc>
          <w:tcPr>
            <w:tcW w:w="708" w:type="dxa"/>
            <w:noWrap w:val="0"/>
            <w:vAlign w:val="center"/>
          </w:tcPr>
          <w:p w14:paraId="679850CF">
            <w:pPr>
              <w:jc w:val="center"/>
            </w:pPr>
            <w:r>
              <w:rPr>
                <w:rFonts w:hint="eastAsia"/>
              </w:rPr>
              <w:t>套</w:t>
            </w:r>
          </w:p>
        </w:tc>
        <w:tc>
          <w:tcPr>
            <w:tcW w:w="1949" w:type="dxa"/>
            <w:noWrap w:val="0"/>
            <w:vAlign w:val="top"/>
          </w:tcPr>
          <w:p w14:paraId="3281EC9F">
            <w:pPr>
              <w:spacing w:before="96" w:beforeLines="40"/>
              <w:jc w:val="left"/>
            </w:pPr>
          </w:p>
        </w:tc>
      </w:tr>
      <w:tr w14:paraId="1A159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exact"/>
        </w:trPr>
        <w:tc>
          <w:tcPr>
            <w:tcW w:w="694" w:type="dxa"/>
            <w:noWrap w:val="0"/>
            <w:vAlign w:val="center"/>
          </w:tcPr>
          <w:p w14:paraId="1DA17909">
            <w:pPr>
              <w:numPr>
                <w:ilvl w:val="0"/>
                <w:numId w:val="3"/>
              </w:numPr>
              <w:ind w:hangingChars="200"/>
              <w:jc w:val="center"/>
              <w:rPr>
                <w:rFonts w:ascii="宋体" w:hAnsi="宋体" w:cs="宋体"/>
                <w:color w:val="000000"/>
                <w:kern w:val="0"/>
              </w:rPr>
            </w:pPr>
          </w:p>
        </w:tc>
        <w:tc>
          <w:tcPr>
            <w:tcW w:w="1796" w:type="dxa"/>
            <w:vMerge w:val="continue"/>
            <w:noWrap w:val="0"/>
            <w:vAlign w:val="center"/>
          </w:tcPr>
          <w:p w14:paraId="20297710">
            <w:pPr>
              <w:rPr>
                <w:rFonts w:ascii="宋体" w:hAnsi="宋体" w:cs="宋体"/>
                <w:bCs/>
                <w:color w:val="000000"/>
                <w:kern w:val="0"/>
                <w:lang w:bidi="ar"/>
              </w:rPr>
            </w:pPr>
          </w:p>
        </w:tc>
        <w:tc>
          <w:tcPr>
            <w:tcW w:w="3449" w:type="dxa"/>
            <w:noWrap w:val="0"/>
            <w:vAlign w:val="center"/>
          </w:tcPr>
          <w:p w14:paraId="7C544C42">
            <w:pPr>
              <w:jc w:val="left"/>
              <w:rPr>
                <w:rFonts w:hint="default" w:eastAsia="宋体"/>
                <w:highlight w:val="yellow"/>
                <w:lang w:val="en-US" w:eastAsia="zh-CN"/>
              </w:rPr>
            </w:pPr>
            <w:r>
              <w:rPr>
                <w:rFonts w:hint="eastAsia"/>
                <w:highlight w:val="none"/>
                <w:lang w:val="en-US" w:eastAsia="zh-CN"/>
              </w:rPr>
              <w:t>快换模块</w:t>
            </w:r>
          </w:p>
        </w:tc>
        <w:tc>
          <w:tcPr>
            <w:tcW w:w="709" w:type="dxa"/>
            <w:noWrap w:val="0"/>
            <w:vAlign w:val="center"/>
          </w:tcPr>
          <w:p w14:paraId="2EC3CF1D">
            <w:pPr>
              <w:jc w:val="center"/>
              <w:rPr>
                <w:highlight w:val="none"/>
              </w:rPr>
            </w:pPr>
            <w:r>
              <w:rPr>
                <w:rFonts w:hint="eastAsia"/>
                <w:highlight w:val="none"/>
                <w:lang w:val="en-US" w:eastAsia="zh-CN"/>
              </w:rPr>
              <w:t>3</w:t>
            </w:r>
          </w:p>
        </w:tc>
        <w:tc>
          <w:tcPr>
            <w:tcW w:w="708" w:type="dxa"/>
            <w:noWrap w:val="0"/>
            <w:vAlign w:val="center"/>
          </w:tcPr>
          <w:p w14:paraId="074B98B4">
            <w:pPr>
              <w:jc w:val="center"/>
              <w:rPr>
                <w:highlight w:val="none"/>
              </w:rPr>
            </w:pPr>
            <w:r>
              <w:rPr>
                <w:rFonts w:hint="eastAsia"/>
                <w:highlight w:val="none"/>
              </w:rPr>
              <w:t>套</w:t>
            </w:r>
          </w:p>
        </w:tc>
        <w:tc>
          <w:tcPr>
            <w:tcW w:w="1949" w:type="dxa"/>
            <w:noWrap w:val="0"/>
            <w:vAlign w:val="top"/>
          </w:tcPr>
          <w:p w14:paraId="78C3D82F">
            <w:pPr>
              <w:spacing w:before="96" w:beforeLines="40"/>
              <w:jc w:val="left"/>
              <w:rPr>
                <w:rFonts w:hint="default" w:eastAsia="宋体"/>
                <w:highlight w:val="none"/>
                <w:lang w:val="en-US" w:eastAsia="zh-CN"/>
              </w:rPr>
            </w:pPr>
          </w:p>
        </w:tc>
      </w:tr>
      <w:tr w14:paraId="51F2A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exact"/>
        </w:trPr>
        <w:tc>
          <w:tcPr>
            <w:tcW w:w="694" w:type="dxa"/>
            <w:noWrap w:val="0"/>
            <w:vAlign w:val="center"/>
          </w:tcPr>
          <w:p w14:paraId="149B66F0">
            <w:pPr>
              <w:numPr>
                <w:ilvl w:val="0"/>
                <w:numId w:val="3"/>
              </w:numPr>
              <w:ind w:hangingChars="200"/>
              <w:jc w:val="center"/>
              <w:rPr>
                <w:rFonts w:ascii="宋体" w:hAnsi="宋体" w:cs="宋体"/>
                <w:color w:val="000000"/>
                <w:kern w:val="0"/>
              </w:rPr>
            </w:pPr>
          </w:p>
        </w:tc>
        <w:tc>
          <w:tcPr>
            <w:tcW w:w="1796" w:type="dxa"/>
            <w:vMerge w:val="continue"/>
            <w:noWrap w:val="0"/>
            <w:vAlign w:val="center"/>
          </w:tcPr>
          <w:p w14:paraId="19B27D59">
            <w:pPr>
              <w:rPr>
                <w:rFonts w:ascii="宋体" w:hAnsi="宋体" w:cs="宋体"/>
                <w:bCs/>
                <w:color w:val="000000"/>
                <w:kern w:val="0"/>
                <w:lang w:bidi="ar"/>
              </w:rPr>
            </w:pPr>
          </w:p>
        </w:tc>
        <w:tc>
          <w:tcPr>
            <w:tcW w:w="3449" w:type="dxa"/>
            <w:noWrap w:val="0"/>
            <w:vAlign w:val="center"/>
          </w:tcPr>
          <w:p w14:paraId="43EBEAF0">
            <w:pPr>
              <w:jc w:val="left"/>
              <w:rPr>
                <w:rFonts w:hint="default" w:eastAsia="宋体"/>
                <w:lang w:val="en-US" w:eastAsia="zh-CN"/>
              </w:rPr>
            </w:pPr>
            <w:r>
              <w:rPr>
                <w:rFonts w:hint="eastAsia"/>
                <w:lang w:val="en-US" w:eastAsia="zh-CN"/>
              </w:rPr>
              <w:t>搬运模块</w:t>
            </w:r>
          </w:p>
        </w:tc>
        <w:tc>
          <w:tcPr>
            <w:tcW w:w="709" w:type="dxa"/>
            <w:noWrap w:val="0"/>
            <w:vAlign w:val="center"/>
          </w:tcPr>
          <w:p w14:paraId="0E6EE7B8">
            <w:pPr>
              <w:jc w:val="center"/>
            </w:pPr>
            <w:r>
              <w:rPr>
                <w:rFonts w:hint="eastAsia"/>
                <w:lang w:val="en-US" w:eastAsia="zh-CN"/>
              </w:rPr>
              <w:t>3</w:t>
            </w:r>
          </w:p>
        </w:tc>
        <w:tc>
          <w:tcPr>
            <w:tcW w:w="708" w:type="dxa"/>
            <w:noWrap w:val="0"/>
            <w:vAlign w:val="center"/>
          </w:tcPr>
          <w:p w14:paraId="653676A5">
            <w:pPr>
              <w:jc w:val="center"/>
            </w:pPr>
            <w:r>
              <w:rPr>
                <w:rFonts w:hint="eastAsia"/>
              </w:rPr>
              <w:t>套</w:t>
            </w:r>
          </w:p>
        </w:tc>
        <w:tc>
          <w:tcPr>
            <w:tcW w:w="1949" w:type="dxa"/>
            <w:noWrap w:val="0"/>
            <w:vAlign w:val="top"/>
          </w:tcPr>
          <w:p w14:paraId="6E35D690">
            <w:pPr>
              <w:spacing w:before="96" w:beforeLines="40"/>
              <w:jc w:val="left"/>
            </w:pPr>
          </w:p>
        </w:tc>
      </w:tr>
      <w:tr w14:paraId="01607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exact"/>
        </w:trPr>
        <w:tc>
          <w:tcPr>
            <w:tcW w:w="694" w:type="dxa"/>
            <w:noWrap w:val="0"/>
            <w:vAlign w:val="center"/>
          </w:tcPr>
          <w:p w14:paraId="1065E2D0">
            <w:pPr>
              <w:numPr>
                <w:ilvl w:val="0"/>
                <w:numId w:val="3"/>
              </w:numPr>
              <w:ind w:hangingChars="200"/>
              <w:jc w:val="center"/>
              <w:rPr>
                <w:rFonts w:ascii="宋体" w:hAnsi="宋体" w:cs="宋体"/>
                <w:color w:val="000000"/>
                <w:kern w:val="0"/>
              </w:rPr>
            </w:pPr>
          </w:p>
        </w:tc>
        <w:tc>
          <w:tcPr>
            <w:tcW w:w="1796" w:type="dxa"/>
            <w:vMerge w:val="continue"/>
            <w:noWrap w:val="0"/>
            <w:vAlign w:val="center"/>
          </w:tcPr>
          <w:p w14:paraId="2796D365">
            <w:pPr>
              <w:rPr>
                <w:rFonts w:ascii="宋体" w:hAnsi="宋体" w:cs="宋体"/>
                <w:bCs/>
                <w:color w:val="000000"/>
                <w:kern w:val="0"/>
                <w:lang w:bidi="ar"/>
              </w:rPr>
            </w:pPr>
          </w:p>
        </w:tc>
        <w:tc>
          <w:tcPr>
            <w:tcW w:w="3449" w:type="dxa"/>
            <w:noWrap w:val="0"/>
            <w:vAlign w:val="center"/>
          </w:tcPr>
          <w:p w14:paraId="100575AA">
            <w:pPr>
              <w:jc w:val="left"/>
              <w:rPr>
                <w:rFonts w:hint="eastAsia" w:eastAsia="宋体"/>
                <w:lang w:eastAsia="zh-CN"/>
              </w:rPr>
            </w:pPr>
            <w:r>
              <w:rPr>
                <w:rFonts w:hint="eastAsia"/>
                <w:lang w:val="en-US" w:eastAsia="zh-CN"/>
              </w:rPr>
              <w:t>码垛模块</w:t>
            </w:r>
          </w:p>
        </w:tc>
        <w:tc>
          <w:tcPr>
            <w:tcW w:w="709" w:type="dxa"/>
            <w:noWrap w:val="0"/>
            <w:vAlign w:val="center"/>
          </w:tcPr>
          <w:p w14:paraId="7F961447">
            <w:pPr>
              <w:jc w:val="center"/>
            </w:pPr>
            <w:r>
              <w:rPr>
                <w:rFonts w:hint="eastAsia"/>
                <w:lang w:val="en-US" w:eastAsia="zh-CN"/>
              </w:rPr>
              <w:t>3</w:t>
            </w:r>
          </w:p>
        </w:tc>
        <w:tc>
          <w:tcPr>
            <w:tcW w:w="708" w:type="dxa"/>
            <w:noWrap w:val="0"/>
            <w:vAlign w:val="center"/>
          </w:tcPr>
          <w:p w14:paraId="6A8F15B3">
            <w:pPr>
              <w:jc w:val="center"/>
            </w:pPr>
            <w:r>
              <w:rPr>
                <w:rFonts w:hint="eastAsia"/>
              </w:rPr>
              <w:t>套</w:t>
            </w:r>
          </w:p>
        </w:tc>
        <w:tc>
          <w:tcPr>
            <w:tcW w:w="1949" w:type="dxa"/>
            <w:noWrap w:val="0"/>
            <w:vAlign w:val="top"/>
          </w:tcPr>
          <w:p w14:paraId="50686FE4">
            <w:pPr>
              <w:spacing w:before="96" w:beforeLines="40"/>
              <w:jc w:val="left"/>
            </w:pPr>
          </w:p>
        </w:tc>
      </w:tr>
      <w:tr w14:paraId="2E1192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exact"/>
        </w:trPr>
        <w:tc>
          <w:tcPr>
            <w:tcW w:w="694" w:type="dxa"/>
            <w:noWrap w:val="0"/>
            <w:vAlign w:val="center"/>
          </w:tcPr>
          <w:p w14:paraId="709A5BD0">
            <w:pPr>
              <w:numPr>
                <w:ilvl w:val="0"/>
                <w:numId w:val="3"/>
              </w:numPr>
              <w:ind w:hangingChars="200"/>
              <w:jc w:val="center"/>
              <w:rPr>
                <w:rFonts w:ascii="宋体" w:hAnsi="宋体" w:cs="宋体"/>
                <w:color w:val="000000"/>
                <w:kern w:val="0"/>
              </w:rPr>
            </w:pPr>
          </w:p>
        </w:tc>
        <w:tc>
          <w:tcPr>
            <w:tcW w:w="1796" w:type="dxa"/>
            <w:vMerge w:val="continue"/>
            <w:noWrap w:val="0"/>
            <w:vAlign w:val="center"/>
          </w:tcPr>
          <w:p w14:paraId="1AC8F60E">
            <w:pPr>
              <w:rPr>
                <w:rFonts w:ascii="宋体" w:hAnsi="宋体" w:cs="宋体"/>
                <w:bCs/>
                <w:color w:val="000000"/>
                <w:kern w:val="0"/>
                <w:lang w:bidi="ar"/>
              </w:rPr>
            </w:pPr>
          </w:p>
        </w:tc>
        <w:tc>
          <w:tcPr>
            <w:tcW w:w="3449" w:type="dxa"/>
            <w:noWrap w:val="0"/>
            <w:vAlign w:val="center"/>
          </w:tcPr>
          <w:p w14:paraId="7F08776F">
            <w:pPr>
              <w:jc w:val="left"/>
              <w:rPr>
                <w:highlight w:val="none"/>
              </w:rPr>
            </w:pPr>
            <w:r>
              <w:rPr>
                <w:rFonts w:hint="eastAsia"/>
                <w:highlight w:val="none"/>
              </w:rPr>
              <w:t>人机界面</w:t>
            </w:r>
          </w:p>
        </w:tc>
        <w:tc>
          <w:tcPr>
            <w:tcW w:w="709" w:type="dxa"/>
            <w:noWrap w:val="0"/>
            <w:vAlign w:val="center"/>
          </w:tcPr>
          <w:p w14:paraId="79C432AA">
            <w:pPr>
              <w:jc w:val="center"/>
              <w:rPr>
                <w:highlight w:val="none"/>
              </w:rPr>
            </w:pPr>
            <w:r>
              <w:rPr>
                <w:rFonts w:hint="eastAsia"/>
                <w:highlight w:val="none"/>
                <w:lang w:val="en-US" w:eastAsia="zh-CN"/>
              </w:rPr>
              <w:t>3</w:t>
            </w:r>
          </w:p>
        </w:tc>
        <w:tc>
          <w:tcPr>
            <w:tcW w:w="708" w:type="dxa"/>
            <w:noWrap w:val="0"/>
            <w:vAlign w:val="center"/>
          </w:tcPr>
          <w:p w14:paraId="2EDEBB24">
            <w:pPr>
              <w:jc w:val="center"/>
              <w:rPr>
                <w:highlight w:val="none"/>
              </w:rPr>
            </w:pPr>
            <w:r>
              <w:rPr>
                <w:rFonts w:hint="eastAsia"/>
                <w:highlight w:val="none"/>
              </w:rPr>
              <w:t>套</w:t>
            </w:r>
          </w:p>
        </w:tc>
        <w:tc>
          <w:tcPr>
            <w:tcW w:w="1949" w:type="dxa"/>
            <w:noWrap w:val="0"/>
            <w:vAlign w:val="top"/>
          </w:tcPr>
          <w:p w14:paraId="4B220225">
            <w:pPr>
              <w:spacing w:before="96" w:beforeLines="40"/>
              <w:jc w:val="left"/>
              <w:rPr>
                <w:rFonts w:hint="default" w:eastAsia="宋体"/>
                <w:highlight w:val="none"/>
                <w:lang w:val="en-US" w:eastAsia="zh-CN"/>
              </w:rPr>
            </w:pPr>
          </w:p>
        </w:tc>
      </w:tr>
      <w:tr w14:paraId="1F15E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exact"/>
        </w:trPr>
        <w:tc>
          <w:tcPr>
            <w:tcW w:w="694" w:type="dxa"/>
            <w:noWrap w:val="0"/>
            <w:vAlign w:val="center"/>
          </w:tcPr>
          <w:p w14:paraId="6CD3F15D">
            <w:pPr>
              <w:numPr>
                <w:ilvl w:val="0"/>
                <w:numId w:val="3"/>
              </w:numPr>
              <w:ind w:hangingChars="200"/>
              <w:jc w:val="center"/>
              <w:rPr>
                <w:rFonts w:ascii="宋体" w:hAnsi="宋体" w:cs="宋体"/>
                <w:color w:val="000000"/>
                <w:kern w:val="0"/>
              </w:rPr>
            </w:pPr>
          </w:p>
        </w:tc>
        <w:tc>
          <w:tcPr>
            <w:tcW w:w="1796" w:type="dxa"/>
            <w:vMerge w:val="continue"/>
            <w:noWrap w:val="0"/>
            <w:vAlign w:val="center"/>
          </w:tcPr>
          <w:p w14:paraId="42F53A0A">
            <w:pPr>
              <w:rPr>
                <w:rFonts w:ascii="宋体" w:hAnsi="宋体" w:cs="宋体"/>
                <w:bCs/>
                <w:color w:val="000000"/>
                <w:kern w:val="0"/>
                <w:lang w:bidi="ar"/>
              </w:rPr>
            </w:pPr>
          </w:p>
        </w:tc>
        <w:tc>
          <w:tcPr>
            <w:tcW w:w="3449" w:type="dxa"/>
            <w:noWrap w:val="0"/>
            <w:vAlign w:val="center"/>
          </w:tcPr>
          <w:p w14:paraId="18FE50B9">
            <w:pPr>
              <w:jc w:val="left"/>
              <w:rPr>
                <w:rFonts w:hint="default" w:eastAsia="宋体"/>
                <w:lang w:val="en-US" w:eastAsia="zh-CN"/>
              </w:rPr>
            </w:pPr>
            <w:r>
              <w:rPr>
                <w:rFonts w:hint="eastAsia"/>
                <w:lang w:val="en-US" w:eastAsia="zh-CN"/>
              </w:rPr>
              <w:t>样件套装</w:t>
            </w:r>
          </w:p>
        </w:tc>
        <w:tc>
          <w:tcPr>
            <w:tcW w:w="709" w:type="dxa"/>
            <w:noWrap w:val="0"/>
            <w:vAlign w:val="center"/>
          </w:tcPr>
          <w:p w14:paraId="53412542">
            <w:pPr>
              <w:jc w:val="center"/>
              <w:rPr>
                <w:rFonts w:hint="eastAsia"/>
                <w:lang w:val="en-US" w:eastAsia="zh-CN"/>
              </w:rPr>
            </w:pPr>
            <w:r>
              <w:rPr>
                <w:rFonts w:hint="eastAsia"/>
                <w:lang w:val="en-US" w:eastAsia="zh-CN"/>
              </w:rPr>
              <w:t>3</w:t>
            </w:r>
          </w:p>
        </w:tc>
        <w:tc>
          <w:tcPr>
            <w:tcW w:w="708" w:type="dxa"/>
            <w:noWrap w:val="0"/>
            <w:vAlign w:val="center"/>
          </w:tcPr>
          <w:p w14:paraId="6103F4F4">
            <w:pPr>
              <w:jc w:val="center"/>
              <w:rPr>
                <w:rFonts w:hint="eastAsia"/>
              </w:rPr>
            </w:pPr>
            <w:r>
              <w:rPr>
                <w:rFonts w:hint="eastAsia"/>
              </w:rPr>
              <w:t>套</w:t>
            </w:r>
          </w:p>
        </w:tc>
        <w:tc>
          <w:tcPr>
            <w:tcW w:w="1949" w:type="dxa"/>
            <w:noWrap w:val="0"/>
            <w:vAlign w:val="top"/>
          </w:tcPr>
          <w:p w14:paraId="542F47CD">
            <w:pPr>
              <w:spacing w:before="96" w:beforeLines="40"/>
              <w:jc w:val="left"/>
            </w:pPr>
          </w:p>
        </w:tc>
      </w:tr>
      <w:tr w14:paraId="6E007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exact"/>
        </w:trPr>
        <w:tc>
          <w:tcPr>
            <w:tcW w:w="694" w:type="dxa"/>
            <w:noWrap w:val="0"/>
            <w:vAlign w:val="center"/>
          </w:tcPr>
          <w:p w14:paraId="3CC969EE">
            <w:pPr>
              <w:numPr>
                <w:ilvl w:val="0"/>
                <w:numId w:val="3"/>
              </w:numPr>
              <w:ind w:hangingChars="200"/>
              <w:jc w:val="center"/>
              <w:rPr>
                <w:rFonts w:ascii="宋体" w:hAnsi="宋体" w:cs="宋体"/>
                <w:color w:val="000000"/>
                <w:kern w:val="0"/>
              </w:rPr>
            </w:pPr>
          </w:p>
        </w:tc>
        <w:tc>
          <w:tcPr>
            <w:tcW w:w="1796" w:type="dxa"/>
            <w:vMerge w:val="continue"/>
            <w:noWrap w:val="0"/>
            <w:vAlign w:val="center"/>
          </w:tcPr>
          <w:p w14:paraId="4FA29624">
            <w:pPr>
              <w:rPr>
                <w:rFonts w:ascii="宋体" w:hAnsi="宋体" w:cs="宋体"/>
                <w:bCs/>
                <w:color w:val="000000"/>
                <w:kern w:val="0"/>
                <w:lang w:bidi="ar"/>
              </w:rPr>
            </w:pPr>
          </w:p>
        </w:tc>
        <w:tc>
          <w:tcPr>
            <w:tcW w:w="3449" w:type="dxa"/>
            <w:noWrap w:val="0"/>
            <w:vAlign w:val="center"/>
          </w:tcPr>
          <w:p w14:paraId="0F73124B">
            <w:pPr>
              <w:jc w:val="left"/>
              <w:rPr>
                <w:rFonts w:hint="default"/>
                <w:lang w:val="en-US" w:eastAsia="zh-CN"/>
              </w:rPr>
            </w:pPr>
            <w:r>
              <w:rPr>
                <w:rFonts w:hint="eastAsia"/>
                <w:lang w:val="en-US" w:eastAsia="zh-CN"/>
              </w:rPr>
              <w:t>气泵</w:t>
            </w:r>
          </w:p>
        </w:tc>
        <w:tc>
          <w:tcPr>
            <w:tcW w:w="709" w:type="dxa"/>
            <w:noWrap w:val="0"/>
            <w:vAlign w:val="center"/>
          </w:tcPr>
          <w:p w14:paraId="18ECB72D">
            <w:pPr>
              <w:jc w:val="center"/>
              <w:rPr>
                <w:rFonts w:hint="eastAsia"/>
                <w:lang w:val="en-US" w:eastAsia="zh-CN"/>
              </w:rPr>
            </w:pPr>
            <w:r>
              <w:rPr>
                <w:rFonts w:hint="eastAsia"/>
                <w:lang w:val="en-US" w:eastAsia="zh-CN"/>
              </w:rPr>
              <w:t>3</w:t>
            </w:r>
          </w:p>
        </w:tc>
        <w:tc>
          <w:tcPr>
            <w:tcW w:w="708" w:type="dxa"/>
            <w:noWrap w:val="0"/>
            <w:vAlign w:val="center"/>
          </w:tcPr>
          <w:p w14:paraId="0C333B0A">
            <w:pPr>
              <w:jc w:val="center"/>
              <w:rPr>
                <w:rFonts w:hint="eastAsia"/>
              </w:rPr>
            </w:pPr>
            <w:r>
              <w:rPr>
                <w:rFonts w:hint="eastAsia"/>
              </w:rPr>
              <w:t>套</w:t>
            </w:r>
          </w:p>
        </w:tc>
        <w:tc>
          <w:tcPr>
            <w:tcW w:w="1949" w:type="dxa"/>
            <w:noWrap w:val="0"/>
            <w:vAlign w:val="top"/>
          </w:tcPr>
          <w:p w14:paraId="44524D21">
            <w:pPr>
              <w:spacing w:before="96" w:beforeLines="40"/>
              <w:jc w:val="left"/>
            </w:pPr>
          </w:p>
        </w:tc>
      </w:tr>
      <w:tr w14:paraId="2A798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exact"/>
        </w:trPr>
        <w:tc>
          <w:tcPr>
            <w:tcW w:w="694" w:type="dxa"/>
            <w:noWrap w:val="0"/>
            <w:vAlign w:val="center"/>
          </w:tcPr>
          <w:p w14:paraId="505A0F5C">
            <w:pPr>
              <w:numPr>
                <w:ilvl w:val="0"/>
                <w:numId w:val="3"/>
              </w:numPr>
              <w:ind w:hangingChars="200"/>
              <w:jc w:val="center"/>
              <w:rPr>
                <w:rFonts w:ascii="宋体" w:hAnsi="宋体" w:cs="宋体"/>
                <w:color w:val="000000"/>
                <w:kern w:val="0"/>
              </w:rPr>
            </w:pPr>
          </w:p>
        </w:tc>
        <w:tc>
          <w:tcPr>
            <w:tcW w:w="1796" w:type="dxa"/>
            <w:vMerge w:val="continue"/>
            <w:noWrap w:val="0"/>
            <w:vAlign w:val="center"/>
          </w:tcPr>
          <w:p w14:paraId="07828317">
            <w:pPr>
              <w:rPr>
                <w:rFonts w:ascii="宋体" w:hAnsi="宋体" w:cs="宋体"/>
                <w:bCs/>
                <w:color w:val="000000"/>
                <w:kern w:val="0"/>
                <w:lang w:bidi="ar"/>
              </w:rPr>
            </w:pPr>
          </w:p>
        </w:tc>
        <w:tc>
          <w:tcPr>
            <w:tcW w:w="3449" w:type="dxa"/>
            <w:noWrap w:val="0"/>
            <w:vAlign w:val="center"/>
          </w:tcPr>
          <w:p w14:paraId="5F83820D">
            <w:pPr>
              <w:jc w:val="left"/>
              <w:rPr>
                <w:rFonts w:hint="default"/>
                <w:lang w:val="en-US" w:eastAsia="zh-CN"/>
              </w:rPr>
            </w:pPr>
            <w:r>
              <w:rPr>
                <w:rFonts w:hint="eastAsia"/>
                <w:lang w:val="en-US" w:eastAsia="zh-CN"/>
              </w:rPr>
              <w:t>电脑桌椅</w:t>
            </w:r>
          </w:p>
        </w:tc>
        <w:tc>
          <w:tcPr>
            <w:tcW w:w="709" w:type="dxa"/>
            <w:noWrap w:val="0"/>
            <w:vAlign w:val="center"/>
          </w:tcPr>
          <w:p w14:paraId="35058338">
            <w:pPr>
              <w:jc w:val="center"/>
              <w:rPr>
                <w:rFonts w:hint="eastAsia" w:ascii="Calibri" w:hAnsi="Calibri" w:eastAsia="宋体" w:cs="Times New Roman"/>
                <w:kern w:val="2"/>
                <w:sz w:val="21"/>
                <w:szCs w:val="24"/>
                <w:lang w:val="en-US" w:eastAsia="zh-CN" w:bidi="ar-SA"/>
              </w:rPr>
            </w:pPr>
            <w:r>
              <w:rPr>
                <w:rFonts w:hint="eastAsia"/>
                <w:lang w:val="en-US" w:eastAsia="zh-CN"/>
              </w:rPr>
              <w:t>3</w:t>
            </w:r>
          </w:p>
        </w:tc>
        <w:tc>
          <w:tcPr>
            <w:tcW w:w="708" w:type="dxa"/>
            <w:noWrap w:val="0"/>
            <w:vAlign w:val="center"/>
          </w:tcPr>
          <w:p w14:paraId="287C1659">
            <w:pPr>
              <w:jc w:val="center"/>
              <w:rPr>
                <w:rFonts w:hint="eastAsia" w:ascii="Calibri" w:hAnsi="Calibri" w:eastAsia="宋体" w:cs="Times New Roman"/>
                <w:kern w:val="2"/>
                <w:sz w:val="21"/>
                <w:szCs w:val="24"/>
                <w:lang w:val="en-US" w:eastAsia="zh-CN" w:bidi="ar-SA"/>
              </w:rPr>
            </w:pPr>
            <w:r>
              <w:rPr>
                <w:rFonts w:hint="eastAsia"/>
              </w:rPr>
              <w:t>套</w:t>
            </w:r>
          </w:p>
        </w:tc>
        <w:tc>
          <w:tcPr>
            <w:tcW w:w="1949" w:type="dxa"/>
            <w:noWrap w:val="0"/>
            <w:vAlign w:val="top"/>
          </w:tcPr>
          <w:p w14:paraId="66C17DAB">
            <w:pPr>
              <w:spacing w:before="96" w:beforeLines="40"/>
              <w:jc w:val="left"/>
            </w:pPr>
          </w:p>
        </w:tc>
      </w:tr>
      <w:tr w14:paraId="4B7BC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exact"/>
        </w:trPr>
        <w:tc>
          <w:tcPr>
            <w:tcW w:w="694" w:type="dxa"/>
            <w:noWrap w:val="0"/>
            <w:vAlign w:val="center"/>
          </w:tcPr>
          <w:p w14:paraId="2DD958BC">
            <w:pPr>
              <w:numPr>
                <w:ilvl w:val="0"/>
                <w:numId w:val="3"/>
              </w:numPr>
              <w:ind w:hangingChars="200"/>
              <w:jc w:val="center"/>
              <w:rPr>
                <w:rFonts w:ascii="宋体" w:hAnsi="宋体" w:cs="宋体"/>
                <w:color w:val="000000"/>
                <w:kern w:val="0"/>
              </w:rPr>
            </w:pPr>
          </w:p>
        </w:tc>
        <w:tc>
          <w:tcPr>
            <w:tcW w:w="1796" w:type="dxa"/>
            <w:vMerge w:val="continue"/>
            <w:noWrap w:val="0"/>
            <w:vAlign w:val="center"/>
          </w:tcPr>
          <w:p w14:paraId="6094F65A">
            <w:pPr>
              <w:rPr>
                <w:rFonts w:ascii="宋体" w:hAnsi="宋体" w:cs="宋体"/>
                <w:bCs/>
                <w:color w:val="000000"/>
                <w:kern w:val="0"/>
                <w:lang w:bidi="ar"/>
              </w:rPr>
            </w:pPr>
          </w:p>
        </w:tc>
        <w:tc>
          <w:tcPr>
            <w:tcW w:w="3449" w:type="dxa"/>
            <w:noWrap w:val="0"/>
            <w:vAlign w:val="center"/>
          </w:tcPr>
          <w:p w14:paraId="0B3BBA4A">
            <w:pPr>
              <w:jc w:val="left"/>
              <w:rPr>
                <w:rFonts w:hint="eastAsia"/>
                <w:lang w:val="en-US" w:eastAsia="zh-CN"/>
              </w:rPr>
            </w:pPr>
            <w:r>
              <w:rPr>
                <w:rFonts w:hint="eastAsia"/>
                <w:lang w:val="en-US" w:eastAsia="zh-CN"/>
              </w:rPr>
              <w:t>工具与工具箱</w:t>
            </w:r>
          </w:p>
        </w:tc>
        <w:tc>
          <w:tcPr>
            <w:tcW w:w="709" w:type="dxa"/>
            <w:noWrap w:val="0"/>
            <w:vAlign w:val="center"/>
          </w:tcPr>
          <w:p w14:paraId="773F16A4">
            <w:pPr>
              <w:jc w:val="center"/>
              <w:rPr>
                <w:rFonts w:hint="eastAsia"/>
                <w:lang w:val="en-US" w:eastAsia="zh-CN"/>
              </w:rPr>
            </w:pPr>
            <w:r>
              <w:rPr>
                <w:rFonts w:hint="eastAsia"/>
                <w:lang w:val="en-US" w:eastAsia="zh-CN"/>
              </w:rPr>
              <w:t>3</w:t>
            </w:r>
          </w:p>
        </w:tc>
        <w:tc>
          <w:tcPr>
            <w:tcW w:w="708" w:type="dxa"/>
            <w:noWrap w:val="0"/>
            <w:vAlign w:val="center"/>
          </w:tcPr>
          <w:p w14:paraId="7760C7E2">
            <w:pPr>
              <w:jc w:val="center"/>
              <w:rPr>
                <w:rFonts w:hint="eastAsia"/>
              </w:rPr>
            </w:pPr>
            <w:r>
              <w:rPr>
                <w:rFonts w:hint="eastAsia"/>
              </w:rPr>
              <w:t>套</w:t>
            </w:r>
          </w:p>
        </w:tc>
        <w:tc>
          <w:tcPr>
            <w:tcW w:w="1949" w:type="dxa"/>
            <w:noWrap w:val="0"/>
            <w:vAlign w:val="top"/>
          </w:tcPr>
          <w:p w14:paraId="331BE69F">
            <w:pPr>
              <w:spacing w:before="96" w:beforeLines="40"/>
              <w:jc w:val="left"/>
            </w:pPr>
          </w:p>
        </w:tc>
      </w:tr>
      <w:tr w14:paraId="0CC23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exact"/>
        </w:trPr>
        <w:tc>
          <w:tcPr>
            <w:tcW w:w="694" w:type="dxa"/>
            <w:noWrap w:val="0"/>
            <w:vAlign w:val="center"/>
          </w:tcPr>
          <w:p w14:paraId="2EB98547">
            <w:pPr>
              <w:numPr>
                <w:ilvl w:val="0"/>
                <w:numId w:val="3"/>
              </w:numPr>
              <w:ind w:hangingChars="200"/>
              <w:jc w:val="center"/>
              <w:rPr>
                <w:rFonts w:ascii="宋体" w:hAnsi="宋体" w:cs="宋体"/>
                <w:color w:val="000000"/>
                <w:kern w:val="0"/>
              </w:rPr>
            </w:pPr>
          </w:p>
        </w:tc>
        <w:tc>
          <w:tcPr>
            <w:tcW w:w="1796" w:type="dxa"/>
            <w:vMerge w:val="continue"/>
            <w:noWrap w:val="0"/>
            <w:vAlign w:val="center"/>
          </w:tcPr>
          <w:p w14:paraId="35C4B63F">
            <w:pPr>
              <w:rPr>
                <w:rFonts w:ascii="宋体" w:hAnsi="宋体" w:cs="宋体"/>
                <w:bCs/>
                <w:color w:val="000000"/>
                <w:kern w:val="0"/>
                <w:lang w:bidi="ar"/>
              </w:rPr>
            </w:pPr>
          </w:p>
        </w:tc>
        <w:tc>
          <w:tcPr>
            <w:tcW w:w="3449" w:type="dxa"/>
            <w:noWrap w:val="0"/>
            <w:vAlign w:val="center"/>
          </w:tcPr>
          <w:p w14:paraId="4CAEAEE4">
            <w:pPr>
              <w:jc w:val="left"/>
              <w:rPr>
                <w:rFonts w:hint="eastAsia"/>
                <w:lang w:val="en-US" w:eastAsia="zh-CN"/>
              </w:rPr>
            </w:pPr>
            <w:r>
              <w:rPr>
                <w:rFonts w:hint="eastAsia"/>
                <w:lang w:val="en-US" w:eastAsia="zh-CN"/>
              </w:rPr>
              <w:t>配套资源</w:t>
            </w:r>
          </w:p>
        </w:tc>
        <w:tc>
          <w:tcPr>
            <w:tcW w:w="709" w:type="dxa"/>
            <w:noWrap w:val="0"/>
            <w:vAlign w:val="center"/>
          </w:tcPr>
          <w:p w14:paraId="30B738E1">
            <w:pPr>
              <w:jc w:val="center"/>
              <w:rPr>
                <w:rFonts w:hint="eastAsia"/>
                <w:lang w:val="en-US" w:eastAsia="zh-CN"/>
              </w:rPr>
            </w:pPr>
            <w:r>
              <w:rPr>
                <w:rFonts w:hint="eastAsia"/>
                <w:lang w:val="en-US" w:eastAsia="zh-CN"/>
              </w:rPr>
              <w:t>3</w:t>
            </w:r>
          </w:p>
        </w:tc>
        <w:tc>
          <w:tcPr>
            <w:tcW w:w="708" w:type="dxa"/>
            <w:noWrap w:val="0"/>
            <w:vAlign w:val="center"/>
          </w:tcPr>
          <w:p w14:paraId="72931191">
            <w:pPr>
              <w:jc w:val="center"/>
              <w:rPr>
                <w:rFonts w:hint="eastAsia"/>
              </w:rPr>
            </w:pPr>
            <w:r>
              <w:rPr>
                <w:rFonts w:hint="eastAsia"/>
              </w:rPr>
              <w:t>套</w:t>
            </w:r>
          </w:p>
        </w:tc>
        <w:tc>
          <w:tcPr>
            <w:tcW w:w="1949" w:type="dxa"/>
            <w:noWrap w:val="0"/>
            <w:vAlign w:val="top"/>
          </w:tcPr>
          <w:p w14:paraId="72E0E3DE">
            <w:pPr>
              <w:spacing w:before="96" w:beforeLines="40"/>
              <w:jc w:val="left"/>
            </w:pPr>
          </w:p>
        </w:tc>
      </w:tr>
    </w:tbl>
    <w:p w14:paraId="7040BBAB">
      <w:pPr>
        <w:pStyle w:val="2"/>
        <w:ind w:left="0" w:leftChars="0" w:firstLine="0" w:firstLineChars="0"/>
      </w:pPr>
    </w:p>
    <w:p w14:paraId="2EE50107">
      <w:pPr>
        <w:pStyle w:val="2"/>
        <w:ind w:firstLine="0" w:firstLineChars="0"/>
        <w:rPr>
          <w:sz w:val="24"/>
          <w:szCs w:val="24"/>
        </w:rPr>
      </w:pPr>
      <w:r>
        <w:rPr>
          <w:rFonts w:hint="eastAsia"/>
          <w:sz w:val="24"/>
          <w:szCs w:val="24"/>
          <w:lang w:val="en-US" w:eastAsia="zh-CN"/>
        </w:rPr>
        <w:t>二、</w:t>
      </w:r>
      <w:r>
        <w:rPr>
          <w:rFonts w:hint="eastAsia"/>
          <w:sz w:val="24"/>
          <w:szCs w:val="24"/>
        </w:rPr>
        <w:t>技术参数表：</w:t>
      </w:r>
    </w:p>
    <w:tbl>
      <w:tblPr>
        <w:tblStyle w:val="28"/>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009"/>
        <w:gridCol w:w="6236"/>
        <w:gridCol w:w="618"/>
        <w:gridCol w:w="657"/>
      </w:tblGrid>
      <w:tr w14:paraId="2F22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1" w:type="dxa"/>
            <w:noWrap w:val="0"/>
            <w:vAlign w:val="center"/>
          </w:tcPr>
          <w:p w14:paraId="150B446B">
            <w:pPr>
              <w:widowControl w:val="0"/>
              <w:jc w:val="center"/>
              <w:rPr>
                <w:b/>
              </w:rPr>
            </w:pPr>
            <w:r>
              <w:rPr>
                <w:b/>
              </w:rPr>
              <w:t>序号</w:t>
            </w:r>
          </w:p>
        </w:tc>
        <w:tc>
          <w:tcPr>
            <w:tcW w:w="1009" w:type="dxa"/>
            <w:noWrap w:val="0"/>
            <w:vAlign w:val="center"/>
          </w:tcPr>
          <w:p w14:paraId="782A46A8">
            <w:pPr>
              <w:widowControl w:val="0"/>
              <w:jc w:val="center"/>
              <w:rPr>
                <w:b/>
              </w:rPr>
            </w:pPr>
            <w:r>
              <w:rPr>
                <w:b/>
              </w:rPr>
              <w:t>名称</w:t>
            </w:r>
          </w:p>
        </w:tc>
        <w:tc>
          <w:tcPr>
            <w:tcW w:w="6236" w:type="dxa"/>
            <w:noWrap w:val="0"/>
            <w:vAlign w:val="center"/>
          </w:tcPr>
          <w:p w14:paraId="09AE271D">
            <w:pPr>
              <w:widowControl w:val="0"/>
              <w:jc w:val="center"/>
              <w:rPr>
                <w:b/>
              </w:rPr>
            </w:pPr>
            <w:r>
              <w:rPr>
                <w:b/>
              </w:rPr>
              <w:t>功能目标及技术指标</w:t>
            </w:r>
          </w:p>
        </w:tc>
        <w:tc>
          <w:tcPr>
            <w:tcW w:w="618" w:type="dxa"/>
            <w:noWrap w:val="0"/>
            <w:vAlign w:val="center"/>
          </w:tcPr>
          <w:p w14:paraId="625E1C70">
            <w:pPr>
              <w:widowControl w:val="0"/>
              <w:jc w:val="center"/>
              <w:rPr>
                <w:b/>
              </w:rPr>
            </w:pPr>
            <w:r>
              <w:rPr>
                <w:b/>
              </w:rPr>
              <w:t>数量</w:t>
            </w:r>
          </w:p>
        </w:tc>
        <w:tc>
          <w:tcPr>
            <w:tcW w:w="657" w:type="dxa"/>
            <w:noWrap w:val="0"/>
            <w:vAlign w:val="top"/>
          </w:tcPr>
          <w:p w14:paraId="15A89261">
            <w:pPr>
              <w:widowControl w:val="0"/>
              <w:jc w:val="center"/>
              <w:rPr>
                <w:b/>
              </w:rPr>
            </w:pPr>
            <w:r>
              <w:rPr>
                <w:b/>
              </w:rPr>
              <w:t>单位</w:t>
            </w:r>
          </w:p>
        </w:tc>
      </w:tr>
      <w:tr w14:paraId="6B7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31" w:type="dxa"/>
            <w:noWrap w:val="0"/>
            <w:vAlign w:val="center"/>
          </w:tcPr>
          <w:p w14:paraId="796C70B8">
            <w:pPr>
              <w:widowControl w:val="0"/>
              <w:jc w:val="both"/>
            </w:pPr>
            <w:r>
              <w:t>1</w:t>
            </w:r>
          </w:p>
        </w:tc>
        <w:tc>
          <w:tcPr>
            <w:tcW w:w="1009" w:type="dxa"/>
            <w:noWrap w:val="0"/>
            <w:vAlign w:val="center"/>
          </w:tcPr>
          <w:p w14:paraId="1075BD3A">
            <w:pPr>
              <w:widowControl w:val="0"/>
              <w:jc w:val="both"/>
              <w:rPr>
                <w:rFonts w:hint="default" w:eastAsia="宋体"/>
                <w:b/>
                <w:lang w:val="en-US" w:eastAsia="zh-CN"/>
              </w:rPr>
            </w:pPr>
            <w:r>
              <w:rPr>
                <w:b/>
              </w:rPr>
              <w:t>工业机器人</w:t>
            </w:r>
            <w:r>
              <w:rPr>
                <w:rFonts w:hint="eastAsia"/>
                <w:b/>
                <w:lang w:val="en-US" w:eastAsia="zh-CN"/>
              </w:rPr>
              <w:t>搬运码垛工作站</w:t>
            </w:r>
          </w:p>
        </w:tc>
        <w:tc>
          <w:tcPr>
            <w:tcW w:w="6236" w:type="dxa"/>
            <w:noWrap w:val="0"/>
            <w:vAlign w:val="top"/>
          </w:tcPr>
          <w:p w14:paraId="0EA1A99F">
            <w:pPr>
              <w:widowControl w:val="0"/>
              <w:jc w:val="both"/>
            </w:pPr>
            <w:r>
              <w:rPr>
                <w:rFonts w:hint="eastAsia" w:ascii="宋体" w:hAnsi="宋体" w:cs="宋体"/>
                <w:b/>
                <w:bCs/>
                <w:color w:val="000000"/>
                <w:spacing w:val="-1"/>
                <w:sz w:val="24"/>
              </w:rPr>
              <w:t>▲</w:t>
            </w:r>
            <w:r>
              <w:rPr>
                <w:b/>
                <w:szCs w:val="21"/>
              </w:rPr>
              <w:t>占地面积</w:t>
            </w:r>
            <w:r>
              <w:rPr>
                <w:rFonts w:hint="eastAsia"/>
                <w:b/>
                <w:szCs w:val="21"/>
              </w:rPr>
              <w:t>：</w:t>
            </w:r>
            <w:r>
              <w:rPr>
                <w:szCs w:val="21"/>
              </w:rPr>
              <w:t>2200×1200mm</w:t>
            </w:r>
            <w:r>
              <w:rPr>
                <w:rFonts w:hint="eastAsia"/>
                <w:szCs w:val="21"/>
              </w:rPr>
              <w:t>；</w:t>
            </w:r>
            <w:r>
              <w:rPr>
                <w:b/>
                <w:szCs w:val="21"/>
              </w:rPr>
              <w:t>电源与功率</w:t>
            </w:r>
            <w:r>
              <w:rPr>
                <w:rFonts w:hint="eastAsia"/>
                <w:b/>
                <w:szCs w:val="21"/>
              </w:rPr>
              <w:t>：</w:t>
            </w:r>
            <w:r>
              <w:rPr>
                <w:szCs w:val="21"/>
              </w:rPr>
              <w:t>AC220V 1.5kW</w:t>
            </w:r>
            <w:r>
              <w:rPr>
                <w:rFonts w:hint="eastAsia"/>
              </w:rPr>
              <w:t>（投标时提供相关证明材料复印件加盖投标单位公章）</w:t>
            </w:r>
          </w:p>
          <w:p w14:paraId="45282558">
            <w:pPr>
              <w:widowControl w:val="0"/>
              <w:jc w:val="both"/>
              <w:rPr>
                <w:b/>
                <w:color w:val="000000"/>
              </w:rPr>
            </w:pPr>
            <w:r>
              <w:rPr>
                <w:b/>
                <w:color w:val="000000"/>
              </w:rPr>
              <w:t>1.工业机器人</w:t>
            </w:r>
          </w:p>
          <w:p w14:paraId="5506DE16">
            <w:pPr>
              <w:pStyle w:val="73"/>
              <w:widowControl w:val="0"/>
              <w:spacing w:line="240" w:lineRule="auto"/>
              <w:ind w:firstLine="0"/>
              <w:jc w:val="both"/>
              <w:rPr>
                <w:b/>
                <w:sz w:val="24"/>
                <w:szCs w:val="24"/>
              </w:rPr>
            </w:pPr>
            <w:r>
              <w:rPr>
                <w:sz w:val="24"/>
                <w:szCs w:val="24"/>
              </w:rPr>
              <w:t>由工业机器人本体、机器人底座、机器人控制柜和示教盒等组成。</w:t>
            </w:r>
          </w:p>
          <w:p w14:paraId="374CB3F5">
            <w:pPr>
              <w:widowControl w:val="0"/>
              <w:jc w:val="both"/>
            </w:pPr>
            <w:r>
              <w:t>机器人技术参数：</w:t>
            </w:r>
          </w:p>
          <w:p w14:paraId="207EFF00">
            <w:pPr>
              <w:widowControl w:val="0"/>
              <w:jc w:val="both"/>
            </w:pPr>
            <w:r>
              <w:rPr>
                <w:rFonts w:hint="eastAsia"/>
                <w:lang w:eastAsia="zh-CN"/>
              </w:rPr>
              <w:t>1）</w:t>
            </w:r>
            <w:r>
              <w:t xml:space="preserve"> 自由度：6</w:t>
            </w:r>
          </w:p>
          <w:p w14:paraId="2582826F">
            <w:pPr>
              <w:widowControl w:val="0"/>
              <w:jc w:val="both"/>
            </w:pPr>
            <w:r>
              <w:rPr>
                <w:rFonts w:hint="eastAsia"/>
                <w:lang w:eastAsia="zh-CN"/>
              </w:rPr>
              <w:t>2）</w:t>
            </w:r>
            <w:r>
              <w:t xml:space="preserve"> 最大负载：≥3kg</w:t>
            </w:r>
          </w:p>
          <w:p w14:paraId="76532527">
            <w:pPr>
              <w:widowControl w:val="0"/>
              <w:jc w:val="both"/>
            </w:pPr>
            <w:r>
              <w:rPr>
                <w:rFonts w:hint="eastAsia"/>
                <w:lang w:eastAsia="zh-CN"/>
              </w:rPr>
              <w:t>3）</w:t>
            </w:r>
            <w:r>
              <w:t xml:space="preserve"> 重复定位精度：≤0.01mm</w:t>
            </w:r>
          </w:p>
          <w:p w14:paraId="11ECEF49">
            <w:pPr>
              <w:widowControl w:val="0"/>
              <w:jc w:val="both"/>
            </w:pPr>
            <w:r>
              <w:rPr>
                <w:rFonts w:hint="eastAsia"/>
                <w:lang w:eastAsia="zh-CN"/>
              </w:rPr>
              <w:t>4）</w:t>
            </w:r>
            <w:r>
              <w:t xml:space="preserve"> 最大臂展：≥580mm</w:t>
            </w:r>
          </w:p>
          <w:p w14:paraId="7428782F">
            <w:pPr>
              <w:widowControl w:val="0"/>
              <w:jc w:val="both"/>
            </w:pPr>
            <w:r>
              <w:rPr>
                <w:rFonts w:hint="eastAsia"/>
                <w:lang w:eastAsia="zh-CN"/>
              </w:rPr>
              <w:t>5）</w:t>
            </w:r>
            <w:r>
              <w:t xml:space="preserve"> 各轴运动范围：</w:t>
            </w:r>
          </w:p>
          <w:p w14:paraId="0A586502">
            <w:pPr>
              <w:widowControl w:val="0"/>
              <w:jc w:val="both"/>
            </w:pPr>
            <w:r>
              <w:t>J1轴≥±165°</w:t>
            </w:r>
          </w:p>
          <w:p w14:paraId="265091AD">
            <w:pPr>
              <w:widowControl w:val="0"/>
              <w:jc w:val="both"/>
            </w:pPr>
            <w:r>
              <w:t>J2轴≥±110°</w:t>
            </w:r>
          </w:p>
          <w:p w14:paraId="72CFFE83">
            <w:pPr>
              <w:widowControl w:val="0"/>
              <w:jc w:val="both"/>
            </w:pPr>
            <w:r>
              <w:t>J3轴≥+70°/ -90°</w:t>
            </w:r>
          </w:p>
          <w:p w14:paraId="1101498A">
            <w:pPr>
              <w:widowControl w:val="0"/>
              <w:jc w:val="both"/>
            </w:pPr>
            <w:r>
              <w:t>J4轴≥±160°</w:t>
            </w:r>
          </w:p>
          <w:p w14:paraId="6120A5B6">
            <w:pPr>
              <w:widowControl w:val="0"/>
              <w:jc w:val="both"/>
            </w:pPr>
            <w:r>
              <w:t>J5轴≥±120°</w:t>
            </w:r>
          </w:p>
          <w:p w14:paraId="313B4452">
            <w:pPr>
              <w:widowControl w:val="0"/>
              <w:jc w:val="both"/>
            </w:pPr>
            <w:r>
              <w:t>J6轴≥±400°</w:t>
            </w:r>
          </w:p>
          <w:p w14:paraId="04B3850D">
            <w:pPr>
              <w:widowControl w:val="0"/>
              <w:jc w:val="both"/>
            </w:pPr>
            <w:r>
              <w:rPr>
                <w:rFonts w:hint="eastAsia"/>
                <w:lang w:eastAsia="zh-CN"/>
              </w:rPr>
              <w:t>6）</w:t>
            </w:r>
            <w:r>
              <w:t xml:space="preserve"> 最大单轴速度：</w:t>
            </w:r>
          </w:p>
          <w:p w14:paraId="622CD476">
            <w:pPr>
              <w:widowControl w:val="0"/>
              <w:jc w:val="both"/>
            </w:pPr>
            <w:r>
              <w:t>J1轴≥250°/s</w:t>
            </w:r>
          </w:p>
          <w:p w14:paraId="1855A1CE">
            <w:pPr>
              <w:widowControl w:val="0"/>
              <w:jc w:val="both"/>
            </w:pPr>
            <w:r>
              <w:t>J2轴≥250°/s</w:t>
            </w:r>
          </w:p>
          <w:p w14:paraId="17711FB8">
            <w:pPr>
              <w:widowControl w:val="0"/>
              <w:jc w:val="both"/>
            </w:pPr>
            <w:r>
              <w:t>J3轴≥250°/s</w:t>
            </w:r>
          </w:p>
          <w:p w14:paraId="4681EEAE">
            <w:pPr>
              <w:widowControl w:val="0"/>
              <w:jc w:val="both"/>
            </w:pPr>
            <w:r>
              <w:t>J4轴≥320°/s</w:t>
            </w:r>
          </w:p>
          <w:p w14:paraId="2596D555">
            <w:pPr>
              <w:widowControl w:val="0"/>
              <w:jc w:val="both"/>
            </w:pPr>
            <w:r>
              <w:t>J5轴≥320°/s</w:t>
            </w:r>
          </w:p>
          <w:p w14:paraId="37374EF3">
            <w:pPr>
              <w:widowControl w:val="0"/>
              <w:jc w:val="both"/>
            </w:pPr>
            <w:r>
              <w:t>J6轴≥420°/s</w:t>
            </w:r>
          </w:p>
          <w:p w14:paraId="38094AC9">
            <w:pPr>
              <w:widowControl w:val="0"/>
              <w:jc w:val="both"/>
              <w:rPr>
                <w:b/>
              </w:rPr>
            </w:pPr>
            <w:r>
              <w:rPr>
                <w:b/>
              </w:rPr>
              <w:t>2.标准实训台</w:t>
            </w:r>
          </w:p>
          <w:p w14:paraId="556E453E">
            <w:pPr>
              <w:widowControl w:val="0"/>
              <w:jc w:val="both"/>
            </w:pPr>
            <w:r>
              <w:rPr>
                <w:rFonts w:hint="eastAsia" w:ascii="宋体" w:hAnsi="宋体" w:cs="宋体"/>
                <w:b/>
                <w:bCs/>
                <w:color w:val="000000"/>
                <w:spacing w:val="-1"/>
                <w:sz w:val="24"/>
              </w:rPr>
              <w:t>▲</w:t>
            </w:r>
            <w:r>
              <w:rPr>
                <w:rFonts w:hint="eastAsia"/>
              </w:rPr>
              <w:t>标准实训台由铝型材搭建而成，可为机器人、示教器、功能模块的安装提供标准的安装接口，保证稳定牢固。实训台预留有人机界面、双端荧光灯</w:t>
            </w:r>
            <w:r>
              <w:rPr>
                <w:rFonts w:hint="eastAsia"/>
                <w:lang w:eastAsia="zh-CN"/>
              </w:rPr>
              <w:t>、</w:t>
            </w:r>
            <w:r>
              <w:rPr>
                <w:rFonts w:hint="eastAsia"/>
              </w:rPr>
              <w:t>标准气源和电气接口安装位置，根据模块的使用情况进行功能的扩展，同时为机器人、功能模块、功能套件提供稳定的电源，平台上可牢固安装多种功能模块。</w:t>
            </w:r>
            <w:r>
              <w:t>实训台尺寸</w:t>
            </w:r>
            <w:r>
              <w:rPr>
                <w:color w:val="000000"/>
                <w:szCs w:val="21"/>
              </w:rPr>
              <w:t>（长×宽×高）</w:t>
            </w:r>
            <w:r>
              <w:t>：</w:t>
            </w:r>
            <w:r>
              <w:rPr>
                <w:color w:val="000000"/>
              </w:rPr>
              <w:t>≥</w:t>
            </w:r>
            <w:r>
              <w:t>1230×1160×870mm</w:t>
            </w:r>
            <w:r>
              <w:rPr>
                <w:rFonts w:hint="eastAsia"/>
                <w:lang w:eastAsia="zh-CN"/>
              </w:rPr>
              <w:t>；</w:t>
            </w:r>
            <w:r>
              <w:t>实训模块可任意组合放置，可固定</w:t>
            </w:r>
            <w:r>
              <w:rPr>
                <w:rFonts w:hint="eastAsia"/>
                <w:lang w:eastAsia="zh-CN"/>
              </w:rPr>
              <w:t>。</w:t>
            </w:r>
            <w:r>
              <w:rPr>
                <w:rFonts w:hint="eastAsia"/>
              </w:rPr>
              <w:t>（投标时提供相关证明材料复印件加盖投标单位公章）</w:t>
            </w:r>
          </w:p>
          <w:p w14:paraId="6825C776">
            <w:pPr>
              <w:widowControl w:val="0"/>
              <w:jc w:val="both"/>
              <w:rPr>
                <w:b/>
              </w:rPr>
            </w:pPr>
            <w:r>
              <w:rPr>
                <w:b/>
              </w:rPr>
              <w:t>3.快换工具模块</w:t>
            </w:r>
          </w:p>
          <w:p w14:paraId="6A35856E">
            <w:pPr>
              <w:widowControl w:val="0"/>
              <w:jc w:val="both"/>
            </w:pPr>
            <w:r>
              <w:t>3.1快换支架技术参数：</w:t>
            </w:r>
          </w:p>
          <w:p w14:paraId="183CB8EE">
            <w:pPr>
              <w:widowControl w:val="0"/>
              <w:jc w:val="both"/>
            </w:pPr>
            <w:r>
              <w:rPr>
                <w:rFonts w:hint="eastAsia"/>
                <w:lang w:eastAsia="zh-CN"/>
              </w:rPr>
              <w:t>1）</w:t>
            </w:r>
            <w:r>
              <w:t xml:space="preserve"> 支架外形尺寸</w:t>
            </w:r>
            <w:r>
              <w:rPr>
                <w:color w:val="000000"/>
                <w:szCs w:val="21"/>
              </w:rPr>
              <w:t>（长×宽×高）</w:t>
            </w:r>
            <w:r>
              <w:t>：</w:t>
            </w:r>
            <w:r>
              <w:rPr>
                <w:color w:val="000000"/>
              </w:rPr>
              <w:t>≥300×300×180mm</w:t>
            </w:r>
          </w:p>
          <w:p w14:paraId="3B85CD86">
            <w:pPr>
              <w:widowControl w:val="0"/>
              <w:jc w:val="both"/>
            </w:pPr>
            <w:r>
              <w:t>2）底座尺寸</w:t>
            </w:r>
            <w:r>
              <w:rPr>
                <w:color w:val="000000"/>
                <w:szCs w:val="21"/>
              </w:rPr>
              <w:t>（长×宽×高）</w:t>
            </w:r>
            <w:r>
              <w:t>：</w:t>
            </w:r>
            <w:r>
              <w:rPr>
                <w:color w:val="000000"/>
              </w:rPr>
              <w:t>≥</w:t>
            </w:r>
            <w:r>
              <w:t>300×300×8mm</w:t>
            </w:r>
          </w:p>
          <w:p w14:paraId="5EB193E3">
            <w:pPr>
              <w:widowControl w:val="0"/>
              <w:jc w:val="both"/>
            </w:pPr>
            <w:r>
              <w:rPr>
                <w:rFonts w:hint="eastAsia"/>
                <w:lang w:eastAsia="zh-CN"/>
              </w:rPr>
              <w:t>3）</w:t>
            </w:r>
            <w:r>
              <w:t xml:space="preserve"> 容量：4个快换工具</w:t>
            </w:r>
          </w:p>
          <w:p w14:paraId="4A241FF3">
            <w:pPr>
              <w:widowControl w:val="0"/>
              <w:jc w:val="both"/>
            </w:pPr>
            <w:r>
              <w:t>3.2快换盘技术参数：</w:t>
            </w:r>
          </w:p>
          <w:p w14:paraId="6D10456A">
            <w:pPr>
              <w:widowControl w:val="0"/>
              <w:jc w:val="both"/>
            </w:pPr>
            <w:r>
              <w:rPr>
                <w:rFonts w:hint="eastAsia"/>
                <w:lang w:eastAsia="zh-CN"/>
              </w:rPr>
              <w:t>1）</w:t>
            </w:r>
            <w:r>
              <w:t xml:space="preserve"> 快换装置材质：本体材质铝合金，紧锁机构合金钢</w:t>
            </w:r>
          </w:p>
          <w:p w14:paraId="6680B787">
            <w:pPr>
              <w:widowControl w:val="0"/>
              <w:jc w:val="both"/>
            </w:pPr>
            <w:r>
              <w:t>2) 承重：≥3kg</w:t>
            </w:r>
          </w:p>
          <w:p w14:paraId="5EFF6B9E">
            <w:pPr>
              <w:widowControl w:val="0"/>
              <w:jc w:val="both"/>
            </w:pPr>
            <w:r>
              <w:rPr>
                <w:rFonts w:hint="eastAsia"/>
                <w:lang w:eastAsia="zh-CN"/>
              </w:rPr>
              <w:t>3）</w:t>
            </w:r>
            <w:r>
              <w:t xml:space="preserve"> 允许力矩：≥20N·m</w:t>
            </w:r>
          </w:p>
          <w:p w14:paraId="7E3FE610">
            <w:pPr>
              <w:widowControl w:val="0"/>
              <w:jc w:val="both"/>
            </w:pPr>
            <w:r>
              <w:rPr>
                <w:rFonts w:hint="eastAsia"/>
                <w:lang w:eastAsia="zh-CN"/>
              </w:rPr>
              <w:t>4）</w:t>
            </w:r>
            <w:r>
              <w:t xml:space="preserve"> 工作压力：0</w:t>
            </w:r>
            <w:r>
              <w:rPr>
                <w:color w:val="000000"/>
              </w:rPr>
              <w:t>.3-1MPa</w:t>
            </w:r>
          </w:p>
          <w:p w14:paraId="496D64B2">
            <w:pPr>
              <w:widowControl w:val="0"/>
              <w:jc w:val="both"/>
            </w:pPr>
            <w:r>
              <w:t>5) 重量：≤0.5kg</w:t>
            </w:r>
          </w:p>
          <w:p w14:paraId="78550729">
            <w:pPr>
              <w:widowControl w:val="0"/>
              <w:jc w:val="both"/>
            </w:pPr>
            <w:r>
              <w:t>3.3单吸盘工具技术参数：</w:t>
            </w:r>
          </w:p>
          <w:p w14:paraId="6B97890D">
            <w:pPr>
              <w:widowControl w:val="0"/>
              <w:jc w:val="both"/>
            </w:pPr>
            <w:r>
              <w:rPr>
                <w:rFonts w:hint="eastAsia"/>
                <w:lang w:eastAsia="zh-CN"/>
              </w:rPr>
              <w:t>1）</w:t>
            </w:r>
            <w:r>
              <w:t xml:space="preserve"> 吸盘盘径：10mm</w:t>
            </w:r>
          </w:p>
          <w:p w14:paraId="3D5FA863">
            <w:pPr>
              <w:widowControl w:val="0"/>
              <w:jc w:val="both"/>
            </w:pPr>
            <w:r>
              <w:t>2) 吸附力</w:t>
            </w:r>
            <w:r>
              <w:rPr>
                <w:rFonts w:hint="eastAsia"/>
              </w:rPr>
              <w:t>：</w:t>
            </w:r>
            <w:r>
              <w:t>≥10N</w:t>
            </w:r>
          </w:p>
          <w:p w14:paraId="4264710A">
            <w:pPr>
              <w:widowControl w:val="0"/>
              <w:jc w:val="both"/>
            </w:pPr>
            <w:r>
              <w:rPr>
                <w:rFonts w:hint="eastAsia"/>
                <w:lang w:eastAsia="zh-CN"/>
              </w:rPr>
              <w:t>3）</w:t>
            </w:r>
            <w:r>
              <w:t xml:space="preserve"> </w:t>
            </w:r>
            <w:r>
              <w:rPr>
                <w:rFonts w:hint="eastAsia"/>
              </w:rPr>
              <w:t>配件：</w:t>
            </w:r>
            <w:r>
              <w:t>真空发生器和电磁阀</w:t>
            </w:r>
          </w:p>
          <w:p w14:paraId="1A486CAB">
            <w:pPr>
              <w:widowControl w:val="0"/>
              <w:jc w:val="both"/>
            </w:pPr>
            <w:r>
              <w:t>3.4电机手爪工具技术参数：</w:t>
            </w:r>
          </w:p>
          <w:p w14:paraId="23859349">
            <w:pPr>
              <w:widowControl w:val="0"/>
              <w:jc w:val="both"/>
            </w:pPr>
            <w:r>
              <w:rPr>
                <w:rFonts w:hint="eastAsia"/>
                <w:lang w:eastAsia="zh-CN"/>
              </w:rPr>
              <w:t>1）</w:t>
            </w:r>
            <w:r>
              <w:t xml:space="preserve"> 气缸缸径：≥12mm</w:t>
            </w:r>
          </w:p>
          <w:p w14:paraId="4B60F61C">
            <w:pPr>
              <w:widowControl w:val="0"/>
              <w:jc w:val="both"/>
            </w:pPr>
            <w:r>
              <w:t>2) 行程：≥24mm</w:t>
            </w:r>
          </w:p>
          <w:p w14:paraId="0BB950ED">
            <w:pPr>
              <w:widowControl w:val="0"/>
              <w:jc w:val="both"/>
            </w:pPr>
            <w:r>
              <w:t>3.5关节手爪工具技术参数：</w:t>
            </w:r>
          </w:p>
          <w:p w14:paraId="0E2B8298">
            <w:pPr>
              <w:widowControl w:val="0"/>
              <w:jc w:val="both"/>
            </w:pPr>
            <w:r>
              <w:rPr>
                <w:rFonts w:hint="eastAsia"/>
                <w:lang w:eastAsia="zh-CN"/>
              </w:rPr>
              <w:t>1）</w:t>
            </w:r>
            <w:r>
              <w:t xml:space="preserve"> 气缸缸径：≥12mm</w:t>
            </w:r>
          </w:p>
          <w:p w14:paraId="0E8E683D">
            <w:pPr>
              <w:widowControl w:val="0"/>
              <w:jc w:val="both"/>
            </w:pPr>
            <w:r>
              <w:t>2) 行程：≥24mm</w:t>
            </w:r>
          </w:p>
          <w:p w14:paraId="5D52607E">
            <w:pPr>
              <w:widowControl w:val="0"/>
              <w:jc w:val="both"/>
            </w:pPr>
            <w:r>
              <w:t>3.6</w:t>
            </w:r>
            <w:r>
              <w:rPr>
                <w:rFonts w:hint="eastAsia"/>
              </w:rPr>
              <w:t>激光笔</w:t>
            </w:r>
            <w:r>
              <w:t>工具</w:t>
            </w:r>
          </w:p>
          <w:p w14:paraId="2FFD4521">
            <w:pPr>
              <w:widowControl w:val="0"/>
              <w:jc w:val="both"/>
            </w:pPr>
            <w:r>
              <w:rPr>
                <w:rFonts w:hint="eastAsia"/>
              </w:rPr>
              <w:t>数量：1套</w:t>
            </w:r>
          </w:p>
          <w:p w14:paraId="2C7E35B1">
            <w:pPr>
              <w:widowControl w:val="0"/>
              <w:jc w:val="both"/>
              <w:rPr>
                <w:b/>
              </w:rPr>
            </w:pPr>
            <w:r>
              <w:rPr>
                <w:rFonts w:hint="eastAsia" w:ascii="宋体" w:hAnsi="宋体" w:cs="宋体"/>
                <w:b/>
                <w:bCs/>
                <w:color w:val="000000"/>
                <w:spacing w:val="-1"/>
                <w:sz w:val="24"/>
              </w:rPr>
              <w:t>▲</w:t>
            </w:r>
            <w:r>
              <w:rPr>
                <w:b/>
              </w:rPr>
              <w:t>4.样件套装：</w:t>
            </w:r>
            <w:r>
              <w:rPr>
                <w:rFonts w:hint="eastAsia"/>
              </w:rPr>
              <w:t>（投标时提供相关证明材料复印件加盖投标单位公章）</w:t>
            </w:r>
          </w:p>
          <w:p w14:paraId="20BA8B71">
            <w:pPr>
              <w:widowControl w:val="0"/>
              <w:jc w:val="both"/>
            </w:pPr>
            <w:r>
              <w:t>4.1</w:t>
            </w:r>
            <w:r>
              <w:rPr>
                <w:rFonts w:hint="eastAsia"/>
              </w:rPr>
              <w:t>样件</w:t>
            </w:r>
            <w:r>
              <w:t>套件技术参数：</w:t>
            </w:r>
          </w:p>
          <w:p w14:paraId="41576478">
            <w:pPr>
              <w:widowControl w:val="0"/>
              <w:jc w:val="both"/>
              <w:rPr>
                <w:lang w:val="zh-CN"/>
              </w:rPr>
            </w:pPr>
            <w:r>
              <w:rPr>
                <w:rFonts w:hint="eastAsia"/>
                <w:lang w:eastAsia="zh-CN"/>
              </w:rPr>
              <w:t>1）</w:t>
            </w:r>
            <w:r>
              <w:t xml:space="preserve"> </w:t>
            </w:r>
            <w:r>
              <w:rPr>
                <w:rFonts w:hint="eastAsia"/>
              </w:rPr>
              <w:t>颜色种类</w:t>
            </w:r>
            <w:r>
              <w:t>：</w:t>
            </w:r>
            <w:r>
              <w:rPr>
                <w:color w:val="000000"/>
                <w:szCs w:val="21"/>
              </w:rPr>
              <w:t>3种（红、黄、蓝）</w:t>
            </w:r>
          </w:p>
          <w:p w14:paraId="3521A652">
            <w:pPr>
              <w:widowControl w:val="0"/>
              <w:jc w:val="both"/>
            </w:pPr>
            <w:r>
              <w:t xml:space="preserve">2) </w:t>
            </w:r>
            <w:r>
              <w:rPr>
                <w:rFonts w:hint="eastAsia"/>
              </w:rPr>
              <w:t>配置数量</w:t>
            </w:r>
            <w:r>
              <w:t>：</w:t>
            </w:r>
            <w:r>
              <w:rPr>
                <w:color w:val="000000"/>
                <w:szCs w:val="21"/>
              </w:rPr>
              <w:t>4</w:t>
            </w:r>
            <w:r>
              <w:rPr>
                <w:rFonts w:hint="eastAsia"/>
                <w:color w:val="000000"/>
                <w:szCs w:val="21"/>
              </w:rPr>
              <w:t>个/套，</w:t>
            </w:r>
            <w:r>
              <w:rPr>
                <w:color w:val="000000"/>
                <w:szCs w:val="21"/>
              </w:rPr>
              <w:t>9套</w:t>
            </w:r>
            <w:r>
              <w:rPr>
                <w:rFonts w:hint="eastAsia"/>
                <w:color w:val="000000"/>
                <w:szCs w:val="21"/>
              </w:rPr>
              <w:t>（三种颜色各3套）</w:t>
            </w:r>
          </w:p>
          <w:p w14:paraId="172E668B">
            <w:pPr>
              <w:widowControl w:val="0"/>
              <w:jc w:val="both"/>
            </w:pPr>
            <w:r>
              <w:rPr>
                <w:rFonts w:hint="eastAsia"/>
                <w:lang w:eastAsia="zh-CN"/>
              </w:rPr>
              <w:t>3）</w:t>
            </w:r>
            <w:r>
              <w:t xml:space="preserve"> 可完全组装或自定义组装。</w:t>
            </w:r>
          </w:p>
          <w:p w14:paraId="639981F2">
            <w:pPr>
              <w:widowControl w:val="0"/>
              <w:jc w:val="both"/>
            </w:pPr>
            <w:r>
              <w:t>4.2码垛</w:t>
            </w:r>
            <w:r>
              <w:rPr>
                <w:rFonts w:hint="eastAsia"/>
              </w:rPr>
              <w:t>样件</w:t>
            </w:r>
            <w:r>
              <w:t>技术参数：</w:t>
            </w:r>
          </w:p>
          <w:p w14:paraId="57852E03">
            <w:pPr>
              <w:widowControl w:val="0"/>
              <w:jc w:val="both"/>
            </w:pPr>
            <w:r>
              <w:rPr>
                <w:rFonts w:hint="eastAsia"/>
                <w:lang w:eastAsia="zh-CN"/>
              </w:rPr>
              <w:t>1）</w:t>
            </w:r>
            <w:r>
              <w:t xml:space="preserve"> 零件种类：≥2种（方形、矩形）</w:t>
            </w:r>
          </w:p>
          <w:p w14:paraId="1313132E">
            <w:pPr>
              <w:widowControl w:val="0"/>
              <w:jc w:val="both"/>
            </w:pPr>
            <w:r>
              <w:rPr>
                <w:rFonts w:hint="eastAsia"/>
              </w:rPr>
              <w:t>2）方形零件颜色及数量：红色，27个</w:t>
            </w:r>
          </w:p>
          <w:p w14:paraId="0A29D11C">
            <w:pPr>
              <w:widowControl w:val="0"/>
              <w:jc w:val="both"/>
            </w:pPr>
            <w:r>
              <w:t>3</w:t>
            </w:r>
            <w:r>
              <w:rPr>
                <w:rFonts w:hint="eastAsia"/>
              </w:rPr>
              <w:t>）方形零件尺寸（长×宽×高）：</w:t>
            </w:r>
            <w:r>
              <w:rPr>
                <w:rFonts w:hint="eastAsia"/>
              </w:rPr>
              <w:tab/>
            </w:r>
            <w:r>
              <w:rPr>
                <w:rFonts w:hint="eastAsia"/>
              </w:rPr>
              <w:t>30×30×6mm</w:t>
            </w:r>
          </w:p>
          <w:p w14:paraId="13FB7E3C">
            <w:pPr>
              <w:widowControl w:val="0"/>
              <w:jc w:val="both"/>
            </w:pPr>
            <w:r>
              <w:t>4</w:t>
            </w:r>
            <w:r>
              <w:rPr>
                <w:rFonts w:hint="eastAsia"/>
              </w:rPr>
              <w:t>）矩形零件颜色及数量：蓝色，16个</w:t>
            </w:r>
          </w:p>
          <w:p w14:paraId="12F7E691">
            <w:pPr>
              <w:widowControl w:val="0"/>
              <w:jc w:val="both"/>
            </w:pPr>
            <w:r>
              <w:t>5</w:t>
            </w:r>
            <w:r>
              <w:rPr>
                <w:rFonts w:hint="eastAsia"/>
              </w:rPr>
              <w:t>）矩形零件尺寸（长×宽×高）：</w:t>
            </w:r>
            <w:r>
              <w:rPr>
                <w:rFonts w:hint="eastAsia"/>
              </w:rPr>
              <w:tab/>
            </w:r>
            <w:r>
              <w:rPr>
                <w:rFonts w:hint="eastAsia"/>
              </w:rPr>
              <w:t>30×15×6mm</w:t>
            </w:r>
          </w:p>
          <w:p w14:paraId="28090933">
            <w:pPr>
              <w:widowControl w:val="0"/>
              <w:jc w:val="both"/>
              <w:rPr>
                <w:b/>
              </w:rPr>
            </w:pPr>
            <w:r>
              <w:rPr>
                <w:b/>
              </w:rPr>
              <w:t>5.搬运模块</w:t>
            </w:r>
          </w:p>
          <w:p w14:paraId="6BC6F89A">
            <w:pPr>
              <w:widowControl w:val="0"/>
              <w:jc w:val="both"/>
            </w:pPr>
            <w:r>
              <w:t>机器人通过选择对应工具，实现</w:t>
            </w:r>
            <w:r>
              <w:rPr>
                <w:rFonts w:hint="eastAsia"/>
              </w:rPr>
              <w:t>C</w:t>
            </w:r>
            <w:r>
              <w:t>PU</w:t>
            </w:r>
            <w:r>
              <w:rPr>
                <w:rFonts w:hint="eastAsia"/>
              </w:rPr>
              <w:t>、电容、三极管等</w:t>
            </w:r>
            <w:r>
              <w:t>物料的搬运。</w:t>
            </w:r>
          </w:p>
          <w:p w14:paraId="414712FC">
            <w:pPr>
              <w:widowControl w:val="0"/>
              <w:jc w:val="both"/>
            </w:pPr>
            <w:r>
              <w:t>主要技术参数：</w:t>
            </w:r>
          </w:p>
          <w:p w14:paraId="0C6EEA95">
            <w:pPr>
              <w:widowControl w:val="0"/>
              <w:jc w:val="both"/>
            </w:pPr>
            <w:r>
              <w:rPr>
                <w:rFonts w:hint="eastAsia"/>
                <w:lang w:eastAsia="zh-CN"/>
              </w:rPr>
              <w:t>1）</w:t>
            </w:r>
            <w:r>
              <w:t xml:space="preserve"> 外形尺寸</w:t>
            </w:r>
            <w:r>
              <w:rPr>
                <w:color w:val="000000"/>
                <w:szCs w:val="21"/>
              </w:rPr>
              <w:t>（长×宽×高）</w:t>
            </w:r>
            <w:r>
              <w:t>：</w:t>
            </w:r>
            <w:r>
              <w:rPr>
                <w:color w:val="000000"/>
              </w:rPr>
              <w:t>≥</w:t>
            </w:r>
            <w:r>
              <w:t>300×300×10mm</w:t>
            </w:r>
          </w:p>
          <w:p w14:paraId="50FEDA37">
            <w:pPr>
              <w:widowControl w:val="0"/>
              <w:jc w:val="both"/>
            </w:pPr>
            <w:r>
              <w:t>2) 适配标准实训台定位安装</w:t>
            </w:r>
          </w:p>
          <w:p w14:paraId="65D59C72">
            <w:pPr>
              <w:widowControl w:val="0"/>
              <w:jc w:val="both"/>
              <w:rPr>
                <w:b/>
              </w:rPr>
            </w:pPr>
            <w:r>
              <w:rPr>
                <w:b/>
              </w:rPr>
              <w:t>6.码垛模块</w:t>
            </w:r>
          </w:p>
          <w:p w14:paraId="51A8F0FF">
            <w:pPr>
              <w:widowControl w:val="0"/>
              <w:jc w:val="both"/>
              <w:rPr>
                <w:b/>
              </w:rPr>
            </w:pPr>
            <w:r>
              <w:t>机器人通过吸盘工具按要求</w:t>
            </w:r>
            <w:r>
              <w:rPr>
                <w:rFonts w:hint="eastAsia"/>
              </w:rPr>
              <w:t>分别</w:t>
            </w:r>
            <w:r>
              <w:t>拾取方形和</w:t>
            </w:r>
            <w:r>
              <w:rPr>
                <w:rFonts w:hint="eastAsia"/>
              </w:rPr>
              <w:t>矩</w:t>
            </w:r>
            <w:r>
              <w:t>形两种码垛样件</w:t>
            </w:r>
            <w:r>
              <w:rPr>
                <w:rFonts w:hint="eastAsia"/>
              </w:rPr>
              <w:t>，</w:t>
            </w:r>
            <w:r>
              <w:t>进行码垛任务，自由组合码垛出多种形状。</w:t>
            </w:r>
          </w:p>
          <w:p w14:paraId="37153F94">
            <w:pPr>
              <w:widowControl w:val="0"/>
              <w:jc w:val="both"/>
            </w:pPr>
            <w:r>
              <w:t>主要技术参数：</w:t>
            </w:r>
          </w:p>
          <w:p w14:paraId="1955220E">
            <w:pPr>
              <w:widowControl w:val="0"/>
              <w:jc w:val="both"/>
            </w:pPr>
            <w:r>
              <w:rPr>
                <w:rFonts w:hint="eastAsia"/>
                <w:lang w:eastAsia="zh-CN"/>
              </w:rPr>
              <w:t>1）</w:t>
            </w:r>
            <w:r>
              <w:t xml:space="preserve"> 外形尺寸</w:t>
            </w:r>
            <w:r>
              <w:rPr>
                <w:color w:val="000000"/>
                <w:szCs w:val="21"/>
              </w:rPr>
              <w:t>（长×宽×高）</w:t>
            </w:r>
            <w:r>
              <w:t>：</w:t>
            </w:r>
            <w:r>
              <w:rPr>
                <w:color w:val="000000"/>
              </w:rPr>
              <w:t>≥</w:t>
            </w:r>
            <w:r>
              <w:t>300×300×120mm</w:t>
            </w:r>
          </w:p>
          <w:p w14:paraId="1A85A23C">
            <w:pPr>
              <w:widowControl w:val="0"/>
              <w:jc w:val="both"/>
            </w:pPr>
            <w:r>
              <w:t>2) 适配标准实训台定位安装</w:t>
            </w:r>
          </w:p>
          <w:p w14:paraId="1C74A83A">
            <w:pPr>
              <w:widowControl w:val="0"/>
              <w:jc w:val="both"/>
            </w:pPr>
            <w:r>
              <w:rPr>
                <w:rFonts w:hint="eastAsia"/>
                <w:lang w:eastAsia="zh-CN"/>
              </w:rPr>
              <w:t>3）</w:t>
            </w:r>
            <w:r>
              <w:t xml:space="preserve"> </w:t>
            </w:r>
            <w:r>
              <w:rPr>
                <w:rFonts w:hint="eastAsia"/>
              </w:rPr>
              <w:t>码垛</w:t>
            </w:r>
            <w:r>
              <w:t>零件：矩形工件、方形工件，可混装</w:t>
            </w:r>
          </w:p>
          <w:p w14:paraId="0EE41026">
            <w:pPr>
              <w:widowControl w:val="0"/>
              <w:jc w:val="both"/>
              <w:rPr>
                <w:rFonts w:hint="eastAsia"/>
                <w:b/>
                <w:bCs/>
                <w:lang w:val="en-US" w:eastAsia="zh-CN"/>
              </w:rPr>
            </w:pPr>
            <w:r>
              <w:rPr>
                <w:rFonts w:hint="eastAsia"/>
                <w:b/>
                <w:bCs/>
                <w:lang w:val="en-US" w:eastAsia="zh-CN"/>
              </w:rPr>
              <w:t>7.机器人数据采集软件</w:t>
            </w:r>
          </w:p>
          <w:p w14:paraId="54ECE4EE">
            <w:pPr>
              <w:widowControl w:val="0"/>
              <w:jc w:val="both"/>
              <w:rPr>
                <w:rFonts w:hint="eastAsia"/>
                <w:lang w:val="en-US" w:eastAsia="zh-CN"/>
              </w:rPr>
            </w:pPr>
            <w:r>
              <w:rPr>
                <w:rFonts w:hint="eastAsia"/>
                <w:lang w:val="en-US" w:eastAsia="zh-CN"/>
              </w:rPr>
              <w:t>机器人数据采集软件采用C# 语言进行开发设计，支持各种不同品牌的机器人数据采集，并将这些数据统一转换为OPC UA 通用协议，可保证数据传输的安全性。软件可实时采集机器人IO 信号、关节坐标等数据。为MES 系统、数字孪生软件、数据可视化看板等第三方软件或系统提供机器人实时运行数据。</w:t>
            </w:r>
          </w:p>
          <w:p w14:paraId="4338CCE8">
            <w:pPr>
              <w:widowControl w:val="0"/>
              <w:jc w:val="both"/>
              <w:rPr>
                <w:rFonts w:hint="eastAsia"/>
                <w:lang w:val="en-US" w:eastAsia="zh-CN"/>
              </w:rPr>
            </w:pPr>
            <w:r>
              <w:rPr>
                <w:rFonts w:hint="eastAsia"/>
                <w:lang w:val="en-US" w:eastAsia="zh-CN"/>
              </w:rPr>
              <w:t>软件功能：</w:t>
            </w:r>
          </w:p>
          <w:p w14:paraId="09508A8A">
            <w:pPr>
              <w:widowControl w:val="0"/>
              <w:numPr>
                <w:ilvl w:val="0"/>
                <w:numId w:val="4"/>
              </w:numPr>
              <w:jc w:val="both"/>
              <w:rPr>
                <w:rFonts w:hint="eastAsia"/>
                <w:lang w:val="en-US" w:eastAsia="zh-CN"/>
              </w:rPr>
            </w:pPr>
            <w:r>
              <w:rPr>
                <w:rFonts w:hint="eastAsia"/>
                <w:lang w:val="en-US" w:eastAsia="zh-CN"/>
              </w:rPr>
              <w:t>支持ABB、法奥、fanuc、多个不同版本不同品牌机器人的数据采集；</w:t>
            </w:r>
          </w:p>
          <w:p w14:paraId="562E9776">
            <w:pPr>
              <w:widowControl w:val="0"/>
              <w:numPr>
                <w:ilvl w:val="0"/>
                <w:numId w:val="0"/>
              </w:numPr>
              <w:jc w:val="both"/>
              <w:rPr>
                <w:rFonts w:hint="eastAsia"/>
                <w:b/>
                <w:bCs/>
                <w:lang w:val="en-US" w:eastAsia="zh-CN"/>
              </w:rPr>
            </w:pPr>
            <w:r>
              <w:rPr>
                <w:rFonts w:hint="eastAsia"/>
                <w:b/>
                <w:bCs/>
                <w:lang w:val="en-US" w:eastAsia="zh-CN"/>
              </w:rPr>
              <w:t>（投标时提供软件功能演示视频）</w:t>
            </w:r>
          </w:p>
          <w:p w14:paraId="61336349">
            <w:pPr>
              <w:widowControl w:val="0"/>
              <w:jc w:val="both"/>
              <w:rPr>
                <w:rFonts w:hint="eastAsia"/>
                <w:lang w:val="en-US" w:eastAsia="zh-CN"/>
              </w:rPr>
            </w:pPr>
            <w:r>
              <w:rPr>
                <w:rFonts w:hint="eastAsia"/>
                <w:lang w:val="en-US" w:eastAsia="zh-CN"/>
              </w:rPr>
              <w:t>2）软件支持开机启动，可支持后台自动运行，可快速在界面切换不同品牌不同型号的机器人设备；</w:t>
            </w:r>
          </w:p>
          <w:p w14:paraId="17241A0F">
            <w:pPr>
              <w:widowControl w:val="0"/>
              <w:jc w:val="both"/>
              <w:rPr>
                <w:rFonts w:hint="eastAsia"/>
                <w:lang w:val="en-US" w:eastAsia="zh-CN"/>
              </w:rPr>
            </w:pPr>
            <w:r>
              <w:rPr>
                <w:rFonts w:hint="eastAsia"/>
                <w:lang w:val="en-US" w:eastAsia="zh-CN"/>
              </w:rPr>
              <w:t>3）机器人数据采集周期在10~100ms以内，可为三方软件提供可靠的机器人实时数据。软件运行时，可实时显示当前数据采集周期，可分析出最长和最短采集时间；</w:t>
            </w:r>
          </w:p>
          <w:p w14:paraId="39FBE9A9">
            <w:pPr>
              <w:widowControl w:val="0"/>
              <w:jc w:val="both"/>
              <w:rPr>
                <w:rFonts w:hint="eastAsia"/>
                <w:lang w:val="en-US" w:eastAsia="zh-CN"/>
              </w:rPr>
            </w:pPr>
            <w:r>
              <w:rPr>
                <w:rFonts w:hint="eastAsia"/>
                <w:lang w:val="en-US" w:eastAsia="zh-CN"/>
              </w:rPr>
              <w:t>4）软件可设置将数据发送至同一台计算机的单个网卡和多个网卡，可显示当前绑定网卡的IP地址和当前使用的端口号，利用OPC UA协议实现机器人数据分发和共享；</w:t>
            </w:r>
          </w:p>
          <w:p w14:paraId="09781825">
            <w:pPr>
              <w:widowControl w:val="0"/>
              <w:jc w:val="both"/>
              <w:rPr>
                <w:rFonts w:hint="eastAsia"/>
                <w:lang w:val="en-US" w:eastAsia="zh-CN"/>
              </w:rPr>
            </w:pPr>
            <w:r>
              <w:rPr>
                <w:rFonts w:hint="eastAsia"/>
                <w:lang w:val="en-US" w:eastAsia="zh-CN"/>
              </w:rPr>
              <w:t>5）软件界面可实时显示当前连接机器人的IO列表和当前信号状态，当前OPC UA服务打开状态，以及机器人的当前连接状态和实时关节坐标；</w:t>
            </w:r>
          </w:p>
          <w:p w14:paraId="181F336B">
            <w:pPr>
              <w:widowControl w:val="0"/>
              <w:jc w:val="both"/>
              <w:rPr>
                <w:rFonts w:hint="eastAsia"/>
                <w:lang w:val="en-US" w:eastAsia="zh-CN"/>
              </w:rPr>
            </w:pPr>
            <w:r>
              <w:rPr>
                <w:rFonts w:hint="eastAsia"/>
                <w:lang w:val="en-US" w:eastAsia="zh-CN"/>
              </w:rPr>
              <w:t>6）软件可设置参数，自动对fanuc机器人进行3轴坐标的转换，保持与实际位置情况一致；</w:t>
            </w:r>
          </w:p>
          <w:p w14:paraId="5D43FFC2">
            <w:pPr>
              <w:widowControl w:val="0"/>
              <w:jc w:val="both"/>
              <w:rPr>
                <w:rFonts w:hint="eastAsia"/>
                <w:lang w:val="en-US" w:eastAsia="zh-CN"/>
              </w:rPr>
            </w:pPr>
            <w:r>
              <w:rPr>
                <w:rFonts w:hint="eastAsia"/>
                <w:lang w:val="en-US" w:eastAsia="zh-CN"/>
              </w:rPr>
              <w:t>7）软件可将用户设计的采集对象、软件使用端口、监控IP、连接的机器人型号等参数进行保存，下次打开可自动进行还原用户配置信息进行工作。</w:t>
            </w:r>
          </w:p>
          <w:p w14:paraId="64CDE8B0">
            <w:pPr>
              <w:widowControl w:val="0"/>
              <w:jc w:val="both"/>
              <w:rPr>
                <w:rFonts w:hint="eastAsia"/>
                <w:lang w:val="en-US" w:eastAsia="zh-CN"/>
              </w:rPr>
            </w:pPr>
            <w:r>
              <w:rPr>
                <w:rFonts w:hint="eastAsia"/>
                <w:lang w:val="en-US" w:eastAsia="zh-CN"/>
              </w:rPr>
              <w:t>8）软件采用序列号或加密狗授权，支持对每台电脑进行单独授权。</w:t>
            </w:r>
          </w:p>
          <w:p w14:paraId="3F84D204">
            <w:pPr>
              <w:widowControl w:val="0"/>
              <w:jc w:val="both"/>
              <w:rPr>
                <w:rFonts w:hint="eastAsia"/>
                <w:b/>
                <w:bCs/>
                <w:lang w:val="en-US" w:eastAsia="zh-CN"/>
              </w:rPr>
            </w:pPr>
            <w:r>
              <w:rPr>
                <w:rFonts w:hint="eastAsia"/>
                <w:b w:val="0"/>
                <w:bCs w:val="0"/>
                <w:lang w:val="en-US" w:eastAsia="zh-CN"/>
              </w:rPr>
              <w:t>9）支持通过深度视觉系统进行目标点云分析，对多种堆叠且混乱摆放的物体进行分割与成像，从而引导机械臂进行无序物体的有序抓取</w:t>
            </w:r>
          </w:p>
          <w:p w14:paraId="311CB4C7">
            <w:pPr>
              <w:widowControl w:val="0"/>
              <w:jc w:val="both"/>
              <w:rPr>
                <w:rFonts w:hint="eastAsia"/>
                <w:lang w:val="en-US" w:eastAsia="zh-CN"/>
              </w:rPr>
            </w:pPr>
            <w:r>
              <w:rPr>
                <w:rFonts w:hint="eastAsia"/>
                <w:b/>
                <w:bCs/>
                <w:lang w:val="en-US" w:eastAsia="zh-CN"/>
              </w:rPr>
              <w:t>（投标时提供以上功能演示视频，时长不少于一分钟）</w:t>
            </w:r>
            <w:r>
              <w:rPr>
                <w:rFonts w:hint="eastAsia"/>
                <w:lang w:val="en-US" w:eastAsia="zh-CN"/>
              </w:rPr>
              <w:t>；</w:t>
            </w:r>
          </w:p>
          <w:p w14:paraId="51CDD0FD">
            <w:pPr>
              <w:widowControl w:val="0"/>
              <w:jc w:val="both"/>
              <w:rPr>
                <w:rFonts w:hint="eastAsia"/>
                <w:b w:val="0"/>
                <w:bCs w:val="0"/>
                <w:color w:val="000000"/>
                <w:lang w:val="en-US" w:eastAsia="zh-CN"/>
              </w:rPr>
            </w:pPr>
            <w:r>
              <w:rPr>
                <w:rFonts w:hint="eastAsia" w:ascii="宋体" w:hAnsi="宋体" w:cs="宋体"/>
                <w:b/>
                <w:bCs/>
                <w:color w:val="000000"/>
                <w:spacing w:val="-1"/>
                <w:sz w:val="24"/>
              </w:rPr>
              <w:t>▲</w:t>
            </w:r>
            <w:r>
              <w:rPr>
                <w:rFonts w:hint="eastAsia"/>
                <w:b w:val="0"/>
                <w:bCs w:val="0"/>
                <w:color w:val="000000"/>
                <w:lang w:val="en-US" w:eastAsia="zh-CN"/>
              </w:rPr>
              <w:t>10）提供点云分析与物体分割的算法流程图，并进行说明。同时需对机械臂进行5种以上混乱堆叠物体的抓取过程，分别提供不少于1张现场照片</w:t>
            </w:r>
          </w:p>
          <w:p w14:paraId="7BDDA0E6">
            <w:pPr>
              <w:widowControl w:val="0"/>
              <w:jc w:val="both"/>
              <w:rPr>
                <w:rFonts w:hint="eastAsia"/>
                <w:lang w:val="en-US" w:eastAsia="zh-CN"/>
              </w:rPr>
            </w:pPr>
            <w:r>
              <w:rPr>
                <w:rFonts w:hint="eastAsia"/>
                <w:b/>
                <w:bCs/>
                <w:color w:val="000000"/>
                <w:lang w:val="en-US" w:eastAsia="zh-CN"/>
              </w:rPr>
              <w:t>（投标时提供以上功能演示视频，时长不少于一分钟）</w:t>
            </w:r>
            <w:r>
              <w:rPr>
                <w:rFonts w:hint="eastAsia"/>
                <w:lang w:val="en-US" w:eastAsia="zh-CN"/>
              </w:rPr>
              <w:t>。</w:t>
            </w:r>
          </w:p>
          <w:p w14:paraId="5940D721">
            <w:pPr>
              <w:widowControl w:val="0"/>
              <w:jc w:val="both"/>
              <w:rPr>
                <w:rFonts w:hint="eastAsia"/>
                <w:lang w:val="en-US" w:eastAsia="zh-CN"/>
              </w:rPr>
            </w:pPr>
            <w:r>
              <w:rPr>
                <w:rFonts w:hint="eastAsia"/>
                <w:lang w:val="en-US" w:eastAsia="zh-CN"/>
              </w:rPr>
              <w:t>11）图像识别库具备如下功能：</w:t>
            </w:r>
          </w:p>
          <w:p w14:paraId="133E4A82">
            <w:pPr>
              <w:widowControl w:val="0"/>
              <w:jc w:val="both"/>
              <w:rPr>
                <w:rFonts w:hint="eastAsia"/>
                <w:lang w:val="en-US" w:eastAsia="zh-CN"/>
              </w:rPr>
            </w:pPr>
            <w:r>
              <w:rPr>
                <w:rFonts w:hint="eastAsia" w:ascii="宋体" w:hAnsi="宋体" w:cs="宋体"/>
                <w:b/>
                <w:bCs/>
                <w:color w:val="000000"/>
                <w:spacing w:val="-1"/>
                <w:sz w:val="24"/>
              </w:rPr>
              <w:t>▲</w:t>
            </w:r>
            <w:r>
              <w:rPr>
                <w:rFonts w:hint="eastAsia"/>
                <w:lang w:val="en-US" w:eastAsia="zh-CN"/>
              </w:rPr>
              <w:t>①提供人脸关键点检测案例：精准定位包括脸颊、眉、眼、口、鼻等人脸五官及轮廓的14个关键点（</w:t>
            </w:r>
            <w:r>
              <w:rPr>
                <w:rFonts w:hint="eastAsia"/>
              </w:rPr>
              <w:t>投标时提供相关证明材料复印件加盖投标单位公章</w:t>
            </w:r>
            <w:r>
              <w:rPr>
                <w:rFonts w:hint="eastAsia"/>
                <w:lang w:val="en-US" w:eastAsia="zh-CN"/>
              </w:rPr>
              <w:t>）；</w:t>
            </w:r>
          </w:p>
          <w:p w14:paraId="3353B803">
            <w:pPr>
              <w:widowControl w:val="0"/>
              <w:jc w:val="both"/>
              <w:rPr>
                <w:rFonts w:hint="eastAsia"/>
                <w:lang w:val="en-US" w:eastAsia="zh-CN"/>
              </w:rPr>
            </w:pPr>
            <w:r>
              <w:rPr>
                <w:rFonts w:hint="eastAsia" w:ascii="宋体" w:hAnsi="宋体" w:cs="宋体"/>
                <w:b/>
                <w:bCs/>
                <w:color w:val="000000"/>
                <w:spacing w:val="-1"/>
                <w:sz w:val="24"/>
              </w:rPr>
              <w:t>▲</w:t>
            </w:r>
            <w:r>
              <w:rPr>
                <w:rFonts w:hint="eastAsia"/>
                <w:lang w:val="en-US" w:eastAsia="zh-CN"/>
              </w:rPr>
              <w:t>②提供行人检测案例：通过深度视觉系统快速检测通过行人并进行标记，支持同时检测多个行人（</w:t>
            </w:r>
            <w:r>
              <w:rPr>
                <w:rFonts w:hint="eastAsia"/>
              </w:rPr>
              <w:t>投标时提供相关证明材料复印件加盖投标单位公章</w:t>
            </w:r>
            <w:r>
              <w:rPr>
                <w:rFonts w:hint="eastAsia"/>
                <w:lang w:eastAsia="zh-CN"/>
              </w:rPr>
              <w:t>）</w:t>
            </w:r>
            <w:r>
              <w:rPr>
                <w:rFonts w:hint="eastAsia"/>
                <w:lang w:val="en-US" w:eastAsia="zh-CN"/>
              </w:rPr>
              <w:t>；</w:t>
            </w:r>
          </w:p>
          <w:p w14:paraId="46EC9094">
            <w:pPr>
              <w:widowControl w:val="0"/>
              <w:jc w:val="both"/>
              <w:rPr>
                <w:rFonts w:hint="eastAsia"/>
                <w:lang w:val="en-US" w:eastAsia="zh-CN"/>
              </w:rPr>
            </w:pPr>
            <w:r>
              <w:rPr>
                <w:rFonts w:hint="eastAsia" w:ascii="宋体" w:hAnsi="宋体" w:cs="宋体"/>
                <w:b/>
                <w:bCs/>
                <w:color w:val="000000"/>
                <w:spacing w:val="-1"/>
                <w:sz w:val="24"/>
              </w:rPr>
              <w:t>▲</w:t>
            </w:r>
            <w:r>
              <w:rPr>
                <w:rFonts w:hint="eastAsia"/>
                <w:lang w:val="en-US" w:eastAsia="zh-CN"/>
              </w:rPr>
              <w:t>③提供手部动作识别案例：支持识别多种手势的动作和方向，可精准定位手部的五个关键点，识别V字、点赞、五指、拳头等手势（</w:t>
            </w:r>
            <w:r>
              <w:rPr>
                <w:rFonts w:hint="eastAsia"/>
              </w:rPr>
              <w:t>投标时提供相关证明材料复印件加盖投标单位公章</w:t>
            </w:r>
            <w:r>
              <w:rPr>
                <w:rFonts w:hint="eastAsia"/>
                <w:lang w:eastAsia="zh-CN"/>
              </w:rPr>
              <w:t>）</w:t>
            </w:r>
            <w:r>
              <w:rPr>
                <w:rFonts w:hint="eastAsia"/>
                <w:lang w:val="en-US" w:eastAsia="zh-CN"/>
              </w:rPr>
              <w:t>；</w:t>
            </w:r>
          </w:p>
          <w:p w14:paraId="67DB3EF5">
            <w:pPr>
              <w:widowControl w:val="0"/>
              <w:jc w:val="both"/>
              <w:rPr>
                <w:rFonts w:hint="default"/>
                <w:lang w:val="en-US" w:eastAsia="zh-CN"/>
              </w:rPr>
            </w:pPr>
            <w:r>
              <w:rPr>
                <w:rFonts w:hint="eastAsia" w:ascii="宋体" w:hAnsi="宋体" w:cs="宋体"/>
                <w:b/>
                <w:bCs/>
                <w:color w:val="000000"/>
                <w:spacing w:val="-1"/>
                <w:sz w:val="24"/>
              </w:rPr>
              <w:t>▲</w:t>
            </w:r>
            <w:r>
              <w:rPr>
                <w:rFonts w:hint="eastAsia"/>
                <w:lang w:val="en-US" w:eastAsia="zh-CN"/>
              </w:rPr>
              <w:t>④支持人脸特征提取案例，可快速提取人脸特征信息并录入系统（</w:t>
            </w:r>
            <w:r>
              <w:rPr>
                <w:rFonts w:hint="eastAsia"/>
              </w:rPr>
              <w:t>投标时提供相关证明材料复印件加盖投标单位公章</w:t>
            </w:r>
            <w:r>
              <w:rPr>
                <w:rFonts w:hint="eastAsia"/>
                <w:lang w:eastAsia="zh-CN"/>
              </w:rPr>
              <w:t>）</w:t>
            </w:r>
          </w:p>
          <w:p w14:paraId="5516988C">
            <w:pPr>
              <w:widowControl w:val="0"/>
              <w:jc w:val="both"/>
            </w:pPr>
            <w:r>
              <w:rPr>
                <w:rFonts w:hint="eastAsia" w:ascii="宋体" w:hAnsi="宋体" w:cs="宋体"/>
                <w:b/>
                <w:bCs/>
                <w:color w:val="000000"/>
                <w:spacing w:val="-1"/>
                <w:sz w:val="24"/>
              </w:rPr>
              <w:t>▲</w:t>
            </w:r>
            <w:r>
              <w:rPr>
                <w:rFonts w:hint="eastAsia"/>
                <w:lang w:val="en-US" w:eastAsia="zh-CN"/>
              </w:rPr>
              <w:t>13）投标时，需提供专业测试机构（测试机构需取得“中国合格评定国家认可委员会（CNAS）” 实验室认可证书资质）出具的带有“CNAS”标志的本软件测试报告（复印件）。</w:t>
            </w:r>
          </w:p>
          <w:p w14:paraId="06C865A0">
            <w:pPr>
              <w:widowControl w:val="0"/>
              <w:jc w:val="both"/>
              <w:rPr>
                <w:b/>
              </w:rPr>
            </w:pPr>
            <w:r>
              <w:rPr>
                <w:rFonts w:hint="eastAsia"/>
                <w:b/>
                <w:lang w:val="en-US" w:eastAsia="zh-CN"/>
              </w:rPr>
              <w:t>7.</w:t>
            </w:r>
            <w:r>
              <w:rPr>
                <w:b/>
              </w:rPr>
              <w:t>人机界面主要技术参数：</w:t>
            </w:r>
          </w:p>
          <w:p w14:paraId="1A652430">
            <w:r>
              <w:rPr>
                <w:rFonts w:hint="eastAsia" w:ascii="Calibri" w:hAnsi="Calibri"/>
                <w:szCs w:val="22"/>
              </w:rPr>
              <w:t>1）</w:t>
            </w:r>
            <w:r>
              <w:rPr>
                <w:rFonts w:hint="eastAsia" w:ascii="Calibri" w:hAnsi="Calibri"/>
                <w:szCs w:val="22"/>
                <w:lang w:val="en-US" w:eastAsia="zh-CN"/>
              </w:rPr>
              <w:t>屏幕</w:t>
            </w:r>
            <w:r>
              <w:rPr>
                <w:rFonts w:hint="eastAsia"/>
              </w:rPr>
              <w:t>：10.</w:t>
            </w:r>
            <w:r>
              <w:t>1</w:t>
            </w:r>
            <w:r>
              <w:rPr>
                <w:rFonts w:hint="eastAsia"/>
              </w:rPr>
              <w:t>英寸TFT</w:t>
            </w:r>
          </w:p>
          <w:p w14:paraId="7CBD2BAF">
            <w:pPr>
              <w:ind w:left="420" w:hanging="420"/>
            </w:pPr>
            <w:r>
              <w:rPr>
                <w:rFonts w:hint="eastAsia" w:ascii="Calibri" w:hAnsi="Calibri"/>
                <w:szCs w:val="22"/>
              </w:rPr>
              <w:t>2）</w:t>
            </w:r>
            <w:r>
              <w:rPr>
                <w:rFonts w:hint="eastAsia"/>
              </w:rPr>
              <w:t>背光灯：LED</w:t>
            </w:r>
          </w:p>
          <w:p w14:paraId="0B51B7D3">
            <w:pPr>
              <w:ind w:left="420" w:hanging="420"/>
            </w:pPr>
            <w:r>
              <w:rPr>
                <w:rFonts w:hint="eastAsia" w:ascii="Calibri" w:hAnsi="Calibri"/>
                <w:szCs w:val="22"/>
              </w:rPr>
              <w:t>3）</w:t>
            </w:r>
            <w:r>
              <w:rPr>
                <w:rFonts w:hint="eastAsia"/>
              </w:rPr>
              <w:t>显示颜色：</w:t>
            </w:r>
            <w:r>
              <w:t>262K</w:t>
            </w:r>
          </w:p>
          <w:p w14:paraId="29830CFA">
            <w:pPr>
              <w:ind w:left="420" w:hanging="420"/>
            </w:pPr>
            <w:r>
              <w:rPr>
                <w:rFonts w:hint="eastAsia" w:ascii="Calibri" w:hAnsi="Calibri"/>
                <w:szCs w:val="22"/>
              </w:rPr>
              <w:t>4）</w:t>
            </w:r>
            <w:r>
              <w:rPr>
                <w:rFonts w:hint="eastAsia"/>
              </w:rPr>
              <w:t>分辨率：1024×600</w:t>
            </w:r>
          </w:p>
          <w:p w14:paraId="6763F6E2">
            <w:pPr>
              <w:ind w:left="420" w:hanging="420"/>
            </w:pPr>
            <w:r>
              <w:rPr>
                <w:rFonts w:hint="eastAsia" w:ascii="Calibri" w:hAnsi="Calibri"/>
                <w:szCs w:val="22"/>
              </w:rPr>
              <w:t>5）</w:t>
            </w:r>
            <w:r>
              <w:rPr>
                <w:rFonts w:hint="eastAsia"/>
              </w:rPr>
              <w:t>触摸屏：电阻式</w:t>
            </w:r>
          </w:p>
          <w:p w14:paraId="42E53135">
            <w:pPr>
              <w:ind w:left="420" w:hanging="420"/>
            </w:pPr>
            <w:r>
              <w:rPr>
                <w:rFonts w:hint="eastAsia" w:ascii="Calibri" w:hAnsi="Calibri"/>
                <w:szCs w:val="22"/>
              </w:rPr>
              <w:t>6）</w:t>
            </w:r>
            <w:r>
              <w:rPr>
                <w:rFonts w:hint="eastAsia"/>
              </w:rPr>
              <w:t>输入电压：DC24V±20%</w:t>
            </w:r>
          </w:p>
          <w:p w14:paraId="0DDBCB9C">
            <w:pPr>
              <w:ind w:left="420" w:hanging="420"/>
            </w:pPr>
            <w:r>
              <w:rPr>
                <w:rFonts w:hint="eastAsia" w:ascii="Calibri" w:hAnsi="Calibri"/>
                <w:szCs w:val="22"/>
              </w:rPr>
              <w:t>7）</w:t>
            </w:r>
            <w:r>
              <w:rPr>
                <w:rFonts w:hint="eastAsia"/>
              </w:rPr>
              <w:t>额定功率：</w:t>
            </w:r>
            <w:r>
              <w:t>6</w:t>
            </w:r>
            <w:r>
              <w:rPr>
                <w:rFonts w:hint="eastAsia"/>
              </w:rPr>
              <w:t>W</w:t>
            </w:r>
          </w:p>
          <w:p w14:paraId="0BAC16A0">
            <w:pPr>
              <w:ind w:left="420" w:hanging="420"/>
            </w:pPr>
            <w:r>
              <w:rPr>
                <w:rFonts w:hint="eastAsia" w:ascii="Calibri" w:hAnsi="Calibri"/>
                <w:szCs w:val="22"/>
              </w:rPr>
              <w:t>8）</w:t>
            </w:r>
            <w:r>
              <w:rPr>
                <w:rFonts w:hint="eastAsia"/>
              </w:rPr>
              <w:t>处理器：Cortex-A7,800MHz</w:t>
            </w:r>
          </w:p>
          <w:p w14:paraId="0E2633B5">
            <w:pPr>
              <w:ind w:left="420" w:hanging="420"/>
            </w:pPr>
            <w:r>
              <w:rPr>
                <w:rFonts w:hint="eastAsia" w:ascii="Calibri" w:hAnsi="Calibri"/>
                <w:szCs w:val="22"/>
              </w:rPr>
              <w:t>9）</w:t>
            </w:r>
            <w:r>
              <w:rPr>
                <w:rFonts w:hint="eastAsia"/>
              </w:rPr>
              <w:t>内存：</w:t>
            </w:r>
            <w:r>
              <w:t>256</w:t>
            </w:r>
            <w:r>
              <w:rPr>
                <w:rFonts w:hint="eastAsia"/>
              </w:rPr>
              <w:t>M</w:t>
            </w:r>
          </w:p>
          <w:p w14:paraId="79787CA5">
            <w:pPr>
              <w:ind w:left="420" w:hanging="420"/>
            </w:pPr>
            <w:r>
              <w:rPr>
                <w:rFonts w:hint="eastAsia" w:ascii="Calibri" w:hAnsi="Calibri"/>
                <w:szCs w:val="22"/>
              </w:rPr>
              <w:t>10）</w:t>
            </w:r>
            <w:r>
              <w:rPr>
                <w:rFonts w:hint="eastAsia"/>
              </w:rPr>
              <w:t>系统存储：128M</w:t>
            </w:r>
          </w:p>
          <w:p w14:paraId="1DB3D6D8">
            <w:pPr>
              <w:ind w:left="420" w:hanging="420"/>
            </w:pPr>
            <w:r>
              <w:rPr>
                <w:rFonts w:hint="eastAsia" w:ascii="Calibri" w:hAnsi="Calibri"/>
                <w:szCs w:val="22"/>
              </w:rPr>
              <w:t>11）</w:t>
            </w:r>
            <w:r>
              <w:rPr>
                <w:rFonts w:hint="eastAsia"/>
              </w:rPr>
              <w:t>硬件</w:t>
            </w:r>
            <w:r>
              <w:t>时钟</w:t>
            </w:r>
            <w:r>
              <w:rPr>
                <w:rFonts w:hint="eastAsia"/>
              </w:rPr>
              <w:t>：内置</w:t>
            </w:r>
          </w:p>
          <w:p w14:paraId="3728A50B">
            <w:pPr>
              <w:ind w:left="420" w:hanging="420"/>
            </w:pPr>
            <w:r>
              <w:rPr>
                <w:rFonts w:hint="eastAsia" w:ascii="Calibri" w:hAnsi="Calibri"/>
                <w:szCs w:val="22"/>
              </w:rPr>
              <w:t>12）</w:t>
            </w:r>
            <w:r>
              <w:rPr>
                <w:rFonts w:hint="eastAsia"/>
              </w:rPr>
              <w:t>组态软件：Mcgs</w:t>
            </w:r>
            <w:r>
              <w:t>Pro</w:t>
            </w:r>
          </w:p>
          <w:p w14:paraId="477F663A">
            <w:pPr>
              <w:ind w:left="420" w:hanging="420"/>
            </w:pPr>
            <w:r>
              <w:rPr>
                <w:rFonts w:hint="eastAsia" w:ascii="Calibri" w:hAnsi="Calibri"/>
                <w:szCs w:val="22"/>
              </w:rPr>
              <w:t>13）</w:t>
            </w:r>
            <w:r>
              <w:rPr>
                <w:rFonts w:hint="eastAsia"/>
              </w:rPr>
              <w:t>串行接口：</w:t>
            </w:r>
          </w:p>
          <w:p w14:paraId="6CA2B9DB">
            <w:pPr>
              <w:ind w:left="420" w:hanging="420"/>
            </w:pPr>
            <w:r>
              <w:rPr>
                <w:rFonts w:hint="eastAsia"/>
              </w:rPr>
              <w:t>方式1：COM1(RS232</w:t>
            </w:r>
            <w:r>
              <w:rPr>
                <w:rFonts w:hint="eastAsia"/>
                <w:lang w:eastAsia="zh-CN"/>
              </w:rPr>
              <w:t>）</w:t>
            </w:r>
            <w:r>
              <w:rPr>
                <w:rFonts w:hint="eastAsia"/>
              </w:rPr>
              <w:t>，COM2(RS485</w:t>
            </w:r>
            <w:r>
              <w:rPr>
                <w:rFonts w:hint="eastAsia"/>
                <w:lang w:eastAsia="zh-CN"/>
              </w:rPr>
              <w:t>）</w:t>
            </w:r>
            <w:r>
              <w:rPr>
                <w:rFonts w:hint="eastAsia"/>
              </w:rPr>
              <w:t>，COM3(RS485)</w:t>
            </w:r>
          </w:p>
          <w:p w14:paraId="2ECCEB96">
            <w:pPr>
              <w:ind w:left="420" w:hanging="420"/>
            </w:pPr>
            <w:r>
              <w:rPr>
                <w:rFonts w:hint="eastAsia"/>
              </w:rPr>
              <w:t>方式2：COM1(RS232</w:t>
            </w:r>
            <w:r>
              <w:rPr>
                <w:rFonts w:hint="eastAsia"/>
                <w:lang w:eastAsia="zh-CN"/>
              </w:rPr>
              <w:t>）</w:t>
            </w:r>
            <w:r>
              <w:rPr>
                <w:rFonts w:hint="eastAsia"/>
              </w:rPr>
              <w:t>，COM9(RS4</w:t>
            </w:r>
            <w:r>
              <w:t>22</w:t>
            </w:r>
            <w:r>
              <w:rPr>
                <w:rFonts w:hint="eastAsia"/>
              </w:rPr>
              <w:t>)</w:t>
            </w:r>
          </w:p>
          <w:p w14:paraId="53B81F4A">
            <w:pPr>
              <w:ind w:left="420" w:hanging="420"/>
            </w:pPr>
            <w:r>
              <w:rPr>
                <w:rFonts w:hint="eastAsia" w:ascii="Calibri" w:hAnsi="Calibri"/>
                <w:szCs w:val="22"/>
              </w:rPr>
              <w:t>14）</w:t>
            </w:r>
            <w:r>
              <w:rPr>
                <w:rFonts w:hint="eastAsia"/>
              </w:rPr>
              <w:t>USB接口：1</w:t>
            </w:r>
            <w:r>
              <w:rPr>
                <w:rFonts w:hint="eastAsia" w:ascii="宋体" w:hAnsi="宋体"/>
              </w:rPr>
              <w:t>×</w:t>
            </w:r>
            <w:r>
              <w:t>USB</w:t>
            </w:r>
            <w:r>
              <w:rPr>
                <w:rFonts w:hint="eastAsia"/>
              </w:rPr>
              <w:t>主</w:t>
            </w:r>
            <w:r>
              <w:t>/</w:t>
            </w:r>
            <w:r>
              <w:rPr>
                <w:rFonts w:hint="eastAsia"/>
              </w:rPr>
              <w:t>从</w:t>
            </w:r>
          </w:p>
          <w:p w14:paraId="2FDE994A">
            <w:pPr>
              <w:ind w:left="420" w:hanging="420"/>
            </w:pPr>
            <w:r>
              <w:rPr>
                <w:rFonts w:hint="eastAsia" w:ascii="Calibri" w:hAnsi="Calibri"/>
                <w:szCs w:val="22"/>
              </w:rPr>
              <w:t>15）</w:t>
            </w:r>
            <w:r>
              <w:rPr>
                <w:rFonts w:hint="eastAsia"/>
              </w:rPr>
              <w:t>以太网口：10/100M自适应</w:t>
            </w:r>
          </w:p>
          <w:p w14:paraId="54AFEE5D">
            <w:pPr>
              <w:ind w:left="420" w:hanging="420"/>
            </w:pPr>
            <w:r>
              <w:rPr>
                <w:rFonts w:hint="eastAsia" w:ascii="Calibri" w:hAnsi="Calibri"/>
                <w:szCs w:val="22"/>
              </w:rPr>
              <w:t>16）</w:t>
            </w:r>
            <w:r>
              <w:rPr>
                <w:rFonts w:hint="eastAsia"/>
              </w:rPr>
              <w:t>机壳材料：工程塑料</w:t>
            </w:r>
          </w:p>
          <w:p w14:paraId="77FA595D">
            <w:pPr>
              <w:ind w:left="420" w:hanging="420"/>
              <w:rPr>
                <w:rFonts w:hint="eastAsia"/>
              </w:rPr>
            </w:pPr>
            <w:r>
              <w:rPr>
                <w:rFonts w:hint="eastAsia" w:ascii="Calibri" w:hAnsi="Calibri"/>
                <w:szCs w:val="22"/>
              </w:rPr>
              <w:t>17）</w:t>
            </w:r>
            <w:r>
              <w:rPr>
                <w:rFonts w:hint="eastAsia"/>
              </w:rPr>
              <w:t>防护等级：IP65（前面板）</w:t>
            </w:r>
          </w:p>
          <w:p w14:paraId="1D8623C9">
            <w:pPr>
              <w:widowControl w:val="0"/>
              <w:jc w:val="both"/>
              <w:rPr>
                <w:b/>
              </w:rPr>
            </w:pPr>
            <w:r>
              <w:rPr>
                <w:rFonts w:hint="eastAsia"/>
                <w:b/>
                <w:lang w:val="en-US" w:eastAsia="zh-CN"/>
              </w:rPr>
              <w:t>8</w:t>
            </w:r>
            <w:r>
              <w:rPr>
                <w:b/>
              </w:rPr>
              <w:t>.</w:t>
            </w:r>
            <w:r>
              <w:rPr>
                <w:b/>
              </w:rPr>
              <w:tab/>
            </w:r>
            <w:r>
              <w:rPr>
                <w:b/>
              </w:rPr>
              <w:t>计算机与桌</w:t>
            </w:r>
            <w:r>
              <w:rPr>
                <w:rFonts w:hint="eastAsia"/>
                <w:b/>
              </w:rPr>
              <w:t>凳</w:t>
            </w:r>
          </w:p>
          <w:p w14:paraId="110D9639">
            <w:pPr>
              <w:widowControl w:val="0"/>
              <w:jc w:val="both"/>
            </w:pPr>
            <w:r>
              <w:rPr>
                <w:rFonts w:hint="eastAsia"/>
              </w:rPr>
              <w:t>计算机主要用于安装软件、系统控制与编程等</w:t>
            </w:r>
            <w:r>
              <w:t>。</w:t>
            </w:r>
          </w:p>
          <w:p w14:paraId="0C0F43C1">
            <w:pPr>
              <w:widowControl w:val="0"/>
              <w:jc w:val="both"/>
              <w:rPr>
                <w:b/>
              </w:rPr>
            </w:pPr>
            <w:r>
              <w:rPr>
                <w:rFonts w:hint="eastAsia"/>
                <w:b/>
                <w:lang w:val="en-US" w:eastAsia="zh-CN"/>
              </w:rPr>
              <w:t>8.1</w:t>
            </w:r>
            <w:r>
              <w:rPr>
                <w:b/>
              </w:rPr>
              <w:t>计算机主要技术参数：</w:t>
            </w:r>
          </w:p>
          <w:p w14:paraId="0A6D1D9E">
            <w:pPr>
              <w:widowControl w:val="0"/>
              <w:jc w:val="both"/>
            </w:pPr>
            <w:r>
              <w:rPr>
                <w:rFonts w:hint="eastAsia"/>
                <w:lang w:eastAsia="zh-CN"/>
              </w:rPr>
              <w:t>1）</w:t>
            </w:r>
            <w:r>
              <w:t xml:space="preserve"> CPU：不低于I5</w:t>
            </w:r>
          </w:p>
          <w:p w14:paraId="2D97C085">
            <w:pPr>
              <w:widowControl w:val="0"/>
              <w:jc w:val="both"/>
            </w:pPr>
            <w:r>
              <w:t>2) 显示器尺寸：≥23英寸</w:t>
            </w:r>
          </w:p>
          <w:p w14:paraId="096C9A41">
            <w:pPr>
              <w:widowControl w:val="0"/>
              <w:jc w:val="both"/>
            </w:pPr>
            <w:r>
              <w:t>3) 内存：≥8GB</w:t>
            </w:r>
          </w:p>
          <w:p w14:paraId="450E2C5D">
            <w:pPr>
              <w:widowControl w:val="0"/>
              <w:jc w:val="both"/>
            </w:pPr>
            <w:r>
              <w:t>4）固态硬盘：≥256GB</w:t>
            </w:r>
          </w:p>
          <w:p w14:paraId="12C52DC2">
            <w:pPr>
              <w:widowControl w:val="0"/>
              <w:jc w:val="both"/>
            </w:pPr>
            <w:r>
              <w:t>5）机械硬盘：≥1TB</w:t>
            </w:r>
          </w:p>
          <w:p w14:paraId="1CD201CC">
            <w:pPr>
              <w:widowControl w:val="0"/>
              <w:jc w:val="both"/>
            </w:pPr>
            <w:r>
              <w:t>6）显卡：独显，≥</w:t>
            </w:r>
            <w:r>
              <w:tab/>
            </w:r>
            <w:r>
              <w:t>4G</w:t>
            </w:r>
          </w:p>
          <w:p w14:paraId="75DD4A04">
            <w:pPr>
              <w:widowControl w:val="0"/>
              <w:jc w:val="both"/>
              <w:rPr>
                <w:b/>
              </w:rPr>
            </w:pPr>
            <w:r>
              <w:rPr>
                <w:rFonts w:hint="eastAsia"/>
                <w:b/>
                <w:lang w:val="en-US" w:eastAsia="zh-CN"/>
              </w:rPr>
              <w:t>8.2</w:t>
            </w:r>
            <w:r>
              <w:rPr>
                <w:b/>
              </w:rPr>
              <w:t>桌</w:t>
            </w:r>
            <w:r>
              <w:rPr>
                <w:rFonts w:hint="eastAsia"/>
                <w:b/>
              </w:rPr>
              <w:t>凳</w:t>
            </w:r>
            <w:r>
              <w:rPr>
                <w:b/>
              </w:rPr>
              <w:t>主要技术参数：</w:t>
            </w:r>
          </w:p>
          <w:p w14:paraId="17DEC600">
            <w:pPr>
              <w:widowControl w:val="0"/>
              <w:jc w:val="both"/>
            </w:pPr>
            <w:r>
              <w:t>1）尺寸（长×宽×高）：≥</w:t>
            </w:r>
            <w:r>
              <w:tab/>
            </w:r>
            <w:r>
              <w:t>700×600×750mm</w:t>
            </w:r>
          </w:p>
          <w:p w14:paraId="0CFA7793">
            <w:pPr>
              <w:widowControl w:val="0"/>
              <w:jc w:val="both"/>
            </w:pPr>
            <w:r>
              <w:t>2）配套方凳尺寸（长×宽×高）：</w:t>
            </w:r>
            <w:r>
              <w:tab/>
            </w:r>
            <w:r>
              <w:t>≥</w:t>
            </w:r>
            <w:r>
              <w:tab/>
            </w:r>
            <w:r>
              <w:t>340×240×420mm</w:t>
            </w:r>
          </w:p>
          <w:p w14:paraId="7C2DA103">
            <w:pPr>
              <w:widowControl w:val="0"/>
              <w:jc w:val="both"/>
              <w:rPr>
                <w:b/>
              </w:rPr>
            </w:pPr>
            <w:r>
              <w:rPr>
                <w:rFonts w:hint="eastAsia"/>
                <w:b/>
                <w:lang w:val="en-US" w:eastAsia="zh-CN"/>
              </w:rPr>
              <w:t>9</w:t>
            </w:r>
            <w:r>
              <w:rPr>
                <w:b/>
              </w:rPr>
              <w:t>.</w:t>
            </w:r>
            <w:r>
              <w:rPr>
                <w:b/>
              </w:rPr>
              <w:tab/>
            </w:r>
            <w:r>
              <w:rPr>
                <w:b/>
              </w:rPr>
              <w:t>无油静音气泵</w:t>
            </w:r>
          </w:p>
          <w:p w14:paraId="4397CF93">
            <w:pPr>
              <w:widowControl w:val="0"/>
              <w:jc w:val="both"/>
            </w:pPr>
            <w:r>
              <w:t>与</w:t>
            </w:r>
            <w:r>
              <w:rPr>
                <w:rFonts w:hint="eastAsia"/>
              </w:rPr>
              <w:t>实训平台</w:t>
            </w:r>
            <w:r>
              <w:t>配套。</w:t>
            </w:r>
          </w:p>
          <w:p w14:paraId="519FBBFA">
            <w:pPr>
              <w:widowControl w:val="0"/>
              <w:jc w:val="both"/>
            </w:pPr>
            <w:r>
              <w:rPr>
                <w:b/>
              </w:rPr>
              <w:t>1</w:t>
            </w:r>
            <w:r>
              <w:rPr>
                <w:rFonts w:hint="eastAsia"/>
                <w:b/>
                <w:lang w:val="en-US" w:eastAsia="zh-CN"/>
              </w:rPr>
              <w:t>0</w:t>
            </w:r>
            <w:r>
              <w:rPr>
                <w:b/>
              </w:rPr>
              <w:t>.</w:t>
            </w:r>
            <w:r>
              <w:rPr>
                <w:rFonts w:hint="eastAsia"/>
                <w:b/>
              </w:rPr>
              <w:t>平台调试与集成</w:t>
            </w:r>
          </w:p>
          <w:p w14:paraId="6F455617">
            <w:pPr>
              <w:widowControl w:val="0"/>
              <w:jc w:val="both"/>
            </w:pPr>
            <w:r>
              <w:t>对</w:t>
            </w:r>
            <w:r>
              <w:rPr>
                <w:rFonts w:hint="eastAsia"/>
              </w:rPr>
              <w:t>实训</w:t>
            </w:r>
            <w:r>
              <w:t>平台设备进行整体系统调试与集成。</w:t>
            </w:r>
          </w:p>
          <w:p w14:paraId="2E2CEF99">
            <w:pPr>
              <w:widowControl w:val="0"/>
              <w:jc w:val="both"/>
              <w:rPr>
                <w:b/>
              </w:rPr>
            </w:pPr>
            <w:r>
              <w:rPr>
                <w:rFonts w:hint="eastAsia"/>
                <w:b/>
                <w:lang w:val="en-US" w:eastAsia="zh-CN"/>
              </w:rPr>
              <w:t>11</w:t>
            </w:r>
            <w:r>
              <w:rPr>
                <w:b/>
              </w:rPr>
              <w:t>.</w:t>
            </w:r>
            <w:r>
              <w:rPr>
                <w:b/>
              </w:rPr>
              <w:tab/>
            </w:r>
            <w:r>
              <w:rPr>
                <w:rFonts w:hint="eastAsia"/>
                <w:b/>
              </w:rPr>
              <w:t>工具与工具箱</w:t>
            </w:r>
          </w:p>
          <w:p w14:paraId="3580040F">
            <w:r>
              <w:rPr>
                <w:rFonts w:hint="eastAsia"/>
              </w:rPr>
              <w:t>平台</w:t>
            </w:r>
            <w:r>
              <w:t>配套</w:t>
            </w:r>
            <w:r>
              <w:rPr>
                <w:rFonts w:hint="eastAsia"/>
              </w:rPr>
              <w:t>工具与工具箱</w:t>
            </w:r>
            <w:r>
              <w:t>供用户</w:t>
            </w:r>
            <w:r>
              <w:rPr>
                <w:rFonts w:hint="eastAsia"/>
              </w:rPr>
              <w:t>装调时</w:t>
            </w:r>
            <w:r>
              <w:t>使用</w:t>
            </w:r>
            <w:r>
              <w:rPr>
                <w:rFonts w:hint="eastAsia"/>
              </w:rPr>
              <w:t>，不仅限于如下：</w:t>
            </w:r>
          </w:p>
          <w:p w14:paraId="2820D80F">
            <w:r>
              <w:rPr>
                <w:rFonts w:hint="eastAsia"/>
              </w:rPr>
              <w:t>工具箱1个，内六角扳手1套，螺丝刀1套，尖嘴钳1把，活扳手1把，斜口钳1把。</w:t>
            </w:r>
          </w:p>
          <w:p w14:paraId="1B268055">
            <w:pPr>
              <w:widowControl w:val="0"/>
              <w:jc w:val="both"/>
              <w:rPr>
                <w:b/>
              </w:rPr>
            </w:pPr>
            <w:r>
              <w:rPr>
                <w:rFonts w:hint="eastAsia" w:ascii="宋体" w:hAnsi="宋体" w:cs="宋体"/>
                <w:b/>
                <w:bCs/>
                <w:color w:val="000000"/>
                <w:spacing w:val="-1"/>
                <w:sz w:val="24"/>
              </w:rPr>
              <w:t>▲</w:t>
            </w:r>
            <w:r>
              <w:rPr>
                <w:rFonts w:hint="eastAsia"/>
                <w:b/>
                <w:lang w:val="en-US" w:eastAsia="zh-CN"/>
              </w:rPr>
              <w:t>12</w:t>
            </w:r>
            <w:r>
              <w:rPr>
                <w:b/>
              </w:rPr>
              <w:t>.</w:t>
            </w:r>
            <w:r>
              <w:rPr>
                <w:b/>
              </w:rPr>
              <w:tab/>
            </w:r>
            <w:r>
              <w:rPr>
                <w:b/>
              </w:rPr>
              <w:t>配套资源</w:t>
            </w:r>
          </w:p>
          <w:p w14:paraId="7F2EF9A6">
            <w:r>
              <w:t>提供</w:t>
            </w:r>
            <w:r>
              <w:rPr>
                <w:rFonts w:hint="eastAsia"/>
              </w:rPr>
              <w:t>配置</w:t>
            </w:r>
            <w:r>
              <w:rPr>
                <w:szCs w:val="21"/>
              </w:rPr>
              <w:t>实训指导书</w:t>
            </w:r>
            <w:r>
              <w:rPr>
                <w:rFonts w:hint="eastAsia"/>
                <w:szCs w:val="21"/>
              </w:rPr>
              <w:t>、</w:t>
            </w:r>
            <w:r>
              <w:rPr>
                <w:szCs w:val="21"/>
              </w:rPr>
              <w:t>使用说明书</w:t>
            </w:r>
            <w:r>
              <w:rPr>
                <w:rFonts w:hint="eastAsia"/>
                <w:szCs w:val="21"/>
              </w:rPr>
              <w:t>等</w:t>
            </w:r>
            <w:r>
              <w:rPr>
                <w:rFonts w:hint="eastAsia"/>
              </w:rPr>
              <w:t>教学资源</w:t>
            </w:r>
            <w:r>
              <w:t>。</w:t>
            </w:r>
          </w:p>
          <w:p w14:paraId="57855225">
            <w:pPr>
              <w:pStyle w:val="74"/>
              <w:ind w:left="0" w:leftChars="0" w:firstLine="0" w:firstLineChars="0"/>
              <w:rPr>
                <w:rFonts w:hint="default" w:eastAsia="宋体"/>
                <w:lang w:val="en-US" w:eastAsia="zh-CN"/>
              </w:rPr>
            </w:pPr>
            <w:r>
              <w:rPr>
                <w:rFonts w:hint="eastAsia"/>
                <w:lang w:val="en-US" w:eastAsia="zh-CN"/>
              </w:rPr>
              <w:t>（实验指导书样章并加盖公章）</w:t>
            </w:r>
          </w:p>
        </w:tc>
        <w:tc>
          <w:tcPr>
            <w:tcW w:w="618" w:type="dxa"/>
            <w:noWrap w:val="0"/>
            <w:vAlign w:val="center"/>
          </w:tcPr>
          <w:p w14:paraId="24F38C08">
            <w:pPr>
              <w:widowControl w:val="0"/>
              <w:jc w:val="both"/>
              <w:rPr>
                <w:rFonts w:hint="eastAsia" w:eastAsia="宋体"/>
                <w:lang w:val="en-US" w:eastAsia="zh-CN"/>
              </w:rPr>
            </w:pPr>
            <w:r>
              <w:rPr>
                <w:rFonts w:hint="eastAsia"/>
                <w:lang w:val="en-US" w:eastAsia="zh-CN"/>
              </w:rPr>
              <w:t>3</w:t>
            </w:r>
          </w:p>
        </w:tc>
        <w:tc>
          <w:tcPr>
            <w:tcW w:w="657" w:type="dxa"/>
            <w:noWrap w:val="0"/>
            <w:vAlign w:val="center"/>
          </w:tcPr>
          <w:p w14:paraId="3569A1EA">
            <w:pPr>
              <w:widowControl w:val="0"/>
              <w:jc w:val="both"/>
            </w:pPr>
            <w:r>
              <w:t>套</w:t>
            </w:r>
          </w:p>
        </w:tc>
      </w:tr>
    </w:tbl>
    <w:p w14:paraId="12C76A46">
      <w:pPr>
        <w:pStyle w:val="45"/>
        <w:spacing w:line="400" w:lineRule="exact"/>
        <w:ind w:firstLine="480"/>
        <w:rPr>
          <w:rFonts w:ascii="宋体" w:hAnsi="宋体" w:cs="宋体"/>
          <w:kern w:val="0"/>
          <w:sz w:val="24"/>
          <w:szCs w:val="24"/>
        </w:rPr>
      </w:pPr>
    </w:p>
    <w:p w14:paraId="79D34070">
      <w:pPr>
        <w:pStyle w:val="45"/>
        <w:spacing w:line="400" w:lineRule="exact"/>
        <w:ind w:firstLine="480"/>
        <w:rPr>
          <w:rFonts w:ascii="宋体" w:hAnsi="宋体" w:cs="宋体"/>
          <w:kern w:val="0"/>
          <w:sz w:val="24"/>
          <w:szCs w:val="24"/>
        </w:rPr>
      </w:pPr>
    </w:p>
    <w:p w14:paraId="3CD01487">
      <w:pPr>
        <w:pStyle w:val="45"/>
        <w:spacing w:line="400" w:lineRule="exact"/>
        <w:ind w:firstLine="480"/>
        <w:rPr>
          <w:rFonts w:ascii="宋体" w:hAnsi="宋体" w:cs="宋体"/>
          <w:kern w:val="0"/>
          <w:sz w:val="24"/>
          <w:szCs w:val="24"/>
        </w:rPr>
      </w:pPr>
    </w:p>
    <w:p w14:paraId="23D5328E">
      <w:pPr>
        <w:pStyle w:val="45"/>
        <w:spacing w:line="400" w:lineRule="exact"/>
        <w:ind w:firstLine="480"/>
        <w:rPr>
          <w:rFonts w:ascii="宋体" w:hAnsi="宋体" w:cs="宋体"/>
          <w:kern w:val="0"/>
          <w:sz w:val="24"/>
          <w:szCs w:val="24"/>
        </w:rPr>
      </w:pPr>
    </w:p>
    <w:p w14:paraId="13702483">
      <w:pPr>
        <w:pStyle w:val="45"/>
        <w:spacing w:line="400" w:lineRule="exact"/>
        <w:ind w:firstLine="480"/>
        <w:rPr>
          <w:rFonts w:ascii="宋体" w:hAnsi="宋体" w:cs="宋体"/>
          <w:kern w:val="0"/>
          <w:sz w:val="24"/>
          <w:szCs w:val="24"/>
        </w:rPr>
      </w:pPr>
    </w:p>
    <w:p w14:paraId="6594405D">
      <w:pPr>
        <w:snapToGrid w:val="0"/>
        <w:spacing w:line="300" w:lineRule="auto"/>
        <w:jc w:val="center"/>
        <w:outlineLvl w:val="0"/>
        <w:rPr>
          <w:rFonts w:hint="eastAsia" w:ascii="宋体" w:hAnsi="宋体" w:cs="宋体"/>
          <w:b/>
          <w:sz w:val="36"/>
          <w:szCs w:val="36"/>
        </w:rPr>
        <w:sectPr>
          <w:footerReference r:id="rId4" w:type="default"/>
          <w:pgSz w:w="11906" w:h="16838"/>
          <w:pgMar w:top="1418" w:right="1474" w:bottom="1418" w:left="1474" w:header="851" w:footer="907" w:gutter="0"/>
          <w:pgNumType w:fmt="decimal" w:start="1"/>
          <w:cols w:space="720" w:num="1"/>
          <w:docGrid w:type="lines" w:linePitch="312" w:charSpace="0"/>
        </w:sectPr>
      </w:pPr>
    </w:p>
    <w:p w14:paraId="5FE0AD4B">
      <w:pPr>
        <w:snapToGrid w:val="0"/>
        <w:spacing w:line="300" w:lineRule="auto"/>
        <w:jc w:val="center"/>
        <w:outlineLvl w:val="0"/>
        <w:rPr>
          <w:rFonts w:ascii="宋体" w:hAnsi="宋体" w:cs="宋体"/>
          <w:b/>
          <w:sz w:val="36"/>
          <w:szCs w:val="36"/>
        </w:rPr>
      </w:pPr>
      <w:r>
        <w:rPr>
          <w:rFonts w:hint="eastAsia" w:ascii="宋体" w:hAnsi="宋体" w:cs="宋体"/>
          <w:b/>
          <w:sz w:val="36"/>
          <w:szCs w:val="36"/>
        </w:rPr>
        <w:t>第四章  开标和评标</w:t>
      </w:r>
    </w:p>
    <w:p w14:paraId="00CDB859">
      <w:pPr>
        <w:spacing w:line="360" w:lineRule="auto"/>
        <w:ind w:firstLine="482" w:firstLineChars="200"/>
        <w:outlineLvl w:val="1"/>
        <w:rPr>
          <w:b/>
          <w:bCs/>
          <w:sz w:val="24"/>
        </w:rPr>
      </w:pPr>
      <w:r>
        <w:rPr>
          <w:b/>
          <w:bCs/>
          <w:sz w:val="24"/>
        </w:rPr>
        <w:t>一、采购人委托招标代理机构组织招标</w:t>
      </w:r>
    </w:p>
    <w:p w14:paraId="3BBEEB99">
      <w:pPr>
        <w:spacing w:line="360" w:lineRule="auto"/>
        <w:ind w:firstLine="480" w:firstLineChars="200"/>
        <w:rPr>
          <w:sz w:val="24"/>
        </w:rPr>
      </w:pPr>
      <w:r>
        <w:rPr>
          <w:rFonts w:hint="eastAsia"/>
          <w:sz w:val="24"/>
          <w:lang w:eastAsia="zh-CN"/>
        </w:rPr>
        <w:t>1.</w:t>
      </w:r>
      <w:r>
        <w:rPr>
          <w:sz w:val="24"/>
        </w:rPr>
        <w:t>成立评标委员会小组，由采购人代表和有关专家依法组成。</w:t>
      </w:r>
    </w:p>
    <w:p w14:paraId="7D351802">
      <w:pPr>
        <w:spacing w:line="360" w:lineRule="auto"/>
        <w:ind w:firstLine="480" w:firstLineChars="200"/>
        <w:rPr>
          <w:sz w:val="24"/>
        </w:rPr>
      </w:pPr>
      <w:r>
        <w:rPr>
          <w:rFonts w:hint="eastAsia"/>
          <w:sz w:val="24"/>
          <w:lang w:eastAsia="zh-CN"/>
        </w:rPr>
        <w:t>2.</w:t>
      </w:r>
      <w:r>
        <w:rPr>
          <w:rFonts w:hint="eastAsia"/>
          <w:sz w:val="24"/>
        </w:rPr>
        <w:t>投标人</w:t>
      </w:r>
      <w:r>
        <w:rPr>
          <w:sz w:val="24"/>
        </w:rPr>
        <w:t>的法定代表人或被授权人须持身份证准时参加开标会。</w:t>
      </w:r>
    </w:p>
    <w:p w14:paraId="143D464E">
      <w:pPr>
        <w:spacing w:line="360" w:lineRule="auto"/>
        <w:ind w:firstLine="482" w:firstLineChars="200"/>
        <w:outlineLvl w:val="1"/>
        <w:rPr>
          <w:b/>
          <w:bCs/>
          <w:sz w:val="24"/>
        </w:rPr>
      </w:pPr>
      <w:r>
        <w:rPr>
          <w:b/>
          <w:bCs/>
          <w:sz w:val="24"/>
        </w:rPr>
        <w:t>二、开标</w:t>
      </w:r>
    </w:p>
    <w:p w14:paraId="39A8844D">
      <w:pPr>
        <w:spacing w:line="360" w:lineRule="auto"/>
        <w:ind w:firstLine="480" w:firstLineChars="200"/>
        <w:rPr>
          <w:sz w:val="24"/>
        </w:rPr>
      </w:pPr>
      <w:r>
        <w:rPr>
          <w:rFonts w:hint="eastAsia"/>
          <w:sz w:val="24"/>
          <w:lang w:eastAsia="zh-CN"/>
        </w:rPr>
        <w:t>1.</w:t>
      </w:r>
      <w:r>
        <w:rPr>
          <w:sz w:val="24"/>
        </w:rPr>
        <w:t>采购代理机构主持开标并记录，及时处理投标人代表提出的询问或者回避申请。</w:t>
      </w:r>
    </w:p>
    <w:p w14:paraId="059A633A">
      <w:pPr>
        <w:spacing w:line="360" w:lineRule="auto"/>
        <w:ind w:firstLine="480" w:firstLineChars="200"/>
        <w:rPr>
          <w:sz w:val="24"/>
        </w:rPr>
      </w:pPr>
      <w:r>
        <w:rPr>
          <w:rFonts w:hint="eastAsia"/>
          <w:sz w:val="24"/>
          <w:lang w:eastAsia="zh-CN"/>
        </w:rPr>
        <w:t>2.</w:t>
      </w:r>
      <w:r>
        <w:rPr>
          <w:sz w:val="24"/>
        </w:rPr>
        <w:t>投标人不足3家的不得开标，相应处理方式见本招标文件第四章第十一条的规定。</w:t>
      </w:r>
    </w:p>
    <w:p w14:paraId="721B7524">
      <w:pPr>
        <w:spacing w:line="360" w:lineRule="auto"/>
        <w:ind w:firstLine="487" w:firstLineChars="202"/>
        <w:outlineLvl w:val="1"/>
        <w:rPr>
          <w:b/>
          <w:sz w:val="24"/>
        </w:rPr>
      </w:pPr>
      <w:r>
        <w:rPr>
          <w:b/>
          <w:sz w:val="24"/>
        </w:rPr>
        <w:t>三、资格审查</w:t>
      </w:r>
    </w:p>
    <w:p w14:paraId="51F05C96">
      <w:pPr>
        <w:adjustRightInd w:val="0"/>
        <w:spacing w:line="360" w:lineRule="auto"/>
        <w:ind w:firstLine="484" w:firstLineChars="202"/>
        <w:rPr>
          <w:sz w:val="24"/>
        </w:rPr>
      </w:pPr>
      <w:r>
        <w:rPr>
          <w:rFonts w:hint="eastAsia"/>
          <w:sz w:val="24"/>
          <w:lang w:eastAsia="zh-CN"/>
        </w:rPr>
        <w:t>1.</w:t>
      </w:r>
      <w:r>
        <w:rPr>
          <w:sz w:val="24"/>
        </w:rPr>
        <w:t>开标后，采购人及其委托的采购代理机构根据招标文件载明的资格审查要求，对投标人的资格进行审查。</w:t>
      </w:r>
    </w:p>
    <w:p w14:paraId="3E674537">
      <w:pPr>
        <w:adjustRightInd w:val="0"/>
        <w:spacing w:line="360" w:lineRule="auto"/>
        <w:ind w:firstLine="484" w:firstLineChars="202"/>
        <w:rPr>
          <w:sz w:val="24"/>
        </w:rPr>
      </w:pPr>
      <w:r>
        <w:rPr>
          <w:rFonts w:hint="eastAsia"/>
          <w:sz w:val="24"/>
          <w:lang w:eastAsia="zh-CN"/>
        </w:rPr>
        <w:t>2.</w:t>
      </w:r>
      <w:r>
        <w:rPr>
          <w:sz w:val="24"/>
        </w:rPr>
        <w:t>资格审查合格的供应商进入评标。</w:t>
      </w:r>
    </w:p>
    <w:p w14:paraId="711C84CD">
      <w:pPr>
        <w:adjustRightInd w:val="0"/>
        <w:spacing w:line="360" w:lineRule="auto"/>
        <w:ind w:firstLine="484" w:firstLineChars="202"/>
        <w:rPr>
          <w:sz w:val="24"/>
        </w:rPr>
      </w:pPr>
      <w:r>
        <w:rPr>
          <w:rFonts w:hint="eastAsia"/>
          <w:sz w:val="24"/>
          <w:lang w:eastAsia="zh-CN"/>
        </w:rPr>
        <w:t>3.</w:t>
      </w:r>
      <w:r>
        <w:rPr>
          <w:sz w:val="24"/>
        </w:rPr>
        <w:t>合格投标人不足3家的，不得评标，相应处理方式见本招标文件第四章第十一条的规定。</w:t>
      </w:r>
    </w:p>
    <w:p w14:paraId="64707730">
      <w:pPr>
        <w:widowControl/>
        <w:spacing w:line="360" w:lineRule="auto"/>
        <w:ind w:firstLine="482" w:firstLineChars="200"/>
        <w:rPr>
          <w:b/>
          <w:sz w:val="24"/>
        </w:rPr>
      </w:pPr>
      <w:r>
        <w:rPr>
          <w:b/>
          <w:sz w:val="24"/>
        </w:rPr>
        <w:t>四、评标</w:t>
      </w:r>
    </w:p>
    <w:p w14:paraId="0A954E12">
      <w:pPr>
        <w:spacing w:line="360" w:lineRule="auto"/>
        <w:ind w:firstLine="480" w:firstLineChars="200"/>
        <w:rPr>
          <w:sz w:val="24"/>
        </w:rPr>
      </w:pPr>
      <w:r>
        <w:rPr>
          <w:rFonts w:hint="eastAsia"/>
          <w:sz w:val="24"/>
          <w:lang w:eastAsia="zh-CN"/>
        </w:rPr>
        <w:t>1.</w:t>
      </w:r>
      <w:r>
        <w:rPr>
          <w:sz w:val="24"/>
        </w:rPr>
        <w:t>评标时间</w:t>
      </w:r>
      <w:r>
        <w:rPr>
          <w:b/>
          <w:sz w:val="24"/>
        </w:rPr>
        <w:t>：资格审查结束以后。</w:t>
      </w:r>
    </w:p>
    <w:p w14:paraId="60886BAA">
      <w:pPr>
        <w:spacing w:line="360" w:lineRule="auto"/>
        <w:ind w:firstLine="480" w:firstLineChars="200"/>
        <w:rPr>
          <w:sz w:val="24"/>
        </w:rPr>
      </w:pPr>
      <w:r>
        <w:rPr>
          <w:rFonts w:hint="eastAsia"/>
          <w:sz w:val="24"/>
          <w:lang w:eastAsia="zh-CN"/>
        </w:rPr>
        <w:t>2.</w:t>
      </w:r>
      <w:r>
        <w:rPr>
          <w:sz w:val="24"/>
        </w:rPr>
        <w:t>采购代理机构负责组织评标工作，并履行下列职责：</w:t>
      </w:r>
    </w:p>
    <w:p w14:paraId="6C45AA54">
      <w:pPr>
        <w:spacing w:line="360" w:lineRule="auto"/>
        <w:ind w:firstLine="240" w:firstLineChars="100"/>
        <w:rPr>
          <w:sz w:val="24"/>
        </w:rPr>
      </w:pPr>
      <w:r>
        <w:rPr>
          <w:sz w:val="24"/>
        </w:rPr>
        <w:t>（1）核对评审专家身份和采购人代表授权函，对评审专家在政府采购活动中的职责履行情况予以记录，并及时将有关违法违规行为向财政部门报告。</w:t>
      </w:r>
    </w:p>
    <w:p w14:paraId="3B607CDF">
      <w:pPr>
        <w:spacing w:line="360" w:lineRule="auto"/>
        <w:ind w:firstLine="240" w:firstLineChars="100"/>
        <w:rPr>
          <w:sz w:val="24"/>
        </w:rPr>
      </w:pPr>
      <w:r>
        <w:rPr>
          <w:sz w:val="24"/>
        </w:rPr>
        <w:t>（2）宣布评标纪律。</w:t>
      </w:r>
    </w:p>
    <w:p w14:paraId="24707507">
      <w:pPr>
        <w:spacing w:line="360" w:lineRule="auto"/>
        <w:ind w:firstLine="240" w:firstLineChars="100"/>
        <w:rPr>
          <w:sz w:val="24"/>
        </w:rPr>
      </w:pPr>
      <w:r>
        <w:rPr>
          <w:sz w:val="24"/>
        </w:rPr>
        <w:t>（3）公布投标人名单，告知评审专家应当回避的情形。</w:t>
      </w:r>
    </w:p>
    <w:p w14:paraId="02E77ACE">
      <w:pPr>
        <w:spacing w:line="360" w:lineRule="auto"/>
        <w:ind w:firstLine="240" w:firstLineChars="100"/>
        <w:rPr>
          <w:sz w:val="24"/>
        </w:rPr>
      </w:pPr>
      <w:r>
        <w:rPr>
          <w:sz w:val="24"/>
        </w:rPr>
        <w:t>（4）组织评标委员会推选评标组长，采购人代表不得担任组长。</w:t>
      </w:r>
    </w:p>
    <w:p w14:paraId="2DF4B20E">
      <w:pPr>
        <w:spacing w:line="360" w:lineRule="auto"/>
        <w:ind w:firstLine="240" w:firstLineChars="100"/>
        <w:rPr>
          <w:sz w:val="24"/>
        </w:rPr>
      </w:pPr>
      <w:r>
        <w:rPr>
          <w:sz w:val="24"/>
        </w:rPr>
        <w:t>（5）在评标期间采取必要的通讯管理措施，保证评标活动不受外界干扰；除采购人代表、评标现场组织人员外，采购人的其他工作人员以及与评标工作无关的人员不得进入评标现场。</w:t>
      </w:r>
    </w:p>
    <w:p w14:paraId="11E9537B">
      <w:pPr>
        <w:spacing w:line="360" w:lineRule="auto"/>
        <w:ind w:firstLine="240" w:firstLineChars="100"/>
        <w:rPr>
          <w:sz w:val="24"/>
        </w:rPr>
      </w:pPr>
      <w:r>
        <w:rPr>
          <w:sz w:val="24"/>
        </w:rPr>
        <w:t>（6）根据评标委员会的要求介绍政府采购相关政策法规、招标文件。</w:t>
      </w:r>
    </w:p>
    <w:p w14:paraId="20E17905">
      <w:pPr>
        <w:spacing w:line="360" w:lineRule="auto"/>
        <w:ind w:firstLine="240" w:firstLineChars="100"/>
        <w:rPr>
          <w:sz w:val="24"/>
        </w:rPr>
      </w:pPr>
      <w:r>
        <w:rPr>
          <w:sz w:val="24"/>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w:t>
      </w:r>
      <w:r>
        <w:rPr>
          <w:rFonts w:hint="eastAsia"/>
          <w:sz w:val="24"/>
          <w:lang w:eastAsia="zh-CN"/>
        </w:rPr>
        <w:t>招标文件</w:t>
      </w:r>
      <w:r>
        <w:rPr>
          <w:sz w:val="24"/>
        </w:rPr>
        <w:t>一并存档。</w:t>
      </w:r>
    </w:p>
    <w:p w14:paraId="09B0060E">
      <w:pPr>
        <w:spacing w:line="360" w:lineRule="auto"/>
        <w:ind w:firstLine="240" w:firstLineChars="100"/>
        <w:rPr>
          <w:sz w:val="24"/>
        </w:rPr>
      </w:pPr>
      <w:r>
        <w:rPr>
          <w:sz w:val="24"/>
        </w:rPr>
        <w:t>（8）核对评标结果，有下列规定情形的，要求评标委员会复核或者书面说明理由，评标委员会拒绝的，则予以书面记录并向本级</w:t>
      </w:r>
      <w:r>
        <w:rPr>
          <w:rFonts w:hint="eastAsia"/>
          <w:sz w:val="24"/>
        </w:rPr>
        <w:t>监管</w:t>
      </w:r>
      <w:r>
        <w:rPr>
          <w:sz w:val="24"/>
        </w:rPr>
        <w:t>部门报告：</w:t>
      </w:r>
    </w:p>
    <w:p w14:paraId="50E13D66">
      <w:pPr>
        <w:spacing w:line="360" w:lineRule="auto"/>
        <w:ind w:firstLine="480" w:firstLineChars="200"/>
        <w:rPr>
          <w:sz w:val="24"/>
        </w:rPr>
      </w:pPr>
      <w:r>
        <w:rPr>
          <w:rFonts w:hint="eastAsia" w:ascii="宋体" w:hAnsi="宋体" w:cs="宋体"/>
          <w:sz w:val="24"/>
        </w:rPr>
        <w:t>①</w:t>
      </w:r>
      <w:r>
        <w:rPr>
          <w:sz w:val="24"/>
        </w:rPr>
        <w:t>分值汇总计算错误的；</w:t>
      </w:r>
    </w:p>
    <w:p w14:paraId="7892FCDD">
      <w:pPr>
        <w:spacing w:line="360" w:lineRule="auto"/>
        <w:ind w:firstLine="480" w:firstLineChars="200"/>
        <w:rPr>
          <w:sz w:val="24"/>
        </w:rPr>
      </w:pPr>
      <w:r>
        <w:rPr>
          <w:rFonts w:hint="eastAsia" w:ascii="宋体" w:hAnsi="宋体" w:cs="宋体"/>
          <w:sz w:val="24"/>
        </w:rPr>
        <w:t>②</w:t>
      </w:r>
      <w:r>
        <w:rPr>
          <w:sz w:val="24"/>
        </w:rPr>
        <w:t>分项评分超出评分标准范围的；</w:t>
      </w:r>
    </w:p>
    <w:p w14:paraId="13CE3BC2">
      <w:pPr>
        <w:spacing w:line="360" w:lineRule="auto"/>
        <w:ind w:firstLine="480" w:firstLineChars="200"/>
        <w:rPr>
          <w:sz w:val="24"/>
        </w:rPr>
      </w:pPr>
      <w:r>
        <w:rPr>
          <w:rFonts w:hint="eastAsia" w:ascii="宋体" w:hAnsi="宋体" w:cs="宋体"/>
          <w:sz w:val="24"/>
        </w:rPr>
        <w:t>③</w:t>
      </w:r>
      <w:r>
        <w:rPr>
          <w:sz w:val="24"/>
        </w:rPr>
        <w:t>评标委员会成员对客观评审因素评分不一致的；</w:t>
      </w:r>
    </w:p>
    <w:p w14:paraId="4732E894">
      <w:pPr>
        <w:spacing w:line="360" w:lineRule="auto"/>
        <w:ind w:firstLine="480" w:firstLineChars="200"/>
        <w:rPr>
          <w:sz w:val="24"/>
        </w:rPr>
      </w:pPr>
      <w:r>
        <w:rPr>
          <w:rFonts w:hint="eastAsia" w:ascii="宋体" w:hAnsi="宋体" w:cs="宋体"/>
          <w:sz w:val="24"/>
        </w:rPr>
        <w:t>④</w:t>
      </w:r>
      <w:r>
        <w:rPr>
          <w:sz w:val="24"/>
        </w:rPr>
        <w:t>经评标委员会认定评分畸高、畸低的。</w:t>
      </w:r>
    </w:p>
    <w:p w14:paraId="4469CBD0">
      <w:pPr>
        <w:spacing w:line="360" w:lineRule="auto"/>
        <w:ind w:firstLine="240" w:firstLineChars="100"/>
        <w:rPr>
          <w:sz w:val="24"/>
        </w:rPr>
      </w:pPr>
      <w:r>
        <w:rPr>
          <w:sz w:val="24"/>
        </w:rPr>
        <w:t>（9）评审工作完成后，按照规定向评审专家支付劳务报酬和异地评审差旅费，不得向评审专家以外的其他人员支付评审劳务报酬；</w:t>
      </w:r>
    </w:p>
    <w:p w14:paraId="057A9610">
      <w:pPr>
        <w:spacing w:line="360" w:lineRule="auto"/>
        <w:ind w:firstLine="240" w:firstLineChars="100"/>
        <w:rPr>
          <w:sz w:val="24"/>
        </w:rPr>
      </w:pPr>
      <w:r>
        <w:rPr>
          <w:sz w:val="24"/>
        </w:rPr>
        <w:t>（10）处理与评标有关的其他事项。</w:t>
      </w:r>
    </w:p>
    <w:p w14:paraId="089978EE">
      <w:pPr>
        <w:spacing w:line="360" w:lineRule="auto"/>
        <w:ind w:firstLine="480" w:firstLineChars="200"/>
        <w:rPr>
          <w:sz w:val="24"/>
        </w:rPr>
      </w:pPr>
      <w:r>
        <w:rPr>
          <w:rFonts w:hint="eastAsia"/>
          <w:sz w:val="24"/>
          <w:lang w:eastAsia="zh-CN"/>
        </w:rPr>
        <w:t>4.</w:t>
      </w:r>
      <w:r>
        <w:rPr>
          <w:sz w:val="24"/>
        </w:rPr>
        <w:t>评标委员会负责具体评标事务：</w:t>
      </w:r>
    </w:p>
    <w:p w14:paraId="1B6EAC60">
      <w:pPr>
        <w:spacing w:line="360" w:lineRule="auto"/>
        <w:ind w:firstLine="240" w:firstLineChars="100"/>
        <w:rPr>
          <w:sz w:val="24"/>
        </w:rPr>
      </w:pPr>
      <w:r>
        <w:rPr>
          <w:sz w:val="24"/>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5522CC2A">
      <w:pPr>
        <w:spacing w:line="360" w:lineRule="auto"/>
        <w:ind w:firstLine="240" w:firstLineChars="100"/>
        <w:rPr>
          <w:sz w:val="24"/>
        </w:rPr>
      </w:pPr>
      <w:r>
        <w:rPr>
          <w:sz w:val="24"/>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129DB3C4">
      <w:pPr>
        <w:spacing w:line="360" w:lineRule="auto"/>
        <w:ind w:firstLine="240" w:firstLineChars="100"/>
        <w:rPr>
          <w:sz w:val="24"/>
        </w:rPr>
      </w:pPr>
      <w:r>
        <w:rPr>
          <w:sz w:val="24"/>
        </w:rPr>
        <w:t>（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54347A0">
      <w:pPr>
        <w:adjustRightInd w:val="0"/>
        <w:spacing w:line="360" w:lineRule="auto"/>
        <w:ind w:firstLine="484" w:firstLineChars="202"/>
        <w:rPr>
          <w:sz w:val="24"/>
        </w:rPr>
      </w:pPr>
      <w:r>
        <w:rPr>
          <w:rFonts w:hint="eastAsia"/>
          <w:sz w:val="24"/>
          <w:lang w:eastAsia="zh-CN"/>
        </w:rPr>
        <w:t>5.</w:t>
      </w:r>
      <w:r>
        <w:rPr>
          <w:sz w:val="24"/>
        </w:rPr>
        <w:t>评标委员会成员独立履行以下职责与义务：</w:t>
      </w:r>
    </w:p>
    <w:p w14:paraId="55D9AEEA">
      <w:pPr>
        <w:adjustRightInd w:val="0"/>
        <w:spacing w:line="360" w:lineRule="auto"/>
        <w:ind w:firstLine="484" w:firstLineChars="202"/>
        <w:rPr>
          <w:sz w:val="24"/>
        </w:rPr>
      </w:pPr>
      <w:r>
        <w:rPr>
          <w:sz w:val="24"/>
        </w:rPr>
        <w:t>（1）遵纪守法，客观、公正、廉洁地履行职责；</w:t>
      </w:r>
    </w:p>
    <w:p w14:paraId="13A58490">
      <w:pPr>
        <w:adjustRightInd w:val="0"/>
        <w:spacing w:line="360" w:lineRule="auto"/>
        <w:ind w:firstLine="484" w:firstLineChars="202"/>
        <w:rPr>
          <w:sz w:val="24"/>
        </w:rPr>
      </w:pPr>
      <w:r>
        <w:rPr>
          <w:sz w:val="24"/>
        </w:rPr>
        <w:t>（2）审查合格投标人的投标文件是否实质性响应招标文件要求，并做出评价；</w:t>
      </w:r>
    </w:p>
    <w:p w14:paraId="2F11A548">
      <w:pPr>
        <w:adjustRightInd w:val="0"/>
        <w:spacing w:line="360" w:lineRule="auto"/>
        <w:ind w:firstLine="484" w:firstLineChars="202"/>
        <w:rPr>
          <w:sz w:val="24"/>
        </w:rPr>
      </w:pPr>
      <w:r>
        <w:rPr>
          <w:sz w:val="24"/>
        </w:rPr>
        <w:t>（3）按照招标文件规定的评标办法和评标标准进行评标，对评审意见承担个人责任；</w:t>
      </w:r>
    </w:p>
    <w:p w14:paraId="77A32A2B">
      <w:pPr>
        <w:adjustRightInd w:val="0"/>
        <w:spacing w:line="360" w:lineRule="auto"/>
        <w:ind w:firstLine="484" w:firstLineChars="202"/>
        <w:rPr>
          <w:sz w:val="24"/>
        </w:rPr>
      </w:pPr>
      <w:r>
        <w:rPr>
          <w:sz w:val="24"/>
        </w:rPr>
        <w:t>（4）可以要求投标人对投标文件有关事项做出解释或澄清；</w:t>
      </w:r>
    </w:p>
    <w:p w14:paraId="1F512A7D">
      <w:pPr>
        <w:adjustRightInd w:val="0"/>
        <w:spacing w:line="360" w:lineRule="auto"/>
        <w:ind w:firstLine="484" w:firstLineChars="202"/>
        <w:rPr>
          <w:sz w:val="24"/>
        </w:rPr>
      </w:pPr>
      <w:r>
        <w:rPr>
          <w:sz w:val="24"/>
        </w:rPr>
        <w:t>（5）对评标过程和结果，以及投标人的商业秘密保密；</w:t>
      </w:r>
    </w:p>
    <w:p w14:paraId="1C7F2C9D">
      <w:pPr>
        <w:adjustRightInd w:val="0"/>
        <w:spacing w:line="360" w:lineRule="auto"/>
        <w:ind w:firstLine="484" w:firstLineChars="202"/>
        <w:rPr>
          <w:sz w:val="24"/>
        </w:rPr>
      </w:pPr>
      <w:r>
        <w:rPr>
          <w:sz w:val="24"/>
        </w:rPr>
        <w:t>（6）配合相关部门的投诉处理工作；</w:t>
      </w:r>
    </w:p>
    <w:p w14:paraId="221F316F">
      <w:pPr>
        <w:adjustRightInd w:val="0"/>
        <w:spacing w:line="360" w:lineRule="auto"/>
        <w:ind w:firstLine="484" w:firstLineChars="202"/>
        <w:rPr>
          <w:sz w:val="24"/>
        </w:rPr>
      </w:pPr>
      <w:r>
        <w:rPr>
          <w:sz w:val="24"/>
        </w:rPr>
        <w:t>（7）配合采购人或采购代理机构答复投标人提出的质疑。</w:t>
      </w:r>
    </w:p>
    <w:p w14:paraId="63E6F99A">
      <w:pPr>
        <w:spacing w:line="360" w:lineRule="auto"/>
        <w:ind w:firstLine="480" w:firstLineChars="200"/>
        <w:rPr>
          <w:sz w:val="24"/>
        </w:rPr>
      </w:pPr>
      <w:r>
        <w:rPr>
          <w:rFonts w:hint="eastAsia"/>
          <w:sz w:val="24"/>
          <w:lang w:eastAsia="zh-CN"/>
        </w:rPr>
        <w:t>6.</w:t>
      </w:r>
      <w:r>
        <w:rPr>
          <w:sz w:val="24"/>
        </w:rPr>
        <w:t>除采购人代表、评标现场组织人员外，采购人的其他工作人员以及与评标工作无关的人员不得进入评标现场；有关人员对评标情况以及在评标过程中获悉的国家秘密、商业秘密负有保密责任。</w:t>
      </w:r>
    </w:p>
    <w:p w14:paraId="51E40F9C">
      <w:pPr>
        <w:spacing w:line="360" w:lineRule="auto"/>
        <w:ind w:firstLine="480" w:firstLineChars="200"/>
        <w:rPr>
          <w:sz w:val="24"/>
        </w:rPr>
      </w:pPr>
      <w:r>
        <w:rPr>
          <w:rFonts w:hint="eastAsia"/>
          <w:sz w:val="24"/>
          <w:lang w:eastAsia="zh-CN"/>
        </w:rPr>
        <w:t>7.</w:t>
      </w:r>
      <w:r>
        <w:rPr>
          <w:sz w:val="24"/>
        </w:rPr>
        <w:t>开标后直到公告项目</w:t>
      </w:r>
      <w:r>
        <w:rPr>
          <w:rFonts w:hint="eastAsia"/>
          <w:sz w:val="24"/>
        </w:rPr>
        <w:t>中标</w:t>
      </w:r>
      <w:r>
        <w:rPr>
          <w:sz w:val="24"/>
        </w:rPr>
        <w:t>结果发出</w:t>
      </w:r>
      <w:r>
        <w:rPr>
          <w:rFonts w:hint="eastAsia"/>
          <w:sz w:val="24"/>
        </w:rPr>
        <w:t>中标通知书</w:t>
      </w:r>
      <w:r>
        <w:rPr>
          <w:sz w:val="24"/>
        </w:rPr>
        <w:t>并授予中标人合同为止，凡属于评审、澄清、评价和比较投标的所有资料及有关授予合同等的相关信息，都不应向投标人或与评标无关的其他人泄露。</w:t>
      </w:r>
    </w:p>
    <w:p w14:paraId="04F4A3FA">
      <w:pPr>
        <w:adjustRightInd w:val="0"/>
        <w:spacing w:line="360" w:lineRule="auto"/>
        <w:ind w:firstLine="484" w:firstLineChars="202"/>
        <w:rPr>
          <w:b/>
          <w:sz w:val="24"/>
        </w:rPr>
      </w:pPr>
      <w:r>
        <w:rPr>
          <w:rFonts w:hint="eastAsia"/>
          <w:sz w:val="24"/>
          <w:lang w:eastAsia="zh-CN"/>
        </w:rPr>
        <w:t>8.</w:t>
      </w:r>
      <w:r>
        <w:rPr>
          <w:sz w:val="24"/>
        </w:rPr>
        <w:t>评审期间，合格投标人的投标文件仍有可能被评标委员会根据规定判为无效投标。</w:t>
      </w:r>
    </w:p>
    <w:p w14:paraId="4AFBEAA7">
      <w:pPr>
        <w:adjustRightInd w:val="0"/>
        <w:spacing w:line="360" w:lineRule="auto"/>
        <w:ind w:firstLine="484" w:firstLineChars="202"/>
        <w:rPr>
          <w:b/>
          <w:sz w:val="24"/>
        </w:rPr>
      </w:pPr>
      <w:r>
        <w:rPr>
          <w:rFonts w:hint="eastAsia"/>
          <w:sz w:val="24"/>
          <w:lang w:eastAsia="zh-CN"/>
        </w:rPr>
        <w:t>9.</w:t>
      </w:r>
      <w:r>
        <w:rPr>
          <w:sz w:val="24"/>
        </w:rPr>
        <w:t>在投标文件的评审、澄清、评价和比较以及授予合同的过程中，投标人对采购人和评标委员会成员有施加影响的任何行为，都将取消其可能的中标资格。</w:t>
      </w:r>
    </w:p>
    <w:p w14:paraId="52779F01">
      <w:pPr>
        <w:adjustRightInd w:val="0"/>
        <w:spacing w:line="360" w:lineRule="auto"/>
        <w:ind w:firstLine="487" w:firstLineChars="202"/>
        <w:outlineLvl w:val="1"/>
        <w:rPr>
          <w:b/>
          <w:bCs/>
          <w:sz w:val="24"/>
        </w:rPr>
      </w:pPr>
      <w:r>
        <w:rPr>
          <w:b/>
          <w:bCs/>
          <w:sz w:val="24"/>
        </w:rPr>
        <w:t>五、评审原则</w:t>
      </w:r>
    </w:p>
    <w:p w14:paraId="20E1EB4F">
      <w:pPr>
        <w:spacing w:line="360" w:lineRule="auto"/>
        <w:ind w:firstLine="484" w:firstLineChars="202"/>
        <w:rPr>
          <w:sz w:val="24"/>
        </w:rPr>
      </w:pPr>
      <w:r>
        <w:rPr>
          <w:rFonts w:hint="eastAsia"/>
          <w:sz w:val="24"/>
          <w:lang w:eastAsia="zh-CN"/>
        </w:rPr>
        <w:t>1.</w:t>
      </w:r>
      <w:r>
        <w:rPr>
          <w:rFonts w:hint="eastAsia"/>
          <w:sz w:val="24"/>
        </w:rPr>
        <w:t>本项目采用综合评分法，即指投标文件满足本项目招标文件全部实质性要求，且按照评审因素的量化指标，经评审后得分最高的投标人推荐为中标人的评标方法。</w:t>
      </w:r>
    </w:p>
    <w:p w14:paraId="715A1201">
      <w:pPr>
        <w:spacing w:line="360" w:lineRule="auto"/>
        <w:ind w:firstLine="484" w:firstLineChars="202"/>
        <w:rPr>
          <w:sz w:val="24"/>
        </w:rPr>
      </w:pPr>
      <w:r>
        <w:rPr>
          <w:rFonts w:hint="eastAsia"/>
          <w:sz w:val="24"/>
          <w:lang w:eastAsia="zh-CN"/>
        </w:rPr>
        <w:t>2.</w:t>
      </w:r>
      <w:r>
        <w:rPr>
          <w:rFonts w:hint="eastAsia"/>
          <w:sz w:val="24"/>
        </w:rPr>
        <w:t>评标委员会成员：对符合资格的投标人的投标文件进行符合性审查，以确定其是否满足招标文件的实质性要求；按照招标文件中规定的评标方法和标准，对符合性审查合格的投标文件进行商务和技术符合性评审。</w:t>
      </w:r>
    </w:p>
    <w:p w14:paraId="44AD77F8">
      <w:pPr>
        <w:spacing w:line="360" w:lineRule="auto"/>
        <w:ind w:firstLine="484" w:firstLineChars="202"/>
        <w:rPr>
          <w:sz w:val="24"/>
        </w:rPr>
      </w:pPr>
      <w:r>
        <w:rPr>
          <w:rFonts w:hint="eastAsia"/>
          <w:sz w:val="24"/>
          <w:lang w:eastAsia="zh-CN"/>
        </w:rPr>
        <w:t>3.</w:t>
      </w:r>
      <w:r>
        <w:rPr>
          <w:rFonts w:hint="eastAsia"/>
          <w:sz w:val="24"/>
        </w:rPr>
        <w:t>评标委员会严格按照招标文件规定的要求、条件，对投标人所提供的完整计划标的物的科学性、可行性、产品质量、服务质量的保证及承诺等实质性响应内容进行符合性评审。</w:t>
      </w:r>
    </w:p>
    <w:p w14:paraId="1ED4B94A">
      <w:pPr>
        <w:spacing w:line="360" w:lineRule="auto"/>
        <w:ind w:firstLine="484" w:firstLineChars="202"/>
        <w:rPr>
          <w:sz w:val="24"/>
        </w:rPr>
      </w:pPr>
      <w:r>
        <w:rPr>
          <w:rFonts w:hint="eastAsia"/>
          <w:sz w:val="24"/>
          <w:lang w:eastAsia="zh-CN"/>
        </w:rPr>
        <w:t>4.</w:t>
      </w:r>
      <w:r>
        <w:rPr>
          <w:rFonts w:hint="eastAsia"/>
          <w:sz w:val="24"/>
        </w:rPr>
        <w:t>对投标文件的评审判定，只依据投标文件内容本身，不依靠开标后任何外来证明文件</w:t>
      </w:r>
      <w:r>
        <w:rPr>
          <w:sz w:val="24"/>
        </w:rPr>
        <w:t>。</w:t>
      </w:r>
    </w:p>
    <w:p w14:paraId="2D6F7BD9">
      <w:pPr>
        <w:spacing w:line="360" w:lineRule="auto"/>
        <w:ind w:firstLine="200"/>
        <w:outlineLvl w:val="1"/>
        <w:rPr>
          <w:b/>
          <w:bCs/>
          <w:sz w:val="24"/>
        </w:rPr>
      </w:pPr>
      <w:r>
        <w:rPr>
          <w:b/>
          <w:bCs/>
          <w:sz w:val="24"/>
        </w:rPr>
        <w:t>六、评审方法</w:t>
      </w:r>
    </w:p>
    <w:p w14:paraId="2849FBB0">
      <w:pPr>
        <w:spacing w:line="360" w:lineRule="auto"/>
        <w:ind w:firstLine="484" w:firstLineChars="202"/>
        <w:outlineLvl w:val="9"/>
        <w:rPr>
          <w:sz w:val="24"/>
        </w:rPr>
      </w:pPr>
      <w:r>
        <w:rPr>
          <w:rFonts w:hint="eastAsia"/>
          <w:sz w:val="24"/>
          <w:lang w:eastAsia="zh-CN"/>
        </w:rPr>
        <w:t>1.</w:t>
      </w:r>
      <w:r>
        <w:rPr>
          <w:rFonts w:hint="eastAsia"/>
          <w:sz w:val="24"/>
        </w:rPr>
        <w:t>评标程序：</w:t>
      </w:r>
    </w:p>
    <w:p w14:paraId="3E668D73">
      <w:pPr>
        <w:spacing w:line="360" w:lineRule="auto"/>
        <w:ind w:firstLine="484" w:firstLineChars="202"/>
        <w:outlineLvl w:val="9"/>
        <w:rPr>
          <w:sz w:val="24"/>
        </w:rPr>
      </w:pPr>
      <w:r>
        <w:rPr>
          <w:rFonts w:hint="eastAsia"/>
          <w:sz w:val="24"/>
        </w:rPr>
        <w:t>资格符合性评审——技术标评审——商务标评审——确定中标候选人。</w:t>
      </w:r>
    </w:p>
    <w:p w14:paraId="0E5BFE7E">
      <w:pPr>
        <w:spacing w:line="360" w:lineRule="auto"/>
        <w:ind w:firstLine="484" w:firstLineChars="202"/>
        <w:outlineLvl w:val="9"/>
        <w:rPr>
          <w:sz w:val="24"/>
        </w:rPr>
      </w:pPr>
      <w:r>
        <w:rPr>
          <w:rFonts w:hint="eastAsia"/>
          <w:sz w:val="24"/>
        </w:rPr>
        <w:t>本次资格审查采用资格后审，各投标人资格审查通过后方能进入技术标的开标。先开技术标，技术标打分结束后再开商务标。</w:t>
      </w:r>
    </w:p>
    <w:p w14:paraId="56FEB052">
      <w:pPr>
        <w:spacing w:line="360" w:lineRule="auto"/>
        <w:ind w:firstLine="484" w:firstLineChars="202"/>
        <w:outlineLvl w:val="9"/>
        <w:rPr>
          <w:sz w:val="24"/>
        </w:rPr>
      </w:pPr>
      <w:r>
        <w:rPr>
          <w:rFonts w:hint="eastAsia"/>
          <w:sz w:val="24"/>
          <w:lang w:eastAsia="zh-CN"/>
        </w:rPr>
        <w:t>2.</w:t>
      </w:r>
      <w:r>
        <w:rPr>
          <w:rFonts w:hint="eastAsia"/>
          <w:sz w:val="24"/>
        </w:rPr>
        <w:t>评标委员会将仅对按本招标文件载明的方法与规定，为实质上响应招标文件要求的投标文件评审并进行评价和比较。</w:t>
      </w:r>
    </w:p>
    <w:p w14:paraId="0DB5E903">
      <w:pPr>
        <w:spacing w:line="360" w:lineRule="auto"/>
        <w:ind w:firstLine="484" w:firstLineChars="202"/>
        <w:outlineLvl w:val="9"/>
        <w:rPr>
          <w:sz w:val="24"/>
        </w:rPr>
      </w:pPr>
      <w:r>
        <w:rPr>
          <w:rFonts w:hint="eastAsia"/>
          <w:sz w:val="24"/>
          <w:lang w:eastAsia="zh-CN"/>
        </w:rPr>
        <w:t>3.</w:t>
      </w:r>
      <w:r>
        <w:rPr>
          <w:rFonts w:hint="eastAsia"/>
          <w:sz w:val="24"/>
        </w:rPr>
        <w:t>本次项目的技术标和商务标评审总分值为100分。两部分评审因素比重如下：</w:t>
      </w:r>
    </w:p>
    <w:p w14:paraId="39128464">
      <w:pPr>
        <w:spacing w:line="360" w:lineRule="auto"/>
        <w:ind w:firstLine="484" w:firstLineChars="202"/>
        <w:outlineLvl w:val="9"/>
        <w:rPr>
          <w:sz w:val="24"/>
        </w:rPr>
      </w:pPr>
      <w:r>
        <w:rPr>
          <w:rFonts w:hint="eastAsia"/>
          <w:sz w:val="24"/>
        </w:rPr>
        <w:t>技术标分值占总分值的比重为</w:t>
      </w:r>
      <w:r>
        <w:rPr>
          <w:rFonts w:hint="eastAsia"/>
          <w:sz w:val="24"/>
          <w:u w:val="single"/>
          <w:lang w:val="en-US" w:eastAsia="zh-CN"/>
        </w:rPr>
        <w:t>6</w:t>
      </w:r>
      <w:r>
        <w:rPr>
          <w:rFonts w:hint="eastAsia"/>
          <w:sz w:val="24"/>
          <w:u w:val="single"/>
        </w:rPr>
        <w:t>0%</w:t>
      </w:r>
      <w:r>
        <w:rPr>
          <w:rFonts w:hint="eastAsia"/>
          <w:sz w:val="24"/>
        </w:rPr>
        <w:t>（权重）（计算结果均四舍五入保留两位小数）；</w:t>
      </w:r>
    </w:p>
    <w:p w14:paraId="768E8483">
      <w:pPr>
        <w:spacing w:line="360" w:lineRule="auto"/>
        <w:ind w:firstLine="484" w:firstLineChars="202"/>
        <w:outlineLvl w:val="9"/>
        <w:rPr>
          <w:sz w:val="24"/>
        </w:rPr>
      </w:pPr>
      <w:r>
        <w:rPr>
          <w:rFonts w:hint="eastAsia"/>
          <w:sz w:val="24"/>
        </w:rPr>
        <w:t>商务标分值占总分值的比重为</w:t>
      </w:r>
      <w:r>
        <w:rPr>
          <w:rFonts w:hint="eastAsia"/>
          <w:sz w:val="24"/>
          <w:u w:val="single"/>
          <w:lang w:val="en-US" w:eastAsia="zh-CN"/>
        </w:rPr>
        <w:t>4</w:t>
      </w:r>
      <w:r>
        <w:rPr>
          <w:rFonts w:hint="eastAsia"/>
          <w:sz w:val="24"/>
          <w:u w:val="single"/>
        </w:rPr>
        <w:t>0%</w:t>
      </w:r>
      <w:r>
        <w:rPr>
          <w:rFonts w:hint="eastAsia"/>
          <w:sz w:val="24"/>
        </w:rPr>
        <w:t>（权重）（计算结果均四舍五入保留两位小数）；</w:t>
      </w:r>
    </w:p>
    <w:p w14:paraId="5B879FBD">
      <w:pPr>
        <w:spacing w:line="360" w:lineRule="auto"/>
        <w:ind w:firstLine="484" w:firstLineChars="202"/>
        <w:outlineLvl w:val="9"/>
        <w:rPr>
          <w:sz w:val="24"/>
        </w:rPr>
      </w:pPr>
      <w:r>
        <w:rPr>
          <w:rFonts w:hint="eastAsia"/>
          <w:sz w:val="24"/>
          <w:lang w:eastAsia="zh-CN"/>
        </w:rPr>
        <w:t>4.</w:t>
      </w:r>
      <w:r>
        <w:rPr>
          <w:rFonts w:hint="eastAsia"/>
          <w:sz w:val="24"/>
        </w:rPr>
        <w:t>评标委员会严格按照招标文件的要求、条件、评分标准，对投标人所提供货物或服务的先进性、可靠性、售后服务承诺、质量保证承诺等实质性响应内容进行比较。</w:t>
      </w:r>
    </w:p>
    <w:p w14:paraId="0DC9BC28">
      <w:pPr>
        <w:spacing w:line="360" w:lineRule="auto"/>
        <w:ind w:firstLine="484" w:firstLineChars="202"/>
        <w:outlineLvl w:val="9"/>
        <w:rPr>
          <w:sz w:val="24"/>
        </w:rPr>
      </w:pPr>
      <w:r>
        <w:rPr>
          <w:rFonts w:hint="eastAsia"/>
          <w:sz w:val="24"/>
          <w:lang w:eastAsia="zh-CN"/>
        </w:rPr>
        <w:t>5.</w:t>
      </w:r>
      <w:r>
        <w:rPr>
          <w:rFonts w:hint="eastAsia"/>
          <w:sz w:val="24"/>
        </w:rPr>
        <w:t>评标专家确定方式：在专家库中随机抽取。评标委员会各成员独立对每个进入打分程序的有效投标人的投标文件的技术部分以打分的形式进行评审和评价。</w:t>
      </w:r>
    </w:p>
    <w:p w14:paraId="0C6E6D00">
      <w:pPr>
        <w:spacing w:line="360" w:lineRule="auto"/>
        <w:ind w:firstLine="484" w:firstLineChars="202"/>
        <w:outlineLvl w:val="9"/>
        <w:rPr>
          <w:sz w:val="24"/>
        </w:rPr>
      </w:pPr>
      <w:r>
        <w:rPr>
          <w:rFonts w:hint="eastAsia"/>
          <w:sz w:val="24"/>
          <w:lang w:eastAsia="zh-CN"/>
        </w:rPr>
        <w:t>6.</w:t>
      </w:r>
      <w:r>
        <w:rPr>
          <w:rFonts w:hint="eastAsia"/>
          <w:sz w:val="24"/>
        </w:rPr>
        <w:t>技术分按算术平均值计算（计算结果均四舍五入保留两位小数）。</w:t>
      </w:r>
    </w:p>
    <w:p w14:paraId="3B5D641C">
      <w:pPr>
        <w:spacing w:line="360" w:lineRule="auto"/>
        <w:ind w:firstLine="484" w:firstLineChars="202"/>
        <w:outlineLvl w:val="9"/>
        <w:rPr>
          <w:sz w:val="24"/>
        </w:rPr>
      </w:pPr>
      <w:r>
        <w:rPr>
          <w:rFonts w:hint="eastAsia"/>
          <w:sz w:val="24"/>
          <w:lang w:eastAsia="zh-CN"/>
        </w:rPr>
        <w:t>7.</w:t>
      </w:r>
      <w:r>
        <w:rPr>
          <w:rFonts w:hint="eastAsia"/>
          <w:sz w:val="24"/>
        </w:rPr>
        <w:t>开启投标人的商务报价标，现场唱标后由投标人代表签名确认。</w:t>
      </w:r>
    </w:p>
    <w:p w14:paraId="5A82CC28">
      <w:pPr>
        <w:spacing w:line="360" w:lineRule="auto"/>
        <w:ind w:firstLine="484" w:firstLineChars="202"/>
        <w:outlineLvl w:val="9"/>
        <w:rPr>
          <w:sz w:val="24"/>
        </w:rPr>
      </w:pPr>
      <w:r>
        <w:rPr>
          <w:rFonts w:hint="eastAsia"/>
          <w:sz w:val="24"/>
          <w:lang w:eastAsia="zh-CN"/>
        </w:rPr>
        <w:t>8.</w:t>
      </w:r>
      <w:r>
        <w:rPr>
          <w:rFonts w:hint="eastAsia"/>
          <w:sz w:val="24"/>
        </w:rPr>
        <w:t>投标人的商务标分值统一采用低价优先法计算直接取得，与技术标分值相加为供应商的综合得分（四舍五入保留两位小数）。</w:t>
      </w:r>
    </w:p>
    <w:p w14:paraId="7021BD5A">
      <w:pPr>
        <w:spacing w:line="360" w:lineRule="auto"/>
        <w:ind w:firstLine="484" w:firstLineChars="202"/>
        <w:outlineLvl w:val="9"/>
        <w:rPr>
          <w:sz w:val="24"/>
        </w:rPr>
      </w:pPr>
      <w:r>
        <w:rPr>
          <w:rFonts w:hint="eastAsia"/>
          <w:sz w:val="24"/>
          <w:lang w:eastAsia="zh-CN"/>
        </w:rPr>
        <w:t>9.</w:t>
      </w:r>
      <w:r>
        <w:rPr>
          <w:rFonts w:hint="eastAsia"/>
          <w:sz w:val="24"/>
        </w:rPr>
        <w:t>确定中标候选人的特殊情况处理：</w:t>
      </w:r>
    </w:p>
    <w:p w14:paraId="41750C26">
      <w:pPr>
        <w:spacing w:line="360" w:lineRule="auto"/>
        <w:ind w:firstLine="484" w:firstLineChars="202"/>
        <w:outlineLvl w:val="9"/>
        <w:rPr>
          <w:sz w:val="24"/>
        </w:rPr>
      </w:pPr>
      <w:r>
        <w:rPr>
          <w:rFonts w:hint="eastAsia"/>
          <w:sz w:val="24"/>
        </w:rPr>
        <w:t>（1）若总分相同，则按最终报价得分高者优先中标。</w:t>
      </w:r>
    </w:p>
    <w:p w14:paraId="634D7F05">
      <w:pPr>
        <w:spacing w:line="360" w:lineRule="auto"/>
        <w:ind w:firstLine="484" w:firstLineChars="202"/>
        <w:outlineLvl w:val="9"/>
        <w:rPr>
          <w:sz w:val="24"/>
        </w:rPr>
      </w:pPr>
      <w:r>
        <w:rPr>
          <w:rFonts w:hint="eastAsia"/>
          <w:sz w:val="24"/>
        </w:rPr>
        <w:t>（2）若总分且最终报价得分相同，则采取现场抽签的方式确定（由投标人按递交投标文件签到顺序号抽签确定）。</w:t>
      </w:r>
    </w:p>
    <w:p w14:paraId="6AAA4C41">
      <w:pPr>
        <w:spacing w:line="360" w:lineRule="auto"/>
        <w:ind w:firstLine="484" w:firstLineChars="202"/>
        <w:outlineLvl w:val="9"/>
        <w:rPr>
          <w:sz w:val="24"/>
        </w:rPr>
      </w:pPr>
      <w:r>
        <w:rPr>
          <w:rFonts w:hint="eastAsia"/>
          <w:sz w:val="24"/>
          <w:lang w:eastAsia="zh-CN"/>
        </w:rPr>
        <w:t>10.</w:t>
      </w:r>
      <w:r>
        <w:rPr>
          <w:rFonts w:hint="eastAsia"/>
          <w:sz w:val="24"/>
        </w:rPr>
        <w:t>投标文件评审时，评委对评审的细则若有争议，由评标委员会集体讨论确定，并对未尽情况有最终解释权。</w:t>
      </w:r>
    </w:p>
    <w:p w14:paraId="3330879D">
      <w:pPr>
        <w:spacing w:line="360" w:lineRule="auto"/>
        <w:ind w:firstLine="484" w:firstLineChars="202"/>
        <w:outlineLvl w:val="9"/>
        <w:rPr>
          <w:sz w:val="24"/>
        </w:rPr>
      </w:pPr>
      <w:r>
        <w:rPr>
          <w:rFonts w:hint="eastAsia"/>
          <w:sz w:val="24"/>
          <w:lang w:eastAsia="zh-CN"/>
        </w:rPr>
        <w:t>11.</w:t>
      </w:r>
      <w:r>
        <w:rPr>
          <w:rFonts w:hint="eastAsia"/>
          <w:sz w:val="24"/>
        </w:rPr>
        <w:t>评标结果按投标文件满足招标文件全部实质性要求，且按照评审因素的量化指标评审综合得分最高的投标人，排名第一的确定为中标人，出具评审报告并将结果通知所有投标人。</w:t>
      </w:r>
    </w:p>
    <w:p w14:paraId="6827648D">
      <w:pPr>
        <w:spacing w:line="360" w:lineRule="auto"/>
        <w:ind w:firstLine="487" w:firstLineChars="202"/>
        <w:outlineLvl w:val="1"/>
        <w:rPr>
          <w:b/>
          <w:bCs/>
          <w:sz w:val="24"/>
        </w:rPr>
      </w:pPr>
      <w:r>
        <w:rPr>
          <w:b/>
          <w:bCs/>
          <w:sz w:val="24"/>
        </w:rPr>
        <w:t>七、关于投标价格评审</w:t>
      </w:r>
    </w:p>
    <w:p w14:paraId="5E14E624">
      <w:pPr>
        <w:spacing w:line="360" w:lineRule="auto"/>
        <w:ind w:firstLine="484" w:firstLineChars="202"/>
        <w:rPr>
          <w:sz w:val="24"/>
        </w:rPr>
      </w:pPr>
      <w:r>
        <w:rPr>
          <w:rFonts w:hint="eastAsia"/>
          <w:sz w:val="24"/>
        </w:rPr>
        <w:t>（一）针对投标价格合理性的评审</w:t>
      </w:r>
    </w:p>
    <w:p w14:paraId="424E05F0">
      <w:pPr>
        <w:spacing w:line="360" w:lineRule="auto"/>
        <w:ind w:firstLine="484" w:firstLineChars="202"/>
        <w:rPr>
          <w:sz w:val="24"/>
        </w:rPr>
      </w:pPr>
      <w:r>
        <w:rPr>
          <w:rFonts w:hint="eastAsia"/>
          <w:sz w:val="24"/>
          <w:lang w:eastAsia="zh-CN"/>
        </w:rPr>
        <w:t>1.</w:t>
      </w:r>
      <w:r>
        <w:rPr>
          <w:rFonts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7A55FA1">
      <w:pPr>
        <w:spacing w:line="360" w:lineRule="auto"/>
        <w:ind w:firstLine="484" w:firstLineChars="202"/>
        <w:rPr>
          <w:sz w:val="24"/>
        </w:rPr>
      </w:pPr>
      <w:r>
        <w:rPr>
          <w:rFonts w:hint="eastAsia"/>
          <w:sz w:val="24"/>
          <w:lang w:eastAsia="zh-CN"/>
        </w:rPr>
        <w:t>2.</w:t>
      </w:r>
      <w:r>
        <w:rPr>
          <w:rFonts w:hint="eastAsia"/>
          <w:sz w:val="24"/>
        </w:rPr>
        <w:t>投标报价超过采购预算的或单价超过单价最高限价的作无效投标处理。</w:t>
      </w:r>
    </w:p>
    <w:p w14:paraId="3F86FE12">
      <w:pPr>
        <w:snapToGrid w:val="0"/>
        <w:spacing w:line="360" w:lineRule="auto"/>
        <w:ind w:firstLine="465"/>
        <w:outlineLvl w:val="1"/>
        <w:rPr>
          <w:b/>
          <w:bCs/>
          <w:sz w:val="24"/>
        </w:rPr>
      </w:pPr>
      <w:r>
        <w:rPr>
          <w:b/>
          <w:bCs/>
          <w:sz w:val="24"/>
        </w:rPr>
        <w:t>八、评审评分项</w:t>
      </w:r>
    </w:p>
    <w:p w14:paraId="280B3AD6">
      <w:pPr>
        <w:adjustRightInd w:val="0"/>
        <w:snapToGrid w:val="0"/>
        <w:spacing w:line="360" w:lineRule="auto"/>
        <w:ind w:firstLine="482" w:firstLineChars="200"/>
        <w:outlineLvl w:val="2"/>
        <w:rPr>
          <w:rFonts w:ascii="宋体" w:hAnsi="宋体" w:cs="宋体"/>
          <w:b/>
          <w:bCs/>
          <w:sz w:val="24"/>
        </w:rPr>
      </w:pPr>
      <w:r>
        <w:rPr>
          <w:rFonts w:hint="eastAsia" w:ascii="宋体" w:hAnsi="宋体" w:cs="宋体"/>
          <w:b/>
          <w:bCs/>
          <w:sz w:val="24"/>
        </w:rPr>
        <w:t>（一）技术标评分：（</w:t>
      </w:r>
      <w:r>
        <w:rPr>
          <w:rFonts w:hint="eastAsia" w:ascii="宋体" w:hAnsi="宋体" w:cs="宋体"/>
          <w:b/>
          <w:bCs/>
          <w:sz w:val="24"/>
          <w:lang w:val="en-US" w:eastAsia="zh-CN"/>
        </w:rPr>
        <w:t>6</w:t>
      </w:r>
      <w:r>
        <w:rPr>
          <w:rFonts w:hint="eastAsia" w:ascii="宋体" w:hAnsi="宋体" w:cs="宋体"/>
          <w:b/>
          <w:bCs/>
          <w:sz w:val="24"/>
        </w:rPr>
        <w:t>0分）</w:t>
      </w:r>
    </w:p>
    <w:tbl>
      <w:tblPr>
        <w:tblStyle w:val="28"/>
        <w:tblW w:w="843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009"/>
        <w:gridCol w:w="6327"/>
        <w:gridCol w:w="641"/>
      </w:tblGrid>
      <w:tr w14:paraId="114F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795" w:type="dxa"/>
            <w:gridSpan w:val="3"/>
            <w:noWrap w:val="0"/>
            <w:vAlign w:val="center"/>
          </w:tcPr>
          <w:p w14:paraId="3F970D40">
            <w:pPr>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评审标准</w:t>
            </w:r>
          </w:p>
        </w:tc>
        <w:tc>
          <w:tcPr>
            <w:tcW w:w="641" w:type="dxa"/>
            <w:noWrap w:val="0"/>
            <w:vAlign w:val="center"/>
          </w:tcPr>
          <w:p w14:paraId="41D4D076">
            <w:pPr>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备注</w:t>
            </w:r>
          </w:p>
        </w:tc>
      </w:tr>
      <w:tr w14:paraId="725B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59" w:type="dxa"/>
            <w:vMerge w:val="restart"/>
            <w:noWrap w:val="0"/>
            <w:vAlign w:val="center"/>
          </w:tcPr>
          <w:p w14:paraId="52546408">
            <w:pPr>
              <w:spacing w:line="360" w:lineRule="auto"/>
              <w:jc w:val="center"/>
              <w:rPr>
                <w:rFonts w:hint="eastAsia" w:ascii="宋体" w:hAnsi="宋体" w:eastAsia="宋体" w:cs="宋体"/>
                <w:color w:val="000000"/>
                <w:sz w:val="21"/>
                <w:szCs w:val="21"/>
              </w:rPr>
            </w:pPr>
          </w:p>
          <w:p w14:paraId="2504FAF3">
            <w:pPr>
              <w:spacing w:line="360" w:lineRule="auto"/>
              <w:jc w:val="center"/>
              <w:rPr>
                <w:rFonts w:hint="eastAsia" w:ascii="宋体" w:hAnsi="宋体" w:eastAsia="宋体" w:cs="宋体"/>
                <w:color w:val="000000"/>
                <w:sz w:val="21"/>
                <w:szCs w:val="21"/>
              </w:rPr>
            </w:pPr>
          </w:p>
          <w:p w14:paraId="4CFFF2D1">
            <w:pPr>
              <w:spacing w:line="360" w:lineRule="auto"/>
              <w:jc w:val="center"/>
              <w:rPr>
                <w:rFonts w:hint="eastAsia" w:ascii="宋体" w:hAnsi="宋体" w:eastAsia="宋体" w:cs="宋体"/>
                <w:color w:val="000000"/>
                <w:sz w:val="21"/>
                <w:szCs w:val="21"/>
              </w:rPr>
            </w:pPr>
          </w:p>
          <w:p w14:paraId="2F7C0AB0">
            <w:pPr>
              <w:spacing w:line="360" w:lineRule="auto"/>
              <w:jc w:val="center"/>
              <w:rPr>
                <w:rFonts w:hint="eastAsia" w:ascii="宋体" w:hAnsi="宋体" w:eastAsia="宋体" w:cs="宋体"/>
                <w:color w:val="000000"/>
                <w:sz w:val="21"/>
                <w:szCs w:val="21"/>
              </w:rPr>
            </w:pPr>
          </w:p>
          <w:p w14:paraId="2B87123B">
            <w:pPr>
              <w:spacing w:line="360" w:lineRule="auto"/>
              <w:jc w:val="center"/>
              <w:rPr>
                <w:rFonts w:hint="eastAsia" w:ascii="宋体" w:hAnsi="宋体" w:eastAsia="宋体" w:cs="宋体"/>
                <w:color w:val="000000"/>
                <w:sz w:val="21"/>
                <w:szCs w:val="21"/>
              </w:rPr>
            </w:pPr>
          </w:p>
          <w:p w14:paraId="335752FF">
            <w:pPr>
              <w:spacing w:line="360" w:lineRule="auto"/>
              <w:jc w:val="center"/>
              <w:rPr>
                <w:rFonts w:hint="eastAsia" w:ascii="宋体" w:hAnsi="宋体" w:eastAsia="宋体" w:cs="宋体"/>
                <w:color w:val="000000"/>
                <w:sz w:val="21"/>
                <w:szCs w:val="21"/>
              </w:rPr>
            </w:pPr>
          </w:p>
          <w:p w14:paraId="69D4586D">
            <w:pPr>
              <w:spacing w:line="360" w:lineRule="auto"/>
              <w:jc w:val="center"/>
              <w:rPr>
                <w:rFonts w:hint="eastAsia" w:ascii="宋体" w:hAnsi="宋体" w:eastAsia="宋体" w:cs="宋体"/>
                <w:color w:val="000000"/>
                <w:sz w:val="21"/>
                <w:szCs w:val="21"/>
              </w:rPr>
            </w:pPr>
          </w:p>
          <w:p w14:paraId="440A0071">
            <w:pPr>
              <w:spacing w:line="360" w:lineRule="auto"/>
              <w:jc w:val="center"/>
              <w:rPr>
                <w:rFonts w:hint="eastAsia" w:ascii="宋体" w:hAnsi="宋体" w:eastAsia="宋体" w:cs="宋体"/>
                <w:color w:val="000000"/>
                <w:sz w:val="21"/>
                <w:szCs w:val="21"/>
              </w:rPr>
            </w:pPr>
          </w:p>
          <w:p w14:paraId="3A325F58">
            <w:pPr>
              <w:spacing w:line="360" w:lineRule="auto"/>
              <w:jc w:val="center"/>
              <w:rPr>
                <w:rFonts w:hint="eastAsia" w:ascii="宋体" w:hAnsi="宋体" w:eastAsia="宋体" w:cs="宋体"/>
                <w:color w:val="000000"/>
                <w:sz w:val="21"/>
                <w:szCs w:val="21"/>
              </w:rPr>
            </w:pPr>
          </w:p>
          <w:p w14:paraId="549F9427">
            <w:pPr>
              <w:spacing w:line="360" w:lineRule="auto"/>
              <w:jc w:val="center"/>
              <w:rPr>
                <w:rFonts w:hint="eastAsia" w:ascii="宋体" w:hAnsi="宋体" w:eastAsia="宋体" w:cs="宋体"/>
                <w:color w:val="000000"/>
                <w:sz w:val="21"/>
                <w:szCs w:val="21"/>
              </w:rPr>
            </w:pPr>
          </w:p>
          <w:p w14:paraId="3786A30A">
            <w:pPr>
              <w:spacing w:line="360" w:lineRule="auto"/>
              <w:jc w:val="center"/>
              <w:rPr>
                <w:rFonts w:hint="eastAsia" w:ascii="宋体" w:hAnsi="宋体" w:eastAsia="宋体" w:cs="宋体"/>
                <w:color w:val="000000"/>
                <w:sz w:val="21"/>
                <w:szCs w:val="21"/>
              </w:rPr>
            </w:pPr>
          </w:p>
          <w:p w14:paraId="537C5701">
            <w:pPr>
              <w:spacing w:line="360" w:lineRule="auto"/>
              <w:jc w:val="center"/>
              <w:rPr>
                <w:rFonts w:hint="eastAsia" w:ascii="宋体" w:hAnsi="宋体" w:eastAsia="宋体" w:cs="宋体"/>
                <w:color w:val="000000"/>
                <w:sz w:val="21"/>
                <w:szCs w:val="21"/>
              </w:rPr>
            </w:pPr>
          </w:p>
          <w:p w14:paraId="3EBD7578">
            <w:pPr>
              <w:spacing w:line="360" w:lineRule="auto"/>
              <w:jc w:val="center"/>
              <w:rPr>
                <w:rFonts w:hint="eastAsia" w:ascii="宋体" w:hAnsi="宋体" w:eastAsia="宋体" w:cs="宋体"/>
                <w:color w:val="000000"/>
                <w:sz w:val="21"/>
                <w:szCs w:val="21"/>
              </w:rPr>
            </w:pPr>
          </w:p>
          <w:p w14:paraId="2490E2D2">
            <w:pPr>
              <w:spacing w:line="360" w:lineRule="auto"/>
              <w:jc w:val="center"/>
              <w:rPr>
                <w:rFonts w:hint="eastAsia" w:ascii="宋体" w:hAnsi="宋体" w:eastAsia="宋体" w:cs="宋体"/>
                <w:color w:val="000000"/>
                <w:sz w:val="21"/>
                <w:szCs w:val="21"/>
              </w:rPr>
            </w:pPr>
          </w:p>
          <w:p w14:paraId="315D780D">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商</w:t>
            </w:r>
          </w:p>
          <w:p w14:paraId="0F6CF9BA">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务</w:t>
            </w:r>
          </w:p>
          <w:p w14:paraId="6A1A6BCF">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技</w:t>
            </w:r>
          </w:p>
          <w:p w14:paraId="4478848A">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术</w:t>
            </w:r>
          </w:p>
          <w:p w14:paraId="133D822D">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标</w:t>
            </w:r>
          </w:p>
          <w:p w14:paraId="3AEC02F3">
            <w:pPr>
              <w:spacing w:line="360" w:lineRule="auto"/>
              <w:jc w:val="center"/>
              <w:rPr>
                <w:rFonts w:hint="eastAsia" w:ascii="宋体" w:hAnsi="宋体" w:eastAsia="宋体" w:cs="宋体"/>
                <w:color w:val="000000"/>
                <w:sz w:val="21"/>
                <w:szCs w:val="21"/>
              </w:rPr>
            </w:pP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0</w:t>
            </w:r>
          </w:p>
          <w:p w14:paraId="3B1566CB">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分</w:t>
            </w:r>
          </w:p>
        </w:tc>
        <w:tc>
          <w:tcPr>
            <w:tcW w:w="1009" w:type="dxa"/>
            <w:noWrap w:val="0"/>
            <w:vAlign w:val="center"/>
          </w:tcPr>
          <w:p w14:paraId="610FE298">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企业资信</w:t>
            </w:r>
          </w:p>
          <w:p w14:paraId="530766A4">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（6分）</w:t>
            </w:r>
          </w:p>
        </w:tc>
        <w:tc>
          <w:tcPr>
            <w:tcW w:w="6327" w:type="dxa"/>
            <w:noWrap w:val="0"/>
            <w:vAlign w:val="top"/>
          </w:tcPr>
          <w:p w14:paraId="1D6E15F7">
            <w:pPr>
              <w:widowControl w:val="0"/>
              <w:jc w:val="both"/>
              <w:rPr>
                <w:rFonts w:hint="eastAsia" w:ascii="宋体" w:hAnsi="宋体" w:eastAsia="宋体" w:cs="宋体"/>
                <w:sz w:val="21"/>
                <w:szCs w:val="21"/>
                <w:lang w:val="en-US" w:eastAsia="zh-CN" w:bidi="ar-SA"/>
              </w:rPr>
            </w:pPr>
            <w:r>
              <w:rPr>
                <w:rFonts w:hint="eastAsia" w:ascii="宋体" w:hAnsi="宋体" w:cs="宋体"/>
                <w:sz w:val="21"/>
                <w:szCs w:val="21"/>
                <w:lang w:val="en-US" w:eastAsia="zh-CN" w:bidi="ar-SA"/>
              </w:rPr>
              <w:t>1.</w:t>
            </w:r>
            <w:r>
              <w:rPr>
                <w:rFonts w:hint="eastAsia" w:ascii="宋体" w:hAnsi="宋体" w:eastAsia="宋体" w:cs="宋体"/>
                <w:sz w:val="21"/>
                <w:szCs w:val="21"/>
                <w:lang w:val="en-US" w:eastAsia="zh-CN" w:bidi="ar-SA"/>
              </w:rPr>
              <w:t>投标人2021年1月1日（以合同签订日期为准）至今承接过类似项目业绩的，每提供一份得2分，最高得4分。</w:t>
            </w:r>
          </w:p>
          <w:p w14:paraId="4AD15A6E">
            <w:pPr>
              <w:widowControl w:val="0"/>
              <w:jc w:val="both"/>
              <w:rPr>
                <w:rFonts w:hint="eastAsia" w:ascii="宋体" w:hAnsi="宋体" w:eastAsia="宋体" w:cs="宋体"/>
                <w:sz w:val="21"/>
                <w:szCs w:val="21"/>
                <w:lang w:val="en-US" w:eastAsia="zh-CN" w:bidi="ar-SA"/>
              </w:rPr>
            </w:pPr>
            <w:r>
              <w:rPr>
                <w:rFonts w:hint="eastAsia" w:ascii="宋体" w:hAnsi="宋体" w:cs="宋体"/>
                <w:sz w:val="21"/>
                <w:szCs w:val="21"/>
                <w:lang w:val="en-US" w:eastAsia="zh-CN" w:bidi="ar-SA"/>
              </w:rPr>
              <w:t>2.</w:t>
            </w:r>
            <w:r>
              <w:rPr>
                <w:rFonts w:hint="eastAsia" w:ascii="宋体" w:hAnsi="宋体" w:eastAsia="宋体" w:cs="宋体"/>
                <w:sz w:val="21"/>
                <w:szCs w:val="21"/>
                <w:lang w:val="en-US" w:eastAsia="zh-CN" w:bidi="ar-SA"/>
              </w:rPr>
              <w:t>投标人具备有效的质量体系认证证书的，得1分，最高得2分。</w:t>
            </w:r>
          </w:p>
        </w:tc>
        <w:tc>
          <w:tcPr>
            <w:tcW w:w="641" w:type="dxa"/>
            <w:noWrap w:val="0"/>
            <w:vAlign w:val="top"/>
          </w:tcPr>
          <w:p w14:paraId="78A70A85">
            <w:pPr>
              <w:spacing w:line="360" w:lineRule="auto"/>
              <w:rPr>
                <w:rFonts w:hint="eastAsia" w:ascii="宋体" w:hAnsi="宋体" w:eastAsia="宋体" w:cs="宋体"/>
                <w:color w:val="FF0000"/>
                <w:sz w:val="21"/>
                <w:szCs w:val="21"/>
              </w:rPr>
            </w:pPr>
          </w:p>
        </w:tc>
      </w:tr>
      <w:tr w14:paraId="3E3C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459" w:type="dxa"/>
            <w:vMerge w:val="continue"/>
            <w:noWrap w:val="0"/>
            <w:vAlign w:val="top"/>
          </w:tcPr>
          <w:p w14:paraId="4852F2F2">
            <w:pPr>
              <w:spacing w:line="360" w:lineRule="auto"/>
              <w:rPr>
                <w:rFonts w:hint="eastAsia" w:ascii="宋体" w:hAnsi="宋体" w:eastAsia="宋体" w:cs="宋体"/>
                <w:color w:val="000000"/>
                <w:sz w:val="21"/>
                <w:szCs w:val="21"/>
              </w:rPr>
            </w:pPr>
          </w:p>
        </w:tc>
        <w:tc>
          <w:tcPr>
            <w:tcW w:w="1009" w:type="dxa"/>
            <w:noWrap w:val="0"/>
            <w:vAlign w:val="center"/>
          </w:tcPr>
          <w:p w14:paraId="6F84108A">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单位获奖情况</w:t>
            </w:r>
          </w:p>
          <w:p w14:paraId="26EA2012">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（6分）</w:t>
            </w:r>
          </w:p>
        </w:tc>
        <w:tc>
          <w:tcPr>
            <w:tcW w:w="6327" w:type="dxa"/>
            <w:noWrap w:val="0"/>
            <w:vAlign w:val="top"/>
          </w:tcPr>
          <w:p w14:paraId="1ECFB2EB">
            <w:pPr>
              <w:widowControl w:val="0"/>
              <w:jc w:val="both"/>
              <w:rPr>
                <w:rFonts w:hint="eastAsia" w:ascii="宋体" w:hAnsi="宋体" w:eastAsia="宋体" w:cs="宋体"/>
                <w:sz w:val="21"/>
                <w:szCs w:val="21"/>
                <w:lang w:val="en-US" w:eastAsia="zh-CN" w:bidi="ar-SA"/>
              </w:rPr>
            </w:pPr>
            <w:r>
              <w:rPr>
                <w:rFonts w:hint="eastAsia" w:ascii="宋体" w:hAnsi="宋体" w:cs="宋体"/>
                <w:sz w:val="21"/>
                <w:szCs w:val="21"/>
                <w:lang w:val="en-US" w:eastAsia="zh-CN" w:bidi="ar-SA"/>
              </w:rPr>
              <w:t>1.</w:t>
            </w:r>
            <w:r>
              <w:rPr>
                <w:rFonts w:hint="eastAsia" w:ascii="宋体" w:hAnsi="宋体" w:eastAsia="宋体" w:cs="宋体"/>
                <w:sz w:val="21"/>
                <w:szCs w:val="21"/>
                <w:lang w:val="en-US" w:eastAsia="zh-CN" w:bidi="ar-SA"/>
              </w:rPr>
              <w:t>投标人获得市级及以上的机器人相关奖项或荣誉的一个得2分，最高得4分</w:t>
            </w:r>
          </w:p>
          <w:p w14:paraId="49D5FA86">
            <w:pPr>
              <w:widowControl w:val="0"/>
              <w:jc w:val="both"/>
              <w:rPr>
                <w:rFonts w:hint="eastAsia" w:ascii="宋体" w:hAnsi="宋体" w:eastAsia="宋体" w:cs="宋体"/>
                <w:sz w:val="21"/>
                <w:szCs w:val="21"/>
                <w:lang w:val="en-US" w:eastAsia="zh-CN" w:bidi="ar-SA"/>
              </w:rPr>
            </w:pPr>
            <w:r>
              <w:rPr>
                <w:rFonts w:hint="eastAsia" w:ascii="宋体" w:hAnsi="宋体" w:cs="宋体"/>
                <w:sz w:val="21"/>
                <w:szCs w:val="21"/>
                <w:lang w:val="en-US" w:eastAsia="zh-CN" w:bidi="ar-SA"/>
              </w:rPr>
              <w:t>2.</w:t>
            </w:r>
            <w:r>
              <w:rPr>
                <w:rFonts w:hint="eastAsia" w:ascii="宋体" w:hAnsi="宋体" w:eastAsia="宋体" w:cs="宋体"/>
                <w:sz w:val="21"/>
                <w:szCs w:val="21"/>
                <w:lang w:val="en-US" w:eastAsia="zh-CN" w:bidi="ar-SA"/>
              </w:rPr>
              <w:t>投标人近三年内获得国家级重点研发计划“机器人领域”重点专项立项并牵头承担工业机器人操作系统项目的得2分（提供官方盖章文件证明截图））。</w:t>
            </w:r>
          </w:p>
        </w:tc>
        <w:tc>
          <w:tcPr>
            <w:tcW w:w="641" w:type="dxa"/>
            <w:noWrap w:val="0"/>
            <w:vAlign w:val="top"/>
          </w:tcPr>
          <w:p w14:paraId="5EE027B1">
            <w:pPr>
              <w:spacing w:line="360" w:lineRule="auto"/>
              <w:rPr>
                <w:rFonts w:hint="eastAsia" w:ascii="宋体" w:hAnsi="宋体" w:eastAsia="宋体" w:cs="宋体"/>
                <w:color w:val="FF0000"/>
                <w:sz w:val="21"/>
                <w:szCs w:val="21"/>
              </w:rPr>
            </w:pPr>
          </w:p>
        </w:tc>
      </w:tr>
      <w:tr w14:paraId="63F5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459" w:type="dxa"/>
            <w:vMerge w:val="continue"/>
            <w:noWrap w:val="0"/>
            <w:vAlign w:val="top"/>
          </w:tcPr>
          <w:p w14:paraId="2A1CB7B5">
            <w:pPr>
              <w:spacing w:line="360" w:lineRule="auto"/>
              <w:rPr>
                <w:rFonts w:hint="eastAsia" w:ascii="宋体" w:hAnsi="宋体" w:eastAsia="宋体" w:cs="宋体"/>
                <w:color w:val="000000"/>
                <w:sz w:val="21"/>
                <w:szCs w:val="21"/>
              </w:rPr>
            </w:pPr>
          </w:p>
        </w:tc>
        <w:tc>
          <w:tcPr>
            <w:tcW w:w="1009" w:type="dxa"/>
            <w:noWrap w:val="0"/>
            <w:vAlign w:val="center"/>
          </w:tcPr>
          <w:p w14:paraId="26B1715B">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培训方案（5分）</w:t>
            </w:r>
          </w:p>
        </w:tc>
        <w:tc>
          <w:tcPr>
            <w:tcW w:w="6327" w:type="dxa"/>
            <w:noWrap w:val="0"/>
            <w:vAlign w:val="top"/>
          </w:tcPr>
          <w:p w14:paraId="57B6E64E">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投标人针对本项目提供培训方案，包括但不限于培训方式及培训内容、培训对象、课时安排、师资力量安排。培训方案设计合理、培训内容全面、培训方式灵活。</w:t>
            </w:r>
          </w:p>
          <w:p w14:paraId="0E120406">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①培训方案全面、科学、系统得5分；</w:t>
            </w:r>
          </w:p>
          <w:p w14:paraId="7BD8311D">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②方案欠全面、科学、系统的得3分；</w:t>
            </w:r>
          </w:p>
          <w:p w14:paraId="617F6923">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③培训方案不完整、不合理的得1分；</w:t>
            </w:r>
          </w:p>
          <w:p w14:paraId="44C8B5C3">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④没有方案得0 分；</w:t>
            </w:r>
          </w:p>
        </w:tc>
        <w:tc>
          <w:tcPr>
            <w:tcW w:w="641" w:type="dxa"/>
            <w:noWrap w:val="0"/>
            <w:vAlign w:val="top"/>
          </w:tcPr>
          <w:p w14:paraId="3F5B2892">
            <w:pPr>
              <w:spacing w:line="360" w:lineRule="auto"/>
              <w:rPr>
                <w:rFonts w:hint="eastAsia" w:ascii="宋体" w:hAnsi="宋体" w:eastAsia="宋体" w:cs="宋体"/>
                <w:color w:val="FF0000"/>
                <w:sz w:val="21"/>
                <w:szCs w:val="21"/>
              </w:rPr>
            </w:pPr>
          </w:p>
        </w:tc>
      </w:tr>
      <w:tr w14:paraId="72A7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459" w:type="dxa"/>
            <w:vMerge w:val="continue"/>
            <w:noWrap w:val="0"/>
            <w:vAlign w:val="top"/>
          </w:tcPr>
          <w:p w14:paraId="187166DC">
            <w:pPr>
              <w:spacing w:line="360" w:lineRule="auto"/>
              <w:rPr>
                <w:rFonts w:hint="eastAsia" w:ascii="宋体" w:hAnsi="宋体" w:eastAsia="宋体" w:cs="宋体"/>
                <w:color w:val="000000"/>
                <w:sz w:val="21"/>
                <w:szCs w:val="21"/>
              </w:rPr>
            </w:pPr>
          </w:p>
        </w:tc>
        <w:tc>
          <w:tcPr>
            <w:tcW w:w="1009" w:type="dxa"/>
            <w:noWrap w:val="0"/>
            <w:vAlign w:val="center"/>
          </w:tcPr>
          <w:p w14:paraId="61F987B3">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实施方案</w:t>
            </w:r>
            <w:r>
              <w:rPr>
                <w:rFonts w:hint="eastAsia" w:ascii="宋体" w:hAnsi="宋体" w:eastAsia="宋体" w:cs="宋体"/>
                <w:color w:val="000000"/>
                <w:sz w:val="21"/>
                <w:szCs w:val="21"/>
              </w:rPr>
              <w:t>（5分）</w:t>
            </w:r>
          </w:p>
        </w:tc>
        <w:tc>
          <w:tcPr>
            <w:tcW w:w="6327" w:type="dxa"/>
            <w:noWrap w:val="0"/>
            <w:vAlign w:val="top"/>
          </w:tcPr>
          <w:p w14:paraId="18513387">
            <w:pPr>
              <w:widowControl w:val="0"/>
              <w:jc w:val="both"/>
              <w:rPr>
                <w:rFonts w:hint="eastAsia" w:ascii="宋体" w:hAnsi="宋体" w:eastAsia="宋体" w:cs="宋体"/>
                <w:sz w:val="21"/>
                <w:szCs w:val="21"/>
                <w:lang w:val="en-US" w:eastAsia="zh-CN" w:bidi="ar-SA"/>
              </w:rPr>
            </w:pPr>
            <w:r>
              <w:rPr>
                <w:rFonts w:hint="eastAsia" w:ascii="宋体" w:hAnsi="宋体" w:cs="宋体"/>
                <w:sz w:val="21"/>
                <w:szCs w:val="21"/>
                <w:lang w:val="en-US" w:eastAsia="zh-CN" w:bidi="ar-SA"/>
              </w:rPr>
              <w:t>1.</w:t>
            </w:r>
            <w:r>
              <w:rPr>
                <w:rFonts w:hint="eastAsia" w:ascii="宋体" w:hAnsi="宋体" w:eastAsia="宋体" w:cs="宋体"/>
                <w:sz w:val="21"/>
                <w:szCs w:val="21"/>
                <w:lang w:val="en-US" w:eastAsia="zh-CN" w:bidi="ar-SA"/>
              </w:rPr>
              <w:t>提供完善的项目实施方案（包含不限于系统建设，配套设备供货，安装、调试、验收等一系列实施方案）。</w:t>
            </w:r>
          </w:p>
          <w:p w14:paraId="3C5FFA6A">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①方案制作细致、内容完整、详实可行、满足</w:t>
            </w:r>
            <w:r>
              <w:rPr>
                <w:rFonts w:hint="eastAsia" w:ascii="宋体" w:hAnsi="宋体" w:cs="宋体"/>
                <w:sz w:val="21"/>
                <w:szCs w:val="21"/>
                <w:lang w:val="en-US" w:eastAsia="zh-CN" w:bidi="ar-SA"/>
              </w:rPr>
              <w:t>招标</w:t>
            </w:r>
            <w:r>
              <w:rPr>
                <w:rFonts w:hint="eastAsia" w:ascii="宋体" w:hAnsi="宋体" w:eastAsia="宋体" w:cs="宋体"/>
                <w:sz w:val="21"/>
                <w:szCs w:val="21"/>
                <w:lang w:val="en-US" w:eastAsia="zh-CN" w:bidi="ar-SA"/>
              </w:rPr>
              <w:t>文件要求的得 5分；</w:t>
            </w:r>
            <w:r>
              <w:rPr>
                <w:rFonts w:hint="eastAsia" w:ascii="宋体" w:hAnsi="宋体" w:eastAsia="宋体" w:cs="宋体"/>
                <w:sz w:val="21"/>
                <w:szCs w:val="21"/>
                <w:lang w:val="en-US" w:eastAsia="zh-CN" w:bidi="ar-SA"/>
              </w:rPr>
              <w:br w:type="textWrapping"/>
            </w:r>
            <w:r>
              <w:rPr>
                <w:rFonts w:hint="eastAsia" w:ascii="宋体" w:hAnsi="宋体" w:eastAsia="宋体" w:cs="宋体"/>
                <w:sz w:val="21"/>
                <w:szCs w:val="21"/>
                <w:lang w:val="en-US" w:eastAsia="zh-CN" w:bidi="ar-SA"/>
              </w:rPr>
              <w:t>②方案内容完整、可行性一般、部分满足招标文件要求的得 3分；</w:t>
            </w:r>
            <w:r>
              <w:rPr>
                <w:rFonts w:hint="eastAsia" w:ascii="宋体" w:hAnsi="宋体" w:eastAsia="宋体" w:cs="宋体"/>
                <w:sz w:val="21"/>
                <w:szCs w:val="21"/>
                <w:lang w:val="en-US" w:eastAsia="zh-CN" w:bidi="ar-SA"/>
              </w:rPr>
              <w:br w:type="textWrapping"/>
            </w:r>
            <w:r>
              <w:rPr>
                <w:rFonts w:hint="eastAsia" w:ascii="宋体" w:hAnsi="宋体" w:eastAsia="宋体" w:cs="宋体"/>
                <w:sz w:val="21"/>
                <w:szCs w:val="21"/>
                <w:lang w:val="en-US" w:eastAsia="zh-CN" w:bidi="ar-SA"/>
              </w:rPr>
              <w:t>③内容措施一般，不具备可行性、不能满足招标文件要求的得1分；</w:t>
            </w:r>
          </w:p>
          <w:p w14:paraId="1AA9022D">
            <w:pPr>
              <w:widowControl w:val="0"/>
              <w:jc w:val="both"/>
              <w:rPr>
                <w:rFonts w:hint="eastAsia" w:ascii="宋体" w:hAnsi="宋体" w:eastAsia="宋体" w:cs="宋体"/>
                <w:color w:val="000000"/>
                <w:sz w:val="21"/>
                <w:szCs w:val="21"/>
                <w:lang w:eastAsia="zh-CN"/>
              </w:rPr>
            </w:pPr>
            <w:r>
              <w:rPr>
                <w:rFonts w:hint="eastAsia" w:ascii="宋体" w:hAnsi="宋体" w:eastAsia="宋体" w:cs="宋体"/>
                <w:sz w:val="21"/>
                <w:szCs w:val="21"/>
                <w:lang w:val="en-US" w:eastAsia="zh-CN" w:bidi="ar-SA"/>
              </w:rPr>
              <w:t>④不提供不得分；</w:t>
            </w:r>
          </w:p>
        </w:tc>
        <w:tc>
          <w:tcPr>
            <w:tcW w:w="641" w:type="dxa"/>
            <w:noWrap w:val="0"/>
            <w:vAlign w:val="top"/>
          </w:tcPr>
          <w:p w14:paraId="543EDDBD">
            <w:pPr>
              <w:spacing w:line="360" w:lineRule="auto"/>
              <w:rPr>
                <w:rFonts w:hint="eastAsia" w:ascii="宋体" w:hAnsi="宋体" w:eastAsia="宋体" w:cs="宋体"/>
                <w:color w:val="FF0000"/>
                <w:sz w:val="21"/>
                <w:szCs w:val="21"/>
              </w:rPr>
            </w:pPr>
          </w:p>
        </w:tc>
      </w:tr>
      <w:tr w14:paraId="1A3F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459" w:type="dxa"/>
            <w:vMerge w:val="continue"/>
            <w:noWrap w:val="0"/>
            <w:vAlign w:val="top"/>
          </w:tcPr>
          <w:p w14:paraId="4FB6CA7B">
            <w:pPr>
              <w:spacing w:line="360" w:lineRule="auto"/>
              <w:rPr>
                <w:rFonts w:hint="eastAsia" w:ascii="宋体" w:hAnsi="宋体" w:eastAsia="宋体" w:cs="宋体"/>
                <w:color w:val="FF0000"/>
                <w:sz w:val="21"/>
                <w:szCs w:val="21"/>
              </w:rPr>
            </w:pPr>
          </w:p>
        </w:tc>
        <w:tc>
          <w:tcPr>
            <w:tcW w:w="1009" w:type="dxa"/>
            <w:noWrap w:val="0"/>
            <w:vAlign w:val="center"/>
          </w:tcPr>
          <w:p w14:paraId="33943B9A">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技术方案（32分）</w:t>
            </w:r>
          </w:p>
        </w:tc>
        <w:tc>
          <w:tcPr>
            <w:tcW w:w="6327" w:type="dxa"/>
            <w:noWrap w:val="0"/>
            <w:vAlign w:val="top"/>
          </w:tcPr>
          <w:p w14:paraId="0F74BDBF">
            <w:pPr>
              <w:widowControl w:val="0"/>
              <w:jc w:val="both"/>
              <w:rPr>
                <w:rFonts w:hint="default" w:hAnsi="宋体" w:eastAsia="宋体" w:cs="宋体"/>
                <w:b/>
                <w:bCs/>
                <w:sz w:val="21"/>
                <w:szCs w:val="21"/>
                <w:lang w:val="en-US" w:eastAsia="zh-CN" w:bidi="ar-SA"/>
              </w:rPr>
            </w:pPr>
            <w:r>
              <w:rPr>
                <w:rFonts w:hint="eastAsia" w:hAnsi="宋体" w:cs="宋体"/>
                <w:b/>
                <w:bCs/>
                <w:sz w:val="21"/>
                <w:szCs w:val="21"/>
                <w:lang w:val="en-US" w:eastAsia="zh-CN" w:bidi="ar-SA"/>
              </w:rPr>
              <w:t>1.</w:t>
            </w:r>
            <w:r>
              <w:rPr>
                <w:rFonts w:hint="eastAsia" w:ascii="宋体" w:hAnsi="宋体" w:eastAsia="宋体" w:cs="宋体"/>
                <w:b/>
                <w:bCs/>
                <w:sz w:val="21"/>
                <w:szCs w:val="21"/>
                <w:lang w:val="en-US" w:eastAsia="zh-CN" w:bidi="ar-SA"/>
              </w:rPr>
              <w:t>打“▲”条款的技术</w:t>
            </w:r>
            <w:r>
              <w:rPr>
                <w:rFonts w:hint="eastAsia" w:ascii="宋体" w:hAnsi="宋体" w:cs="宋体"/>
                <w:b/>
                <w:bCs/>
                <w:sz w:val="21"/>
                <w:szCs w:val="21"/>
                <w:lang w:val="en-US" w:eastAsia="zh-CN" w:bidi="ar-SA"/>
              </w:rPr>
              <w:t>响应</w:t>
            </w:r>
          </w:p>
          <w:p w14:paraId="34889C10">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项目需求中技术参数打“▲”条款的为重要技术参数，根据各供应商的响应文件对项目需求“产品技术参数”的响应情况由评委进行打分：满足一项得2分，共1</w:t>
            </w:r>
            <w:r>
              <w:rPr>
                <w:rFonts w:hint="eastAsia" w:hAnsi="宋体" w:eastAsia="宋体" w:cs="宋体"/>
                <w:sz w:val="21"/>
                <w:szCs w:val="21"/>
                <w:lang w:val="en-US" w:eastAsia="zh-CN" w:bidi="ar-SA"/>
              </w:rPr>
              <w:t>0</w:t>
            </w:r>
            <w:r>
              <w:rPr>
                <w:rFonts w:hint="eastAsia" w:ascii="宋体" w:hAnsi="宋体" w:eastAsia="宋体" w:cs="宋体"/>
                <w:sz w:val="21"/>
                <w:szCs w:val="21"/>
                <w:lang w:val="en-US" w:eastAsia="zh-CN" w:bidi="ar-SA"/>
              </w:rPr>
              <w:t>项打▲项，满分2</w:t>
            </w:r>
            <w:r>
              <w:rPr>
                <w:rFonts w:hint="eastAsia" w:hAnsi="宋体" w:eastAsia="宋体" w:cs="宋体"/>
                <w:sz w:val="21"/>
                <w:szCs w:val="21"/>
                <w:lang w:val="en-US" w:eastAsia="zh-CN" w:bidi="ar-SA"/>
              </w:rPr>
              <w:t>0</w:t>
            </w:r>
            <w:r>
              <w:rPr>
                <w:rFonts w:hint="eastAsia" w:ascii="宋体" w:hAnsi="宋体" w:eastAsia="宋体" w:cs="宋体"/>
                <w:sz w:val="21"/>
                <w:szCs w:val="21"/>
                <w:lang w:val="en-US" w:eastAsia="zh-CN" w:bidi="ar-SA"/>
              </w:rPr>
              <w:t>分</w:t>
            </w:r>
            <w:r>
              <w:rPr>
                <w:rFonts w:hint="eastAsia" w:ascii="宋体" w:hAnsi="宋体" w:eastAsia="宋体" w:cs="宋体"/>
                <w:sz w:val="21"/>
                <w:szCs w:val="21"/>
                <w:lang w:val="en-US" w:eastAsia="zh-CN" w:bidi="ar-SA"/>
              </w:rPr>
              <w:br w:type="textWrapping"/>
            </w:r>
            <w:r>
              <w:rPr>
                <w:rFonts w:hint="eastAsia" w:ascii="宋体" w:hAnsi="宋体" w:eastAsia="宋体" w:cs="宋体"/>
                <w:sz w:val="21"/>
                <w:szCs w:val="21"/>
                <w:lang w:val="en-US" w:eastAsia="zh-CN" w:bidi="ar-SA"/>
              </w:rPr>
              <w:t>注：</w:t>
            </w:r>
          </w:p>
          <w:p w14:paraId="6D586FB5">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①技术参数要求提供的证明材料的以证明材料复印件加盖投标单位公章为准，其他参数以提供的技术参数响应表加盖投标单位公章为准；</w:t>
            </w:r>
          </w:p>
          <w:p w14:paraId="0006305B">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②技术参数中每一条的要求为一项；</w:t>
            </w:r>
          </w:p>
          <w:p w14:paraId="49B7EC10">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③相关证明材料包含</w:t>
            </w:r>
            <w:r>
              <w:rPr>
                <w:rFonts w:hint="eastAsia" w:hAnsi="宋体" w:eastAsia="宋体" w:cs="宋体"/>
                <w:sz w:val="21"/>
                <w:szCs w:val="21"/>
                <w:lang w:val="en-US" w:eastAsia="zh-CN" w:bidi="ar-SA"/>
              </w:rPr>
              <w:t>但不限于</w:t>
            </w:r>
            <w:r>
              <w:rPr>
                <w:rFonts w:hint="eastAsia" w:ascii="宋体" w:hAnsi="宋体" w:eastAsia="宋体" w:cs="宋体"/>
                <w:sz w:val="21"/>
                <w:szCs w:val="21"/>
                <w:lang w:val="en-US" w:eastAsia="zh-CN" w:bidi="ar-SA"/>
              </w:rPr>
              <w:t>：第三方检测报告或提供投标人公司的公开印刷版产品宣传册证明材料</w:t>
            </w:r>
            <w:r>
              <w:rPr>
                <w:rFonts w:hint="eastAsia" w:hAnsi="宋体" w:eastAsia="宋体" w:cs="宋体"/>
                <w:sz w:val="21"/>
                <w:szCs w:val="21"/>
                <w:lang w:val="en-US" w:eastAsia="zh-CN" w:bidi="ar-SA"/>
              </w:rPr>
              <w:t>等</w:t>
            </w:r>
            <w:r>
              <w:rPr>
                <w:rFonts w:hint="eastAsia" w:ascii="宋体" w:hAnsi="宋体" w:eastAsia="宋体" w:cs="宋体"/>
                <w:sz w:val="21"/>
                <w:szCs w:val="21"/>
                <w:lang w:val="en-US" w:eastAsia="zh-CN" w:bidi="ar-SA"/>
              </w:rPr>
              <w:t>。</w:t>
            </w:r>
            <w:r>
              <w:rPr>
                <w:rFonts w:hint="eastAsia" w:ascii="宋体" w:hAnsi="宋体" w:eastAsia="宋体" w:cs="宋体"/>
                <w:sz w:val="21"/>
                <w:szCs w:val="21"/>
                <w:lang w:val="en-US" w:eastAsia="zh-CN" w:bidi="ar-SA"/>
              </w:rPr>
              <w:br w:type="textWrapping"/>
            </w:r>
            <w:r>
              <w:rPr>
                <w:rFonts w:hint="eastAsia" w:ascii="宋体" w:hAnsi="宋体" w:eastAsia="宋体" w:cs="宋体"/>
                <w:b/>
                <w:bCs/>
                <w:sz w:val="21"/>
                <w:szCs w:val="21"/>
                <w:lang w:val="en-US" w:eastAsia="zh-CN" w:bidi="ar-SA"/>
              </w:rPr>
              <w:t>2、技术方案</w:t>
            </w:r>
            <w:r>
              <w:rPr>
                <w:rFonts w:hint="eastAsia" w:ascii="宋体" w:hAnsi="宋体" w:eastAsia="宋体" w:cs="宋体"/>
                <w:sz w:val="21"/>
                <w:szCs w:val="21"/>
                <w:lang w:val="en-US" w:eastAsia="zh-CN" w:bidi="ar-SA"/>
              </w:rPr>
              <w:br w:type="textWrapping"/>
            </w:r>
            <w:r>
              <w:rPr>
                <w:rFonts w:hint="eastAsia" w:ascii="宋体" w:hAnsi="宋体" w:eastAsia="宋体" w:cs="宋体"/>
                <w:sz w:val="21"/>
                <w:szCs w:val="21"/>
                <w:lang w:val="en-US" w:eastAsia="zh-CN" w:bidi="ar-SA"/>
              </w:rPr>
              <w:t xml:space="preserve">  系统详细介绍，如方案整体效果图、标注图、系统工艺流程说明、设备详细说明图文并茂。提供图文并茂的整体效果图、标注图（含技术参数与布局说明）、系统工艺流程（标注关键技术指标与控制措施）、设备详细说明（含技术参数表、实物图、选型依据及冗余设计）；</w:t>
            </w:r>
          </w:p>
          <w:p w14:paraId="5B299639">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① 所有内容均针对本项目实训场景进行科学设计，技术参数完全响应招标需求，具备可落地的实施路径与质量保障措施得6分；</w:t>
            </w:r>
          </w:p>
          <w:p w14:paraId="50568951">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②方案内容基本完整，覆盖招标要求的核心模块（系统介绍与配套实施），但部分细节存在简化：整体方案较合理但定制化程度不足，关键技术参数满足招标基本要求，无重大偏离得4分。</w:t>
            </w:r>
          </w:p>
          <w:p w14:paraId="79F5673F">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③方案内容简略且深度不足，仅提供招标要求的基础框架：</w:t>
            </w:r>
          </w:p>
          <w:p w14:paraId="2664DFE3">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系统介绍仅描述功能概述（无效果图、标注图或工艺流程说明），设备说明仅列名称（无技术参数或选型依据）；</w:t>
            </w:r>
          </w:p>
          <w:p w14:paraId="29EB3979">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未结合本项目实训场景进行针对性设计得2分。</w:t>
            </w:r>
          </w:p>
          <w:p w14:paraId="1B8A6DC4">
            <w:pPr>
              <w:widowControl w:val="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④未提供方案不得分。</w:t>
            </w:r>
          </w:p>
          <w:p w14:paraId="025F6B83">
            <w:pPr>
              <w:widowControl w:val="0"/>
              <w:jc w:val="both"/>
              <w:rPr>
                <w:rFonts w:hint="eastAsia" w:ascii="宋体" w:hAnsi="宋体" w:eastAsia="宋体" w:cs="宋体"/>
                <w:sz w:val="21"/>
                <w:szCs w:val="21"/>
                <w:lang w:val="en-US" w:eastAsia="zh-CN" w:bidi="ar-SA"/>
              </w:rPr>
            </w:pPr>
            <w:r>
              <w:rPr>
                <w:rFonts w:hint="eastAsia" w:ascii="宋体" w:hAnsi="宋体" w:cs="宋体"/>
                <w:b/>
                <w:bCs/>
                <w:sz w:val="21"/>
                <w:szCs w:val="21"/>
                <w:lang w:val="en-US" w:eastAsia="zh-CN" w:bidi="ar-SA"/>
              </w:rPr>
              <w:t>3.</w:t>
            </w:r>
            <w:r>
              <w:rPr>
                <w:rFonts w:hint="eastAsia" w:ascii="宋体" w:hAnsi="宋体" w:eastAsia="宋体" w:cs="宋体"/>
                <w:b/>
                <w:bCs/>
                <w:sz w:val="21"/>
                <w:szCs w:val="21"/>
                <w:lang w:val="en-US" w:eastAsia="zh-CN" w:bidi="ar-SA"/>
              </w:rPr>
              <w:t>视频演示</w:t>
            </w:r>
            <w:r>
              <w:rPr>
                <w:rFonts w:hint="eastAsia" w:ascii="宋体" w:hAnsi="宋体" w:eastAsia="宋体" w:cs="宋体"/>
                <w:sz w:val="21"/>
                <w:szCs w:val="21"/>
                <w:lang w:val="en-US" w:eastAsia="zh-CN" w:bidi="ar-SA"/>
              </w:rPr>
              <w:t>（根据所投包段提供相应的视频演示材料）——</w:t>
            </w:r>
            <w:r>
              <w:rPr>
                <w:rFonts w:hint="eastAsia" w:hAnsi="宋体" w:eastAsia="宋体" w:cs="宋体"/>
                <w:sz w:val="21"/>
                <w:szCs w:val="21"/>
                <w:lang w:val="en-US" w:eastAsia="zh-CN" w:bidi="ar-SA"/>
              </w:rPr>
              <w:t>6</w:t>
            </w:r>
            <w:r>
              <w:rPr>
                <w:rFonts w:hint="eastAsia" w:ascii="宋体" w:hAnsi="宋体" w:eastAsia="宋体" w:cs="宋体"/>
                <w:sz w:val="21"/>
                <w:szCs w:val="21"/>
                <w:lang w:val="en-US" w:eastAsia="zh-CN" w:bidi="ar-SA"/>
              </w:rPr>
              <w:t>分</w:t>
            </w:r>
          </w:p>
          <w:p w14:paraId="2FF93597">
            <w:pPr>
              <w:widowControl w:val="0"/>
              <w:numPr>
                <w:ilvl w:val="0"/>
                <w:numId w:val="0"/>
              </w:numPr>
              <w:jc w:val="both"/>
              <w:rPr>
                <w:rFonts w:hint="default" w:hAnsi="Times New Roman" w:eastAsia="宋体" w:cs="Times New Roman"/>
                <w:lang w:val="en-US" w:eastAsia="zh-CN"/>
              </w:rPr>
            </w:pPr>
            <w:r>
              <w:rPr>
                <w:rFonts w:hint="eastAsia"/>
                <w:lang w:val="en-US" w:eastAsia="zh-CN"/>
              </w:rPr>
              <w:t>①</w:t>
            </w:r>
            <w:r>
              <w:rPr>
                <w:rFonts w:hint="eastAsia" w:ascii="宋体" w:hAnsi="宋体" w:eastAsia="宋体" w:cs="宋体"/>
                <w:sz w:val="21"/>
                <w:szCs w:val="21"/>
                <w:lang w:val="en-US" w:eastAsia="zh-CN" w:bidi="ar-SA"/>
              </w:rPr>
              <w:t>提供支持ABB、法奥、fanuc、多个不同版本不同品牌机器人的数据采集的软件功能演示视频——</w:t>
            </w:r>
            <w:r>
              <w:rPr>
                <w:rFonts w:hint="eastAsia" w:hAnsi="宋体" w:eastAsia="宋体" w:cs="宋体"/>
                <w:sz w:val="21"/>
                <w:szCs w:val="21"/>
                <w:lang w:val="en-US" w:eastAsia="zh-CN" w:bidi="ar-SA"/>
              </w:rPr>
              <w:t>2</w:t>
            </w:r>
            <w:r>
              <w:rPr>
                <w:rFonts w:hint="eastAsia" w:ascii="宋体" w:hAnsi="宋体" w:eastAsia="宋体" w:cs="宋体"/>
                <w:sz w:val="21"/>
                <w:szCs w:val="21"/>
                <w:lang w:val="en-US" w:eastAsia="zh-CN" w:bidi="ar-SA"/>
              </w:rPr>
              <w:t>分</w:t>
            </w:r>
          </w:p>
          <w:p w14:paraId="66EB7845">
            <w:pPr>
              <w:widowControl w:val="0"/>
              <w:jc w:val="both"/>
              <w:rPr>
                <w:rFonts w:hint="default" w:ascii="宋体" w:hAnsi="宋体" w:eastAsia="宋体" w:cs="宋体"/>
                <w:sz w:val="21"/>
                <w:szCs w:val="21"/>
                <w:lang w:val="en-US" w:eastAsia="zh-CN" w:bidi="ar-SA"/>
              </w:rPr>
            </w:pPr>
            <w:r>
              <w:rPr>
                <w:rFonts w:hint="eastAsia" w:hAnsi="宋体" w:eastAsia="宋体" w:cs="宋体"/>
                <w:sz w:val="21"/>
                <w:szCs w:val="21"/>
                <w:lang w:val="en-US" w:eastAsia="zh-CN" w:bidi="ar-SA"/>
              </w:rPr>
              <w:t>②</w:t>
            </w:r>
            <w:r>
              <w:rPr>
                <w:rFonts w:hint="eastAsia" w:ascii="宋体" w:hAnsi="宋体" w:eastAsia="宋体" w:cs="宋体"/>
                <w:sz w:val="21"/>
                <w:szCs w:val="21"/>
                <w:lang w:val="en-US" w:eastAsia="zh-CN" w:bidi="ar-SA"/>
              </w:rPr>
              <w:t>提供支持通过深度视觉系统进行目标点云分析，对多种堆叠且混乱摆放的物体进行分割与成像，从而引导机械臂进行无序物体的有序抓取功能演示视频，时长不少于一分钟；——</w:t>
            </w:r>
            <w:r>
              <w:rPr>
                <w:rFonts w:hint="eastAsia" w:hAnsi="宋体" w:eastAsia="宋体" w:cs="宋体"/>
                <w:sz w:val="21"/>
                <w:szCs w:val="21"/>
                <w:lang w:val="en-US" w:eastAsia="zh-CN" w:bidi="ar-SA"/>
              </w:rPr>
              <w:t>2</w:t>
            </w:r>
            <w:r>
              <w:rPr>
                <w:rFonts w:hint="eastAsia" w:ascii="宋体" w:hAnsi="宋体" w:eastAsia="宋体" w:cs="宋体"/>
                <w:sz w:val="21"/>
                <w:szCs w:val="21"/>
                <w:lang w:val="en-US" w:eastAsia="zh-CN" w:bidi="ar-SA"/>
              </w:rPr>
              <w:t>分</w:t>
            </w:r>
          </w:p>
          <w:p w14:paraId="39167FE6">
            <w:pPr>
              <w:widowControl w:val="0"/>
              <w:jc w:val="both"/>
              <w:rPr>
                <w:rFonts w:hint="default" w:ascii="宋体" w:hAnsi="宋体" w:eastAsia="宋体" w:cs="宋体"/>
                <w:sz w:val="21"/>
                <w:szCs w:val="21"/>
                <w:lang w:val="en-US" w:eastAsia="zh-CN" w:bidi="ar-SA"/>
              </w:rPr>
            </w:pPr>
            <w:r>
              <w:rPr>
                <w:rFonts w:hint="eastAsia" w:hAnsi="宋体" w:eastAsia="宋体" w:cs="宋体"/>
                <w:sz w:val="21"/>
                <w:szCs w:val="21"/>
                <w:lang w:val="en-US" w:eastAsia="zh-CN" w:bidi="ar-SA"/>
              </w:rPr>
              <w:t>③</w:t>
            </w:r>
            <w:r>
              <w:rPr>
                <w:rFonts w:hint="eastAsia" w:ascii="宋体" w:hAnsi="宋体" w:eastAsia="宋体" w:cs="宋体"/>
                <w:sz w:val="21"/>
                <w:szCs w:val="21"/>
                <w:lang w:val="en-US" w:eastAsia="zh-CN" w:bidi="ar-SA"/>
              </w:rPr>
              <w:t>提供点云分析、机械臂进行5种以上混乱堆叠物体的抓取过程的功能演示视频，时长不少于一分钟；——2分</w:t>
            </w:r>
          </w:p>
        </w:tc>
        <w:tc>
          <w:tcPr>
            <w:tcW w:w="641" w:type="dxa"/>
            <w:noWrap w:val="0"/>
            <w:vAlign w:val="top"/>
          </w:tcPr>
          <w:p w14:paraId="04321A29">
            <w:pPr>
              <w:spacing w:line="360" w:lineRule="auto"/>
              <w:rPr>
                <w:rFonts w:hint="eastAsia" w:ascii="宋体" w:hAnsi="宋体" w:eastAsia="宋体" w:cs="宋体"/>
                <w:color w:val="FF0000"/>
                <w:sz w:val="21"/>
                <w:szCs w:val="21"/>
              </w:rPr>
            </w:pPr>
          </w:p>
        </w:tc>
      </w:tr>
      <w:tr w14:paraId="494C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59" w:type="dxa"/>
            <w:vMerge w:val="continue"/>
            <w:noWrap w:val="0"/>
            <w:vAlign w:val="top"/>
          </w:tcPr>
          <w:p w14:paraId="123608AF">
            <w:pPr>
              <w:spacing w:line="360" w:lineRule="auto"/>
              <w:rPr>
                <w:rFonts w:hint="eastAsia" w:ascii="宋体" w:hAnsi="宋体" w:eastAsia="宋体" w:cs="宋体"/>
                <w:color w:val="FF0000"/>
                <w:sz w:val="21"/>
                <w:szCs w:val="21"/>
              </w:rPr>
            </w:pPr>
          </w:p>
        </w:tc>
        <w:tc>
          <w:tcPr>
            <w:tcW w:w="1009" w:type="dxa"/>
            <w:noWrap w:val="0"/>
            <w:vAlign w:val="center"/>
          </w:tcPr>
          <w:p w14:paraId="0DEC7601">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售后</w:t>
            </w:r>
            <w:r>
              <w:rPr>
                <w:rFonts w:hint="eastAsia" w:ascii="宋体" w:hAnsi="宋体" w:eastAsia="宋体" w:cs="宋体"/>
                <w:color w:val="000000"/>
                <w:sz w:val="21"/>
                <w:szCs w:val="21"/>
              </w:rPr>
              <w:t>承诺的安排及保障措施</w:t>
            </w:r>
          </w:p>
          <w:p w14:paraId="01360770">
            <w:pPr>
              <w:spacing w:line="360" w:lineRule="auto"/>
              <w:jc w:val="center"/>
              <w:rPr>
                <w:rFonts w:hint="eastAsia" w:ascii="宋体" w:hAnsi="宋体" w:eastAsia="宋体" w:cs="宋体"/>
                <w:color w:val="FF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分）</w:t>
            </w:r>
          </w:p>
        </w:tc>
        <w:tc>
          <w:tcPr>
            <w:tcW w:w="6327" w:type="dxa"/>
            <w:noWrap w:val="0"/>
            <w:vAlign w:val="top"/>
          </w:tcPr>
          <w:p w14:paraId="4CB02D19">
            <w:pPr>
              <w:widowControl w:val="0"/>
              <w:numPr>
                <w:ilvl w:val="0"/>
                <w:numId w:val="0"/>
              </w:numPr>
              <w:jc w:val="both"/>
              <w:rPr>
                <w:rFonts w:hint="eastAsia" w:ascii="宋体" w:hAnsi="宋体" w:eastAsia="宋体" w:cs="宋体"/>
                <w:sz w:val="21"/>
                <w:szCs w:val="21"/>
                <w:lang w:val="en-US" w:eastAsia="zh-CN" w:bidi="ar-SA"/>
              </w:rPr>
            </w:pPr>
            <w:r>
              <w:rPr>
                <w:rFonts w:hint="eastAsia" w:ascii="宋体" w:hAnsi="宋体" w:cs="宋体"/>
                <w:sz w:val="21"/>
                <w:szCs w:val="21"/>
                <w:lang w:val="en-US" w:eastAsia="zh-CN" w:bidi="ar-SA"/>
              </w:rPr>
              <w:t>1.</w:t>
            </w:r>
            <w:r>
              <w:rPr>
                <w:rFonts w:hint="eastAsia" w:ascii="宋体" w:hAnsi="宋体" w:eastAsia="宋体" w:cs="宋体"/>
                <w:sz w:val="21"/>
                <w:szCs w:val="21"/>
                <w:lang w:val="en-US" w:eastAsia="zh-CN" w:bidi="ar-SA"/>
              </w:rPr>
              <w:t>投标人</w:t>
            </w:r>
            <w:r>
              <w:rPr>
                <w:rFonts w:hint="eastAsia" w:ascii="宋体" w:hAnsi="宋体" w:cs="宋体"/>
                <w:sz w:val="21"/>
                <w:szCs w:val="21"/>
                <w:lang w:val="en-US" w:eastAsia="zh-CN" w:bidi="ar-SA"/>
              </w:rPr>
              <w:t>对本项目</w:t>
            </w:r>
            <w:r>
              <w:rPr>
                <w:rFonts w:hint="eastAsia" w:ascii="宋体" w:hAnsi="宋体" w:eastAsia="宋体" w:cs="宋体"/>
                <w:sz w:val="21"/>
                <w:szCs w:val="21"/>
                <w:lang w:val="en-US" w:eastAsia="zh-CN" w:bidi="ar-SA"/>
              </w:rPr>
              <w:t xml:space="preserve">包括响应标准、故障解决方案、售后服务响应时间、专业技术人员保障、故障排除时间、服务措施及服务承诺、质保期外的服务内容及收费标准等情况等内容： </w:t>
            </w:r>
          </w:p>
          <w:p w14:paraId="442FC3BD">
            <w:pPr>
              <w:widowControl w:val="0"/>
              <w:numPr>
                <w:ilvl w:val="0"/>
                <w:numId w:val="0"/>
              </w:numPr>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①方案内容完整，措施科学合理，与本项目采购需求契合度高的，得6分；</w:t>
            </w:r>
          </w:p>
          <w:p w14:paraId="61B4C89D">
            <w:pPr>
              <w:widowControl w:val="0"/>
              <w:numPr>
                <w:ilvl w:val="0"/>
                <w:numId w:val="0"/>
              </w:numPr>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②方案内容完整，措施相对科学，与本项目采购需求契合度较高的，得4分；</w:t>
            </w:r>
          </w:p>
          <w:p w14:paraId="622F238E">
            <w:pPr>
              <w:widowControl w:val="0"/>
              <w:numPr>
                <w:ilvl w:val="0"/>
                <w:numId w:val="0"/>
              </w:numPr>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③方案内容基本完整，措施合理性一般，与本项目采购需求契合度不高的，得2分。</w:t>
            </w:r>
          </w:p>
          <w:p w14:paraId="24F6C6D6">
            <w:pPr>
              <w:widowControl w:val="0"/>
              <w:numPr>
                <w:ilvl w:val="0"/>
                <w:numId w:val="0"/>
              </w:numPr>
              <w:jc w:val="both"/>
              <w:rPr>
                <w:rFonts w:hint="default" w:eastAsia="宋体"/>
                <w:lang w:val="en-US" w:eastAsia="zh-CN"/>
              </w:rPr>
            </w:pPr>
            <w:r>
              <w:rPr>
                <w:rFonts w:hint="eastAsia" w:ascii="宋体" w:hAnsi="宋体" w:eastAsia="宋体" w:cs="宋体"/>
                <w:sz w:val="21"/>
                <w:szCs w:val="21"/>
                <w:lang w:val="en-US" w:eastAsia="zh-CN" w:bidi="ar-SA"/>
              </w:rPr>
              <w:t>④不提供不得分</w:t>
            </w:r>
          </w:p>
        </w:tc>
        <w:tc>
          <w:tcPr>
            <w:tcW w:w="641" w:type="dxa"/>
            <w:noWrap w:val="0"/>
            <w:vAlign w:val="top"/>
          </w:tcPr>
          <w:p w14:paraId="7E60041D">
            <w:pPr>
              <w:spacing w:line="360" w:lineRule="auto"/>
              <w:rPr>
                <w:rFonts w:hint="eastAsia" w:ascii="宋体" w:hAnsi="宋体" w:eastAsia="宋体" w:cs="宋体"/>
                <w:color w:val="FF0000"/>
                <w:sz w:val="21"/>
                <w:szCs w:val="21"/>
              </w:rPr>
            </w:pPr>
          </w:p>
        </w:tc>
      </w:tr>
    </w:tbl>
    <w:p w14:paraId="64A2D3DB">
      <w:pPr>
        <w:spacing w:line="360" w:lineRule="auto"/>
        <w:ind w:firstLine="354" w:firstLineChars="147"/>
        <w:rPr>
          <w:rFonts w:ascii="宋体" w:hAnsi="宋体" w:cs="宋体"/>
          <w:b/>
          <w:bCs/>
          <w:sz w:val="24"/>
        </w:rPr>
      </w:pPr>
      <w:r>
        <w:rPr>
          <w:rFonts w:hint="eastAsia" w:ascii="宋体" w:hAnsi="宋体" w:cs="宋体"/>
          <w:b/>
          <w:bCs/>
          <w:sz w:val="24"/>
        </w:rPr>
        <w:t>注：供应商技术分得分相差悬殊，评标委员会认为得分畸低者未实质性响应，作废标处理。</w:t>
      </w:r>
    </w:p>
    <w:p w14:paraId="1873B028">
      <w:pPr>
        <w:spacing w:line="360" w:lineRule="auto"/>
        <w:ind w:firstLine="354" w:firstLineChars="147"/>
        <w:rPr>
          <w:rFonts w:ascii="宋体" w:hAnsi="宋体" w:cs="宋体"/>
          <w:b/>
          <w:bCs/>
          <w:sz w:val="24"/>
        </w:rPr>
      </w:pPr>
      <w:r>
        <w:rPr>
          <w:rFonts w:hint="eastAsia" w:ascii="宋体" w:hAnsi="宋体" w:cs="宋体"/>
          <w:b/>
          <w:bCs/>
          <w:sz w:val="24"/>
        </w:rPr>
        <w:t>中标人在签订合同前须提供上述相应材料的原件进行核查。经核查后发现无法提供原件或虚假或违背承诺的，采购人有权拒签合同，并依照相关法律法规规定处理，所有损失和责任由中标人自行承担。</w:t>
      </w:r>
    </w:p>
    <w:p w14:paraId="64C12673">
      <w:pPr>
        <w:spacing w:line="360" w:lineRule="auto"/>
        <w:ind w:firstLine="354" w:firstLineChars="147"/>
        <w:rPr>
          <w:rFonts w:ascii="楷体_GB2312" w:hAnsi="Calibri" w:eastAsia="楷体_GB2312"/>
          <w:b/>
          <w:bCs/>
          <w:sz w:val="28"/>
          <w:szCs w:val="22"/>
        </w:rPr>
      </w:pPr>
      <w:r>
        <w:rPr>
          <w:rFonts w:hint="eastAsia" w:ascii="宋体" w:hAnsi="宋体" w:cs="宋体"/>
          <w:b/>
          <w:bCs/>
          <w:sz w:val="24"/>
        </w:rPr>
        <w:t>特别提醒：“资格审查文件”、“技术标”所须提供的材料（须加盖公章）按招标文件要求装订，密封，递交。</w:t>
      </w:r>
    </w:p>
    <w:p w14:paraId="00873E40">
      <w:pPr>
        <w:numPr>
          <w:ilvl w:val="0"/>
          <w:numId w:val="0"/>
        </w:numPr>
        <w:adjustRightInd w:val="0"/>
        <w:snapToGrid w:val="0"/>
        <w:spacing w:line="360" w:lineRule="auto"/>
        <w:ind w:firstLine="487" w:firstLineChars="202"/>
        <w:outlineLvl w:val="2"/>
        <w:rPr>
          <w:rFonts w:ascii="宋体" w:hAnsi="宋体" w:cs="宋体"/>
          <w:b/>
          <w:bCs/>
          <w:sz w:val="24"/>
        </w:rPr>
      </w:pPr>
      <w:r>
        <w:rPr>
          <w:rFonts w:hint="eastAsia" w:ascii="宋体" w:hAnsi="宋体" w:eastAsia="宋体" w:cs="宋体"/>
          <w:b/>
          <w:bCs/>
          <w:kern w:val="2"/>
          <w:sz w:val="24"/>
          <w:szCs w:val="24"/>
          <w:lang w:val="en-US" w:eastAsia="zh-CN" w:bidi="ar-SA"/>
        </w:rPr>
        <w:t>（二）</w:t>
      </w:r>
      <w:r>
        <w:rPr>
          <w:rFonts w:hint="eastAsia" w:ascii="宋体" w:hAnsi="宋体" w:cs="宋体"/>
          <w:b/>
          <w:bCs/>
          <w:sz w:val="24"/>
        </w:rPr>
        <w:t>商务标评分：（</w:t>
      </w:r>
      <w:r>
        <w:rPr>
          <w:rFonts w:hint="eastAsia" w:ascii="宋体" w:hAnsi="宋体" w:cs="宋体"/>
          <w:b/>
          <w:bCs/>
          <w:sz w:val="24"/>
          <w:lang w:val="en-US" w:eastAsia="zh-CN"/>
        </w:rPr>
        <w:t>4</w:t>
      </w:r>
      <w:r>
        <w:rPr>
          <w:rFonts w:hint="eastAsia" w:ascii="宋体" w:hAnsi="宋体" w:cs="宋体"/>
          <w:b/>
          <w:bCs/>
          <w:sz w:val="24"/>
        </w:rPr>
        <w:t>0分）</w:t>
      </w:r>
    </w:p>
    <w:p w14:paraId="13D67833">
      <w:pPr>
        <w:adjustRightInd w:val="0"/>
        <w:snapToGrid w:val="0"/>
        <w:spacing w:line="360" w:lineRule="auto"/>
        <w:ind w:left="482"/>
        <w:rPr>
          <w:rFonts w:ascii="宋体" w:hAnsi="宋体" w:cs="宋体"/>
          <w:b/>
          <w:bCs/>
          <w:sz w:val="24"/>
        </w:rPr>
      </w:pPr>
      <w:r>
        <w:rPr>
          <w:rFonts w:hint="eastAsia" w:ascii="宋体" w:hAnsi="宋体" w:cs="宋体"/>
          <w:b/>
          <w:bCs/>
          <w:sz w:val="24"/>
        </w:rPr>
        <w:t>1</w:t>
      </w:r>
      <w:r>
        <w:rPr>
          <w:rFonts w:ascii="宋体" w:hAnsi="宋体" w:cs="宋体"/>
          <w:b/>
          <w:bCs/>
          <w:sz w:val="24"/>
        </w:rPr>
        <w:t>.</w:t>
      </w:r>
      <w:r>
        <w:rPr>
          <w:rFonts w:hint="eastAsia" w:ascii="宋体" w:hAnsi="宋体" w:cs="宋体"/>
          <w:b/>
          <w:sz w:val="24"/>
        </w:rPr>
        <w:t xml:space="preserve">本项目最高限价为 </w:t>
      </w:r>
      <w:r>
        <w:rPr>
          <w:rFonts w:hint="eastAsia" w:ascii="宋体" w:hAnsi="宋体" w:cs="宋体"/>
          <w:b/>
          <w:sz w:val="24"/>
          <w:lang w:eastAsia="zh-CN"/>
        </w:rPr>
        <w:t>47万元</w:t>
      </w:r>
      <w:r>
        <w:rPr>
          <w:rFonts w:hint="eastAsia" w:ascii="宋体" w:hAnsi="宋体" w:cs="宋体"/>
          <w:b/>
          <w:bCs/>
          <w:sz w:val="24"/>
        </w:rPr>
        <w:t>，超过采购限价的作无效投标处理。</w:t>
      </w:r>
    </w:p>
    <w:p w14:paraId="741BA5CF">
      <w:pPr>
        <w:adjustRightInd w:val="0"/>
        <w:snapToGrid w:val="0"/>
        <w:spacing w:line="360" w:lineRule="auto"/>
        <w:ind w:firstLine="480" w:firstLineChars="200"/>
        <w:outlineLvl w:val="9"/>
        <w:rPr>
          <w:rFonts w:ascii="宋体" w:hAnsi="宋体" w:cs="宋体"/>
          <w:bCs/>
          <w:sz w:val="24"/>
        </w:rPr>
      </w:pPr>
      <w:r>
        <w:rPr>
          <w:rFonts w:hint="eastAsia" w:ascii="宋体" w:hAnsi="宋体" w:cs="宋体"/>
          <w:bCs/>
          <w:sz w:val="24"/>
        </w:rPr>
        <w:t>2</w:t>
      </w:r>
      <w:r>
        <w:rPr>
          <w:rFonts w:ascii="宋体" w:hAnsi="宋体" w:cs="宋体"/>
          <w:bCs/>
          <w:sz w:val="24"/>
        </w:rPr>
        <w:t>.满足招标文件要求且投标报价最低的报价为评标基准价，其商务标得分为满分</w:t>
      </w:r>
      <w:r>
        <w:rPr>
          <w:rFonts w:hint="eastAsia" w:ascii="宋体" w:hAnsi="宋体" w:cs="宋体"/>
          <w:bCs/>
          <w:sz w:val="24"/>
        </w:rPr>
        <w:t>。</w:t>
      </w:r>
    </w:p>
    <w:p w14:paraId="3D6E613B">
      <w:pPr>
        <w:adjustRightInd w:val="0"/>
        <w:snapToGrid w:val="0"/>
        <w:spacing w:line="360" w:lineRule="auto"/>
        <w:ind w:firstLine="480" w:firstLineChars="200"/>
        <w:outlineLvl w:val="9"/>
        <w:rPr>
          <w:rFonts w:ascii="宋体" w:hAnsi="宋体" w:cs="宋体"/>
          <w:bCs/>
          <w:sz w:val="24"/>
        </w:rPr>
      </w:pPr>
      <w:r>
        <w:rPr>
          <w:rFonts w:hint="eastAsia" w:ascii="宋体" w:hAnsi="宋体" w:cs="宋体"/>
          <w:bCs/>
          <w:sz w:val="24"/>
        </w:rPr>
        <w:t>3</w:t>
      </w:r>
      <w:r>
        <w:rPr>
          <w:rFonts w:ascii="宋体" w:hAnsi="宋体" w:cs="宋体"/>
          <w:bCs/>
          <w:sz w:val="24"/>
        </w:rPr>
        <w:t>.其他</w:t>
      </w:r>
      <w:r>
        <w:rPr>
          <w:rFonts w:hint="eastAsia" w:ascii="宋体" w:hAnsi="宋体" w:cs="宋体"/>
          <w:bCs/>
          <w:sz w:val="24"/>
        </w:rPr>
        <w:t>投标人</w:t>
      </w:r>
      <w:r>
        <w:rPr>
          <w:rFonts w:ascii="宋体" w:hAnsi="宋体" w:cs="宋体"/>
          <w:bCs/>
          <w:sz w:val="24"/>
        </w:rPr>
        <w:t>的商务标得分按照下列公式计算：</w:t>
      </w:r>
    </w:p>
    <w:p w14:paraId="4A9A17DF">
      <w:pPr>
        <w:ind w:firstLine="480" w:firstLineChars="200"/>
        <w:outlineLvl w:val="9"/>
        <w:rPr>
          <w:rFonts w:hint="default" w:ascii="宋体" w:hAnsi="宋体" w:eastAsia="宋体"/>
          <w:sz w:val="24"/>
          <w:lang w:val="en-US" w:eastAsia="zh-CN"/>
        </w:rPr>
      </w:pPr>
      <w:r>
        <w:rPr>
          <w:rFonts w:ascii="宋体" w:hAnsi="宋体"/>
          <w:sz w:val="24"/>
        </w:rPr>
        <w:t>商务标得分 =（评标基准价/投标报价）×</w:t>
      </w:r>
      <w:r>
        <w:rPr>
          <w:rFonts w:hint="eastAsia" w:ascii="宋体" w:hAnsi="宋体"/>
          <w:sz w:val="24"/>
          <w:lang w:val="en-US" w:eastAsia="zh-CN"/>
        </w:rPr>
        <w:t>40</w:t>
      </w:r>
    </w:p>
    <w:p w14:paraId="4A6EC5EC">
      <w:pPr>
        <w:adjustRightInd w:val="0"/>
        <w:snapToGrid w:val="0"/>
        <w:spacing w:line="360" w:lineRule="auto"/>
        <w:ind w:firstLine="480" w:firstLineChars="200"/>
        <w:outlineLvl w:val="2"/>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三</w:t>
      </w:r>
      <w:r>
        <w:rPr>
          <w:rFonts w:hint="eastAsia" w:ascii="宋体" w:hAnsi="宋体" w:cs="宋体"/>
          <w:bCs/>
          <w:sz w:val="24"/>
        </w:rPr>
        <w:t>）评标争议</w:t>
      </w:r>
    </w:p>
    <w:p w14:paraId="23F179DF">
      <w:pPr>
        <w:adjustRightInd w:val="0"/>
        <w:snapToGrid w:val="0"/>
        <w:spacing w:line="360" w:lineRule="auto"/>
        <w:ind w:firstLine="480" w:firstLineChars="200"/>
        <w:outlineLvl w:val="9"/>
        <w:rPr>
          <w:rFonts w:ascii="宋体" w:hAnsi="宋体" w:cs="宋体"/>
          <w:bCs/>
          <w:sz w:val="24"/>
        </w:rPr>
      </w:pPr>
      <w:r>
        <w:rPr>
          <w:rFonts w:hint="eastAsia" w:ascii="宋体" w:hAnsi="宋体" w:cs="宋体"/>
          <w:bCs/>
          <w:sz w:val="24"/>
        </w:rPr>
        <w:t>评标时评委对评标的细则若有争议，由评标委员会评委集体讨论确定，并对未尽情况有最终解释权。</w:t>
      </w:r>
    </w:p>
    <w:p w14:paraId="328F3585">
      <w:pPr>
        <w:adjustRightInd w:val="0"/>
        <w:snapToGrid w:val="0"/>
        <w:spacing w:line="360" w:lineRule="auto"/>
        <w:ind w:firstLine="480" w:firstLineChars="200"/>
        <w:outlineLvl w:val="2"/>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四</w:t>
      </w:r>
      <w:r>
        <w:rPr>
          <w:rFonts w:hint="eastAsia" w:ascii="宋体" w:hAnsi="宋体" w:cs="宋体"/>
          <w:bCs/>
          <w:sz w:val="24"/>
        </w:rPr>
        <w:t>）落标原因</w:t>
      </w:r>
    </w:p>
    <w:p w14:paraId="222006CF">
      <w:pPr>
        <w:adjustRightInd w:val="0"/>
        <w:snapToGrid w:val="0"/>
        <w:spacing w:line="360" w:lineRule="auto"/>
        <w:ind w:firstLine="480" w:firstLineChars="200"/>
        <w:outlineLvl w:val="9"/>
        <w:rPr>
          <w:rFonts w:ascii="宋体" w:hAnsi="宋体" w:cs="宋体"/>
          <w:bCs/>
          <w:sz w:val="24"/>
        </w:rPr>
      </w:pPr>
      <w:r>
        <w:rPr>
          <w:rFonts w:hint="eastAsia" w:ascii="宋体" w:hAnsi="宋体" w:cs="宋体"/>
          <w:bCs/>
          <w:sz w:val="24"/>
        </w:rPr>
        <w:t>评标委员会不对落标的投标供应商做落标原因的解释。</w:t>
      </w:r>
    </w:p>
    <w:p w14:paraId="491D5EB2">
      <w:pPr>
        <w:snapToGrid w:val="0"/>
        <w:spacing w:line="360" w:lineRule="auto"/>
        <w:ind w:firstLine="482" w:firstLineChars="200"/>
        <w:outlineLvl w:val="1"/>
        <w:rPr>
          <w:b/>
          <w:sz w:val="24"/>
        </w:rPr>
      </w:pPr>
      <w:r>
        <w:rPr>
          <w:rFonts w:hint="eastAsia"/>
          <w:b/>
          <w:sz w:val="24"/>
          <w:lang w:val="en-US" w:eastAsia="zh-CN"/>
        </w:rPr>
        <w:t>九</w:t>
      </w:r>
      <w:r>
        <w:rPr>
          <w:b/>
          <w:sz w:val="24"/>
        </w:rPr>
        <w:t>、出现下列情形之一的，作无效投标处理：</w:t>
      </w:r>
    </w:p>
    <w:p w14:paraId="612F7F49">
      <w:pPr>
        <w:snapToGrid w:val="0"/>
        <w:spacing w:line="360" w:lineRule="auto"/>
        <w:ind w:firstLine="480" w:firstLineChars="200"/>
        <w:rPr>
          <w:sz w:val="24"/>
        </w:rPr>
      </w:pPr>
      <w:r>
        <w:rPr>
          <w:rFonts w:hint="eastAsia"/>
          <w:sz w:val="24"/>
          <w:lang w:eastAsia="zh-CN"/>
        </w:rPr>
        <w:t>1.</w:t>
      </w:r>
      <w:r>
        <w:rPr>
          <w:sz w:val="24"/>
        </w:rPr>
        <w:t>投标文件未按招标文件要求签署、盖章的；</w:t>
      </w:r>
    </w:p>
    <w:p w14:paraId="3233E141">
      <w:pPr>
        <w:snapToGrid w:val="0"/>
        <w:spacing w:line="360" w:lineRule="auto"/>
        <w:ind w:firstLine="480" w:firstLineChars="200"/>
        <w:rPr>
          <w:sz w:val="24"/>
        </w:rPr>
      </w:pPr>
      <w:r>
        <w:rPr>
          <w:rFonts w:hint="eastAsia"/>
          <w:sz w:val="24"/>
          <w:lang w:eastAsia="zh-CN"/>
        </w:rPr>
        <w:t>2.</w:t>
      </w:r>
      <w:r>
        <w:rPr>
          <w:sz w:val="24"/>
        </w:rPr>
        <w:t>不具备招标文件中规定的资格要求的；</w:t>
      </w:r>
    </w:p>
    <w:p w14:paraId="1E596A66">
      <w:pPr>
        <w:snapToGrid w:val="0"/>
        <w:spacing w:line="360" w:lineRule="auto"/>
        <w:ind w:firstLine="480" w:firstLineChars="200"/>
        <w:rPr>
          <w:sz w:val="24"/>
        </w:rPr>
      </w:pPr>
      <w:r>
        <w:rPr>
          <w:rFonts w:hint="eastAsia"/>
          <w:sz w:val="24"/>
          <w:lang w:eastAsia="zh-CN"/>
        </w:rPr>
        <w:t>3.</w:t>
      </w:r>
      <w:r>
        <w:rPr>
          <w:sz w:val="24"/>
        </w:rPr>
        <w:t>报价超过招标文件中规定的预算金额或者最高限价的；</w:t>
      </w:r>
    </w:p>
    <w:p w14:paraId="01F87451">
      <w:pPr>
        <w:snapToGrid w:val="0"/>
        <w:spacing w:line="360" w:lineRule="auto"/>
        <w:ind w:firstLine="480" w:firstLineChars="200"/>
        <w:rPr>
          <w:sz w:val="24"/>
        </w:rPr>
      </w:pPr>
      <w:r>
        <w:rPr>
          <w:rFonts w:hint="eastAsia"/>
          <w:sz w:val="24"/>
          <w:lang w:eastAsia="zh-CN"/>
        </w:rPr>
        <w:t>4.</w:t>
      </w:r>
      <w:r>
        <w:rPr>
          <w:sz w:val="24"/>
        </w:rPr>
        <w:t>投标文件含有采购人不能接受的附加条件的；</w:t>
      </w:r>
    </w:p>
    <w:p w14:paraId="04F1425D">
      <w:pPr>
        <w:snapToGrid w:val="0"/>
        <w:spacing w:line="360" w:lineRule="auto"/>
        <w:ind w:firstLine="480" w:firstLineChars="200"/>
        <w:rPr>
          <w:sz w:val="24"/>
        </w:rPr>
      </w:pPr>
      <w:r>
        <w:rPr>
          <w:rFonts w:hint="eastAsia"/>
          <w:sz w:val="24"/>
          <w:lang w:eastAsia="zh-CN"/>
        </w:rPr>
        <w:t>5.</w:t>
      </w:r>
      <w:r>
        <w:rPr>
          <w:rFonts w:hint="eastAsia"/>
          <w:sz w:val="24"/>
        </w:rPr>
        <w:t>投标人的技术分得分相差悬殊，评标委员会认为得分畸低者未实质性响应的；</w:t>
      </w:r>
    </w:p>
    <w:p w14:paraId="264AC00D">
      <w:pPr>
        <w:snapToGrid w:val="0"/>
        <w:spacing w:line="360" w:lineRule="auto"/>
        <w:ind w:firstLine="480" w:firstLineChars="200"/>
        <w:rPr>
          <w:sz w:val="24"/>
        </w:rPr>
      </w:pPr>
      <w:r>
        <w:rPr>
          <w:rFonts w:hint="eastAsia"/>
          <w:sz w:val="24"/>
        </w:rPr>
        <w:t>6.</w:t>
      </w:r>
      <w:r>
        <w:rPr>
          <w:sz w:val="24"/>
        </w:rPr>
        <w:t>法律、法规和招标文件规定的其他无效情形。</w:t>
      </w:r>
    </w:p>
    <w:p w14:paraId="24421FF5">
      <w:pPr>
        <w:snapToGrid w:val="0"/>
        <w:spacing w:line="360" w:lineRule="auto"/>
        <w:ind w:firstLine="482" w:firstLineChars="200"/>
        <w:outlineLvl w:val="1"/>
        <w:rPr>
          <w:sz w:val="24"/>
        </w:rPr>
      </w:pPr>
      <w:r>
        <w:rPr>
          <w:rFonts w:hint="eastAsia"/>
          <w:b/>
          <w:sz w:val="24"/>
          <w:lang w:val="en-US" w:eastAsia="zh-CN"/>
        </w:rPr>
        <w:t>十</w:t>
      </w:r>
      <w:r>
        <w:rPr>
          <w:b/>
          <w:sz w:val="24"/>
        </w:rPr>
        <w:t>、有下列情形之一的，视为投标人串通投标，其投标无效</w:t>
      </w:r>
    </w:p>
    <w:p w14:paraId="1706293E">
      <w:pPr>
        <w:snapToGrid w:val="0"/>
        <w:spacing w:line="360" w:lineRule="auto"/>
        <w:ind w:firstLine="484" w:firstLineChars="202"/>
        <w:rPr>
          <w:sz w:val="24"/>
        </w:rPr>
      </w:pPr>
      <w:r>
        <w:rPr>
          <w:rFonts w:hint="eastAsia"/>
          <w:sz w:val="24"/>
          <w:lang w:eastAsia="zh-CN"/>
        </w:rPr>
        <w:t>1.</w:t>
      </w:r>
      <w:r>
        <w:rPr>
          <w:sz w:val="24"/>
        </w:rPr>
        <w:t>不同投标人的投标文件由同一单位或者个人编制；</w:t>
      </w:r>
    </w:p>
    <w:p w14:paraId="7F717256">
      <w:pPr>
        <w:snapToGrid w:val="0"/>
        <w:spacing w:line="360" w:lineRule="auto"/>
        <w:ind w:firstLine="484" w:firstLineChars="202"/>
        <w:rPr>
          <w:sz w:val="24"/>
        </w:rPr>
      </w:pPr>
      <w:r>
        <w:rPr>
          <w:rFonts w:hint="eastAsia"/>
          <w:sz w:val="24"/>
          <w:lang w:eastAsia="zh-CN"/>
        </w:rPr>
        <w:t>2.</w:t>
      </w:r>
      <w:r>
        <w:rPr>
          <w:sz w:val="24"/>
        </w:rPr>
        <w:t>不同投标人委托同一单位或者个人办理投标事宜；</w:t>
      </w:r>
    </w:p>
    <w:p w14:paraId="5F09B053">
      <w:pPr>
        <w:snapToGrid w:val="0"/>
        <w:spacing w:line="360" w:lineRule="auto"/>
        <w:ind w:firstLine="484" w:firstLineChars="202"/>
        <w:rPr>
          <w:sz w:val="24"/>
        </w:rPr>
      </w:pPr>
      <w:r>
        <w:rPr>
          <w:rFonts w:hint="eastAsia"/>
          <w:sz w:val="24"/>
          <w:lang w:eastAsia="zh-CN"/>
        </w:rPr>
        <w:t>3.</w:t>
      </w:r>
      <w:r>
        <w:rPr>
          <w:sz w:val="24"/>
        </w:rPr>
        <w:t>不同投标人的投标文件载明的项目管理成员或者联系人员为同一人；</w:t>
      </w:r>
    </w:p>
    <w:p w14:paraId="02659723">
      <w:pPr>
        <w:snapToGrid w:val="0"/>
        <w:spacing w:line="360" w:lineRule="auto"/>
        <w:ind w:firstLine="484" w:firstLineChars="202"/>
        <w:rPr>
          <w:sz w:val="24"/>
        </w:rPr>
      </w:pPr>
      <w:r>
        <w:rPr>
          <w:rFonts w:hint="eastAsia"/>
          <w:sz w:val="24"/>
          <w:lang w:eastAsia="zh-CN"/>
        </w:rPr>
        <w:t>4.</w:t>
      </w:r>
      <w:r>
        <w:rPr>
          <w:sz w:val="24"/>
        </w:rPr>
        <w:t>不同投标人的投标文件异常一致或者投标报价呈规律性差异；</w:t>
      </w:r>
    </w:p>
    <w:p w14:paraId="71E991FC">
      <w:pPr>
        <w:snapToGrid w:val="0"/>
        <w:spacing w:line="360" w:lineRule="auto"/>
        <w:ind w:firstLine="484" w:firstLineChars="202"/>
        <w:rPr>
          <w:sz w:val="24"/>
        </w:rPr>
      </w:pPr>
      <w:r>
        <w:rPr>
          <w:rFonts w:hint="eastAsia"/>
          <w:sz w:val="24"/>
          <w:lang w:eastAsia="zh-CN"/>
        </w:rPr>
        <w:t>5.</w:t>
      </w:r>
      <w:r>
        <w:rPr>
          <w:sz w:val="24"/>
        </w:rPr>
        <w:t>不同投标人的投标文件相互混装；</w:t>
      </w:r>
    </w:p>
    <w:p w14:paraId="2819C692">
      <w:pPr>
        <w:snapToGrid w:val="0"/>
        <w:spacing w:line="360" w:lineRule="auto"/>
        <w:ind w:firstLine="482" w:firstLineChars="200"/>
        <w:outlineLvl w:val="1"/>
        <w:rPr>
          <w:b/>
          <w:sz w:val="24"/>
        </w:rPr>
      </w:pPr>
      <w:r>
        <w:rPr>
          <w:b/>
          <w:sz w:val="24"/>
        </w:rPr>
        <w:t>十</w:t>
      </w:r>
      <w:r>
        <w:rPr>
          <w:rFonts w:hint="eastAsia"/>
          <w:b/>
          <w:sz w:val="24"/>
          <w:lang w:val="en-US" w:eastAsia="zh-CN"/>
        </w:rPr>
        <w:t>一</w:t>
      </w:r>
      <w:r>
        <w:rPr>
          <w:b/>
          <w:sz w:val="24"/>
        </w:rPr>
        <w:t>、出现下列情形之一的，作废标处理：</w:t>
      </w:r>
    </w:p>
    <w:p w14:paraId="260C305D">
      <w:pPr>
        <w:snapToGrid w:val="0"/>
        <w:spacing w:line="360" w:lineRule="auto"/>
        <w:ind w:firstLine="480" w:firstLineChars="200"/>
        <w:rPr>
          <w:sz w:val="24"/>
        </w:rPr>
      </w:pPr>
      <w:r>
        <w:rPr>
          <w:rFonts w:hint="eastAsia"/>
          <w:sz w:val="24"/>
          <w:lang w:eastAsia="zh-CN"/>
        </w:rPr>
        <w:t>1.</w:t>
      </w:r>
      <w:r>
        <w:rPr>
          <w:sz w:val="24"/>
        </w:rPr>
        <w:t>出现影响采购公正的违法违规行为的；</w:t>
      </w:r>
    </w:p>
    <w:p w14:paraId="06CD80C2">
      <w:pPr>
        <w:snapToGrid w:val="0"/>
        <w:spacing w:line="360" w:lineRule="auto"/>
        <w:ind w:firstLine="480" w:firstLineChars="200"/>
        <w:rPr>
          <w:sz w:val="24"/>
        </w:rPr>
      </w:pPr>
      <w:r>
        <w:rPr>
          <w:rFonts w:hint="eastAsia"/>
          <w:sz w:val="24"/>
          <w:lang w:eastAsia="zh-CN"/>
        </w:rPr>
        <w:t>2.</w:t>
      </w:r>
      <w:r>
        <w:rPr>
          <w:sz w:val="24"/>
        </w:rPr>
        <w:t>所有投标人报价超出采购预算价的；</w:t>
      </w:r>
    </w:p>
    <w:p w14:paraId="6B7CCC0A">
      <w:pPr>
        <w:snapToGrid w:val="0"/>
        <w:spacing w:line="360" w:lineRule="auto"/>
        <w:ind w:firstLine="480" w:firstLineChars="200"/>
        <w:rPr>
          <w:sz w:val="24"/>
        </w:rPr>
      </w:pPr>
      <w:r>
        <w:rPr>
          <w:rFonts w:hint="eastAsia"/>
          <w:sz w:val="24"/>
          <w:lang w:eastAsia="zh-CN"/>
        </w:rPr>
        <w:t>3.</w:t>
      </w:r>
      <w:r>
        <w:rPr>
          <w:sz w:val="24"/>
        </w:rPr>
        <w:t>因重大变故，采购任务被取消的；</w:t>
      </w:r>
    </w:p>
    <w:p w14:paraId="7FA90575">
      <w:pPr>
        <w:snapToGrid w:val="0"/>
        <w:spacing w:line="360" w:lineRule="auto"/>
        <w:ind w:firstLine="480" w:firstLineChars="200"/>
        <w:rPr>
          <w:sz w:val="24"/>
        </w:rPr>
      </w:pPr>
      <w:r>
        <w:rPr>
          <w:rFonts w:hint="eastAsia"/>
          <w:sz w:val="24"/>
          <w:lang w:eastAsia="zh-CN"/>
        </w:rPr>
        <w:t>4.</w:t>
      </w:r>
      <w:r>
        <w:rPr>
          <w:sz w:val="24"/>
        </w:rPr>
        <w:t>评标委员会依据法律法规可以认定为废标的其他情况。</w:t>
      </w:r>
    </w:p>
    <w:p w14:paraId="51A44AC6">
      <w:pPr>
        <w:snapToGrid w:val="0"/>
        <w:spacing w:line="360" w:lineRule="auto"/>
        <w:ind w:firstLine="482" w:firstLineChars="200"/>
        <w:outlineLvl w:val="1"/>
        <w:rPr>
          <w:b/>
          <w:sz w:val="24"/>
        </w:rPr>
      </w:pPr>
      <w:r>
        <w:rPr>
          <w:b/>
          <w:sz w:val="24"/>
        </w:rPr>
        <w:t>十</w:t>
      </w:r>
      <w:r>
        <w:rPr>
          <w:rFonts w:hint="eastAsia"/>
          <w:b/>
          <w:sz w:val="24"/>
          <w:lang w:val="en-US" w:eastAsia="zh-CN"/>
        </w:rPr>
        <w:t>二</w:t>
      </w:r>
      <w:r>
        <w:rPr>
          <w:b/>
          <w:sz w:val="24"/>
        </w:rPr>
        <w:t>、</w:t>
      </w:r>
      <w:r>
        <w:rPr>
          <w:rFonts w:hint="eastAsia"/>
          <w:b/>
          <w:sz w:val="24"/>
        </w:rPr>
        <w:t>中标</w:t>
      </w:r>
      <w:r>
        <w:rPr>
          <w:b/>
          <w:sz w:val="24"/>
        </w:rPr>
        <w:t>通知</w:t>
      </w:r>
    </w:p>
    <w:p w14:paraId="561830D8">
      <w:pPr>
        <w:spacing w:line="360" w:lineRule="auto"/>
        <w:ind w:firstLine="484" w:firstLineChars="202"/>
        <w:rPr>
          <w:kern w:val="0"/>
          <w:sz w:val="24"/>
        </w:rPr>
      </w:pPr>
      <w:r>
        <w:rPr>
          <w:rFonts w:hint="eastAsia"/>
          <w:kern w:val="0"/>
          <w:sz w:val="24"/>
          <w:lang w:eastAsia="zh-CN"/>
        </w:rPr>
        <w:t>1.</w:t>
      </w:r>
      <w:r>
        <w:rPr>
          <w:kern w:val="0"/>
          <w:sz w:val="24"/>
        </w:rPr>
        <w:t>开标结束后，招标单位自中标人确定之日起2个工作日内在指定媒体上公告中标结果。</w:t>
      </w:r>
    </w:p>
    <w:p w14:paraId="07C3B36B">
      <w:pPr>
        <w:spacing w:line="360" w:lineRule="auto"/>
        <w:ind w:firstLine="484" w:firstLineChars="202"/>
        <w:rPr>
          <w:kern w:val="0"/>
          <w:sz w:val="24"/>
        </w:rPr>
      </w:pPr>
      <w:r>
        <w:rPr>
          <w:rFonts w:hint="eastAsia"/>
          <w:kern w:val="0"/>
          <w:sz w:val="24"/>
          <w:lang w:eastAsia="zh-CN"/>
        </w:rPr>
        <w:t>2.</w:t>
      </w:r>
      <w:r>
        <w:rPr>
          <w:kern w:val="0"/>
          <w:sz w:val="24"/>
          <w:highlight w:val="none"/>
        </w:rPr>
        <w:t>中标公告期限为1个工作日</w:t>
      </w:r>
      <w:r>
        <w:rPr>
          <w:kern w:val="0"/>
          <w:sz w:val="24"/>
        </w:rPr>
        <w:t>，期限结束后向中标人发出《中标通知书》。</w:t>
      </w:r>
    </w:p>
    <w:p w14:paraId="3B527FEA">
      <w:pPr>
        <w:ind w:firstLine="480" w:firstLineChars="200"/>
        <w:rPr>
          <w:rFonts w:ascii="宋体" w:hAnsi="宋体" w:cs="宋体"/>
          <w:b/>
          <w:sz w:val="36"/>
          <w:szCs w:val="36"/>
        </w:rPr>
      </w:pPr>
      <w:r>
        <w:rPr>
          <w:rFonts w:hint="eastAsia"/>
          <w:kern w:val="0"/>
          <w:sz w:val="24"/>
          <w:lang w:eastAsia="zh-CN"/>
        </w:rPr>
        <w:t>3.</w:t>
      </w:r>
      <w:r>
        <w:rPr>
          <w:kern w:val="0"/>
          <w:sz w:val="24"/>
        </w:rPr>
        <w:t>《中标通知书》一经发出，即具有法律效力。采购人、中标人依法承担法律责任。</w:t>
      </w:r>
      <w:r>
        <w:rPr>
          <w:rFonts w:hint="eastAsia" w:ascii="宋体" w:hAnsi="宋体" w:cs="宋体"/>
          <w:b/>
          <w:sz w:val="36"/>
          <w:szCs w:val="36"/>
        </w:rPr>
        <w:br w:type="page"/>
      </w:r>
    </w:p>
    <w:p w14:paraId="76224899">
      <w:pPr>
        <w:snapToGrid w:val="0"/>
        <w:spacing w:line="300" w:lineRule="auto"/>
        <w:jc w:val="center"/>
        <w:outlineLvl w:val="0"/>
        <w:rPr>
          <w:rFonts w:ascii="宋体" w:hAnsi="宋体" w:cs="宋体"/>
          <w:b/>
          <w:sz w:val="36"/>
          <w:szCs w:val="36"/>
        </w:rPr>
      </w:pPr>
      <w:r>
        <w:rPr>
          <w:rFonts w:hint="eastAsia" w:ascii="宋体" w:hAnsi="宋体" w:cs="宋体"/>
          <w:b/>
          <w:sz w:val="36"/>
          <w:szCs w:val="36"/>
        </w:rPr>
        <w:t>第五章  合同签订与验收付款</w:t>
      </w:r>
    </w:p>
    <w:p w14:paraId="529D7366">
      <w:pPr>
        <w:spacing w:line="360" w:lineRule="auto"/>
        <w:ind w:firstLine="480" w:firstLineChars="200"/>
        <w:rPr>
          <w:rFonts w:ascii="宋体" w:hAnsi="宋体" w:cs="宋体"/>
          <w:kern w:val="0"/>
          <w:sz w:val="24"/>
        </w:rPr>
      </w:pPr>
      <w:r>
        <w:rPr>
          <w:rFonts w:hint="eastAsia" w:ascii="宋体" w:hAnsi="宋体" w:cs="宋体"/>
          <w:kern w:val="0"/>
          <w:sz w:val="24"/>
        </w:rPr>
        <w:t>一、依据“关于进一步促进政府采购公平竞争优化营商环境的通知”（通财购</w:t>
      </w:r>
      <w:r>
        <w:rPr>
          <w:rFonts w:hint="eastAsia" w:ascii="宋体" w:hAnsi="宋体" w:cs="宋体"/>
          <w:kern w:val="0"/>
          <w:sz w:val="24"/>
          <w:lang w:eastAsia="zh-CN"/>
        </w:rPr>
        <w:t>〔2020〕39号</w:t>
      </w:r>
      <w:r>
        <w:rPr>
          <w:rFonts w:hint="eastAsia" w:ascii="宋体" w:hAnsi="宋体" w:cs="宋体"/>
          <w:kern w:val="0"/>
          <w:sz w:val="24"/>
        </w:rPr>
        <w:t>）文件第（十）条规定，中标人在《中标通知书》发出送达后的30日内必须按照招标文件确定的事项与采购人签订政府采购合同。</w:t>
      </w:r>
    </w:p>
    <w:p w14:paraId="2B5B6EF2">
      <w:pPr>
        <w:spacing w:line="360" w:lineRule="auto"/>
        <w:ind w:firstLine="480" w:firstLineChars="200"/>
        <w:rPr>
          <w:rFonts w:ascii="宋体" w:hAnsi="宋体" w:cs="宋体"/>
          <w:kern w:val="0"/>
          <w:sz w:val="24"/>
        </w:rPr>
      </w:pPr>
      <w:r>
        <w:rPr>
          <w:rFonts w:hint="eastAsia" w:ascii="宋体" w:hAnsi="宋体" w:cs="宋体"/>
          <w:kern w:val="0"/>
          <w:sz w:val="24"/>
        </w:rPr>
        <w:t>二、采购人按合同约定积极配合中标人履约，中标人履约到位后，请以书面形式向采购单位提出验收考核申请，采购单位接到申请后原则上在5个工作日内及时组织相关专业技术人员，必要时邀请相关主管部门共同参与验收，并出具验收考核报告，根据考核结果原则上在15个工作日内支付相应款项。</w:t>
      </w:r>
    </w:p>
    <w:p w14:paraId="4EF3483B">
      <w:pPr>
        <w:spacing w:line="360" w:lineRule="auto"/>
        <w:ind w:firstLine="480" w:firstLineChars="200"/>
        <w:rPr>
          <w:rFonts w:ascii="宋体" w:hAnsi="宋体" w:cs="宋体"/>
          <w:kern w:val="0"/>
          <w:sz w:val="24"/>
        </w:rPr>
      </w:pPr>
      <w:r>
        <w:rPr>
          <w:rFonts w:hint="eastAsia" w:ascii="宋体" w:hAnsi="宋体" w:cs="宋体"/>
          <w:kern w:val="0"/>
          <w:sz w:val="24"/>
        </w:rPr>
        <w:t>三、采购人故意推迟项目验收时间的，与中标人串通或要求中标人通过减少服务量或降低服务标准的，在履行合同中采取更改或调换服务内容等手段的，要求中标人出具虚假发票或任意更改销售发票的，谋取不正当利益的，承担相应的法律责任。</w:t>
      </w:r>
    </w:p>
    <w:p w14:paraId="5ED7C682">
      <w:pPr>
        <w:spacing w:line="360" w:lineRule="auto"/>
        <w:ind w:firstLine="480" w:firstLineChars="200"/>
        <w:rPr>
          <w:rFonts w:ascii="宋体" w:hAnsi="宋体" w:cs="宋体"/>
          <w:kern w:val="0"/>
          <w:sz w:val="24"/>
        </w:rPr>
      </w:pPr>
      <w:r>
        <w:rPr>
          <w:rFonts w:hint="eastAsia" w:ascii="宋体" w:hAnsi="宋体" w:cs="宋体"/>
          <w:kern w:val="0"/>
          <w:sz w:val="24"/>
        </w:rPr>
        <w:t>四、中标人出现违约情形，应当及时纠正或补偿；造成损失的，按合同约定追究违约责任；发现有假冒、伪劣、走私产品、商业贿赂等违法情形的，应由采购人移交工商、质监、公安等行政执法部门依法查处。</w:t>
      </w:r>
    </w:p>
    <w:p w14:paraId="7BAE9A37">
      <w:pPr>
        <w:spacing w:line="360" w:lineRule="auto"/>
        <w:ind w:firstLine="480" w:firstLineChars="200"/>
        <w:rPr>
          <w:rFonts w:ascii="宋体" w:hAnsi="宋体" w:cs="宋体"/>
          <w:kern w:val="0"/>
          <w:sz w:val="24"/>
        </w:rPr>
      </w:pPr>
      <w:r>
        <w:rPr>
          <w:rFonts w:hint="eastAsia" w:ascii="宋体" w:hAnsi="宋体" w:cs="宋体"/>
          <w:kern w:val="0"/>
          <w:sz w:val="24"/>
        </w:rPr>
        <w:t>五、采购人应当按政府采购合同约定，及时支付合同履约的服务款。</w:t>
      </w:r>
    </w:p>
    <w:p w14:paraId="08622378">
      <w:pPr>
        <w:spacing w:line="360" w:lineRule="auto"/>
        <w:ind w:firstLine="480" w:firstLineChars="200"/>
        <w:rPr>
          <w:rFonts w:ascii="宋体" w:hAnsi="宋体" w:cs="宋体"/>
          <w:kern w:val="0"/>
          <w:sz w:val="24"/>
        </w:rPr>
      </w:pPr>
      <w:r>
        <w:rPr>
          <w:rFonts w:hint="eastAsia" w:ascii="宋体" w:hAnsi="宋体" w:cs="宋体"/>
          <w:kern w:val="0"/>
          <w:sz w:val="24"/>
        </w:rPr>
        <w:t>六、不响应付款方式的，视同响应文件无效，按无效响应文件处理。</w:t>
      </w:r>
    </w:p>
    <w:p w14:paraId="2DD234C7">
      <w:pPr>
        <w:spacing w:line="360" w:lineRule="auto"/>
        <w:ind w:firstLine="480" w:firstLineChars="200"/>
        <w:rPr>
          <w:rFonts w:ascii="宋体" w:hAnsi="宋体" w:cs="宋体"/>
          <w:kern w:val="0"/>
          <w:sz w:val="24"/>
        </w:rPr>
        <w:sectPr>
          <w:pgSz w:w="11906" w:h="16838"/>
          <w:pgMar w:top="1418" w:right="1474" w:bottom="1418" w:left="1474" w:header="851" w:footer="907" w:gutter="0"/>
          <w:pgNumType w:fmt="decimal"/>
          <w:cols w:space="720" w:num="1"/>
          <w:docGrid w:type="lines" w:linePitch="312" w:charSpace="0"/>
        </w:sectPr>
      </w:pPr>
      <w:r>
        <w:rPr>
          <w:rFonts w:hint="eastAsia" w:ascii="宋体" w:hAnsi="宋体" w:cs="宋体"/>
          <w:kern w:val="0"/>
          <w:sz w:val="24"/>
        </w:rPr>
        <w:t>七、合同项目价款的支付不计息。</w:t>
      </w:r>
    </w:p>
    <w:p w14:paraId="7E75B823">
      <w:pPr>
        <w:pStyle w:val="45"/>
        <w:ind w:firstLine="0" w:firstLineChars="0"/>
        <w:rPr>
          <w:rFonts w:ascii="宋体" w:hAnsi="宋体" w:cs="宋体"/>
        </w:rPr>
      </w:pPr>
    </w:p>
    <w:p w14:paraId="60129F08">
      <w:pPr>
        <w:snapToGrid w:val="0"/>
        <w:spacing w:line="400" w:lineRule="atLeast"/>
        <w:ind w:firstLine="723" w:firstLineChars="200"/>
        <w:jc w:val="center"/>
        <w:outlineLvl w:val="0"/>
        <w:rPr>
          <w:rFonts w:ascii="宋体" w:hAnsi="宋体" w:cs="宋体"/>
          <w:b/>
          <w:sz w:val="36"/>
          <w:szCs w:val="36"/>
        </w:rPr>
      </w:pPr>
      <w:r>
        <w:rPr>
          <w:rFonts w:hint="eastAsia" w:ascii="宋体" w:hAnsi="宋体" w:cs="宋体"/>
          <w:b/>
          <w:sz w:val="36"/>
          <w:szCs w:val="36"/>
        </w:rPr>
        <w:t>第六章  质疑提出和处理</w:t>
      </w:r>
    </w:p>
    <w:p w14:paraId="63446704">
      <w:pPr>
        <w:pStyle w:val="13"/>
        <w:snapToGrid w:val="0"/>
        <w:spacing w:line="400" w:lineRule="atLeast"/>
        <w:ind w:left="0" w:firstLine="640" w:firstLineChars="200"/>
        <w:contextualSpacing/>
        <w:rPr>
          <w:rFonts w:ascii="宋体" w:hAnsi="宋体" w:eastAsia="宋体" w:cs="宋体"/>
          <w:sz w:val="32"/>
          <w:szCs w:val="32"/>
        </w:rPr>
      </w:pPr>
    </w:p>
    <w:p w14:paraId="7428F1A4">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一、质疑的提出</w:t>
      </w:r>
    </w:p>
    <w:p w14:paraId="5CEC5770">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lang w:eastAsia="zh-CN"/>
        </w:rPr>
        <w:t>（一）</w:t>
      </w:r>
      <w:r>
        <w:rPr>
          <w:rFonts w:hint="eastAsia" w:ascii="宋体" w:hAnsi="宋体" w:eastAsia="宋体" w:cs="宋体"/>
          <w:kern w:val="2"/>
          <w:sz w:val="24"/>
          <w:szCs w:val="24"/>
        </w:rPr>
        <w:t xml:space="preserve">质疑人的身份要求      </w:t>
      </w:r>
    </w:p>
    <w:p w14:paraId="730D6EDB">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1.提出质疑的供应商应当是参与所质疑项目采购活动的供应商。</w:t>
      </w:r>
    </w:p>
    <w:p w14:paraId="675B2604">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2.潜在供应商已依法获取其可质疑的</w:t>
      </w:r>
      <w:r>
        <w:rPr>
          <w:rFonts w:hint="eastAsia" w:ascii="宋体" w:hAnsi="宋体" w:eastAsia="宋体" w:cs="宋体"/>
          <w:kern w:val="2"/>
          <w:sz w:val="24"/>
          <w:szCs w:val="24"/>
          <w:lang w:eastAsia="zh-CN"/>
        </w:rPr>
        <w:t>招标文件</w:t>
      </w:r>
      <w:r>
        <w:rPr>
          <w:rFonts w:hint="eastAsia" w:ascii="宋体" w:hAnsi="宋体" w:eastAsia="宋体" w:cs="宋体"/>
          <w:kern w:val="2"/>
          <w:sz w:val="24"/>
          <w:szCs w:val="24"/>
        </w:rPr>
        <w:t>的，可以对该文件提出质疑。对</w:t>
      </w:r>
      <w:r>
        <w:rPr>
          <w:rFonts w:hint="eastAsia" w:ascii="宋体" w:hAnsi="宋体" w:eastAsia="宋体" w:cs="宋体"/>
          <w:kern w:val="2"/>
          <w:sz w:val="24"/>
          <w:szCs w:val="24"/>
          <w:lang w:eastAsia="zh-CN"/>
        </w:rPr>
        <w:t>招标文件</w:t>
      </w:r>
      <w:r>
        <w:rPr>
          <w:rFonts w:hint="eastAsia" w:ascii="宋体" w:hAnsi="宋体" w:eastAsia="宋体" w:cs="宋体"/>
          <w:kern w:val="2"/>
          <w:sz w:val="24"/>
          <w:szCs w:val="24"/>
        </w:rPr>
        <w:t>提出质疑的，应当在获取</w:t>
      </w:r>
      <w:r>
        <w:rPr>
          <w:rFonts w:hint="eastAsia" w:ascii="宋体" w:hAnsi="宋体" w:eastAsia="宋体" w:cs="宋体"/>
          <w:kern w:val="2"/>
          <w:sz w:val="24"/>
          <w:szCs w:val="24"/>
          <w:lang w:eastAsia="zh-CN"/>
        </w:rPr>
        <w:t>招标文件</w:t>
      </w:r>
      <w:r>
        <w:rPr>
          <w:rFonts w:hint="eastAsia" w:ascii="宋体" w:hAnsi="宋体" w:eastAsia="宋体" w:cs="宋体"/>
          <w:kern w:val="2"/>
          <w:sz w:val="24"/>
          <w:szCs w:val="24"/>
        </w:rPr>
        <w:t>或者</w:t>
      </w:r>
      <w:r>
        <w:rPr>
          <w:rFonts w:hint="eastAsia" w:ascii="宋体" w:hAnsi="宋体" w:eastAsia="宋体" w:cs="宋体"/>
          <w:kern w:val="2"/>
          <w:sz w:val="24"/>
          <w:szCs w:val="24"/>
          <w:lang w:eastAsia="zh-CN"/>
        </w:rPr>
        <w:t>招标文件</w:t>
      </w:r>
      <w:r>
        <w:rPr>
          <w:rFonts w:hint="eastAsia" w:ascii="宋体" w:hAnsi="宋体" w:eastAsia="宋体" w:cs="宋体"/>
          <w:kern w:val="2"/>
          <w:sz w:val="24"/>
          <w:szCs w:val="24"/>
        </w:rPr>
        <w:t>公告期限届满之日起7个工作日内提出。</w:t>
      </w:r>
    </w:p>
    <w:p w14:paraId="4562647D">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lang w:eastAsia="zh-CN"/>
        </w:rPr>
        <w:t>（二）</w:t>
      </w:r>
      <w:r>
        <w:rPr>
          <w:rFonts w:hint="eastAsia" w:ascii="宋体" w:hAnsi="宋体" w:eastAsia="宋体" w:cs="宋体"/>
          <w:kern w:val="2"/>
          <w:sz w:val="24"/>
          <w:szCs w:val="24"/>
        </w:rPr>
        <w:t xml:space="preserve">质疑提出的格式要求   </w:t>
      </w:r>
    </w:p>
    <w:p w14:paraId="633BBC13">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1.质疑必须按相关规定提交，质疑实行实名制，不得进行虚假、恶意质疑，未按上述要求提交的质疑函，采购人和采购代理机构有权不予受理。</w:t>
      </w:r>
    </w:p>
    <w:p w14:paraId="3276F125">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2.质疑函应包括：    </w:t>
      </w:r>
    </w:p>
    <w:p w14:paraId="7606DB27">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（1）质疑投标人的名称、地址、邮编、联系人及联系电话；</w:t>
      </w:r>
    </w:p>
    <w:p w14:paraId="390E8C86">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（2）质疑项目的名称、编号；</w:t>
      </w:r>
    </w:p>
    <w:p w14:paraId="20069F3D">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（3）具体、明确的质疑事项和与质疑事项相关的请求；</w:t>
      </w:r>
    </w:p>
    <w:p w14:paraId="1822F5C7">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（4）事实依据；</w:t>
      </w:r>
    </w:p>
    <w:p w14:paraId="1DC00B2D">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（5）必要的法律依据；                          </w:t>
      </w:r>
    </w:p>
    <w:p w14:paraId="30CE23AA">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（6）提出质疑的日期。</w:t>
      </w:r>
    </w:p>
    <w:p w14:paraId="0915BC9B">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14:paraId="71B817CA">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3.质疑函需遵循的原则：</w:t>
      </w:r>
    </w:p>
    <w:p w14:paraId="288EEE37">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6BB6940F">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（三）质疑提出的时效要求</w:t>
      </w:r>
    </w:p>
    <w:p w14:paraId="7ECC7AE4">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1.投标人认为</w:t>
      </w:r>
      <w:r>
        <w:rPr>
          <w:rFonts w:hint="eastAsia" w:ascii="宋体" w:hAnsi="宋体" w:eastAsia="宋体" w:cs="宋体"/>
          <w:kern w:val="2"/>
          <w:sz w:val="24"/>
          <w:szCs w:val="24"/>
          <w:lang w:eastAsia="zh-CN"/>
        </w:rPr>
        <w:t>招标文件</w:t>
      </w:r>
      <w:r>
        <w:rPr>
          <w:rFonts w:hint="eastAsia" w:ascii="宋体" w:hAnsi="宋体" w:eastAsia="宋体" w:cs="宋体"/>
          <w:kern w:val="2"/>
          <w:sz w:val="24"/>
          <w:szCs w:val="24"/>
        </w:rPr>
        <w:t xml:space="preserve">、采购过程和采购结果使自己的权益受到损害的，可以在知道或应知其权益受到损害之日起七个工作日内，以书面形式向采购代理机构或采购人提出质疑。上述应知其权益受到损害之日，是指：                       </w:t>
      </w:r>
    </w:p>
    <w:p w14:paraId="0FF04A89">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（1）对可以质疑的</w:t>
      </w:r>
      <w:r>
        <w:rPr>
          <w:rFonts w:hint="eastAsia" w:ascii="宋体" w:hAnsi="宋体" w:eastAsia="宋体" w:cs="宋体"/>
          <w:kern w:val="2"/>
          <w:sz w:val="24"/>
          <w:szCs w:val="24"/>
          <w:lang w:eastAsia="zh-CN"/>
        </w:rPr>
        <w:t>招标文件</w:t>
      </w:r>
      <w:r>
        <w:rPr>
          <w:rFonts w:hint="eastAsia" w:ascii="宋体" w:hAnsi="宋体" w:eastAsia="宋体" w:cs="宋体"/>
          <w:kern w:val="2"/>
          <w:sz w:val="24"/>
          <w:szCs w:val="24"/>
        </w:rPr>
        <w:t>提出质疑的，为收到</w:t>
      </w:r>
      <w:r>
        <w:rPr>
          <w:rFonts w:hint="eastAsia" w:ascii="宋体" w:hAnsi="宋体" w:eastAsia="宋体" w:cs="宋体"/>
          <w:kern w:val="2"/>
          <w:sz w:val="24"/>
          <w:szCs w:val="24"/>
          <w:lang w:eastAsia="zh-CN"/>
        </w:rPr>
        <w:t>招标文件</w:t>
      </w:r>
      <w:r>
        <w:rPr>
          <w:rFonts w:hint="eastAsia" w:ascii="宋体" w:hAnsi="宋体" w:eastAsia="宋体" w:cs="宋体"/>
          <w:kern w:val="2"/>
          <w:sz w:val="24"/>
          <w:szCs w:val="24"/>
        </w:rPr>
        <w:t>之日或者</w:t>
      </w:r>
      <w:r>
        <w:rPr>
          <w:rFonts w:hint="eastAsia" w:ascii="宋体" w:hAnsi="宋体" w:eastAsia="宋体" w:cs="宋体"/>
          <w:kern w:val="2"/>
          <w:sz w:val="24"/>
          <w:szCs w:val="24"/>
          <w:lang w:eastAsia="zh-CN"/>
        </w:rPr>
        <w:t>招标文件</w:t>
      </w:r>
      <w:r>
        <w:rPr>
          <w:rFonts w:hint="eastAsia" w:ascii="宋体" w:hAnsi="宋体" w:eastAsia="宋体" w:cs="宋体"/>
          <w:kern w:val="2"/>
          <w:sz w:val="24"/>
          <w:szCs w:val="24"/>
        </w:rPr>
        <w:t>公告期限届满之日；</w:t>
      </w:r>
    </w:p>
    <w:p w14:paraId="73D8C742">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（2）对采购过程提出质疑的，为各采购程序环节结束之日；</w:t>
      </w:r>
    </w:p>
    <w:p w14:paraId="17AEA798">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（3）对中标或者成交结果提出质疑的，为中标或者成交结果公告期限届满之日。</w:t>
      </w:r>
    </w:p>
    <w:p w14:paraId="0BC56EBA">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投标人认为</w:t>
      </w:r>
      <w:r>
        <w:rPr>
          <w:rFonts w:hint="eastAsia" w:ascii="宋体" w:hAnsi="宋体" w:eastAsia="宋体" w:cs="宋体"/>
          <w:kern w:val="2"/>
          <w:sz w:val="24"/>
          <w:szCs w:val="24"/>
          <w:lang w:eastAsia="zh-CN"/>
        </w:rPr>
        <w:t>招标文件</w:t>
      </w:r>
      <w:r>
        <w:rPr>
          <w:rFonts w:hint="eastAsia" w:ascii="宋体" w:hAnsi="宋体" w:eastAsia="宋体" w:cs="宋体"/>
          <w:kern w:val="2"/>
          <w:sz w:val="24"/>
          <w:szCs w:val="24"/>
        </w:rPr>
        <w:t>使自己的权益受到损害的，可以向采购代理机构或采购人提出质疑；投标人认为采购过程和采购结果使自己的权益受到损害的，可以以书面形式向采购代理机构或采购人提出质疑。</w:t>
      </w:r>
    </w:p>
    <w:p w14:paraId="4BC93EEA">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2.投标人应在法定质疑期一次性提出针对同一采购程序环节的质疑。                         </w:t>
      </w:r>
    </w:p>
    <w:p w14:paraId="1CF47632">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二、《质疑函》的受理和答复</w:t>
      </w:r>
    </w:p>
    <w:p w14:paraId="279C2B26">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1. 采购代理机构或采购人收到质疑函后，将对质疑的形式和内容进行审查，如质疑函内容、格式不符合规定，采购代理机构需告知质疑人进行补正。</w:t>
      </w:r>
    </w:p>
    <w:p w14:paraId="5526AAAB">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 质疑人应当在法定质疑期限内进行补正并重新提交质疑函，拒不补正或者在法定期限内未重新提交质疑函的，为无效质疑，不予受理。</w:t>
      </w:r>
    </w:p>
    <w:p w14:paraId="3F6EAA3F">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3.采购人或采购代理机构答复供应商质疑应当采用书面方式并依法送达，质疑供应商或其委托代理人拒绝签收的视为已经送达。</w:t>
      </w:r>
    </w:p>
    <w:p w14:paraId="78DC9C43">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三、质疑处理</w:t>
      </w:r>
    </w:p>
    <w:p w14:paraId="2BF3DA1F">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1. 质疑成立的处理</w:t>
      </w:r>
    </w:p>
    <w:p w14:paraId="3E2BB945">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（1）对于内容、格式符合规定的质疑函，采购代理机构或采购人在收到投标人的书面质疑后七个工作日内作出书面答复，但答复的内容不得涉及商业秘密。                       </w:t>
      </w:r>
    </w:p>
    <w:p w14:paraId="1797B06C">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（2）对</w:t>
      </w:r>
      <w:r>
        <w:rPr>
          <w:rFonts w:hint="eastAsia" w:ascii="宋体" w:hAnsi="宋体" w:eastAsia="宋体" w:cs="宋体"/>
          <w:kern w:val="2"/>
          <w:sz w:val="24"/>
          <w:szCs w:val="24"/>
          <w:lang w:eastAsia="zh-CN"/>
        </w:rPr>
        <w:t>招标文件</w:t>
      </w:r>
      <w:r>
        <w:rPr>
          <w:rFonts w:hint="eastAsia" w:ascii="宋体" w:hAnsi="宋体" w:eastAsia="宋体" w:cs="宋体"/>
          <w:kern w:val="2"/>
          <w:sz w:val="24"/>
          <w:szCs w:val="24"/>
        </w:rPr>
        <w:t>提出的质疑，依法通过澄清或者修改可以继续开展采购活动的，澄清或者修改</w:t>
      </w:r>
      <w:r>
        <w:rPr>
          <w:rFonts w:hint="eastAsia" w:ascii="宋体" w:hAnsi="宋体" w:eastAsia="宋体" w:cs="宋体"/>
          <w:kern w:val="2"/>
          <w:sz w:val="24"/>
          <w:szCs w:val="24"/>
          <w:lang w:eastAsia="zh-CN"/>
        </w:rPr>
        <w:t>招标文件</w:t>
      </w:r>
      <w:r>
        <w:rPr>
          <w:rFonts w:hint="eastAsia" w:ascii="宋体" w:hAnsi="宋体" w:eastAsia="宋体" w:cs="宋体"/>
          <w:kern w:val="2"/>
          <w:sz w:val="24"/>
          <w:szCs w:val="24"/>
        </w:rPr>
        <w:t>后继续开展采购活动；否则应当修改</w:t>
      </w:r>
      <w:r>
        <w:rPr>
          <w:rFonts w:hint="eastAsia" w:ascii="宋体" w:hAnsi="宋体" w:eastAsia="宋体" w:cs="宋体"/>
          <w:kern w:val="2"/>
          <w:sz w:val="24"/>
          <w:szCs w:val="24"/>
          <w:lang w:eastAsia="zh-CN"/>
        </w:rPr>
        <w:t>招标文件</w:t>
      </w:r>
      <w:r>
        <w:rPr>
          <w:rFonts w:hint="eastAsia" w:ascii="宋体" w:hAnsi="宋体" w:eastAsia="宋体" w:cs="宋体"/>
          <w:kern w:val="2"/>
          <w:sz w:val="24"/>
          <w:szCs w:val="24"/>
        </w:rPr>
        <w:t>后重新开展采购活动。</w:t>
      </w:r>
    </w:p>
    <w:p w14:paraId="282C3595">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（3）对采购过程、中标或者成交结果提出的质疑，合格供应商符合法定数量时，可以从合格的候选人中另行确定中标、成交供应商的，应当依法另行确定中标供应商；否则应当重新开展采购活动。</w:t>
      </w:r>
    </w:p>
    <w:p w14:paraId="44DC8467">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质疑答复导致中标、成交结果改变的，采购人或者采购代理机构应当将有关情况书面报告本级监管部门。</w:t>
      </w:r>
    </w:p>
    <w:p w14:paraId="65B4102C">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2.质疑不成立的处理</w:t>
      </w:r>
    </w:p>
    <w:p w14:paraId="0770EFE0">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若质疑不成立，或者成立未对中标、成交结果构成影响的，继续开展采购活动。                  </w:t>
      </w:r>
    </w:p>
    <w:p w14:paraId="6446B6E8">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3.虚假质疑的处理          </w:t>
      </w:r>
    </w:p>
    <w:p w14:paraId="6E81C0D7">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 xml:space="preserve">（1）投标人提出书面质疑必须有理、有据，不得恶意质疑或提交虚假质疑。否则，一经查实，采购人有权依据政府采购的有关规定，报请政府采购监管部门对该投标人进行相应的行政处罚。                          </w:t>
      </w:r>
    </w:p>
    <w:p w14:paraId="7095EB91">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（2）在江苏省范围内一年累计三次以上质疑，均查无实据的供应商将按失信行为记入该注册供应商诚信档案中。</w:t>
      </w:r>
    </w:p>
    <w:p w14:paraId="6185DE77">
      <w:pPr>
        <w:pStyle w:val="13"/>
        <w:snapToGrid w:val="0"/>
        <w:spacing w:line="360" w:lineRule="auto"/>
        <w:ind w:left="0" w:firstLine="480" w:firstLineChars="200"/>
        <w:contextualSpacing/>
        <w:rPr>
          <w:rFonts w:ascii="宋体" w:hAnsi="宋体" w:eastAsia="宋体" w:cs="宋体"/>
          <w:kern w:val="2"/>
          <w:sz w:val="24"/>
          <w:szCs w:val="24"/>
        </w:rPr>
      </w:pPr>
      <w:r>
        <w:rPr>
          <w:rFonts w:hint="eastAsia" w:ascii="宋体" w:hAnsi="宋体" w:eastAsia="宋体" w:cs="宋体"/>
          <w:kern w:val="2"/>
          <w:sz w:val="24"/>
          <w:szCs w:val="24"/>
        </w:rPr>
        <w:t>（3）采购代理机构或采购人受理质疑和答复相关咨询，联系电话详见招标公告。</w:t>
      </w:r>
    </w:p>
    <w:p w14:paraId="50899B8E">
      <w:pPr>
        <w:snapToGrid w:val="0"/>
        <w:spacing w:line="300" w:lineRule="auto"/>
        <w:jc w:val="center"/>
        <w:outlineLvl w:val="0"/>
        <w:rPr>
          <w:rFonts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第七章  投标文件组成</w:t>
      </w:r>
    </w:p>
    <w:p w14:paraId="77B0FAED">
      <w:pPr>
        <w:snapToGrid w:val="0"/>
        <w:spacing w:line="360" w:lineRule="auto"/>
        <w:ind w:firstLine="555"/>
        <w:jc w:val="left"/>
        <w:rPr>
          <w:rFonts w:ascii="宋体" w:hAnsi="宋体" w:cs="宋体"/>
          <w:b/>
          <w:sz w:val="24"/>
        </w:rPr>
      </w:pPr>
      <w:r>
        <w:rPr>
          <w:rFonts w:hint="eastAsia" w:ascii="宋体" w:hAnsi="宋体" w:cs="宋体"/>
          <w:b/>
          <w:sz w:val="24"/>
        </w:rPr>
        <w:t>投标文件由</w:t>
      </w:r>
      <w:r>
        <w:rPr>
          <w:rFonts w:hint="eastAsia" w:ascii="宋体" w:hAnsi="宋体" w:cs="宋体"/>
          <w:b/>
          <w:bCs/>
          <w:kern w:val="0"/>
          <w:sz w:val="24"/>
        </w:rPr>
        <w:t>“资格审查文件”、“技术标文件”、“商务标文件”、“</w:t>
      </w:r>
      <w:r>
        <w:rPr>
          <w:rFonts w:hint="eastAsia" w:ascii="宋体" w:hAnsi="宋体" w:cs="宋体"/>
          <w:b/>
          <w:sz w:val="24"/>
        </w:rPr>
        <w:t>电子投标文件</w:t>
      </w:r>
      <w:r>
        <w:rPr>
          <w:rFonts w:hint="eastAsia" w:ascii="宋体" w:hAnsi="宋体" w:cs="宋体"/>
          <w:b/>
          <w:bCs/>
          <w:kern w:val="0"/>
          <w:sz w:val="24"/>
        </w:rPr>
        <w:t>”</w:t>
      </w:r>
      <w:r>
        <w:rPr>
          <w:rFonts w:hint="eastAsia" w:ascii="宋体" w:hAnsi="宋体" w:cs="宋体"/>
          <w:b/>
          <w:sz w:val="24"/>
        </w:rPr>
        <w:t>四部分组成，相关</w:t>
      </w:r>
      <w:r>
        <w:rPr>
          <w:rFonts w:hint="eastAsia" w:ascii="宋体" w:hAnsi="宋体" w:cs="宋体"/>
          <w:b/>
          <w:sz w:val="24"/>
          <w:lang w:val="zh-CN"/>
        </w:rPr>
        <w:t>格式参见附件</w:t>
      </w:r>
      <w:r>
        <w:rPr>
          <w:rFonts w:hint="eastAsia" w:ascii="宋体" w:hAnsi="宋体" w:cs="宋体"/>
          <w:b/>
          <w:sz w:val="24"/>
        </w:rPr>
        <w:t>。</w:t>
      </w:r>
    </w:p>
    <w:p w14:paraId="60882A03">
      <w:pPr>
        <w:numPr>
          <w:ilvl w:val="0"/>
          <w:numId w:val="5"/>
        </w:numPr>
        <w:snapToGrid w:val="0"/>
        <w:spacing w:line="360" w:lineRule="auto"/>
        <w:ind w:firstLine="482" w:firstLineChars="200"/>
        <w:contextualSpacing/>
        <w:rPr>
          <w:rFonts w:ascii="宋体" w:hAnsi="宋体" w:cs="宋体"/>
          <w:kern w:val="0"/>
          <w:sz w:val="24"/>
          <w:lang w:val="zh-CN"/>
        </w:rPr>
      </w:pPr>
      <w:r>
        <w:rPr>
          <w:rFonts w:hint="eastAsia" w:ascii="宋体" w:hAnsi="宋体" w:cs="宋体"/>
          <w:b/>
          <w:bCs/>
          <w:kern w:val="0"/>
          <w:sz w:val="24"/>
          <w:lang w:val="zh-CN"/>
        </w:rPr>
        <w:t>资格审查</w:t>
      </w:r>
      <w:r>
        <w:rPr>
          <w:rFonts w:hint="eastAsia" w:ascii="宋体" w:hAnsi="宋体" w:cs="宋体"/>
          <w:b/>
          <w:bCs/>
          <w:kern w:val="0"/>
          <w:sz w:val="24"/>
        </w:rPr>
        <w:t>文件</w:t>
      </w:r>
      <w:r>
        <w:rPr>
          <w:rFonts w:hint="eastAsia" w:ascii="宋体" w:hAnsi="宋体" w:cs="宋体"/>
          <w:b/>
          <w:bCs/>
          <w:kern w:val="0"/>
          <w:sz w:val="24"/>
          <w:lang w:val="zh-CN"/>
        </w:rPr>
        <w:t>（</w:t>
      </w:r>
      <w:r>
        <w:rPr>
          <w:rFonts w:ascii="宋体" w:hAnsi="宋体" w:cs="宋体"/>
          <w:b/>
          <w:bCs/>
          <w:kern w:val="0"/>
          <w:sz w:val="24"/>
          <w:lang w:val="zh-CN"/>
        </w:rPr>
        <w:t>单独装订密封</w:t>
      </w:r>
      <w:r>
        <w:rPr>
          <w:rFonts w:hint="eastAsia" w:ascii="宋体" w:hAnsi="宋体" w:cs="宋体"/>
          <w:b/>
          <w:bCs/>
          <w:kern w:val="0"/>
          <w:sz w:val="24"/>
          <w:lang w:val="zh-CN"/>
        </w:rPr>
        <w:t>）</w:t>
      </w:r>
    </w:p>
    <w:p w14:paraId="158D659F">
      <w:pPr>
        <w:pStyle w:val="51"/>
        <w:widowControl/>
        <w:spacing w:line="360" w:lineRule="auto"/>
        <w:ind w:firstLine="480"/>
        <w:outlineLvl w:val="9"/>
        <w:rPr>
          <w:rFonts w:ascii="宋体" w:hAnsi="宋体" w:cs="宋体"/>
          <w:sz w:val="24"/>
        </w:rPr>
      </w:pPr>
      <w:r>
        <w:rPr>
          <w:rFonts w:hint="eastAsia" w:ascii="宋体" w:hAnsi="宋体" w:cs="宋体"/>
          <w:sz w:val="24"/>
        </w:rPr>
        <w:t>1.投标人提供有效的营业执照及税务登记证（或者是三证合一的营业执照），有能力提供本次采购项目及所要求的服务。</w:t>
      </w:r>
    </w:p>
    <w:p w14:paraId="4ED99A9B">
      <w:pPr>
        <w:pStyle w:val="51"/>
        <w:widowControl/>
        <w:spacing w:line="360" w:lineRule="auto"/>
        <w:ind w:firstLine="480"/>
        <w:outlineLvl w:val="9"/>
        <w:rPr>
          <w:rFonts w:ascii="宋体" w:hAnsi="宋体" w:cs="宋体"/>
          <w:sz w:val="24"/>
        </w:rPr>
      </w:pPr>
      <w:r>
        <w:rPr>
          <w:rFonts w:hint="eastAsia" w:ascii="宋体" w:hAnsi="宋体" w:cs="宋体"/>
          <w:sz w:val="24"/>
        </w:rPr>
        <w:t>2.投标人法定代表人参加投标的，必须提供法定代表人身份证明及法定代表人本人身份证复印件；非法定代表人参加投标的，必须提供法定代表人签名或盖章的授权委托书及法定代表人和被授权人两个人的身份证复印件，被授权人为投标人正式人员证明材料【提供①与投标人签订的有效劳动合同复印件；②社保机构出具并盖章的投标人为其缴纳2025年</w:t>
      </w:r>
      <w:r>
        <w:rPr>
          <w:rFonts w:hint="eastAsia" w:ascii="宋体" w:hAnsi="宋体" w:cs="宋体"/>
          <w:sz w:val="24"/>
          <w:lang w:val="en-US" w:eastAsia="zh-CN"/>
        </w:rPr>
        <w:t>5月以来</w:t>
      </w:r>
      <w:r>
        <w:rPr>
          <w:rFonts w:hint="eastAsia" w:ascii="宋体" w:hAnsi="宋体" w:cs="宋体"/>
          <w:sz w:val="24"/>
        </w:rPr>
        <w:t>任意一个月的养老保险缴费清单复印件】。</w:t>
      </w:r>
    </w:p>
    <w:p w14:paraId="1BBE6C51">
      <w:pPr>
        <w:widowControl/>
        <w:spacing w:line="360" w:lineRule="auto"/>
        <w:ind w:firstLine="480" w:firstLineChars="200"/>
        <w:outlineLvl w:val="9"/>
        <w:rPr>
          <w:sz w:val="24"/>
        </w:rPr>
      </w:pPr>
      <w:r>
        <w:rPr>
          <w:rFonts w:hint="eastAsia"/>
          <w:sz w:val="24"/>
        </w:rPr>
        <w:t>3.</w:t>
      </w:r>
      <w:r>
        <w:rPr>
          <w:rFonts w:hint="eastAsia" w:ascii="宋体" w:hAnsi="宋体" w:cs="宋体"/>
          <w:sz w:val="24"/>
        </w:rPr>
        <w:t xml:space="preserve"> 具有良好的商业信誉和健全的财务会计制度，具有履行合同所必需的设备和专业技术能力，有依法缴纳税收和社会保障资金的良好记录。</w:t>
      </w:r>
    </w:p>
    <w:p w14:paraId="000B6B1A">
      <w:pPr>
        <w:widowControl/>
        <w:spacing w:line="360" w:lineRule="auto"/>
        <w:ind w:firstLine="480" w:firstLineChars="200"/>
        <w:outlineLvl w:val="9"/>
        <w:rPr>
          <w:rFonts w:hint="eastAsia" w:eastAsia="宋体"/>
          <w:sz w:val="24"/>
          <w:lang w:eastAsia="zh-CN"/>
        </w:rPr>
      </w:pPr>
      <w:r>
        <w:rPr>
          <w:rFonts w:hint="eastAsia"/>
          <w:sz w:val="24"/>
        </w:rPr>
        <w:t>4. 投标人</w:t>
      </w:r>
      <w:r>
        <w:rPr>
          <w:sz w:val="24"/>
        </w:rPr>
        <w:t>须提供参与本次项目采购活动前三年内，在经营活动中没有重大违法记录的书面《无重大违法记录声明函》</w:t>
      </w:r>
      <w:r>
        <w:rPr>
          <w:rFonts w:hint="eastAsia"/>
          <w:sz w:val="24"/>
          <w:lang w:eastAsia="zh-CN"/>
        </w:rPr>
        <w:t>。</w:t>
      </w:r>
    </w:p>
    <w:p w14:paraId="293EA7E6">
      <w:pPr>
        <w:widowControl/>
        <w:spacing w:line="360" w:lineRule="auto"/>
        <w:ind w:firstLine="480" w:firstLineChars="200"/>
        <w:outlineLvl w:val="9"/>
        <w:rPr>
          <w:rFonts w:hint="eastAsia"/>
          <w:sz w:val="24"/>
          <w:lang w:eastAsia="zh-CN"/>
        </w:rPr>
      </w:pPr>
      <w:r>
        <w:rPr>
          <w:rFonts w:hint="eastAsia"/>
          <w:sz w:val="24"/>
          <w:lang w:val="en-US" w:eastAsia="zh-CN"/>
        </w:rPr>
        <w:t>5</w:t>
      </w:r>
      <w:r>
        <w:rPr>
          <w:rFonts w:hint="eastAsia"/>
          <w:sz w:val="24"/>
        </w:rPr>
        <w:t>.未被“信用中国”网站</w:t>
      </w:r>
      <w:bookmarkStart w:id="6" w:name="_GoBack"/>
      <w:bookmarkEnd w:id="6"/>
      <w:r>
        <w:rPr>
          <w:rFonts w:hint="eastAsia"/>
          <w:sz w:val="24"/>
        </w:rPr>
        <w:t>列入失信被执行人、重大税收违法案件当事人名单、政府采购严重失信行为记录名单。</w:t>
      </w:r>
      <w:r>
        <w:rPr>
          <w:rFonts w:hint="eastAsia"/>
          <w:sz w:val="24"/>
          <w:lang w:eastAsia="zh-CN"/>
        </w:rPr>
        <w:t>（</w:t>
      </w:r>
      <w:r>
        <w:rPr>
          <w:rFonts w:hint="eastAsia"/>
          <w:sz w:val="24"/>
          <w:lang w:val="en-US" w:eastAsia="zh-CN"/>
        </w:rPr>
        <w:t>提供截图</w:t>
      </w:r>
      <w:r>
        <w:rPr>
          <w:rFonts w:hint="eastAsia"/>
          <w:sz w:val="24"/>
          <w:lang w:eastAsia="zh-CN"/>
        </w:rPr>
        <w:t>）。</w:t>
      </w:r>
    </w:p>
    <w:p w14:paraId="1E241EA5">
      <w:pPr>
        <w:widowControl/>
        <w:spacing w:line="360" w:lineRule="auto"/>
        <w:ind w:firstLine="480" w:firstLineChars="200"/>
        <w:outlineLvl w:val="9"/>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6.廉洁承诺书。</w:t>
      </w:r>
    </w:p>
    <w:p w14:paraId="2B7EB1D5">
      <w:pPr>
        <w:widowControl/>
        <w:spacing w:line="360" w:lineRule="auto"/>
        <w:ind w:firstLine="480" w:firstLineChars="200"/>
        <w:outlineLvl w:val="9"/>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7.其他承诺。</w:t>
      </w:r>
    </w:p>
    <w:p w14:paraId="5BDB510F">
      <w:pPr>
        <w:snapToGrid w:val="0"/>
        <w:spacing w:line="360" w:lineRule="auto"/>
        <w:ind w:firstLine="482" w:firstLineChars="200"/>
        <w:contextualSpacing/>
        <w:rPr>
          <w:rFonts w:ascii="宋体" w:hAnsi="宋体" w:cs="宋体"/>
          <w:b/>
          <w:bCs/>
          <w:kern w:val="0"/>
          <w:sz w:val="24"/>
          <w:lang w:val="zh-CN"/>
        </w:rPr>
      </w:pPr>
      <w:r>
        <w:rPr>
          <w:rFonts w:hint="eastAsia" w:ascii="宋体" w:hAnsi="宋体" w:cs="宋体"/>
          <w:b/>
          <w:bCs/>
          <w:kern w:val="0"/>
          <w:sz w:val="24"/>
          <w:lang w:val="zh-CN"/>
        </w:rPr>
        <w:t>二、</w:t>
      </w:r>
      <w:r>
        <w:rPr>
          <w:b/>
          <w:sz w:val="24"/>
        </w:rPr>
        <w:t>技术标（单独装订密封）</w:t>
      </w:r>
    </w:p>
    <w:p w14:paraId="4679AA9E">
      <w:pPr>
        <w:snapToGrid w:val="0"/>
        <w:spacing w:line="360" w:lineRule="auto"/>
        <w:ind w:firstLine="480" w:firstLineChars="200"/>
        <w:contextualSpacing/>
        <w:rPr>
          <w:rFonts w:ascii="宋体" w:hAnsi="宋体" w:cs="宋体"/>
          <w:kern w:val="0"/>
          <w:sz w:val="24"/>
          <w:lang w:val="zh-CN"/>
        </w:rPr>
      </w:pPr>
      <w:r>
        <w:rPr>
          <w:rFonts w:hint="eastAsia" w:ascii="宋体" w:hAnsi="宋体" w:cs="宋体"/>
          <w:kern w:val="0"/>
          <w:sz w:val="24"/>
          <w:lang w:val="zh-CN"/>
        </w:rPr>
        <w:t>1.投标响应函；</w:t>
      </w:r>
    </w:p>
    <w:p w14:paraId="3373F5E7">
      <w:pPr>
        <w:snapToGrid w:val="0"/>
        <w:spacing w:line="360" w:lineRule="auto"/>
        <w:ind w:firstLine="480" w:firstLineChars="200"/>
        <w:contextualSpacing/>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sz w:val="24"/>
        </w:rPr>
        <w:t>技术部分正负偏离表</w:t>
      </w:r>
      <w:r>
        <w:rPr>
          <w:rFonts w:hint="eastAsia" w:ascii="宋体" w:hAnsi="宋体" w:cs="宋体"/>
          <w:kern w:val="0"/>
          <w:sz w:val="24"/>
          <w:lang w:val="zh-CN"/>
        </w:rPr>
        <w:t>；</w:t>
      </w:r>
    </w:p>
    <w:p w14:paraId="6870517C">
      <w:pPr>
        <w:snapToGrid w:val="0"/>
        <w:spacing w:line="360" w:lineRule="auto"/>
        <w:ind w:firstLine="480" w:firstLineChars="200"/>
        <w:contextualSpacing/>
        <w:rPr>
          <w:rFonts w:ascii="宋体" w:hAnsi="宋体" w:cs="宋体"/>
          <w:kern w:val="0"/>
          <w:sz w:val="24"/>
          <w:lang w:val="zh-CN"/>
        </w:rPr>
      </w:pPr>
      <w:r>
        <w:rPr>
          <w:rFonts w:hint="eastAsia" w:ascii="宋体" w:hAnsi="宋体" w:cs="宋体"/>
          <w:kern w:val="0"/>
          <w:sz w:val="24"/>
          <w:lang w:val="zh-CN"/>
        </w:rPr>
        <w:t>3.</w:t>
      </w:r>
      <w:r>
        <w:rPr>
          <w:rFonts w:hint="eastAsia" w:ascii="宋体" w:hAnsi="宋体" w:cs="宋体"/>
          <w:sz w:val="24"/>
        </w:rPr>
        <w:t>商务部分正负偏离表</w:t>
      </w:r>
      <w:r>
        <w:rPr>
          <w:rFonts w:hint="eastAsia" w:ascii="宋体" w:hAnsi="宋体" w:cs="宋体"/>
          <w:kern w:val="0"/>
          <w:sz w:val="24"/>
          <w:lang w:val="zh-CN"/>
        </w:rPr>
        <w:t>；</w:t>
      </w:r>
    </w:p>
    <w:p w14:paraId="42276291">
      <w:pPr>
        <w:snapToGrid w:val="0"/>
        <w:spacing w:line="360" w:lineRule="auto"/>
        <w:ind w:firstLine="480" w:firstLineChars="200"/>
        <w:contextualSpacing/>
        <w:rPr>
          <w:rFonts w:ascii="宋体" w:hAnsi="宋体" w:cs="宋体"/>
          <w:kern w:val="0"/>
          <w:sz w:val="24"/>
          <w:lang w:val="zh-CN"/>
        </w:rPr>
      </w:pPr>
      <w:r>
        <w:rPr>
          <w:rFonts w:hint="eastAsia" w:ascii="宋体" w:hAnsi="宋体" w:cs="宋体"/>
          <w:kern w:val="0"/>
          <w:sz w:val="24"/>
          <w:lang w:val="zh-CN"/>
        </w:rPr>
        <w:t>4.评审评分项技术响应评分中所涉及的事项需提供的所有资料；</w:t>
      </w:r>
    </w:p>
    <w:p w14:paraId="3F4EE61C">
      <w:pPr>
        <w:snapToGrid w:val="0"/>
        <w:spacing w:line="360" w:lineRule="auto"/>
        <w:ind w:firstLine="480" w:firstLineChars="200"/>
        <w:contextualSpacing/>
        <w:rPr>
          <w:rFonts w:ascii="宋体" w:hAnsi="宋体" w:cs="宋体"/>
          <w:kern w:val="0"/>
          <w:sz w:val="24"/>
          <w:lang w:val="zh-CN"/>
        </w:rPr>
      </w:pPr>
      <w:r>
        <w:rPr>
          <w:rFonts w:hint="eastAsia" w:ascii="宋体" w:hAnsi="宋体" w:cs="宋体"/>
          <w:kern w:val="0"/>
          <w:sz w:val="24"/>
          <w:lang w:eastAsia="zh-CN"/>
        </w:rPr>
        <w:t>5.</w:t>
      </w:r>
      <w:r>
        <w:rPr>
          <w:rFonts w:hint="eastAsia" w:ascii="宋体" w:hAnsi="宋体" w:cs="宋体"/>
          <w:sz w:val="24"/>
        </w:rPr>
        <w:t>评审评分项中未涉及的事项，投标人认为需要提交的其他资料；</w:t>
      </w:r>
    </w:p>
    <w:p w14:paraId="2BB6BB0D">
      <w:pPr>
        <w:adjustRightInd w:val="0"/>
        <w:snapToGrid w:val="0"/>
        <w:spacing w:line="360" w:lineRule="auto"/>
        <w:ind w:firstLine="480" w:firstLineChars="200"/>
        <w:jc w:val="left"/>
        <w:rPr>
          <w:rFonts w:ascii="宋体" w:hAnsi="宋体" w:cs="宋体"/>
          <w:sz w:val="24"/>
        </w:rPr>
      </w:pPr>
      <w:r>
        <w:rPr>
          <w:rFonts w:hint="eastAsia" w:ascii="宋体" w:hAnsi="宋体" w:cs="宋体"/>
          <w:sz w:val="24"/>
          <w:lang w:eastAsia="zh-CN"/>
        </w:rPr>
        <w:t>6.</w:t>
      </w:r>
      <w:r>
        <w:rPr>
          <w:rFonts w:hint="eastAsia" w:ascii="宋体" w:hAnsi="宋体" w:cs="宋体"/>
          <w:sz w:val="24"/>
        </w:rPr>
        <w:t>招标文件中要求提供的其他材料。</w:t>
      </w:r>
    </w:p>
    <w:p w14:paraId="7432DB77">
      <w:pPr>
        <w:adjustRightInd w:val="0"/>
        <w:snapToGrid w:val="0"/>
        <w:spacing w:line="360" w:lineRule="auto"/>
        <w:ind w:firstLine="482" w:firstLineChars="200"/>
        <w:jc w:val="left"/>
        <w:rPr>
          <w:rFonts w:ascii="宋体" w:hAnsi="宋体" w:cs="宋体"/>
          <w:sz w:val="24"/>
        </w:rPr>
      </w:pPr>
      <w:r>
        <w:rPr>
          <w:rFonts w:hint="eastAsia"/>
          <w:b/>
          <w:bCs/>
          <w:sz w:val="24"/>
        </w:rPr>
        <w:t>特别提醒：“资格审查文件”、“技术标”所须提供材料的复印件（须加盖投标人公章）按招标文件要求装订，密封，递交。“资格审查文件”、“技术标”所涉及相关资料等证明材料均须提供原件复印件或扫描打印件，因证明资料模糊、不清晰所引起的后果由投标人自行承担。</w:t>
      </w:r>
    </w:p>
    <w:p w14:paraId="0A508464">
      <w:pPr>
        <w:snapToGrid w:val="0"/>
        <w:spacing w:line="360" w:lineRule="auto"/>
        <w:ind w:firstLine="463" w:firstLineChars="192"/>
        <w:contextualSpacing/>
        <w:rPr>
          <w:b/>
          <w:sz w:val="24"/>
        </w:rPr>
      </w:pPr>
      <w:r>
        <w:rPr>
          <w:rFonts w:hint="eastAsia" w:ascii="宋体" w:hAnsi="宋体" w:cs="宋体"/>
          <w:b/>
          <w:bCs/>
          <w:kern w:val="0"/>
          <w:sz w:val="24"/>
          <w:lang w:val="zh-CN"/>
        </w:rPr>
        <w:t>三、</w:t>
      </w:r>
      <w:r>
        <w:rPr>
          <w:b/>
          <w:sz w:val="24"/>
        </w:rPr>
        <w:t>商</w:t>
      </w:r>
      <w:r>
        <w:rPr>
          <w:rFonts w:hint="eastAsia" w:ascii="宋体" w:hAnsi="宋体" w:cs="宋体"/>
          <w:b/>
          <w:sz w:val="24"/>
        </w:rPr>
        <w:t>务标</w:t>
      </w:r>
      <w:r>
        <w:rPr>
          <w:rFonts w:hint="eastAsia" w:ascii="宋体" w:hAnsi="宋体" w:cs="宋体"/>
          <w:b/>
          <w:sz w:val="24"/>
          <w:lang w:val="zh-CN"/>
        </w:rPr>
        <w:t>（</w:t>
      </w:r>
      <w:r>
        <w:rPr>
          <w:rFonts w:hint="eastAsia" w:ascii="宋体" w:hAnsi="宋体" w:cs="宋体"/>
          <w:b/>
          <w:sz w:val="24"/>
        </w:rPr>
        <w:t>单独密封</w:t>
      </w:r>
      <w:r>
        <w:rPr>
          <w:rFonts w:hint="eastAsia" w:ascii="宋体" w:hAnsi="宋体" w:cs="宋体"/>
          <w:b/>
          <w:sz w:val="24"/>
          <w:lang w:val="zh-CN"/>
        </w:rPr>
        <w:t>）</w:t>
      </w:r>
    </w:p>
    <w:p w14:paraId="76825EB9">
      <w:pPr>
        <w:snapToGrid w:val="0"/>
        <w:spacing w:line="360" w:lineRule="auto"/>
        <w:ind w:firstLine="460" w:firstLineChars="192"/>
        <w:contextualSpacing/>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lang w:val="en-US" w:eastAsia="zh-CN"/>
        </w:rPr>
        <w:t>报价总表</w:t>
      </w:r>
      <w:r>
        <w:rPr>
          <w:rFonts w:hint="eastAsia" w:ascii="宋体" w:hAnsi="宋体" w:cs="宋体"/>
          <w:kern w:val="0"/>
          <w:sz w:val="24"/>
          <w:lang w:val="zh-CN"/>
        </w:rPr>
        <w:t>；</w:t>
      </w:r>
    </w:p>
    <w:p w14:paraId="58239D9C">
      <w:pPr>
        <w:snapToGrid w:val="0"/>
        <w:spacing w:line="360" w:lineRule="auto"/>
        <w:ind w:firstLine="463" w:firstLineChars="192"/>
        <w:contextualSpacing/>
        <w:rPr>
          <w:rFonts w:ascii="宋体" w:hAnsi="宋体" w:cs="宋体"/>
          <w:b/>
          <w:sz w:val="24"/>
        </w:rPr>
      </w:pPr>
      <w:r>
        <w:rPr>
          <w:rFonts w:hint="eastAsia" w:ascii="宋体" w:hAnsi="宋体" w:cs="宋体"/>
          <w:b/>
          <w:sz w:val="24"/>
        </w:rPr>
        <w:t>四、电子投标文件（一份、单独密封提供）</w:t>
      </w:r>
    </w:p>
    <w:p w14:paraId="6F6A1FBA">
      <w:pPr>
        <w:adjustRightInd w:val="0"/>
        <w:snapToGrid w:val="0"/>
        <w:spacing w:line="420" w:lineRule="exact"/>
        <w:ind w:firstLine="480" w:firstLineChars="200"/>
        <w:rPr>
          <w:rFonts w:ascii="宋体" w:hAnsi="宋体" w:cs="宋体"/>
          <w:kern w:val="0"/>
          <w:sz w:val="24"/>
          <w:lang w:val="zh-CN"/>
        </w:rPr>
      </w:pPr>
      <w:r>
        <w:rPr>
          <w:rFonts w:hint="eastAsia" w:ascii="宋体" w:hAnsi="宋体" w:cs="宋体"/>
          <w:kern w:val="0"/>
          <w:sz w:val="24"/>
        </w:rPr>
        <w:t>电子投标文件的内容为“资格审查文件、技术标文件、商务标文件”的打印盖章（或电子签章）后的投标文件的扫描件（资格审查文件、技术标文件、商务标文件需分别逐页连续扫描为三个独立的PDF文件）。</w:t>
      </w:r>
    </w:p>
    <w:p w14:paraId="2ABA49A6">
      <w:pPr>
        <w:snapToGrid w:val="0"/>
        <w:spacing w:line="360" w:lineRule="auto"/>
        <w:ind w:firstLine="460" w:firstLineChars="192"/>
        <w:contextualSpacing/>
        <w:rPr>
          <w:rFonts w:ascii="宋体" w:hAnsi="宋体" w:cs="宋体"/>
          <w:kern w:val="0"/>
          <w:sz w:val="24"/>
          <w:lang w:val="zh-CN"/>
        </w:rPr>
      </w:pPr>
    </w:p>
    <w:p w14:paraId="518447BA">
      <w:pPr>
        <w:spacing w:line="360" w:lineRule="auto"/>
        <w:ind w:firstLine="643" w:firstLineChars="200"/>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附件：</w:t>
      </w:r>
    </w:p>
    <w:p w14:paraId="18533BD1">
      <w:pPr>
        <w:spacing w:line="360" w:lineRule="auto"/>
        <w:ind w:firstLine="643" w:firstLineChars="200"/>
        <w:rPr>
          <w:rFonts w:ascii="宋体" w:hAnsi="宋体" w:cs="宋体"/>
          <w:b/>
          <w:bCs/>
          <w:sz w:val="32"/>
          <w:szCs w:val="32"/>
        </w:rPr>
      </w:pPr>
    </w:p>
    <w:p w14:paraId="10E87E83">
      <w:pPr>
        <w:spacing w:line="360" w:lineRule="auto"/>
        <w:jc w:val="center"/>
        <w:rPr>
          <w:rFonts w:ascii="宋体" w:hAnsi="宋体" w:cs="宋体"/>
          <w:b/>
          <w:sz w:val="24"/>
          <w:u w:val="single"/>
        </w:rPr>
      </w:pPr>
      <w:r>
        <w:rPr>
          <w:rFonts w:hint="eastAsia" w:ascii="宋体" w:hAnsi="宋体" w:cs="宋体"/>
          <w:b/>
          <w:sz w:val="24"/>
          <w:u w:val="single"/>
        </w:rPr>
        <w:t xml:space="preserve">项目名称 </w:t>
      </w:r>
    </w:p>
    <w:p w14:paraId="3220E08E">
      <w:pPr>
        <w:spacing w:line="360" w:lineRule="auto"/>
        <w:jc w:val="center"/>
        <w:rPr>
          <w:rFonts w:ascii="宋体" w:hAnsi="宋体" w:cs="宋体"/>
          <w:sz w:val="24"/>
        </w:rPr>
      </w:pPr>
      <w:r>
        <w:rPr>
          <w:rFonts w:hint="eastAsia" w:ascii="宋体" w:hAnsi="宋体" w:cs="宋体"/>
          <w:sz w:val="24"/>
        </w:rPr>
        <w:t>项目编号：</w:t>
      </w:r>
    </w:p>
    <w:p w14:paraId="4A6999DD">
      <w:pPr>
        <w:spacing w:line="360" w:lineRule="auto"/>
        <w:ind w:firstLine="2400" w:firstLineChars="1000"/>
        <w:rPr>
          <w:rFonts w:ascii="宋体" w:hAnsi="宋体" w:cs="宋体"/>
          <w:sz w:val="24"/>
        </w:rPr>
      </w:pPr>
    </w:p>
    <w:p w14:paraId="09A83EF4">
      <w:pPr>
        <w:spacing w:line="360" w:lineRule="auto"/>
        <w:rPr>
          <w:rFonts w:ascii="宋体" w:hAnsi="宋体" w:cs="宋体"/>
          <w:sz w:val="24"/>
        </w:rPr>
      </w:pPr>
    </w:p>
    <w:p w14:paraId="7B86FDD4">
      <w:pPr>
        <w:spacing w:line="360" w:lineRule="auto"/>
        <w:rPr>
          <w:rFonts w:ascii="宋体" w:hAnsi="宋体" w:cs="宋体"/>
          <w:sz w:val="24"/>
        </w:rPr>
      </w:pPr>
    </w:p>
    <w:p w14:paraId="41384D72">
      <w:pPr>
        <w:spacing w:line="360" w:lineRule="auto"/>
        <w:rPr>
          <w:rFonts w:ascii="宋体" w:hAnsi="宋体" w:cs="宋体"/>
          <w:sz w:val="24"/>
        </w:rPr>
      </w:pPr>
    </w:p>
    <w:p w14:paraId="07EA291B">
      <w:pPr>
        <w:spacing w:line="360" w:lineRule="auto"/>
        <w:jc w:val="center"/>
        <w:rPr>
          <w:rFonts w:ascii="宋体" w:hAnsi="宋体" w:cs="宋体"/>
          <w:b/>
          <w:bCs/>
          <w:sz w:val="24"/>
        </w:rPr>
      </w:pPr>
      <w:r>
        <w:rPr>
          <w:rFonts w:hint="eastAsia" w:ascii="宋体" w:hAnsi="宋体" w:cs="宋体"/>
          <w:b/>
          <w:bCs/>
          <w:sz w:val="24"/>
        </w:rPr>
        <w:t>投标文件</w:t>
      </w:r>
    </w:p>
    <w:p w14:paraId="0F9117D7">
      <w:pPr>
        <w:spacing w:line="360" w:lineRule="auto"/>
        <w:rPr>
          <w:rFonts w:ascii="宋体" w:hAnsi="宋体" w:cs="宋体"/>
          <w:sz w:val="24"/>
        </w:rPr>
      </w:pPr>
    </w:p>
    <w:p w14:paraId="7272031F">
      <w:pPr>
        <w:spacing w:line="360" w:lineRule="auto"/>
        <w:ind w:firstLine="1920" w:firstLineChars="800"/>
        <w:rPr>
          <w:rFonts w:ascii="宋体" w:hAnsi="宋体" w:cs="宋体"/>
          <w:sz w:val="24"/>
        </w:rPr>
      </w:pPr>
      <w:r>
        <w:rPr>
          <w:rFonts w:hint="eastAsia" w:ascii="宋体" w:hAnsi="宋体" w:cs="宋体"/>
          <w:sz w:val="24"/>
        </w:rPr>
        <w:t>对应投标文件填写：资格审查文件</w:t>
      </w:r>
    </w:p>
    <w:p w14:paraId="51BFF6C2">
      <w:pPr>
        <w:spacing w:line="360" w:lineRule="auto"/>
        <w:ind w:firstLine="1920" w:firstLineChars="800"/>
        <w:rPr>
          <w:rFonts w:ascii="宋体" w:hAnsi="宋体" w:cs="宋体"/>
          <w:sz w:val="24"/>
        </w:rPr>
      </w:pPr>
      <w:r>
        <w:rPr>
          <w:rFonts w:hint="eastAsia" w:ascii="宋体" w:hAnsi="宋体" w:cs="宋体"/>
          <w:sz w:val="24"/>
        </w:rPr>
        <w:t>对应投标文件填写：技术标</w:t>
      </w:r>
    </w:p>
    <w:p w14:paraId="67D34240">
      <w:pPr>
        <w:spacing w:line="360" w:lineRule="auto"/>
        <w:ind w:firstLine="1920" w:firstLineChars="800"/>
        <w:rPr>
          <w:rFonts w:ascii="宋体" w:hAnsi="宋体" w:cs="宋体"/>
          <w:sz w:val="24"/>
        </w:rPr>
      </w:pPr>
      <w:r>
        <w:rPr>
          <w:rFonts w:hint="eastAsia" w:ascii="宋体" w:hAnsi="宋体" w:cs="宋体"/>
          <w:sz w:val="24"/>
        </w:rPr>
        <w:t>对应投标文件填写：商务标</w:t>
      </w:r>
    </w:p>
    <w:p w14:paraId="61B5E453">
      <w:pPr>
        <w:jc w:val="center"/>
        <w:rPr>
          <w:rFonts w:ascii="宋体" w:hAnsi="宋体" w:cs="宋体"/>
          <w:b/>
          <w:sz w:val="24"/>
        </w:rPr>
      </w:pPr>
      <w:r>
        <w:rPr>
          <w:rFonts w:hint="eastAsia" w:ascii="宋体" w:hAnsi="宋体" w:cs="宋体"/>
          <w:b/>
          <w:sz w:val="24"/>
        </w:rPr>
        <w:t>（资格后审）</w:t>
      </w:r>
    </w:p>
    <w:p w14:paraId="2C801485">
      <w:pPr>
        <w:jc w:val="center"/>
        <w:rPr>
          <w:rFonts w:ascii="宋体" w:hAnsi="宋体" w:cs="宋体"/>
          <w:b/>
          <w:sz w:val="24"/>
        </w:rPr>
      </w:pPr>
    </w:p>
    <w:p w14:paraId="2B4AFCC3">
      <w:pPr>
        <w:snapToGrid w:val="0"/>
        <w:spacing w:line="520" w:lineRule="exact"/>
        <w:jc w:val="center"/>
        <w:rPr>
          <w:rFonts w:ascii="宋体" w:hAnsi="宋体" w:cs="宋体"/>
          <w:b/>
          <w:sz w:val="24"/>
        </w:rPr>
      </w:pPr>
    </w:p>
    <w:p w14:paraId="02DED467">
      <w:pPr>
        <w:spacing w:line="360" w:lineRule="auto"/>
        <w:rPr>
          <w:rFonts w:ascii="宋体" w:hAnsi="宋体" w:cs="宋体"/>
          <w:sz w:val="24"/>
        </w:rPr>
      </w:pPr>
    </w:p>
    <w:p w14:paraId="011D6AA8">
      <w:pPr>
        <w:spacing w:line="360" w:lineRule="auto"/>
        <w:rPr>
          <w:rFonts w:ascii="宋体" w:hAnsi="宋体" w:cs="宋体"/>
          <w:sz w:val="24"/>
        </w:rPr>
      </w:pPr>
    </w:p>
    <w:p w14:paraId="6D606D71">
      <w:pPr>
        <w:spacing w:line="360" w:lineRule="auto"/>
        <w:rPr>
          <w:rFonts w:ascii="宋体" w:hAnsi="宋体" w:cs="宋体"/>
          <w:sz w:val="24"/>
        </w:rPr>
      </w:pPr>
    </w:p>
    <w:p w14:paraId="07D5CCDC">
      <w:pPr>
        <w:spacing w:line="360" w:lineRule="auto"/>
        <w:ind w:firstLine="1440" w:firstLineChars="600"/>
        <w:rPr>
          <w:rFonts w:ascii="宋体" w:hAnsi="宋体" w:cs="宋体"/>
          <w:sz w:val="24"/>
        </w:rPr>
      </w:pPr>
      <w:r>
        <w:rPr>
          <w:rFonts w:hint="eastAsia" w:ascii="宋体" w:hAnsi="宋体" w:cs="宋体"/>
          <w:sz w:val="24"/>
        </w:rPr>
        <w:t>投标人：</w:t>
      </w:r>
      <w:r>
        <w:rPr>
          <w:rFonts w:hint="eastAsia" w:ascii="宋体" w:hAnsi="宋体" w:cs="宋体"/>
          <w:sz w:val="24"/>
          <w:u w:val="single"/>
        </w:rPr>
        <w:t>参加投标人全称</w:t>
      </w:r>
      <w:r>
        <w:rPr>
          <w:rFonts w:hint="eastAsia" w:ascii="宋体" w:hAnsi="宋体" w:cs="宋体"/>
          <w:sz w:val="24"/>
        </w:rPr>
        <w:t>（公章）</w:t>
      </w:r>
    </w:p>
    <w:p w14:paraId="742D58E8">
      <w:pPr>
        <w:spacing w:line="360" w:lineRule="auto"/>
        <w:ind w:firstLine="1440" w:firstLineChars="600"/>
        <w:rPr>
          <w:rFonts w:ascii="宋体" w:hAnsi="宋体" w:cs="宋体"/>
          <w:sz w:val="24"/>
        </w:rPr>
      </w:pPr>
      <w:r>
        <w:rPr>
          <w:rFonts w:hint="eastAsia" w:ascii="宋体" w:hAnsi="宋体" w:cs="宋体"/>
          <w:sz w:val="24"/>
        </w:rPr>
        <w:t>日  期：      年  月  日</w:t>
      </w:r>
    </w:p>
    <w:p w14:paraId="70CA7BD2">
      <w:pPr>
        <w:jc w:val="left"/>
        <w:outlineLvl w:val="1"/>
        <w:rPr>
          <w:rFonts w:ascii="宋体" w:hAnsi="宋体" w:cs="宋体"/>
          <w:b/>
          <w:bCs/>
          <w:sz w:val="24"/>
        </w:rPr>
      </w:pPr>
      <w:r>
        <w:rPr>
          <w:rFonts w:hint="eastAsia" w:ascii="宋体" w:hAnsi="宋体" w:cs="宋体"/>
          <w:b/>
          <w:bCs/>
          <w:sz w:val="24"/>
        </w:rPr>
        <w:br w:type="page"/>
      </w:r>
      <w:r>
        <w:rPr>
          <w:rFonts w:hint="eastAsia" w:ascii="宋体" w:hAnsi="宋体" w:cs="宋体"/>
          <w:b/>
          <w:bCs/>
          <w:sz w:val="24"/>
        </w:rPr>
        <w:t>一、资格审查文件相关的格式文件及表格</w:t>
      </w:r>
    </w:p>
    <w:p w14:paraId="64A14948">
      <w:pPr>
        <w:snapToGrid w:val="0"/>
        <w:spacing w:line="360" w:lineRule="auto"/>
        <w:jc w:val="center"/>
        <w:outlineLvl w:val="9"/>
        <w:rPr>
          <w:rFonts w:ascii="宋体" w:hAnsi="宋体" w:cs="宋体"/>
          <w:b/>
          <w:bCs/>
          <w:sz w:val="24"/>
        </w:rPr>
      </w:pPr>
    </w:p>
    <w:p w14:paraId="1CF3932A">
      <w:pPr>
        <w:spacing w:line="360" w:lineRule="auto"/>
        <w:jc w:val="center"/>
        <w:outlineLvl w:val="2"/>
        <w:rPr>
          <w:rFonts w:ascii="宋体" w:hAnsi="宋体" w:cs="宋体"/>
          <w:b/>
          <w:bCs/>
          <w:sz w:val="24"/>
        </w:rPr>
      </w:pPr>
      <w:r>
        <w:rPr>
          <w:rFonts w:hint="eastAsia" w:ascii="宋体" w:hAnsi="宋体" w:cs="宋体"/>
          <w:b/>
          <w:bCs/>
          <w:sz w:val="24"/>
        </w:rPr>
        <w:t>1法定代表人身份证明书</w:t>
      </w:r>
    </w:p>
    <w:p w14:paraId="74B5680F">
      <w:pPr>
        <w:spacing w:line="360" w:lineRule="auto"/>
        <w:jc w:val="center"/>
        <w:rPr>
          <w:rFonts w:ascii="宋体" w:hAnsi="宋体" w:cs="宋体"/>
          <w:sz w:val="24"/>
        </w:rPr>
      </w:pPr>
      <w:r>
        <w:rPr>
          <w:rFonts w:hint="eastAsia" w:ascii="宋体" w:hAnsi="宋体" w:cs="宋体"/>
          <w:sz w:val="24"/>
          <w:u w:val="single"/>
        </w:rPr>
        <w:t>（法定代表人参加投标时，须出示此证明）</w:t>
      </w:r>
    </w:p>
    <w:p w14:paraId="2E215795">
      <w:pPr>
        <w:adjustRightInd w:val="0"/>
        <w:snapToGrid w:val="0"/>
        <w:spacing w:line="360" w:lineRule="auto"/>
        <w:jc w:val="left"/>
        <w:rPr>
          <w:rFonts w:ascii="宋体" w:hAnsi="宋体" w:cs="宋体"/>
          <w:sz w:val="24"/>
          <w:u w:val="single"/>
        </w:rPr>
      </w:pPr>
    </w:p>
    <w:p w14:paraId="0B37C467">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14:paraId="75F1D498">
      <w:pPr>
        <w:spacing w:line="360" w:lineRule="auto"/>
        <w:ind w:firstLine="480" w:firstLineChars="200"/>
        <w:rPr>
          <w:rFonts w:ascii="宋体" w:hAnsi="宋体" w:cs="宋体"/>
          <w:sz w:val="24"/>
        </w:rPr>
      </w:pPr>
      <w:r>
        <w:rPr>
          <w:rFonts w:hint="eastAsia" w:ascii="宋体" w:hAnsi="宋体" w:cs="宋体"/>
          <w:sz w:val="24"/>
        </w:rPr>
        <w:t>我公司法定代表人参加贵单位组织的（采购项目名称及项目编号</w:t>
      </w:r>
      <w:r>
        <w:rPr>
          <w:rFonts w:hint="eastAsia" w:ascii="宋体" w:hAnsi="宋体" w:cs="宋体"/>
          <w:sz w:val="24"/>
          <w:lang w:eastAsia="zh-CN"/>
        </w:rPr>
        <w:t>）</w:t>
      </w:r>
      <w:r>
        <w:rPr>
          <w:rFonts w:hint="eastAsia" w:ascii="宋体" w:hAnsi="宋体" w:cs="宋体"/>
          <w:sz w:val="24"/>
        </w:rPr>
        <w:t>项目公开招标采购活动，全权代表我公司处理投标的有关事宜。</w:t>
      </w:r>
    </w:p>
    <w:p w14:paraId="1EF6778D">
      <w:pPr>
        <w:spacing w:line="360" w:lineRule="auto"/>
        <w:ind w:firstLine="480" w:firstLineChars="200"/>
        <w:rPr>
          <w:rFonts w:ascii="宋体" w:hAnsi="宋体" w:cs="宋体"/>
          <w:sz w:val="24"/>
        </w:rPr>
      </w:pPr>
    </w:p>
    <w:p w14:paraId="4AFFDA67">
      <w:pPr>
        <w:spacing w:line="360" w:lineRule="auto"/>
        <w:rPr>
          <w:rFonts w:ascii="宋体" w:hAnsi="宋体" w:cs="宋体"/>
          <w:sz w:val="24"/>
        </w:rPr>
      </w:pPr>
      <w:r>
        <w:rPr>
          <w:rFonts w:hint="eastAsia" w:ascii="宋体" w:hAnsi="宋体" w:cs="宋体"/>
          <w:sz w:val="24"/>
        </w:rPr>
        <w:t>附：法定代表人情况：</w:t>
      </w:r>
    </w:p>
    <w:p w14:paraId="5C3901F7">
      <w:pPr>
        <w:spacing w:line="360" w:lineRule="auto"/>
        <w:rPr>
          <w:rFonts w:ascii="宋体" w:hAnsi="宋体" w:cs="宋体"/>
          <w:sz w:val="24"/>
          <w:u w:val="single"/>
        </w:rPr>
      </w:pPr>
      <w:r>
        <w:rPr>
          <w:rFonts w:hint="eastAsia" w:ascii="宋体" w:hAnsi="宋体" w:cs="宋体"/>
          <w:sz w:val="24"/>
        </w:rPr>
        <w:t>姓名： 性别： 年龄：  职务：</w:t>
      </w:r>
    </w:p>
    <w:p w14:paraId="0F21FE59">
      <w:pPr>
        <w:spacing w:line="360" w:lineRule="auto"/>
        <w:rPr>
          <w:rFonts w:ascii="宋体" w:hAnsi="宋体" w:cs="宋体"/>
          <w:sz w:val="24"/>
        </w:rPr>
      </w:pPr>
      <w:r>
        <w:rPr>
          <w:rFonts w:hint="eastAsia" w:ascii="宋体" w:hAnsi="宋体" w:cs="宋体"/>
          <w:sz w:val="24"/>
        </w:rPr>
        <w:t>身份证号码：</w:t>
      </w:r>
    </w:p>
    <w:p w14:paraId="0135FA70">
      <w:pPr>
        <w:spacing w:line="360" w:lineRule="auto"/>
        <w:rPr>
          <w:rFonts w:ascii="宋体" w:hAnsi="宋体" w:cs="宋体"/>
          <w:sz w:val="24"/>
        </w:rPr>
      </w:pPr>
      <w:r>
        <w:rPr>
          <w:rFonts w:hint="eastAsia" w:ascii="宋体" w:hAnsi="宋体" w:cs="宋体"/>
          <w:sz w:val="24"/>
        </w:rPr>
        <w:t>手机：   传真：</w:t>
      </w:r>
    </w:p>
    <w:p w14:paraId="15301693">
      <w:pPr>
        <w:adjustRightInd w:val="0"/>
        <w:snapToGrid w:val="0"/>
        <w:spacing w:line="360" w:lineRule="auto"/>
        <w:ind w:firstLine="482"/>
        <w:rPr>
          <w:rFonts w:ascii="宋体" w:hAnsi="宋体" w:cs="宋体"/>
          <w:kern w:val="0"/>
          <w:sz w:val="24"/>
          <w:szCs w:val="20"/>
          <w:shd w:val="clear" w:color="auto" w:fill="FFFFFF"/>
        </w:rPr>
      </w:pPr>
    </w:p>
    <w:p w14:paraId="24E538BA">
      <w:pPr>
        <w:rPr>
          <w:rFonts w:ascii="宋体" w:hAnsi="宋体" w:cs="宋体"/>
          <w:sz w:val="24"/>
        </w:rPr>
      </w:pPr>
    </w:p>
    <w:p w14:paraId="42A85FAF">
      <w:pPr>
        <w:widowControl/>
        <w:tabs>
          <w:tab w:val="right" w:leader="hyphen" w:pos="9736"/>
        </w:tabs>
        <w:spacing w:after="100" w:line="276" w:lineRule="auto"/>
        <w:jc w:val="center"/>
        <w:rPr>
          <w:rFonts w:ascii="宋体" w:hAnsi="宋体" w:cs="宋体"/>
          <w:kern w:val="0"/>
          <w:sz w:val="22"/>
          <w:szCs w:val="22"/>
        </w:rPr>
      </w:pPr>
    </w:p>
    <w:p w14:paraId="131FCCA3">
      <w:pPr>
        <w:spacing w:line="360" w:lineRule="auto"/>
        <w:rPr>
          <w:rFonts w:ascii="宋体" w:hAnsi="宋体" w:cs="宋体"/>
          <w:sz w:val="24"/>
        </w:rPr>
      </w:pPr>
      <w:r>
        <w:rPr>
          <w:rFonts w:hint="eastAsia" w:ascii="宋体" w:hAnsi="宋体" w:cs="宋体"/>
          <w:sz w:val="24"/>
        </w:rPr>
        <w:t>单位名称（公章）             法定代表人（签字或盖章）</w:t>
      </w:r>
    </w:p>
    <w:p w14:paraId="21B3A4F9">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121B1957">
      <w:pPr>
        <w:spacing w:line="360" w:lineRule="auto"/>
        <w:rPr>
          <w:rFonts w:ascii="宋体" w:hAnsi="宋体" w:cs="宋体"/>
          <w:sz w:val="24"/>
        </w:rPr>
      </w:pPr>
    </w:p>
    <w:p w14:paraId="687DA0CA">
      <w:pPr>
        <w:spacing w:line="360" w:lineRule="auto"/>
        <w:rPr>
          <w:rFonts w:ascii="宋体" w:hAnsi="宋体" w:cs="宋体"/>
          <w:sz w:val="24"/>
        </w:rPr>
      </w:pPr>
    </w:p>
    <w:p w14:paraId="09BFF140">
      <w:pPr>
        <w:spacing w:line="360" w:lineRule="auto"/>
        <w:rPr>
          <w:rFonts w:ascii="宋体" w:hAnsi="宋体" w:cs="宋体"/>
          <w:sz w:val="24"/>
        </w:rPr>
      </w:pPr>
      <w:r>
        <w:rPr>
          <w:rFonts w:hint="eastAsia" w:ascii="宋体" w:hAnsi="宋体" w:cs="宋体"/>
          <w:sz w:val="24"/>
        </w:rPr>
        <w:t>法定代表人身份证复印件（正反面）</w:t>
      </w:r>
    </w:p>
    <w:p w14:paraId="11E6F69B">
      <w:pPr>
        <w:spacing w:line="360" w:lineRule="auto"/>
        <w:rPr>
          <w:rFonts w:ascii="宋体" w:hAnsi="宋体" w:cs="宋体"/>
          <w:sz w:val="24"/>
        </w:rPr>
      </w:pPr>
    </w:p>
    <w:p w14:paraId="42962A58">
      <w:pPr>
        <w:spacing w:line="360" w:lineRule="auto"/>
        <w:ind w:firstLine="2280" w:firstLineChars="950"/>
        <w:rPr>
          <w:rFonts w:ascii="宋体" w:hAnsi="宋体" w:cs="宋体"/>
          <w:sz w:val="24"/>
        </w:rPr>
      </w:pPr>
      <w:r>
        <w:rPr>
          <w:rFonts w:hint="eastAsia" w:ascii="宋体" w:hAnsi="宋体" w:cs="宋体"/>
          <w:sz w:val="24"/>
        </w:rPr>
        <w:t>（粘贴此处）</w:t>
      </w:r>
    </w:p>
    <w:p w14:paraId="539C0F39">
      <w:pPr>
        <w:spacing w:line="360" w:lineRule="auto"/>
        <w:ind w:firstLine="2289" w:firstLineChars="950"/>
        <w:rPr>
          <w:rFonts w:ascii="宋体" w:hAnsi="宋体" w:cs="宋体"/>
          <w:b/>
          <w:bCs/>
          <w:sz w:val="24"/>
        </w:rPr>
      </w:pPr>
    </w:p>
    <w:p w14:paraId="7DB536D1">
      <w:pPr>
        <w:spacing w:line="360" w:lineRule="auto"/>
        <w:ind w:firstLine="2289" w:firstLineChars="950"/>
        <w:rPr>
          <w:rFonts w:ascii="宋体" w:hAnsi="宋体" w:cs="宋体"/>
          <w:b/>
          <w:bCs/>
          <w:sz w:val="24"/>
        </w:rPr>
      </w:pPr>
    </w:p>
    <w:p w14:paraId="57952896">
      <w:pPr>
        <w:spacing w:line="360" w:lineRule="auto"/>
        <w:rPr>
          <w:rFonts w:ascii="宋体" w:hAnsi="宋体" w:cs="宋体"/>
          <w:sz w:val="24"/>
        </w:rPr>
      </w:pPr>
      <w:r>
        <w:rPr>
          <w:rFonts w:hint="eastAsia" w:ascii="宋体" w:hAnsi="宋体" w:cs="宋体"/>
          <w:b/>
          <w:bCs/>
          <w:sz w:val="24"/>
        </w:rPr>
        <w:t>注</w:t>
      </w:r>
      <w:r>
        <w:rPr>
          <w:rFonts w:hint="eastAsia" w:ascii="宋体" w:hAnsi="宋体" w:cs="宋体"/>
          <w:b/>
          <w:bCs/>
          <w:sz w:val="24"/>
          <w:lang w:eastAsia="zh-CN"/>
        </w:rPr>
        <w:t>：</w:t>
      </w:r>
      <w:r>
        <w:rPr>
          <w:rFonts w:hint="eastAsia" w:ascii="宋体" w:hAnsi="宋体" w:cs="宋体"/>
          <w:b/>
          <w:bCs/>
          <w:sz w:val="24"/>
        </w:rPr>
        <w:t xml:space="preserve"> 如为法定代表人参加投标时，须将身份证原件带至开标现场备查。</w:t>
      </w:r>
    </w:p>
    <w:p w14:paraId="297313B1">
      <w:pPr>
        <w:spacing w:line="460" w:lineRule="exact"/>
        <w:jc w:val="center"/>
        <w:outlineLvl w:val="2"/>
        <w:rPr>
          <w:rFonts w:hint="eastAsia" w:ascii="宋体" w:hAnsi="宋体" w:eastAsia="宋体" w:cs="宋体"/>
          <w:b/>
          <w:bCs/>
          <w:sz w:val="24"/>
          <w:szCs w:val="21"/>
          <w:lang w:val="en-US" w:eastAsia="zh-CN"/>
        </w:rPr>
      </w:pPr>
      <w:r>
        <w:rPr>
          <w:rFonts w:hint="eastAsia" w:ascii="宋体" w:hAnsi="宋体" w:cs="宋体"/>
          <w:b/>
          <w:bCs/>
          <w:sz w:val="24"/>
        </w:rPr>
        <w:br w:type="page"/>
      </w:r>
      <w:r>
        <w:rPr>
          <w:rFonts w:hint="eastAsia" w:ascii="宋体" w:hAnsi="宋体" w:eastAsia="宋体" w:cs="宋体"/>
          <w:b/>
          <w:bCs/>
          <w:sz w:val="24"/>
          <w:szCs w:val="21"/>
          <w:lang w:val="en-US" w:eastAsia="zh-CN"/>
        </w:rPr>
        <w:t>2授权委托书</w:t>
      </w:r>
    </w:p>
    <w:p w14:paraId="53809320">
      <w:pPr>
        <w:snapToGrid w:val="0"/>
        <w:spacing w:line="360" w:lineRule="auto"/>
        <w:jc w:val="center"/>
        <w:rPr>
          <w:rFonts w:ascii="宋体" w:hAnsi="宋体" w:cs="宋体"/>
          <w:sz w:val="24"/>
          <w:u w:val="single"/>
        </w:rPr>
      </w:pPr>
      <w:r>
        <w:rPr>
          <w:rFonts w:hint="eastAsia" w:ascii="宋体" w:hAnsi="宋体" w:cs="宋体"/>
          <w:sz w:val="24"/>
          <w:u w:val="single"/>
        </w:rPr>
        <w:t>（被授权人参加投标时，须出示此证明）</w:t>
      </w:r>
    </w:p>
    <w:p w14:paraId="23021458">
      <w:pPr>
        <w:snapToGrid w:val="0"/>
        <w:spacing w:line="360" w:lineRule="auto"/>
        <w:rPr>
          <w:rFonts w:ascii="宋体" w:hAnsi="宋体" w:cs="宋体"/>
          <w:bCs/>
          <w:sz w:val="24"/>
        </w:rPr>
      </w:pPr>
    </w:p>
    <w:p w14:paraId="15454C33">
      <w:pPr>
        <w:adjustRightInd w:val="0"/>
        <w:snapToGrid w:val="0"/>
        <w:spacing w:line="360" w:lineRule="auto"/>
        <w:jc w:val="left"/>
        <w:rPr>
          <w:rFonts w:ascii="宋体" w:hAnsi="宋体" w:cs="宋体"/>
          <w:sz w:val="24"/>
          <w:u w:val="single"/>
        </w:rPr>
      </w:pPr>
      <w:r>
        <w:rPr>
          <w:rFonts w:hint="eastAsia" w:ascii="宋体" w:hAnsi="宋体" w:cs="宋体"/>
          <w:sz w:val="24"/>
          <w:u w:val="single"/>
        </w:rPr>
        <w:t xml:space="preserve">      （采购人）      ： </w:t>
      </w:r>
    </w:p>
    <w:p w14:paraId="5519C8CB">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被授权人的姓名）代表我公司参加（采购项目名称及项目编号</w:t>
      </w:r>
      <w:r>
        <w:rPr>
          <w:rFonts w:hint="eastAsia" w:ascii="宋体" w:hAnsi="宋体" w:cs="宋体"/>
          <w:sz w:val="24"/>
          <w:lang w:eastAsia="zh-CN"/>
        </w:rPr>
        <w:t>）</w:t>
      </w:r>
      <w:r>
        <w:rPr>
          <w:rFonts w:hint="eastAsia" w:ascii="宋体" w:hAnsi="宋体" w:cs="宋体"/>
          <w:sz w:val="24"/>
        </w:rPr>
        <w:t>项目的采购活动，全权处理一切与该项目公开招标有关的事务。其在办理上述事宜过程中所签署的所有文件我公司均予以承认。</w:t>
      </w:r>
    </w:p>
    <w:p w14:paraId="084F90D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被授权人无转委托权，特此委托。</w:t>
      </w:r>
    </w:p>
    <w:p w14:paraId="77B6132E">
      <w:pPr>
        <w:adjustRightInd w:val="0"/>
        <w:snapToGrid w:val="0"/>
        <w:spacing w:line="360" w:lineRule="auto"/>
        <w:ind w:firstLine="480" w:firstLineChars="200"/>
        <w:jc w:val="left"/>
        <w:rPr>
          <w:rFonts w:ascii="宋体" w:hAnsi="宋体" w:cs="宋体"/>
          <w:sz w:val="24"/>
        </w:rPr>
      </w:pPr>
    </w:p>
    <w:p w14:paraId="3C598D33">
      <w:pPr>
        <w:spacing w:line="360" w:lineRule="auto"/>
        <w:rPr>
          <w:rFonts w:ascii="宋体" w:hAnsi="宋体" w:cs="宋体"/>
          <w:sz w:val="24"/>
        </w:rPr>
      </w:pPr>
      <w:r>
        <w:rPr>
          <w:rFonts w:hint="eastAsia" w:ascii="宋体" w:hAnsi="宋体" w:cs="宋体"/>
          <w:sz w:val="24"/>
        </w:rPr>
        <w:t>附：被授权人情况：</w:t>
      </w:r>
    </w:p>
    <w:p w14:paraId="30EBB4F1">
      <w:pPr>
        <w:spacing w:line="360" w:lineRule="auto"/>
        <w:rPr>
          <w:rFonts w:ascii="宋体" w:hAnsi="宋体" w:cs="宋体"/>
          <w:sz w:val="24"/>
          <w:u w:val="single"/>
        </w:rPr>
      </w:pPr>
      <w:r>
        <w:rPr>
          <w:rFonts w:hint="eastAsia" w:ascii="宋体" w:hAnsi="宋体" w:cs="宋体"/>
          <w:sz w:val="24"/>
        </w:rPr>
        <w:t>姓名： 性别： 年龄： 职务：</w:t>
      </w:r>
    </w:p>
    <w:p w14:paraId="689C07EF">
      <w:pPr>
        <w:spacing w:line="360" w:lineRule="auto"/>
        <w:rPr>
          <w:rFonts w:ascii="宋体" w:hAnsi="宋体" w:cs="宋体"/>
          <w:sz w:val="24"/>
        </w:rPr>
      </w:pPr>
      <w:r>
        <w:rPr>
          <w:rFonts w:hint="eastAsia" w:ascii="宋体" w:hAnsi="宋体" w:cs="宋体"/>
          <w:sz w:val="24"/>
        </w:rPr>
        <w:t>身份证号码：</w:t>
      </w:r>
    </w:p>
    <w:p w14:paraId="45DC0F2A">
      <w:pPr>
        <w:spacing w:line="360" w:lineRule="auto"/>
        <w:rPr>
          <w:rFonts w:ascii="宋体" w:hAnsi="宋体" w:cs="宋体"/>
          <w:sz w:val="24"/>
        </w:rPr>
      </w:pPr>
      <w:r>
        <w:rPr>
          <w:rFonts w:hint="eastAsia" w:ascii="宋体" w:hAnsi="宋体" w:cs="宋体"/>
          <w:sz w:val="24"/>
        </w:rPr>
        <w:t>手机：  传真：</w:t>
      </w:r>
    </w:p>
    <w:p w14:paraId="21A5BE83">
      <w:pPr>
        <w:spacing w:line="360" w:lineRule="auto"/>
        <w:rPr>
          <w:rFonts w:ascii="宋体" w:hAnsi="宋体" w:cs="宋体"/>
          <w:sz w:val="24"/>
        </w:rPr>
      </w:pPr>
      <w:r>
        <w:rPr>
          <w:rFonts w:hint="eastAsia" w:ascii="宋体" w:hAnsi="宋体" w:cs="宋体"/>
          <w:sz w:val="24"/>
        </w:rPr>
        <w:t>单位名称（公章）             法定代表人（签字或盖章）</w:t>
      </w:r>
    </w:p>
    <w:p w14:paraId="3E72016A">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389A6E50">
      <w:pPr>
        <w:spacing w:line="360" w:lineRule="auto"/>
        <w:rPr>
          <w:rFonts w:ascii="宋体" w:hAnsi="宋体" w:cs="宋体"/>
          <w:sz w:val="24"/>
        </w:rPr>
      </w:pPr>
    </w:p>
    <w:p w14:paraId="7CB378BE">
      <w:pPr>
        <w:spacing w:line="360" w:lineRule="auto"/>
        <w:rPr>
          <w:rFonts w:ascii="宋体" w:hAnsi="宋体" w:cs="宋体"/>
          <w:sz w:val="24"/>
        </w:rPr>
      </w:pPr>
    </w:p>
    <w:p w14:paraId="3A9DF11C">
      <w:pPr>
        <w:spacing w:line="360" w:lineRule="auto"/>
        <w:rPr>
          <w:rFonts w:ascii="宋体" w:hAnsi="宋体" w:cs="宋体"/>
          <w:sz w:val="24"/>
        </w:rPr>
      </w:pPr>
      <w:r>
        <w:rPr>
          <w:rFonts w:hint="eastAsia" w:ascii="宋体" w:hAnsi="宋体" w:cs="宋体"/>
          <w:sz w:val="24"/>
        </w:rPr>
        <w:t>法定代表人身份证复印件（正反面）</w:t>
      </w:r>
    </w:p>
    <w:p w14:paraId="20408C18">
      <w:pPr>
        <w:spacing w:line="360" w:lineRule="auto"/>
        <w:rPr>
          <w:rFonts w:ascii="宋体" w:hAnsi="宋体" w:cs="宋体"/>
          <w:sz w:val="24"/>
        </w:rPr>
      </w:pPr>
    </w:p>
    <w:p w14:paraId="264370CF">
      <w:pPr>
        <w:spacing w:line="360" w:lineRule="auto"/>
        <w:ind w:firstLine="2160" w:firstLineChars="900"/>
        <w:rPr>
          <w:rFonts w:ascii="宋体" w:hAnsi="宋体" w:cs="宋体"/>
          <w:sz w:val="24"/>
        </w:rPr>
      </w:pPr>
      <w:r>
        <w:rPr>
          <w:rFonts w:hint="eastAsia" w:ascii="宋体" w:hAnsi="宋体" w:cs="宋体"/>
          <w:sz w:val="24"/>
        </w:rPr>
        <w:t>（粘贴此处）</w:t>
      </w:r>
    </w:p>
    <w:p w14:paraId="4802AB17">
      <w:pPr>
        <w:spacing w:line="360" w:lineRule="auto"/>
        <w:rPr>
          <w:rFonts w:ascii="宋体" w:hAnsi="宋体" w:cs="宋体"/>
          <w:sz w:val="24"/>
        </w:rPr>
      </w:pPr>
    </w:p>
    <w:p w14:paraId="74AEA400">
      <w:pPr>
        <w:spacing w:line="360" w:lineRule="auto"/>
        <w:rPr>
          <w:rFonts w:ascii="宋体" w:hAnsi="宋体" w:cs="宋体"/>
          <w:sz w:val="24"/>
        </w:rPr>
      </w:pPr>
    </w:p>
    <w:p w14:paraId="3260E38D">
      <w:pPr>
        <w:spacing w:line="360" w:lineRule="auto"/>
        <w:rPr>
          <w:rFonts w:ascii="宋体" w:hAnsi="宋体" w:cs="宋体"/>
          <w:sz w:val="24"/>
        </w:rPr>
      </w:pPr>
      <w:r>
        <w:rPr>
          <w:rFonts w:hint="eastAsia" w:ascii="宋体" w:hAnsi="宋体" w:cs="宋体"/>
          <w:sz w:val="24"/>
        </w:rPr>
        <w:t>被授权人身份证复印件（正反面）</w:t>
      </w:r>
    </w:p>
    <w:p w14:paraId="13A172CF">
      <w:pPr>
        <w:spacing w:line="360" w:lineRule="auto"/>
        <w:rPr>
          <w:rFonts w:ascii="宋体" w:hAnsi="宋体" w:cs="宋体"/>
          <w:sz w:val="24"/>
        </w:rPr>
      </w:pPr>
    </w:p>
    <w:p w14:paraId="5D610637">
      <w:pPr>
        <w:spacing w:line="360" w:lineRule="auto"/>
        <w:rPr>
          <w:rFonts w:ascii="宋体" w:hAnsi="宋体" w:cs="宋体"/>
          <w:sz w:val="24"/>
        </w:rPr>
      </w:pPr>
    </w:p>
    <w:p w14:paraId="7EFF2678">
      <w:pPr>
        <w:spacing w:line="360" w:lineRule="auto"/>
        <w:ind w:firstLine="2280" w:firstLineChars="950"/>
        <w:rPr>
          <w:rFonts w:ascii="宋体" w:hAnsi="宋体" w:cs="宋体"/>
          <w:sz w:val="24"/>
        </w:rPr>
      </w:pPr>
      <w:r>
        <w:rPr>
          <w:rFonts w:hint="eastAsia" w:ascii="宋体" w:hAnsi="宋体" w:cs="宋体"/>
          <w:sz w:val="24"/>
        </w:rPr>
        <w:t>（粘贴此处）</w:t>
      </w:r>
    </w:p>
    <w:p w14:paraId="13808237">
      <w:pPr>
        <w:spacing w:line="360" w:lineRule="auto"/>
        <w:ind w:firstLine="2289" w:firstLineChars="950"/>
        <w:rPr>
          <w:rFonts w:ascii="宋体" w:hAnsi="宋体" w:cs="宋体"/>
          <w:b/>
          <w:bCs/>
          <w:sz w:val="24"/>
        </w:rPr>
      </w:pPr>
    </w:p>
    <w:p w14:paraId="3B08AED3">
      <w:pPr>
        <w:spacing w:line="360" w:lineRule="auto"/>
        <w:rPr>
          <w:rFonts w:ascii="宋体" w:hAnsi="宋体" w:cs="宋体"/>
          <w:sz w:val="24"/>
        </w:rPr>
      </w:pPr>
      <w:r>
        <w:rPr>
          <w:rFonts w:hint="eastAsia" w:ascii="宋体" w:hAnsi="宋体" w:cs="宋体"/>
          <w:b/>
          <w:bCs/>
          <w:sz w:val="24"/>
        </w:rPr>
        <w:t>注</w:t>
      </w:r>
      <w:r>
        <w:rPr>
          <w:rFonts w:hint="eastAsia" w:ascii="宋体" w:hAnsi="宋体" w:cs="宋体"/>
          <w:b/>
          <w:bCs/>
          <w:sz w:val="24"/>
          <w:lang w:eastAsia="zh-CN"/>
        </w:rPr>
        <w:t>：</w:t>
      </w:r>
      <w:r>
        <w:rPr>
          <w:rFonts w:hint="eastAsia" w:ascii="宋体" w:hAnsi="宋体" w:cs="宋体"/>
          <w:b/>
          <w:bCs/>
          <w:sz w:val="24"/>
        </w:rPr>
        <w:t xml:space="preserve"> 如为被授权人参加投标时，须将身份证原件带至开标现场备查。</w:t>
      </w:r>
    </w:p>
    <w:p w14:paraId="4C0C90D9">
      <w:pPr>
        <w:snapToGrid w:val="0"/>
        <w:spacing w:line="360" w:lineRule="auto"/>
        <w:jc w:val="center"/>
        <w:outlineLvl w:val="9"/>
        <w:rPr>
          <w:rFonts w:ascii="宋体" w:hAnsi="宋体" w:cs="宋体"/>
          <w:b/>
          <w:bCs/>
          <w:sz w:val="24"/>
        </w:rPr>
      </w:pPr>
      <w:r>
        <w:rPr>
          <w:rFonts w:hint="eastAsia" w:ascii="宋体" w:hAnsi="宋体" w:cs="宋体"/>
          <w:b/>
          <w:bCs/>
          <w:sz w:val="24"/>
        </w:rPr>
        <w:br w:type="page"/>
      </w:r>
    </w:p>
    <w:p w14:paraId="34DB3E69">
      <w:pPr>
        <w:spacing w:line="460" w:lineRule="exact"/>
        <w:jc w:val="center"/>
        <w:outlineLvl w:val="2"/>
        <w:rPr>
          <w:rFonts w:hint="eastAsia" w:ascii="宋体" w:hAnsi="宋体" w:eastAsia="宋体" w:cs="宋体"/>
          <w:b/>
          <w:bCs/>
          <w:sz w:val="24"/>
          <w:szCs w:val="21"/>
          <w:lang w:val="en-US" w:eastAsia="zh-CN"/>
        </w:rPr>
      </w:pPr>
      <w:r>
        <w:rPr>
          <w:rFonts w:hint="eastAsia" w:ascii="宋体" w:hAnsi="宋体" w:eastAsia="宋体" w:cs="宋体"/>
          <w:b/>
          <w:bCs/>
          <w:sz w:val="24"/>
          <w:szCs w:val="21"/>
          <w:lang w:val="en-US" w:eastAsia="zh-CN"/>
        </w:rPr>
        <w:t>3书面声明函</w:t>
      </w:r>
    </w:p>
    <w:p w14:paraId="5CE4AD49">
      <w:pPr>
        <w:snapToGrid w:val="0"/>
        <w:spacing w:line="420" w:lineRule="exact"/>
        <w:contextualSpacing/>
        <w:rPr>
          <w:rFonts w:ascii="宋体" w:hAnsi="宋体"/>
          <w:b/>
          <w:sz w:val="24"/>
          <w:u w:val="single"/>
        </w:rPr>
      </w:pPr>
      <w:r>
        <w:rPr>
          <w:rFonts w:hint="eastAsia"/>
          <w:sz w:val="24"/>
          <w:u w:val="single"/>
          <w:lang w:eastAsia="zh-CN"/>
        </w:rPr>
        <w:t>南通开放大学</w:t>
      </w:r>
      <w:r>
        <w:rPr>
          <w:rFonts w:ascii="宋体" w:hAnsi="宋体"/>
          <w:sz w:val="24"/>
          <w:u w:val="single"/>
        </w:rPr>
        <w:t>：</w:t>
      </w:r>
    </w:p>
    <w:p w14:paraId="4D28C863">
      <w:pPr>
        <w:spacing w:line="560" w:lineRule="exact"/>
        <w:rPr>
          <w:rFonts w:ascii="宋体" w:hAnsi="宋体"/>
          <w:sz w:val="24"/>
        </w:rPr>
      </w:pPr>
      <w:r>
        <w:rPr>
          <w:rFonts w:ascii="宋体" w:hAnsi="宋体"/>
          <w:sz w:val="24"/>
        </w:rPr>
        <w:t>我单位</w:t>
      </w:r>
      <w:r>
        <w:rPr>
          <w:rFonts w:ascii="宋体" w:hAnsi="宋体"/>
          <w:sz w:val="24"/>
          <w:u w:val="single"/>
        </w:rPr>
        <w:t>（供应商名称）</w:t>
      </w:r>
      <w:r>
        <w:rPr>
          <w:rFonts w:ascii="宋体" w:hAnsi="宋体"/>
          <w:sz w:val="24"/>
        </w:rPr>
        <w:t>郑重声明：</w:t>
      </w:r>
    </w:p>
    <w:p w14:paraId="70A8D749">
      <w:pPr>
        <w:spacing w:line="560" w:lineRule="exact"/>
        <w:ind w:firstLine="480" w:firstLineChars="200"/>
        <w:rPr>
          <w:rFonts w:ascii="宋体" w:hAnsi="宋体"/>
          <w:sz w:val="24"/>
        </w:rPr>
      </w:pPr>
      <w:r>
        <w:rPr>
          <w:rFonts w:hint="eastAsia" w:ascii="宋体" w:hAnsi="宋体"/>
          <w:sz w:val="24"/>
        </w:rPr>
        <w:t>我单位具有独立承担民事责任的能力；具有良好的商业信誉和健全的财务会计制度；具有履行合同所必需的设备和专业技术能力</w:t>
      </w:r>
      <w:r>
        <w:rPr>
          <w:rFonts w:hint="eastAsia" w:ascii="宋体" w:hAnsi="宋体"/>
          <w:sz w:val="24"/>
          <w:lang w:eastAsia="zh-CN"/>
        </w:rPr>
        <w:t>；具</w:t>
      </w:r>
      <w:r>
        <w:rPr>
          <w:rFonts w:hint="eastAsia" w:ascii="宋体" w:hAnsi="宋体"/>
          <w:sz w:val="24"/>
        </w:rPr>
        <w:t>有依法缴纳税收和社会保障资金的良好记录。</w:t>
      </w:r>
    </w:p>
    <w:p w14:paraId="3A02165B">
      <w:pPr>
        <w:spacing w:line="420" w:lineRule="exact"/>
        <w:rPr>
          <w:rFonts w:ascii="宋体" w:hAnsi="宋体"/>
          <w:sz w:val="24"/>
        </w:rPr>
      </w:pPr>
    </w:p>
    <w:p w14:paraId="522C6DB5">
      <w:pPr>
        <w:spacing w:line="420" w:lineRule="exact"/>
        <w:ind w:firstLine="4800" w:firstLineChars="2000"/>
        <w:rPr>
          <w:rFonts w:ascii="宋体" w:hAnsi="宋体"/>
          <w:sz w:val="24"/>
        </w:rPr>
      </w:pPr>
    </w:p>
    <w:p w14:paraId="703617C3">
      <w:pPr>
        <w:spacing w:line="420" w:lineRule="exact"/>
        <w:ind w:firstLine="4800" w:firstLineChars="2000"/>
        <w:outlineLvl w:val="9"/>
        <w:rPr>
          <w:rFonts w:ascii="宋体" w:hAnsi="宋体"/>
          <w:sz w:val="24"/>
        </w:rPr>
      </w:pPr>
      <w:r>
        <w:rPr>
          <w:rFonts w:ascii="宋体" w:hAnsi="宋体"/>
          <w:sz w:val="24"/>
        </w:rPr>
        <w:t>声明人：（公章）</w:t>
      </w:r>
    </w:p>
    <w:p w14:paraId="40D85474">
      <w:pPr>
        <w:snapToGrid w:val="0"/>
        <w:spacing w:before="468" w:beforeLines="150" w:after="156" w:afterLines="50" w:line="360" w:lineRule="auto"/>
        <w:jc w:val="center"/>
        <w:outlineLvl w:val="9"/>
        <w:rPr>
          <w:b/>
          <w:bCs/>
          <w:sz w:val="24"/>
        </w:rPr>
      </w:pPr>
      <w:r>
        <w:rPr>
          <w:rFonts w:hint="eastAsia" w:ascii="宋体" w:hAnsi="宋体"/>
          <w:sz w:val="24"/>
        </w:rPr>
        <w:t xml:space="preserve">        </w:t>
      </w:r>
      <w:r>
        <w:rPr>
          <w:rFonts w:ascii="宋体" w:hAnsi="宋体"/>
          <w:sz w:val="24"/>
        </w:rPr>
        <w:t>年月日</w:t>
      </w:r>
    </w:p>
    <w:p w14:paraId="10FA45DD">
      <w:pPr>
        <w:spacing w:line="460" w:lineRule="exact"/>
        <w:jc w:val="center"/>
        <w:rPr>
          <w:rFonts w:ascii="宋体" w:hAnsi="宋体" w:cs="宋体"/>
          <w:b/>
          <w:bCs/>
          <w:sz w:val="24"/>
          <w:szCs w:val="21"/>
        </w:rPr>
      </w:pPr>
    </w:p>
    <w:p w14:paraId="1C669BC1">
      <w:pPr>
        <w:rPr>
          <w:rFonts w:ascii="宋体" w:hAnsi="宋体" w:cs="宋体"/>
          <w:b/>
          <w:bCs/>
          <w:sz w:val="24"/>
          <w:szCs w:val="21"/>
        </w:rPr>
      </w:pPr>
      <w:r>
        <w:rPr>
          <w:rFonts w:hint="eastAsia" w:ascii="宋体" w:hAnsi="宋体" w:cs="宋体"/>
          <w:b/>
          <w:bCs/>
          <w:sz w:val="24"/>
          <w:szCs w:val="21"/>
        </w:rPr>
        <w:br w:type="page"/>
      </w:r>
    </w:p>
    <w:p w14:paraId="46ED08E3">
      <w:pPr>
        <w:spacing w:line="460" w:lineRule="exact"/>
        <w:jc w:val="center"/>
        <w:outlineLvl w:val="2"/>
        <w:rPr>
          <w:rFonts w:hint="eastAsia" w:ascii="宋体" w:hAnsi="宋体" w:eastAsia="宋体" w:cs="宋体"/>
          <w:b/>
          <w:bCs/>
          <w:sz w:val="24"/>
          <w:szCs w:val="21"/>
          <w:lang w:val="en-US" w:eastAsia="zh-CN"/>
        </w:rPr>
      </w:pPr>
      <w:r>
        <w:rPr>
          <w:rFonts w:hint="eastAsia" w:ascii="宋体" w:hAnsi="宋体" w:eastAsia="宋体" w:cs="宋体"/>
          <w:b/>
          <w:bCs/>
          <w:sz w:val="24"/>
          <w:szCs w:val="21"/>
          <w:lang w:val="en-US" w:eastAsia="zh-CN"/>
        </w:rPr>
        <w:t>4.无重大违法记录声明函</w:t>
      </w:r>
    </w:p>
    <w:p w14:paraId="4CDEF65A">
      <w:pPr>
        <w:spacing w:line="460" w:lineRule="exact"/>
        <w:ind w:firstLine="881"/>
        <w:jc w:val="center"/>
        <w:rPr>
          <w:rFonts w:ascii="宋体" w:hAnsi="宋体" w:cs="宋体"/>
          <w:b/>
          <w:bCs/>
          <w:sz w:val="44"/>
          <w:szCs w:val="44"/>
        </w:rPr>
      </w:pPr>
    </w:p>
    <w:p w14:paraId="3F37CEC6">
      <w:pPr>
        <w:spacing w:line="500" w:lineRule="exact"/>
        <w:ind w:firstLine="482"/>
        <w:rPr>
          <w:rFonts w:ascii="宋体" w:hAnsi="宋体" w:cs="宋体"/>
          <w:bCs/>
          <w:sz w:val="24"/>
          <w:szCs w:val="21"/>
        </w:rPr>
      </w:pPr>
      <w:r>
        <w:rPr>
          <w:rFonts w:hint="eastAsia" w:ascii="宋体" w:hAnsi="宋体" w:cs="宋体"/>
          <w:bCs/>
          <w:sz w:val="24"/>
          <w:szCs w:val="21"/>
        </w:rPr>
        <w:t>我公司郑重声明：参加本次采购活动前 3 年内，我公司在经营活动中</w:t>
      </w:r>
      <w:r>
        <w:rPr>
          <w:rFonts w:hint="eastAsia" w:ascii="宋体" w:hAnsi="宋体" w:cs="宋体"/>
          <w:bCs/>
          <w:sz w:val="24"/>
          <w:szCs w:val="21"/>
          <w:u w:val="single"/>
          <w:lang w:val="en-US" w:eastAsia="zh-CN"/>
        </w:rPr>
        <w:t xml:space="preserve">     （</w:t>
      </w:r>
      <w:r>
        <w:rPr>
          <w:rFonts w:hint="eastAsia" w:ascii="宋体" w:hAnsi="宋体" w:cs="宋体"/>
          <w:sz w:val="24"/>
        </w:rPr>
        <w:t>在下划线上如实填写：有或没有）</w:t>
      </w:r>
      <w:r>
        <w:rPr>
          <w:rFonts w:hint="eastAsia" w:ascii="宋体" w:hAnsi="宋体" w:cs="宋体"/>
          <w:bCs/>
          <w:sz w:val="24"/>
          <w:szCs w:val="21"/>
        </w:rPr>
        <w:t>因违法经营受到刑事处罚或者责令停产停业、吊销许可证或者执照、较大数额罚款等行政处罚。</w:t>
      </w:r>
    </w:p>
    <w:p w14:paraId="252167EC">
      <w:pPr>
        <w:spacing w:line="560" w:lineRule="exact"/>
        <w:rPr>
          <w:rFonts w:ascii="宋体" w:hAnsi="宋体" w:cs="宋体"/>
          <w:sz w:val="24"/>
        </w:rPr>
      </w:pPr>
    </w:p>
    <w:p w14:paraId="75FD9C43">
      <w:pPr>
        <w:spacing w:line="360" w:lineRule="auto"/>
        <w:ind w:firstLine="480" w:firstLineChars="200"/>
        <w:jc w:val="right"/>
        <w:rPr>
          <w:rFonts w:ascii="宋体" w:hAnsi="宋体" w:cs="宋体"/>
          <w:sz w:val="24"/>
        </w:rPr>
      </w:pPr>
    </w:p>
    <w:p w14:paraId="6505F077">
      <w:pPr>
        <w:spacing w:line="420" w:lineRule="exact"/>
        <w:ind w:firstLine="4800" w:firstLineChars="2000"/>
        <w:rPr>
          <w:rFonts w:ascii="宋体" w:hAnsi="宋体"/>
          <w:sz w:val="24"/>
        </w:rPr>
      </w:pPr>
      <w:r>
        <w:rPr>
          <w:rFonts w:ascii="宋体" w:hAnsi="宋体"/>
          <w:sz w:val="24"/>
        </w:rPr>
        <w:t>声明人：（公章）</w:t>
      </w:r>
    </w:p>
    <w:p w14:paraId="0AEDE8C9">
      <w:pPr>
        <w:snapToGrid w:val="0"/>
        <w:spacing w:before="468" w:beforeLines="150" w:after="156" w:afterLines="50" w:line="360" w:lineRule="auto"/>
        <w:jc w:val="center"/>
        <w:outlineLvl w:val="9"/>
        <w:rPr>
          <w:rFonts w:ascii="宋体" w:hAnsi="宋体"/>
          <w:sz w:val="24"/>
        </w:rPr>
      </w:pPr>
      <w:r>
        <w:rPr>
          <w:rFonts w:hint="eastAsia" w:ascii="宋体" w:hAnsi="宋体"/>
          <w:sz w:val="24"/>
        </w:rPr>
        <w:t xml:space="preserve">        </w:t>
      </w:r>
      <w:r>
        <w:rPr>
          <w:rFonts w:ascii="宋体" w:hAnsi="宋体"/>
          <w:sz w:val="24"/>
        </w:rPr>
        <w:t>年月日</w:t>
      </w:r>
    </w:p>
    <w:p w14:paraId="6B768E06">
      <w:pPr>
        <w:pStyle w:val="2"/>
      </w:pPr>
    </w:p>
    <w:p w14:paraId="41B4081C">
      <w:pPr>
        <w:pStyle w:val="4"/>
        <w:jc w:val="center"/>
        <w:rPr>
          <w:rFonts w:hint="eastAsia"/>
        </w:rPr>
        <w:sectPr>
          <w:pgSz w:w="11906" w:h="16838"/>
          <w:pgMar w:top="1418" w:right="1474" w:bottom="1418" w:left="1474" w:header="851" w:footer="907" w:gutter="0"/>
          <w:pgNumType w:fmt="decimal"/>
          <w:cols w:space="720" w:num="1"/>
          <w:docGrid w:type="lines" w:linePitch="312" w:charSpace="0"/>
        </w:sectPr>
      </w:pPr>
    </w:p>
    <w:p w14:paraId="636D8FBC">
      <w:pPr>
        <w:spacing w:line="460" w:lineRule="exact"/>
        <w:jc w:val="center"/>
        <w:outlineLvl w:val="2"/>
        <w:rPr>
          <w:rFonts w:hint="eastAsia" w:ascii="宋体" w:hAnsi="宋体" w:eastAsia="宋体" w:cs="宋体"/>
          <w:b/>
          <w:bCs/>
          <w:sz w:val="24"/>
          <w:szCs w:val="21"/>
          <w:lang w:val="en-US" w:eastAsia="zh-CN"/>
        </w:rPr>
      </w:pPr>
      <w:r>
        <w:rPr>
          <w:rFonts w:hint="eastAsia" w:ascii="宋体" w:hAnsi="宋体" w:eastAsia="宋体" w:cs="宋体"/>
          <w:b/>
          <w:bCs/>
          <w:sz w:val="24"/>
          <w:szCs w:val="21"/>
          <w:lang w:val="en-US" w:eastAsia="zh-CN"/>
        </w:rPr>
        <w:t>5.廉洁承诺书</w:t>
      </w:r>
    </w:p>
    <w:p w14:paraId="3E44F305">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一、为了保证采购活动的公平竞争，促进廉政建设，我公司承诺在参加采购活动时做到遵守法纪、法规和廉政建设各项规定，诚实守信，坚决拒绝商业贿赂，不发生如下不当行为：</w:t>
      </w:r>
    </w:p>
    <w:p w14:paraId="121B005C">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（一）向采购组织方工作人员及其家庭成员提供以下不正当利益：</w:t>
      </w:r>
    </w:p>
    <w:p w14:paraId="78D3C669">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1.以任何理由送给现金、有价证券、支付凭证和高档礼品；</w:t>
      </w:r>
    </w:p>
    <w:p w14:paraId="2EB62DAB">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2.报销或支付应由其个人负担的费用；</w:t>
      </w:r>
    </w:p>
    <w:p w14:paraId="58A58167">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3.宴请或邀请去营业性娱乐场所活动； </w:t>
      </w:r>
    </w:p>
    <w:p w14:paraId="01AED8E8">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4.其它行贿及提供不正当利益的行为。</w:t>
      </w:r>
    </w:p>
    <w:p w14:paraId="39C5B76C">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（二）和他人串通竞谈，或者利用不正当手段谋求中标。</w:t>
      </w:r>
    </w:p>
    <w:p w14:paraId="55210D33">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（三）违反法律、法规和廉政规定，影响工程和供应质量的。 </w:t>
      </w:r>
    </w:p>
    <w:p w14:paraId="33C3588A">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二、我公司如实施了上述行为之一，自愿接受采购部门根据《政府采购法》及其相关法规和《南通市市场廉政准入暂行规定》</w:t>
      </w:r>
      <w:r>
        <w:rPr>
          <w:rFonts w:hint="eastAsia" w:ascii="宋体" w:hAnsi="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通纪发〔2005〕28号</w:t>
      </w:r>
      <w:r>
        <w:rPr>
          <w:rFonts w:hint="eastAsia" w:ascii="宋体" w:hAnsi="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给予的如下处罚：</w:t>
      </w:r>
    </w:p>
    <w:p w14:paraId="2004ACC5">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1.参加采购的成交无效；</w:t>
      </w:r>
    </w:p>
    <w:p w14:paraId="6FCC18E7">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2.处以采购金额千分之五以上千分之十以下的罚款；</w:t>
      </w:r>
    </w:p>
    <w:p w14:paraId="2D44408E">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3.采购部门对不良行为予以记录并公告；</w:t>
      </w:r>
    </w:p>
    <w:p w14:paraId="03ED6A73">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4.半年至三年内禁止参加集中采购活动；</w:t>
      </w:r>
    </w:p>
    <w:p w14:paraId="117BCDD0">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5.情节严重的，报请有关部门依法追究相关责任。</w:t>
      </w:r>
    </w:p>
    <w:p w14:paraId="40EAA215">
      <w:pPr>
        <w:widowControl/>
        <w:snapToGrid w:val="0"/>
        <w:spacing w:line="360" w:lineRule="auto"/>
        <w:ind w:firstLine="3360" w:firstLineChars="1400"/>
        <w:jc w:val="left"/>
        <w:rPr>
          <w:rFonts w:hint="eastAsia" w:ascii="宋体" w:hAnsi="宋体" w:eastAsia="宋体" w:cs="宋体"/>
          <w:b w:val="0"/>
          <w:bCs w:val="0"/>
          <w:kern w:val="2"/>
          <w:sz w:val="24"/>
          <w:szCs w:val="24"/>
          <w:lang w:val="en-US" w:eastAsia="zh-CN" w:bidi="ar-SA"/>
        </w:rPr>
      </w:pPr>
    </w:p>
    <w:p w14:paraId="20B88E4C">
      <w:pPr>
        <w:widowControl/>
        <w:snapToGrid w:val="0"/>
        <w:spacing w:line="360" w:lineRule="auto"/>
        <w:ind w:firstLine="3360" w:firstLineChars="14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承诺人：</w:t>
      </w:r>
    </w:p>
    <w:p w14:paraId="39CBB2D1">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承诺单位：</w:t>
      </w:r>
    </w:p>
    <w:p w14:paraId="4CAEEE6B">
      <w:pPr>
        <w:widowControl/>
        <w:snapToGrid w:val="0"/>
        <w:spacing w:line="360" w:lineRule="auto"/>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年  月  日 </w:t>
      </w:r>
    </w:p>
    <w:p w14:paraId="2D913E04">
      <w:pPr>
        <w:spacing w:line="360" w:lineRule="auto"/>
        <w:jc w:val="left"/>
        <w:rPr>
          <w:rFonts w:ascii="宋体" w:hAnsi="宋体" w:cs="宋体"/>
          <w:b/>
          <w:bCs/>
          <w:sz w:val="24"/>
        </w:rPr>
      </w:pPr>
    </w:p>
    <w:p w14:paraId="20B6312C">
      <w:pPr>
        <w:spacing w:line="360" w:lineRule="auto"/>
        <w:jc w:val="left"/>
        <w:rPr>
          <w:rFonts w:ascii="宋体" w:hAnsi="宋体" w:cs="宋体"/>
          <w:b/>
          <w:bCs/>
          <w:sz w:val="24"/>
        </w:rPr>
      </w:pPr>
    </w:p>
    <w:p w14:paraId="0F46CA4D">
      <w:pPr>
        <w:rPr>
          <w:rFonts w:ascii="宋体" w:hAnsi="宋体" w:cs="宋体"/>
          <w:b/>
          <w:bCs/>
          <w:sz w:val="24"/>
        </w:rPr>
      </w:pPr>
      <w:r>
        <w:rPr>
          <w:rFonts w:hint="eastAsia" w:ascii="宋体" w:hAnsi="宋体" w:cs="宋体"/>
          <w:b/>
          <w:bCs/>
          <w:sz w:val="24"/>
        </w:rPr>
        <w:br w:type="page"/>
      </w:r>
    </w:p>
    <w:p w14:paraId="0E4327A9">
      <w:pPr>
        <w:spacing w:line="360" w:lineRule="auto"/>
        <w:jc w:val="left"/>
        <w:outlineLvl w:val="1"/>
        <w:rPr>
          <w:rFonts w:ascii="宋体" w:hAnsi="宋体" w:cs="宋体"/>
          <w:b/>
          <w:bCs/>
          <w:sz w:val="24"/>
        </w:rPr>
      </w:pPr>
      <w:r>
        <w:rPr>
          <w:rFonts w:hint="eastAsia" w:ascii="宋体" w:hAnsi="宋体" w:cs="宋体"/>
          <w:b/>
          <w:bCs/>
          <w:sz w:val="24"/>
        </w:rPr>
        <w:t>二、技术标相关的格式文件及表格</w:t>
      </w:r>
    </w:p>
    <w:p w14:paraId="3CF7DDD2">
      <w:pPr>
        <w:spacing w:line="360" w:lineRule="auto"/>
        <w:jc w:val="center"/>
        <w:outlineLvl w:val="2"/>
        <w:rPr>
          <w:rFonts w:ascii="宋体" w:hAnsi="宋体" w:cs="宋体"/>
          <w:b/>
          <w:bCs/>
          <w:sz w:val="24"/>
        </w:rPr>
      </w:pPr>
      <w:r>
        <w:rPr>
          <w:rFonts w:hint="eastAsia" w:ascii="宋体" w:hAnsi="宋体" w:cs="宋体"/>
          <w:b/>
          <w:bCs/>
          <w:sz w:val="24"/>
          <w:lang w:eastAsia="zh-CN"/>
        </w:rPr>
        <w:t>1.</w:t>
      </w:r>
      <w:r>
        <w:rPr>
          <w:rFonts w:hint="eastAsia" w:ascii="宋体" w:hAnsi="宋体" w:cs="宋体"/>
          <w:b/>
          <w:bCs/>
          <w:sz w:val="24"/>
        </w:rPr>
        <w:t>投标响应函</w:t>
      </w:r>
    </w:p>
    <w:p w14:paraId="1218FBE0">
      <w:pPr>
        <w:spacing w:line="360" w:lineRule="auto"/>
        <w:rPr>
          <w:rFonts w:ascii="宋体" w:hAnsi="宋体" w:cs="宋体"/>
          <w:sz w:val="24"/>
        </w:rPr>
      </w:pPr>
      <w:r>
        <w:rPr>
          <w:rFonts w:hint="eastAsia" w:ascii="宋体" w:hAnsi="宋体" w:cs="宋体"/>
          <w:sz w:val="24"/>
          <w:u w:val="single"/>
        </w:rPr>
        <w:t>致    （采购人）    ：</w:t>
      </w:r>
    </w:p>
    <w:p w14:paraId="7E6AA3CF">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根据贵方的</w:t>
      </w:r>
      <w:r>
        <w:rPr>
          <w:rFonts w:hint="eastAsia" w:ascii="宋体" w:hAnsi="宋体" w:cs="宋体"/>
          <w:kern w:val="0"/>
          <w:sz w:val="24"/>
          <w:u w:val="single"/>
        </w:rPr>
        <w:t xml:space="preserve">        （项目名称、项目编号）</w:t>
      </w:r>
      <w:r>
        <w:rPr>
          <w:rFonts w:hint="eastAsia" w:ascii="宋体" w:hAnsi="宋体" w:cs="宋体"/>
          <w:kern w:val="0"/>
          <w:sz w:val="24"/>
        </w:rPr>
        <w:t>招标文件，正式授权下述签字人</w:t>
      </w:r>
      <w:r>
        <w:rPr>
          <w:rFonts w:hint="eastAsia" w:ascii="宋体" w:hAnsi="宋体" w:cs="宋体"/>
          <w:kern w:val="0"/>
          <w:sz w:val="24"/>
          <w:u w:val="single"/>
        </w:rPr>
        <w:t xml:space="preserve">        </w:t>
      </w:r>
      <w:r>
        <w:rPr>
          <w:rFonts w:hint="eastAsia" w:ascii="宋体" w:hAnsi="宋体" w:cs="宋体"/>
          <w:kern w:val="0"/>
          <w:sz w:val="24"/>
          <w:u w:val="single"/>
          <w:lang w:eastAsia="zh-CN"/>
        </w:rPr>
        <w:t>（</w:t>
      </w:r>
      <w:r>
        <w:rPr>
          <w:rFonts w:hint="eastAsia" w:ascii="宋体" w:hAnsi="宋体" w:cs="宋体"/>
          <w:kern w:val="0"/>
          <w:sz w:val="24"/>
        </w:rPr>
        <w:t>姓名</w:t>
      </w:r>
      <w:r>
        <w:rPr>
          <w:rFonts w:hint="eastAsia" w:ascii="宋体" w:hAnsi="宋体" w:cs="宋体"/>
          <w:kern w:val="0"/>
          <w:sz w:val="24"/>
          <w:lang w:eastAsia="zh-CN"/>
        </w:rPr>
        <w:t>）</w:t>
      </w:r>
      <w:r>
        <w:rPr>
          <w:rFonts w:hint="eastAsia" w:ascii="宋体" w:hAnsi="宋体" w:cs="宋体"/>
          <w:kern w:val="0"/>
          <w:sz w:val="24"/>
        </w:rPr>
        <w:t>代表我方</w:t>
      </w:r>
      <w:r>
        <w:rPr>
          <w:rFonts w:hint="eastAsia" w:ascii="宋体" w:hAnsi="宋体" w:cs="宋体"/>
          <w:kern w:val="0"/>
          <w:sz w:val="24"/>
          <w:u w:val="single"/>
        </w:rPr>
        <w:t xml:space="preserve">          （</w:t>
      </w:r>
      <w:r>
        <w:rPr>
          <w:rFonts w:hint="eastAsia" w:ascii="宋体" w:hAnsi="宋体" w:cs="宋体"/>
          <w:kern w:val="0"/>
          <w:sz w:val="24"/>
        </w:rPr>
        <w:t>投标人的名称），全权处理本次项目投标的有关事宜。</w:t>
      </w:r>
    </w:p>
    <w:p w14:paraId="254CE5DF">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据此函，</w:t>
      </w:r>
      <w:r>
        <w:rPr>
          <w:rFonts w:hint="eastAsia" w:ascii="宋体" w:hAnsi="宋体" w:cs="宋体"/>
          <w:kern w:val="0"/>
          <w:sz w:val="24"/>
          <w:u w:val="single"/>
        </w:rPr>
        <w:t xml:space="preserve">        </w:t>
      </w:r>
      <w:r>
        <w:rPr>
          <w:rFonts w:hint="eastAsia" w:ascii="宋体" w:hAnsi="宋体" w:cs="宋体"/>
          <w:kern w:val="0"/>
          <w:sz w:val="24"/>
          <w:u w:val="single"/>
          <w:lang w:eastAsia="zh-CN"/>
        </w:rPr>
        <w:t>（</w:t>
      </w:r>
      <w:r>
        <w:rPr>
          <w:rFonts w:hint="eastAsia" w:ascii="宋体" w:hAnsi="宋体" w:cs="宋体"/>
          <w:kern w:val="0"/>
          <w:sz w:val="24"/>
        </w:rPr>
        <w:t>姓名</w:t>
      </w:r>
      <w:r>
        <w:rPr>
          <w:rFonts w:hint="eastAsia" w:ascii="宋体" w:hAnsi="宋体" w:cs="宋体"/>
          <w:kern w:val="0"/>
          <w:sz w:val="24"/>
          <w:lang w:eastAsia="zh-CN"/>
        </w:rPr>
        <w:t>）</w:t>
      </w:r>
      <w:r>
        <w:rPr>
          <w:rFonts w:hint="eastAsia" w:ascii="宋体" w:hAnsi="宋体" w:cs="宋体"/>
          <w:kern w:val="0"/>
          <w:sz w:val="24"/>
        </w:rPr>
        <w:t>签字人兹宣布同意如下：</w:t>
      </w:r>
    </w:p>
    <w:p w14:paraId="53048525">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1.按招标文件规定的各项要求，向买方提供所需货物、服务与服务。</w:t>
      </w:r>
    </w:p>
    <w:p w14:paraId="3C2CFE0A">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2.我们完全理解贵方不一定将合同授予最低报价的投标人。</w:t>
      </w:r>
    </w:p>
    <w:p w14:paraId="494078B3">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3.我们已详细审核全部招标文件及其有效补充文件，我们知道必须放弃提出含糊不清或误解问题的权利。</w:t>
      </w:r>
    </w:p>
    <w:p w14:paraId="30CCA2E4">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4.我们同意从规定的开标日期起遵循本投标文件，并在规定的投标有效期期满之前均具有约束力。</w:t>
      </w:r>
    </w:p>
    <w:p w14:paraId="23BC913E">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5.同意向贵方提供贵方可能另外要求的与投标有关的任何证据或资料，并保证我方已提供和将要提供的文件是真实的、准确的。</w:t>
      </w:r>
    </w:p>
    <w:p w14:paraId="6E603ADB">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6.一旦我方中标,我方将根据招标文件的规定，严格履行合同的责任和义务,并保证在招标文件规定的时间完成项目，交付买方验收、使用。</w:t>
      </w:r>
    </w:p>
    <w:p w14:paraId="2EC87031">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7.与本投标有关的正式通讯地址为：</w:t>
      </w:r>
    </w:p>
    <w:p w14:paraId="6AFF0925">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地址</w:t>
      </w:r>
      <w:r>
        <w:rPr>
          <w:rFonts w:hint="eastAsia" w:ascii="宋体" w:hAnsi="宋体" w:cs="宋体"/>
          <w:kern w:val="0"/>
          <w:sz w:val="24"/>
          <w:u w:val="single"/>
        </w:rPr>
        <w:t xml:space="preserve">：            </w:t>
      </w:r>
    </w:p>
    <w:p w14:paraId="57E64FFA">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邮编</w:t>
      </w:r>
      <w:r>
        <w:rPr>
          <w:rFonts w:hint="eastAsia" w:ascii="宋体" w:hAnsi="宋体" w:cs="宋体"/>
          <w:kern w:val="0"/>
          <w:sz w:val="24"/>
          <w:u w:val="single"/>
        </w:rPr>
        <w:t xml:space="preserve">：            </w:t>
      </w:r>
    </w:p>
    <w:p w14:paraId="094E0633">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电话</w:t>
      </w:r>
      <w:r>
        <w:rPr>
          <w:rFonts w:hint="eastAsia" w:ascii="宋体" w:hAnsi="宋体" w:cs="宋体"/>
          <w:kern w:val="0"/>
          <w:sz w:val="24"/>
          <w:u w:val="single"/>
        </w:rPr>
        <w:t xml:space="preserve">：            </w:t>
      </w:r>
    </w:p>
    <w:p w14:paraId="4B96D75B">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传真</w:t>
      </w:r>
      <w:r>
        <w:rPr>
          <w:rFonts w:hint="eastAsia" w:ascii="宋体" w:hAnsi="宋体" w:cs="宋体"/>
          <w:kern w:val="0"/>
          <w:sz w:val="24"/>
          <w:u w:val="single"/>
        </w:rPr>
        <w:t xml:space="preserve">：            </w:t>
      </w:r>
    </w:p>
    <w:p w14:paraId="7D581BC7">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投标人开户行</w:t>
      </w:r>
      <w:r>
        <w:rPr>
          <w:rFonts w:hint="eastAsia" w:ascii="宋体" w:hAnsi="宋体" w:cs="宋体"/>
          <w:kern w:val="0"/>
          <w:sz w:val="24"/>
          <w:u w:val="single"/>
        </w:rPr>
        <w:t xml:space="preserve">：            </w:t>
      </w:r>
    </w:p>
    <w:p w14:paraId="0A6D961D">
      <w:pPr>
        <w:widowControl/>
        <w:shd w:val="clear" w:color="auto" w:fill="FFFFFF"/>
        <w:wordWrap w:val="0"/>
        <w:spacing w:line="480" w:lineRule="exact"/>
        <w:ind w:firstLine="480" w:firstLineChars="200"/>
        <w:jc w:val="left"/>
        <w:rPr>
          <w:rFonts w:ascii="宋体" w:hAnsi="宋体" w:cs="宋体"/>
          <w:kern w:val="0"/>
          <w:sz w:val="24"/>
        </w:rPr>
      </w:pPr>
      <w:r>
        <w:rPr>
          <w:rFonts w:hint="eastAsia" w:ascii="宋体" w:hAnsi="宋体" w:cs="宋体"/>
          <w:kern w:val="0"/>
          <w:sz w:val="24"/>
        </w:rPr>
        <w:t>账户</w:t>
      </w:r>
      <w:r>
        <w:rPr>
          <w:rFonts w:hint="eastAsia" w:ascii="宋体" w:hAnsi="宋体" w:cs="宋体"/>
          <w:kern w:val="0"/>
          <w:sz w:val="24"/>
          <w:u w:val="single"/>
        </w:rPr>
        <w:t xml:space="preserve">：            </w:t>
      </w:r>
    </w:p>
    <w:p w14:paraId="4E25594B">
      <w:pPr>
        <w:widowControl/>
        <w:shd w:val="clear" w:color="auto" w:fill="FFFFFF"/>
        <w:wordWrap w:val="0"/>
        <w:spacing w:line="480" w:lineRule="exact"/>
        <w:jc w:val="left"/>
        <w:rPr>
          <w:rFonts w:ascii="宋体" w:hAnsi="宋体" w:cs="宋体"/>
          <w:kern w:val="0"/>
          <w:sz w:val="24"/>
        </w:rPr>
      </w:pPr>
    </w:p>
    <w:p w14:paraId="4256BFC0">
      <w:pPr>
        <w:kinsoku w:val="0"/>
        <w:topLinePunct/>
        <w:snapToGrid w:val="0"/>
        <w:spacing w:line="480" w:lineRule="exact"/>
        <w:ind w:firstLine="480" w:firstLineChars="200"/>
        <w:rPr>
          <w:rFonts w:ascii="宋体" w:hAnsi="宋体" w:cs="宋体"/>
          <w:sz w:val="24"/>
        </w:rPr>
      </w:pPr>
      <w:r>
        <w:rPr>
          <w:rFonts w:hint="eastAsia" w:ascii="宋体" w:hAnsi="宋体" w:cs="宋体"/>
          <w:sz w:val="24"/>
        </w:rPr>
        <w:t xml:space="preserve">投标人：（盖章）             </w:t>
      </w:r>
    </w:p>
    <w:p w14:paraId="498DC8CD">
      <w:pPr>
        <w:kinsoku w:val="0"/>
        <w:topLinePunct/>
        <w:snapToGrid w:val="0"/>
        <w:spacing w:line="480" w:lineRule="exact"/>
        <w:ind w:firstLine="480" w:firstLineChars="200"/>
        <w:rPr>
          <w:rFonts w:ascii="宋体" w:hAnsi="宋体" w:cs="宋体"/>
          <w:sz w:val="24"/>
        </w:rPr>
      </w:pPr>
      <w:r>
        <w:rPr>
          <w:rFonts w:hint="eastAsia" w:ascii="宋体" w:hAnsi="宋体" w:cs="宋体"/>
          <w:sz w:val="24"/>
        </w:rPr>
        <w:t>法定代表人或被授权人（签字或盖章）：</w:t>
      </w:r>
    </w:p>
    <w:p w14:paraId="4528309A">
      <w:pPr>
        <w:kinsoku w:val="0"/>
        <w:topLinePunct/>
        <w:snapToGrid w:val="0"/>
        <w:spacing w:line="480" w:lineRule="exact"/>
        <w:ind w:firstLine="480" w:firstLineChars="200"/>
        <w:rPr>
          <w:rFonts w:ascii="宋体" w:hAnsi="宋体" w:cs="宋体"/>
          <w:sz w:val="24"/>
        </w:rPr>
      </w:pPr>
      <w:r>
        <w:rPr>
          <w:rFonts w:hint="eastAsia" w:ascii="宋体" w:hAnsi="宋体" w:cs="宋体"/>
          <w:sz w:val="24"/>
        </w:rPr>
        <w:t>日期：</w:t>
      </w:r>
    </w:p>
    <w:p w14:paraId="26C8A2FA">
      <w:pPr>
        <w:ind w:firstLine="482" w:firstLineChars="200"/>
        <w:jc w:val="center"/>
        <w:outlineLvl w:val="2"/>
        <w:rPr>
          <w:rFonts w:ascii="宋体" w:hAnsi="宋体" w:cs="宋体"/>
          <w:b/>
          <w:bCs/>
          <w:sz w:val="24"/>
        </w:rPr>
      </w:pPr>
      <w:r>
        <w:rPr>
          <w:rFonts w:hint="eastAsia" w:ascii="宋体" w:hAnsi="宋体" w:cs="宋体"/>
          <w:b/>
          <w:bCs/>
          <w:sz w:val="24"/>
        </w:rPr>
        <w:br w:type="page"/>
      </w:r>
      <w:r>
        <w:rPr>
          <w:rFonts w:hint="eastAsia" w:ascii="宋体" w:hAnsi="宋体" w:cs="宋体"/>
          <w:b/>
          <w:bCs/>
          <w:sz w:val="24"/>
          <w:lang w:eastAsia="zh-CN"/>
        </w:rPr>
        <w:t>2.</w:t>
      </w:r>
      <w:r>
        <w:rPr>
          <w:rFonts w:hint="eastAsia" w:ascii="宋体" w:hAnsi="宋体" w:cs="宋体"/>
          <w:b/>
          <w:bCs/>
          <w:sz w:val="24"/>
        </w:rPr>
        <w:t>技术部分正负偏离表</w:t>
      </w:r>
    </w:p>
    <w:p w14:paraId="3262C6D0">
      <w:pPr>
        <w:ind w:firstLine="480" w:firstLineChars="200"/>
        <w:jc w:val="center"/>
        <w:rPr>
          <w:rFonts w:ascii="宋体" w:hAnsi="宋体"/>
          <w:sz w:val="28"/>
          <w:szCs w:val="28"/>
        </w:rPr>
      </w:pPr>
      <w:r>
        <w:rPr>
          <w:rFonts w:hint="eastAsia" w:ascii="宋体" w:hAnsi="宋体" w:cs="宋体"/>
          <w:bCs/>
          <w:sz w:val="24"/>
        </w:rPr>
        <w:t>（由投标人据实填写，表格不够自行添加）</w:t>
      </w:r>
    </w:p>
    <w:tbl>
      <w:tblPr>
        <w:tblStyle w:val="2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4"/>
        <w:gridCol w:w="2301"/>
        <w:gridCol w:w="2009"/>
        <w:gridCol w:w="2593"/>
        <w:gridCol w:w="1427"/>
      </w:tblGrid>
      <w:tr w14:paraId="15840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86C1B93">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31B0CCF2">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763CCD3">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3D74C2EE">
            <w:pPr>
              <w:spacing w:line="340" w:lineRule="exact"/>
              <w:jc w:val="center"/>
              <w:rPr>
                <w:rFonts w:ascii="宋体" w:hAnsi="宋体"/>
                <w:sz w:val="24"/>
              </w:rPr>
            </w:pPr>
            <w:r>
              <w:rPr>
                <w:rFonts w:hint="eastAsia" w:ascii="宋体" w:hAnsi="宋体"/>
                <w:sz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37E8B9C6">
            <w:pPr>
              <w:spacing w:line="340" w:lineRule="exact"/>
              <w:jc w:val="center"/>
              <w:rPr>
                <w:rFonts w:ascii="宋体" w:hAnsi="宋体"/>
                <w:sz w:val="24"/>
              </w:rPr>
            </w:pPr>
          </w:p>
          <w:p w14:paraId="4603BEEA">
            <w:pPr>
              <w:spacing w:line="340" w:lineRule="exact"/>
              <w:jc w:val="center"/>
              <w:rPr>
                <w:rFonts w:ascii="宋体" w:hAnsi="宋体"/>
                <w:sz w:val="24"/>
              </w:rPr>
            </w:pPr>
            <w:r>
              <w:rPr>
                <w:rFonts w:hint="eastAsia" w:ascii="宋体" w:hAnsi="宋体"/>
                <w:sz w:val="24"/>
              </w:rPr>
              <w:t>偏离说明</w:t>
            </w:r>
          </w:p>
        </w:tc>
      </w:tr>
      <w:tr w14:paraId="37D08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04A3993">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E66F24F">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15C787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121806F">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63E0F4AE">
            <w:pPr>
              <w:spacing w:line="340" w:lineRule="exact"/>
              <w:jc w:val="left"/>
              <w:rPr>
                <w:sz w:val="24"/>
              </w:rPr>
            </w:pPr>
          </w:p>
        </w:tc>
      </w:tr>
      <w:tr w14:paraId="218B6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1EDDB0C">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6963A4B3">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077D0F4">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0647E91">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7C8B7DDE">
            <w:pPr>
              <w:spacing w:line="340" w:lineRule="exact"/>
              <w:jc w:val="left"/>
              <w:rPr>
                <w:sz w:val="24"/>
              </w:rPr>
            </w:pPr>
          </w:p>
        </w:tc>
      </w:tr>
      <w:tr w14:paraId="7DFD0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F740349">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0A8CDE69">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B4986C3">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53B5AFA">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35CF2F4C">
            <w:pPr>
              <w:spacing w:line="340" w:lineRule="exact"/>
              <w:jc w:val="left"/>
              <w:rPr>
                <w:sz w:val="24"/>
              </w:rPr>
            </w:pPr>
          </w:p>
        </w:tc>
      </w:tr>
      <w:tr w14:paraId="0D51D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7A0696D">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41FE94D">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0BC1A79">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117C4D1">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490E8E88">
            <w:pPr>
              <w:spacing w:line="340" w:lineRule="exact"/>
              <w:jc w:val="left"/>
              <w:rPr>
                <w:sz w:val="24"/>
              </w:rPr>
            </w:pPr>
          </w:p>
        </w:tc>
      </w:tr>
    </w:tbl>
    <w:p w14:paraId="244D6F86">
      <w:pPr>
        <w:snapToGrid w:val="0"/>
        <w:spacing w:line="300" w:lineRule="auto"/>
        <w:contextualSpacing/>
        <w:rPr>
          <w:rFonts w:ascii="宋体" w:hAnsi="宋体"/>
          <w:b/>
          <w:sz w:val="24"/>
        </w:rPr>
      </w:pPr>
      <w:r>
        <w:rPr>
          <w:rFonts w:hint="eastAsia" w:ascii="宋体" w:hAnsi="宋体"/>
          <w:b/>
          <w:sz w:val="24"/>
        </w:rPr>
        <w:t>注：</w:t>
      </w:r>
    </w:p>
    <w:p w14:paraId="23179877">
      <w:pPr>
        <w:snapToGrid w:val="0"/>
        <w:spacing w:line="300" w:lineRule="auto"/>
        <w:ind w:firstLine="480" w:firstLineChars="200"/>
        <w:contextualSpacing/>
        <w:rPr>
          <w:rFonts w:ascii="宋体" w:hAnsi="宋体"/>
          <w:sz w:val="24"/>
        </w:rPr>
      </w:pPr>
      <w:r>
        <w:rPr>
          <w:rFonts w:hint="eastAsia" w:ascii="宋体" w:hAnsi="宋体"/>
          <w:sz w:val="24"/>
        </w:rPr>
        <w:t>1.投标人提交的投标文件中与招标文件第三章“项目需求说明”，应逐条填列在偏离表中。</w:t>
      </w:r>
    </w:p>
    <w:p w14:paraId="26221D3F">
      <w:pPr>
        <w:snapToGrid w:val="0"/>
        <w:spacing w:line="300" w:lineRule="auto"/>
        <w:ind w:firstLine="480" w:firstLineChars="200"/>
        <w:contextualSpacing/>
        <w:rPr>
          <w:rFonts w:ascii="宋体" w:hAnsi="宋体"/>
          <w:sz w:val="24"/>
        </w:rPr>
      </w:pPr>
      <w:r>
        <w:rPr>
          <w:rFonts w:hint="eastAsia" w:ascii="宋体" w:hAnsi="宋体"/>
          <w:sz w:val="24"/>
        </w:rPr>
        <w:t>2. “偏离说明”一栏选择“正偏离”、“无偏离”、“负偏离”进行填写。正偏离、无偏离的确认和负偏离的是否响应招标文件，由评委认定。</w:t>
      </w:r>
    </w:p>
    <w:p w14:paraId="62C3A22A">
      <w:pPr>
        <w:snapToGrid w:val="0"/>
        <w:spacing w:line="300" w:lineRule="auto"/>
        <w:ind w:firstLine="480" w:firstLineChars="200"/>
        <w:contextualSpacing/>
        <w:rPr>
          <w:rFonts w:ascii="宋体" w:hAnsi="宋体"/>
          <w:sz w:val="24"/>
        </w:rPr>
      </w:pPr>
      <w:r>
        <w:rPr>
          <w:rFonts w:hint="eastAsia" w:ascii="宋体" w:hAnsi="宋体"/>
          <w:sz w:val="24"/>
        </w:rPr>
        <w:t>3.投标人如果虚假响应，将被暂停参加采购人组织采购活动。</w:t>
      </w:r>
    </w:p>
    <w:p w14:paraId="6296D40A">
      <w:pPr>
        <w:spacing w:line="360" w:lineRule="auto"/>
        <w:ind w:firstLine="480" w:firstLineChars="200"/>
        <w:rPr>
          <w:rFonts w:ascii="宋体" w:hAnsi="宋体" w:eastAsia="楷体_GB2312"/>
          <w:sz w:val="24"/>
          <w:szCs w:val="26"/>
        </w:rPr>
      </w:pPr>
      <w:r>
        <w:rPr>
          <w:rFonts w:hint="eastAsia" w:ascii="宋体" w:hAnsi="宋体"/>
          <w:bCs/>
          <w:sz w:val="24"/>
        </w:rPr>
        <w:t>4.供应商若提供其他增值服务，可以在表中自行据实填写。</w:t>
      </w:r>
    </w:p>
    <w:p w14:paraId="1D8871D8">
      <w:pPr>
        <w:spacing w:line="360" w:lineRule="auto"/>
        <w:jc w:val="center"/>
        <w:rPr>
          <w:rFonts w:ascii="宋体" w:hAnsi="宋体" w:cs="宋体"/>
          <w:sz w:val="24"/>
        </w:rPr>
      </w:pPr>
    </w:p>
    <w:p w14:paraId="7AA4A058">
      <w:pPr>
        <w:spacing w:line="360" w:lineRule="auto"/>
        <w:jc w:val="center"/>
        <w:outlineLvl w:val="2"/>
        <w:rPr>
          <w:rFonts w:ascii="宋体" w:hAnsi="宋体" w:cs="宋体"/>
          <w:b/>
          <w:bCs/>
          <w:sz w:val="24"/>
        </w:rPr>
      </w:pPr>
      <w:r>
        <w:rPr>
          <w:rFonts w:hint="eastAsia" w:ascii="宋体" w:hAnsi="宋体" w:cs="宋体"/>
          <w:b/>
          <w:bCs/>
          <w:sz w:val="24"/>
        </w:rPr>
        <w:br w:type="page"/>
      </w:r>
      <w:r>
        <w:rPr>
          <w:rFonts w:hint="eastAsia" w:ascii="宋体" w:hAnsi="宋体" w:cs="宋体"/>
          <w:b/>
          <w:bCs/>
          <w:sz w:val="24"/>
          <w:lang w:eastAsia="zh-CN"/>
        </w:rPr>
        <w:t>3.</w:t>
      </w:r>
      <w:r>
        <w:rPr>
          <w:rFonts w:hint="eastAsia" w:ascii="宋体" w:hAnsi="宋体" w:cs="宋体"/>
          <w:b/>
          <w:bCs/>
          <w:sz w:val="24"/>
        </w:rPr>
        <w:t>商务部分正负偏离表</w:t>
      </w:r>
    </w:p>
    <w:p w14:paraId="63E5C88F">
      <w:pPr>
        <w:ind w:firstLine="480" w:firstLineChars="200"/>
        <w:jc w:val="center"/>
        <w:rPr>
          <w:rFonts w:ascii="宋体" w:hAnsi="宋体" w:cs="宋体"/>
          <w:bCs/>
          <w:sz w:val="24"/>
        </w:rPr>
      </w:pPr>
      <w:r>
        <w:rPr>
          <w:rFonts w:hint="eastAsia" w:ascii="宋体" w:hAnsi="宋体" w:cs="宋体"/>
          <w:bCs/>
          <w:sz w:val="24"/>
        </w:rPr>
        <w:t>（由投标人据实填写，表格不够自行添加）</w:t>
      </w:r>
    </w:p>
    <w:tbl>
      <w:tblPr>
        <w:tblStyle w:val="2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4"/>
        <w:gridCol w:w="2301"/>
        <w:gridCol w:w="2009"/>
        <w:gridCol w:w="2593"/>
        <w:gridCol w:w="1427"/>
      </w:tblGrid>
      <w:tr w14:paraId="6F4D8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039EDF6C">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83827B3">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67D52D1D">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CC0B320">
            <w:pPr>
              <w:spacing w:line="340" w:lineRule="exact"/>
              <w:jc w:val="center"/>
              <w:rPr>
                <w:rFonts w:ascii="宋体" w:hAnsi="宋体"/>
                <w:sz w:val="24"/>
              </w:rPr>
            </w:pPr>
            <w:r>
              <w:rPr>
                <w:rFonts w:hint="eastAsia" w:ascii="宋体" w:hAnsi="宋体"/>
                <w:sz w:val="24"/>
              </w:rPr>
              <w:t>投标文件响应情况</w:t>
            </w:r>
          </w:p>
        </w:tc>
        <w:tc>
          <w:tcPr>
            <w:tcW w:w="778" w:type="pct"/>
            <w:tcBorders>
              <w:top w:val="single" w:color="auto" w:sz="12" w:space="0"/>
              <w:left w:val="single" w:color="auto" w:sz="6" w:space="0"/>
              <w:bottom w:val="single" w:color="auto" w:sz="6" w:space="0"/>
              <w:right w:val="single" w:color="auto" w:sz="12" w:space="0"/>
            </w:tcBorders>
          </w:tcPr>
          <w:p w14:paraId="1984E27B">
            <w:pPr>
              <w:spacing w:line="340" w:lineRule="exact"/>
              <w:jc w:val="center"/>
              <w:rPr>
                <w:rFonts w:ascii="宋体" w:hAnsi="宋体"/>
                <w:sz w:val="24"/>
              </w:rPr>
            </w:pPr>
          </w:p>
          <w:p w14:paraId="6A4093AF">
            <w:pPr>
              <w:spacing w:line="340" w:lineRule="exact"/>
              <w:jc w:val="center"/>
              <w:rPr>
                <w:rFonts w:ascii="宋体" w:hAnsi="宋体"/>
                <w:sz w:val="24"/>
              </w:rPr>
            </w:pPr>
            <w:r>
              <w:rPr>
                <w:rFonts w:hint="eastAsia" w:ascii="宋体" w:hAnsi="宋体"/>
                <w:sz w:val="24"/>
              </w:rPr>
              <w:t>偏离说明</w:t>
            </w:r>
          </w:p>
        </w:tc>
      </w:tr>
      <w:tr w14:paraId="7A39B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C1EF810">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3257D6B4">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058BF8E">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BDB5F91">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10DFCFC8">
            <w:pPr>
              <w:spacing w:line="340" w:lineRule="exact"/>
              <w:jc w:val="left"/>
              <w:rPr>
                <w:sz w:val="24"/>
              </w:rPr>
            </w:pPr>
          </w:p>
        </w:tc>
      </w:tr>
      <w:tr w14:paraId="67E2A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B3D9551">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842A1D5">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152D7B0">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C32A375">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39F313E7">
            <w:pPr>
              <w:spacing w:line="340" w:lineRule="exact"/>
              <w:jc w:val="left"/>
              <w:rPr>
                <w:sz w:val="24"/>
              </w:rPr>
            </w:pPr>
          </w:p>
        </w:tc>
      </w:tr>
      <w:tr w14:paraId="72001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5F59B5B">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A123CCC">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21FE220">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6D56B41">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295420A7">
            <w:pPr>
              <w:spacing w:line="340" w:lineRule="exact"/>
              <w:jc w:val="left"/>
              <w:rPr>
                <w:sz w:val="24"/>
              </w:rPr>
            </w:pPr>
          </w:p>
        </w:tc>
      </w:tr>
      <w:tr w14:paraId="45864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50071E2">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3D3E212">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70AD664">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53596D5">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14:paraId="05DB62FF">
            <w:pPr>
              <w:spacing w:line="340" w:lineRule="exact"/>
              <w:jc w:val="left"/>
              <w:rPr>
                <w:sz w:val="24"/>
              </w:rPr>
            </w:pPr>
          </w:p>
        </w:tc>
      </w:tr>
    </w:tbl>
    <w:p w14:paraId="0175D241">
      <w:pPr>
        <w:snapToGrid w:val="0"/>
        <w:spacing w:line="300" w:lineRule="auto"/>
        <w:contextualSpacing/>
        <w:rPr>
          <w:rFonts w:ascii="宋体" w:hAnsi="宋体"/>
          <w:b/>
          <w:sz w:val="24"/>
        </w:rPr>
      </w:pPr>
      <w:r>
        <w:rPr>
          <w:rFonts w:hint="eastAsia" w:ascii="宋体" w:hAnsi="宋体"/>
          <w:b/>
          <w:sz w:val="24"/>
        </w:rPr>
        <w:t>注：</w:t>
      </w:r>
    </w:p>
    <w:p w14:paraId="77FF4186">
      <w:pPr>
        <w:snapToGrid w:val="0"/>
        <w:spacing w:line="300" w:lineRule="auto"/>
        <w:ind w:firstLine="480" w:firstLineChars="200"/>
        <w:contextualSpacing/>
        <w:rPr>
          <w:rFonts w:ascii="宋体" w:hAnsi="宋体"/>
          <w:sz w:val="24"/>
        </w:rPr>
      </w:pPr>
      <w:r>
        <w:rPr>
          <w:rFonts w:hint="eastAsia" w:ascii="宋体" w:hAnsi="宋体"/>
          <w:sz w:val="24"/>
        </w:rPr>
        <w:t>1.投标人提交的投标文件中与招标文件第三章“项目需求说明”，应逐条填列在偏离表中。</w:t>
      </w:r>
    </w:p>
    <w:p w14:paraId="37EB8CC2">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2.“偏离说明”一栏选择“正偏离”、“无偏离”、“负偏离”进行填写。正偏离、无偏离的确认和负偏离的是否响应招标文件，由评委认定。</w:t>
      </w:r>
    </w:p>
    <w:p w14:paraId="524CF25F">
      <w:pPr>
        <w:snapToGrid w:val="0"/>
        <w:spacing w:line="300" w:lineRule="auto"/>
        <w:ind w:firstLine="480" w:firstLineChars="200"/>
        <w:contextualSpacing/>
        <w:rPr>
          <w:rFonts w:ascii="宋体" w:hAnsi="宋体"/>
          <w:sz w:val="24"/>
        </w:rPr>
      </w:pPr>
      <w:r>
        <w:rPr>
          <w:rFonts w:hint="eastAsia" w:ascii="宋体" w:hAnsi="宋体"/>
          <w:sz w:val="24"/>
        </w:rPr>
        <w:t>3. 投标人如果虚假响应，将被暂停参加采购人组织采购活动。</w:t>
      </w:r>
    </w:p>
    <w:p w14:paraId="0EC8B097">
      <w:pPr>
        <w:snapToGrid w:val="0"/>
        <w:spacing w:line="300" w:lineRule="auto"/>
        <w:ind w:firstLine="480" w:firstLineChars="200"/>
        <w:contextualSpacing/>
        <w:rPr>
          <w:rFonts w:ascii="宋体" w:hAnsi="宋体" w:eastAsia="楷体_GB2312"/>
          <w:sz w:val="24"/>
          <w:szCs w:val="26"/>
        </w:rPr>
      </w:pPr>
      <w:r>
        <w:rPr>
          <w:rFonts w:hint="eastAsia" w:ascii="宋体" w:hAnsi="宋体"/>
          <w:bCs/>
          <w:sz w:val="24"/>
        </w:rPr>
        <w:t>4.供应商若提供其他增值服务，可以在表中自行据实填写。</w:t>
      </w:r>
    </w:p>
    <w:p w14:paraId="0B5C4B1A">
      <w:pPr>
        <w:snapToGrid w:val="0"/>
        <w:spacing w:line="300" w:lineRule="auto"/>
        <w:ind w:firstLine="480" w:firstLineChars="200"/>
        <w:contextualSpacing/>
        <w:rPr>
          <w:rFonts w:ascii="宋体" w:hAnsi="宋体"/>
          <w:sz w:val="24"/>
        </w:rPr>
      </w:pPr>
    </w:p>
    <w:p w14:paraId="528C1221">
      <w:pPr>
        <w:snapToGrid w:val="0"/>
        <w:spacing w:line="300" w:lineRule="auto"/>
        <w:ind w:firstLine="480" w:firstLineChars="200"/>
        <w:contextualSpacing/>
        <w:rPr>
          <w:rFonts w:ascii="宋体" w:hAnsi="宋体"/>
          <w:sz w:val="24"/>
        </w:rPr>
      </w:pPr>
    </w:p>
    <w:p w14:paraId="58660331">
      <w:pPr>
        <w:snapToGrid w:val="0"/>
        <w:spacing w:line="300" w:lineRule="auto"/>
        <w:ind w:firstLine="480" w:firstLineChars="200"/>
        <w:contextualSpacing/>
        <w:rPr>
          <w:rFonts w:ascii="宋体" w:hAnsi="宋体"/>
          <w:sz w:val="24"/>
        </w:rPr>
      </w:pPr>
      <w:r>
        <w:rPr>
          <w:rFonts w:hint="eastAsia" w:ascii="宋体" w:hAnsi="宋体"/>
          <w:sz w:val="24"/>
        </w:rPr>
        <w:t>投标人：（盖章）</w:t>
      </w:r>
    </w:p>
    <w:p w14:paraId="7EF32821">
      <w:pPr>
        <w:snapToGrid w:val="0"/>
        <w:spacing w:line="300" w:lineRule="auto"/>
        <w:ind w:firstLine="480" w:firstLineChars="200"/>
        <w:contextualSpacing/>
        <w:rPr>
          <w:rFonts w:ascii="宋体" w:hAnsi="宋体"/>
          <w:sz w:val="24"/>
        </w:rPr>
      </w:pPr>
      <w:r>
        <w:rPr>
          <w:rFonts w:hint="eastAsia" w:ascii="宋体" w:hAnsi="宋体"/>
          <w:sz w:val="24"/>
        </w:rPr>
        <w:t>法定代表人或被授权人（签字或盖章）：</w:t>
      </w:r>
    </w:p>
    <w:p w14:paraId="71973EE6">
      <w:pPr>
        <w:snapToGrid w:val="0"/>
        <w:spacing w:line="300" w:lineRule="auto"/>
        <w:ind w:firstLine="480" w:firstLineChars="200"/>
        <w:contextualSpacing/>
        <w:rPr>
          <w:rFonts w:ascii="宋体" w:hAnsi="宋体"/>
          <w:sz w:val="24"/>
        </w:rPr>
      </w:pPr>
      <w:r>
        <w:rPr>
          <w:rFonts w:hint="eastAsia" w:ascii="宋体" w:hAnsi="宋体"/>
          <w:sz w:val="24"/>
        </w:rPr>
        <w:t>日期：</w:t>
      </w:r>
    </w:p>
    <w:p w14:paraId="2E297D0F">
      <w:pPr>
        <w:spacing w:line="480" w:lineRule="exact"/>
        <w:ind w:left="1256"/>
        <w:rPr>
          <w:rFonts w:ascii="宋体" w:hAnsi="宋体" w:cs="宋体"/>
          <w:sz w:val="24"/>
        </w:rPr>
      </w:pPr>
    </w:p>
    <w:p w14:paraId="348E75FA">
      <w:pPr>
        <w:pStyle w:val="27"/>
        <w:ind w:firstLine="482"/>
        <w:rPr>
          <w:rFonts w:ascii="宋体" w:hAnsi="宋体" w:eastAsia="宋体" w:cs="宋体"/>
          <w:b/>
          <w:kern w:val="2"/>
          <w:sz w:val="24"/>
          <w:szCs w:val="24"/>
        </w:rPr>
      </w:pPr>
    </w:p>
    <w:p w14:paraId="5F255581">
      <w:pPr>
        <w:spacing w:line="520" w:lineRule="exact"/>
        <w:outlineLvl w:val="1"/>
        <w:rPr>
          <w:rFonts w:hint="eastAsia" w:ascii="宋体" w:hAnsi="宋体" w:cs="宋体"/>
          <w:b/>
          <w:bCs/>
          <w:sz w:val="24"/>
        </w:rPr>
        <w:sectPr>
          <w:pgSz w:w="11906" w:h="16838"/>
          <w:pgMar w:top="1418" w:right="1474" w:bottom="1418" w:left="1474" w:header="851" w:footer="907" w:gutter="0"/>
          <w:pgNumType w:fmt="decimal"/>
          <w:cols w:space="720" w:num="1"/>
          <w:docGrid w:type="lines" w:linePitch="312" w:charSpace="0"/>
        </w:sectPr>
      </w:pPr>
    </w:p>
    <w:p w14:paraId="23BC9D4D">
      <w:pPr>
        <w:spacing w:line="520" w:lineRule="exact"/>
        <w:outlineLvl w:val="1"/>
        <w:rPr>
          <w:rFonts w:ascii="宋体" w:hAnsi="宋体" w:cs="宋体"/>
          <w:b/>
          <w:sz w:val="24"/>
        </w:rPr>
      </w:pPr>
      <w:r>
        <w:rPr>
          <w:rFonts w:hint="eastAsia" w:ascii="宋体" w:hAnsi="宋体" w:cs="宋体"/>
          <w:b/>
          <w:bCs/>
          <w:sz w:val="24"/>
        </w:rPr>
        <w:t>三、</w:t>
      </w:r>
      <w:r>
        <w:rPr>
          <w:rFonts w:hint="eastAsia" w:ascii="宋体" w:hAnsi="宋体" w:cs="宋体"/>
          <w:b/>
          <w:sz w:val="24"/>
        </w:rPr>
        <w:t>商务标相关的格式文件及表格</w:t>
      </w:r>
    </w:p>
    <w:p w14:paraId="1039AA16">
      <w:pPr>
        <w:snapToGrid w:val="0"/>
        <w:spacing w:line="520" w:lineRule="exact"/>
        <w:jc w:val="center"/>
        <w:rPr>
          <w:rFonts w:ascii="宋体" w:hAnsi="宋体" w:cs="宋体"/>
          <w:b/>
          <w:bCs/>
          <w:sz w:val="24"/>
        </w:rPr>
      </w:pPr>
    </w:p>
    <w:p w14:paraId="78AAA1E8">
      <w:pPr>
        <w:pStyle w:val="5"/>
        <w:jc w:val="center"/>
        <w:outlineLvl w:val="2"/>
        <w:rPr>
          <w:sz w:val="24"/>
          <w:szCs w:val="24"/>
        </w:rPr>
      </w:pPr>
      <w:r>
        <w:rPr>
          <w:rFonts w:hint="eastAsia"/>
          <w:sz w:val="24"/>
          <w:szCs w:val="24"/>
          <w:lang w:val="en-US" w:eastAsia="zh-CN"/>
        </w:rPr>
        <w:t>1.开标一览</w:t>
      </w:r>
      <w:r>
        <w:rPr>
          <w:rFonts w:hint="eastAsia"/>
          <w:sz w:val="24"/>
          <w:szCs w:val="24"/>
        </w:rPr>
        <w:t>表</w:t>
      </w:r>
    </w:p>
    <w:p w14:paraId="6493A6F3">
      <w:pPr>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我方已仔细研究了招标文件及附件的全部内容，愿意就该项目给出如下报价： </w:t>
      </w:r>
    </w:p>
    <w:p w14:paraId="284D3D61">
      <w:pPr>
        <w:rPr>
          <w:rFonts w:hint="eastAsia" w:asciiTheme="minorEastAsia" w:hAnsiTheme="minorEastAsia" w:eastAsiaTheme="minorEastAsia" w:cstheme="minorEastAsia"/>
          <w:sz w:val="24"/>
          <w:szCs w:val="24"/>
        </w:rPr>
      </w:pPr>
    </w:p>
    <w:tbl>
      <w:tblPr>
        <w:tblStyle w:val="28"/>
        <w:tblW w:w="87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7FBB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14:paraId="03CEAF74">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货物、服务名称</w:t>
            </w:r>
          </w:p>
        </w:tc>
        <w:tc>
          <w:tcPr>
            <w:tcW w:w="4607" w:type="dxa"/>
            <w:noWrap w:val="0"/>
            <w:vAlign w:val="top"/>
          </w:tcPr>
          <w:p w14:paraId="35DDBC3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总报价</w:t>
            </w:r>
          </w:p>
        </w:tc>
      </w:tr>
      <w:tr w14:paraId="30C1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val="0"/>
            <w:vAlign w:val="top"/>
          </w:tcPr>
          <w:p w14:paraId="578E9348">
            <w:pPr>
              <w:rPr>
                <w:rFonts w:hint="eastAsia" w:asciiTheme="minorEastAsia" w:hAnsiTheme="minorEastAsia" w:eastAsiaTheme="minorEastAsia" w:cstheme="minorEastAsia"/>
                <w:sz w:val="24"/>
                <w:szCs w:val="24"/>
              </w:rPr>
            </w:pPr>
          </w:p>
        </w:tc>
        <w:tc>
          <w:tcPr>
            <w:tcW w:w="4607" w:type="dxa"/>
            <w:noWrap w:val="0"/>
            <w:vAlign w:val="top"/>
          </w:tcPr>
          <w:p w14:paraId="7E35C241">
            <w:pP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小写：元（人民币）</w:t>
            </w:r>
          </w:p>
        </w:tc>
      </w:tr>
      <w:tr w14:paraId="6A60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2"/>
            <w:noWrap w:val="0"/>
            <w:vAlign w:val="top"/>
          </w:tcPr>
          <w:p w14:paraId="0B47B489">
            <w:pPr>
              <w:tabs>
                <w:tab w:val="left" w:pos="245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履约承诺：</w:t>
            </w:r>
          </w:p>
          <w:p w14:paraId="77437A26">
            <w:pPr>
              <w:tabs>
                <w:tab w:val="left" w:pos="245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我单位承诺严格按照招标文件相关要求履约。</w:t>
            </w:r>
          </w:p>
        </w:tc>
      </w:tr>
    </w:tbl>
    <w:p w14:paraId="5CDAD96B">
      <w:pPr>
        <w:rPr>
          <w:rFonts w:hint="eastAsia" w:asciiTheme="minorEastAsia" w:hAnsiTheme="minorEastAsia" w:eastAsiaTheme="minorEastAsia" w:cstheme="minorEastAsia"/>
          <w:sz w:val="24"/>
          <w:szCs w:val="24"/>
        </w:rPr>
      </w:pPr>
    </w:p>
    <w:p w14:paraId="1DB4A0D9">
      <w:pP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供应商全称（加盖公章）：</w:t>
      </w:r>
    </w:p>
    <w:p w14:paraId="36C71BD8">
      <w:pP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项目名称：</w:t>
      </w:r>
    </w:p>
    <w:p w14:paraId="043AEFB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p w14:paraId="09423D9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6729FE14">
      <w:pPr>
        <w:rPr>
          <w:rFonts w:hint="eastAsia" w:asciiTheme="minorEastAsia" w:hAnsiTheme="minorEastAsia" w:eastAsiaTheme="minorEastAsia" w:cstheme="minorEastAsia"/>
          <w:sz w:val="24"/>
          <w:szCs w:val="24"/>
        </w:rPr>
      </w:pPr>
    </w:p>
    <w:p w14:paraId="243682C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填写说明：</w:t>
      </w:r>
    </w:p>
    <w:p w14:paraId="6A11B59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报价总表必须加盖供应商公章（复印件无效）。</w:t>
      </w:r>
    </w:p>
    <w:p w14:paraId="40FDFF7C">
      <w:pPr>
        <w:widowControl/>
        <w:snapToGri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报价包括完成本项目的全部费用，采购方不再支付任何其它费用。</w:t>
      </w:r>
    </w:p>
    <w:p w14:paraId="3D8D46EB">
      <w:pPr>
        <w:spacing w:before="260" w:after="260" w:line="416" w:lineRule="auto"/>
        <w:jc w:val="right"/>
        <w:outlineLvl w:val="2"/>
        <w:rPr>
          <w:rFonts w:ascii="宋体" w:hAnsi="宋体" w:cs="宋体"/>
          <w:sz w:val="24"/>
        </w:rPr>
      </w:pPr>
    </w:p>
    <w:sectPr>
      <w:footerReference r:id="rId5" w:type="default"/>
      <w:pgSz w:w="11906" w:h="16838"/>
      <w:pgMar w:top="1418" w:right="1474" w:bottom="1418" w:left="1474" w:header="851" w:footer="90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altName w:val="Segoe Print"/>
    <w:panose1 w:val="02020609040205080304"/>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FD2D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D596A">
    <w:pPr>
      <w:pStyle w:val="18"/>
    </w:pPr>
    <w:r>
      <w:rPr>
        <w:sz w:val="18"/>
      </w:rPr>
      <w:pict>
        <v:shape id="_x0000_s3075" o:spid="_x0000_s3075" o:spt="202" type="#_x0000_t202" style="position:absolute;left:0pt;margin-left:187.95pt;margin-top:-5pt;height:16.65pt;width:144pt;mso-position-horizontal-relative:margin;mso-wrap-style:none;z-index:251659264;mso-width-relative:page;mso-height-relative:page;" filled="f" stroked="f" coordsize="21600,21600">
          <v:path/>
          <v:fill on="f" focussize="0,0"/>
          <v:stroke on="f"/>
          <v:imagedata o:title=""/>
          <o:lock v:ext="edit" aspectratio="f"/>
          <v:textbox inset="0mm,0mm,0mm,0mm">
            <w:txbxContent>
              <w:p w14:paraId="681B62E5">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62E2">
    <w:pPr>
      <w:pStyle w:val="18"/>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E6BC88F">
                <w:pPr>
                  <w:pStyle w:val="18"/>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E07F6"/>
    <w:multiLevelType w:val="singleLevel"/>
    <w:tmpl w:val="A41E07F6"/>
    <w:lvl w:ilvl="0" w:tentative="0">
      <w:start w:val="6"/>
      <w:numFmt w:val="chineseCounting"/>
      <w:suff w:val="nothing"/>
      <w:lvlText w:val="%1、"/>
      <w:lvlJc w:val="left"/>
      <w:rPr>
        <w:rFonts w:hint="eastAsia"/>
      </w:rPr>
    </w:lvl>
  </w:abstractNum>
  <w:abstractNum w:abstractNumId="1">
    <w:nsid w:val="0000003D"/>
    <w:multiLevelType w:val="multilevel"/>
    <w:tmpl w:val="0000003D"/>
    <w:lvl w:ilvl="0" w:tentative="0">
      <w:start w:val="1"/>
      <w:numFmt w:val="chineseCountingThousand"/>
      <w:pStyle w:val="3"/>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2">
    <w:nsid w:val="4405C25D"/>
    <w:multiLevelType w:val="singleLevel"/>
    <w:tmpl w:val="4405C25D"/>
    <w:lvl w:ilvl="0" w:tentative="0">
      <w:start w:val="1"/>
      <w:numFmt w:val="chineseCounting"/>
      <w:suff w:val="nothing"/>
      <w:lvlText w:val="%1、"/>
      <w:lvlJc w:val="left"/>
      <w:rPr>
        <w:rFonts w:hint="eastAsia"/>
      </w:rPr>
    </w:lvl>
  </w:abstractNum>
  <w:abstractNum w:abstractNumId="3">
    <w:nsid w:val="69D446CA"/>
    <w:multiLevelType w:val="multilevel"/>
    <w:tmpl w:val="69D446CA"/>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82CB99"/>
    <w:multiLevelType w:val="singleLevel"/>
    <w:tmpl w:val="6D82CB99"/>
    <w:lvl w:ilvl="0" w:tentative="0">
      <w:start w:val="1"/>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ZlYTgwYjcwYjJlNzczMzk4YzcyOWMzOGI2YjBiNjEifQ=="/>
  </w:docVars>
  <w:rsids>
    <w:rsidRoot w:val="00AB58A2"/>
    <w:rsid w:val="000049C1"/>
    <w:rsid w:val="0007121B"/>
    <w:rsid w:val="00091BE8"/>
    <w:rsid w:val="000C294E"/>
    <w:rsid w:val="000C6F26"/>
    <w:rsid w:val="001B1D5E"/>
    <w:rsid w:val="001F38AE"/>
    <w:rsid w:val="00203C61"/>
    <w:rsid w:val="00263D69"/>
    <w:rsid w:val="00324AA9"/>
    <w:rsid w:val="00380901"/>
    <w:rsid w:val="003D1338"/>
    <w:rsid w:val="003E10E0"/>
    <w:rsid w:val="004D7089"/>
    <w:rsid w:val="00503C0A"/>
    <w:rsid w:val="005461ED"/>
    <w:rsid w:val="0056197F"/>
    <w:rsid w:val="00604F05"/>
    <w:rsid w:val="0065685F"/>
    <w:rsid w:val="0066489D"/>
    <w:rsid w:val="00686E12"/>
    <w:rsid w:val="006A1FA3"/>
    <w:rsid w:val="006F0024"/>
    <w:rsid w:val="00833FE3"/>
    <w:rsid w:val="008B5C8C"/>
    <w:rsid w:val="00924E41"/>
    <w:rsid w:val="00952699"/>
    <w:rsid w:val="009917E7"/>
    <w:rsid w:val="00AA7787"/>
    <w:rsid w:val="00AB58A2"/>
    <w:rsid w:val="00C326A6"/>
    <w:rsid w:val="00C9402C"/>
    <w:rsid w:val="00CD171F"/>
    <w:rsid w:val="00D235AF"/>
    <w:rsid w:val="00D66982"/>
    <w:rsid w:val="00D73B41"/>
    <w:rsid w:val="00D956E8"/>
    <w:rsid w:val="00DA4062"/>
    <w:rsid w:val="00DC6917"/>
    <w:rsid w:val="00E353FB"/>
    <w:rsid w:val="00E5549D"/>
    <w:rsid w:val="00E657E7"/>
    <w:rsid w:val="00EA0ACE"/>
    <w:rsid w:val="00F36AEA"/>
    <w:rsid w:val="00F71759"/>
    <w:rsid w:val="00F83B74"/>
    <w:rsid w:val="00F84F45"/>
    <w:rsid w:val="01D17056"/>
    <w:rsid w:val="022B5D5E"/>
    <w:rsid w:val="036F6B27"/>
    <w:rsid w:val="04147C13"/>
    <w:rsid w:val="048168F2"/>
    <w:rsid w:val="05F33A5E"/>
    <w:rsid w:val="06124A5D"/>
    <w:rsid w:val="06F30363"/>
    <w:rsid w:val="07E04899"/>
    <w:rsid w:val="08236132"/>
    <w:rsid w:val="082A2559"/>
    <w:rsid w:val="0B0909AF"/>
    <w:rsid w:val="0BF978D5"/>
    <w:rsid w:val="0C0B7609"/>
    <w:rsid w:val="0CC5327E"/>
    <w:rsid w:val="0D4B0060"/>
    <w:rsid w:val="0DB77A48"/>
    <w:rsid w:val="0E945A78"/>
    <w:rsid w:val="0E9E6F0A"/>
    <w:rsid w:val="0F805160"/>
    <w:rsid w:val="101E3DAE"/>
    <w:rsid w:val="10B22336"/>
    <w:rsid w:val="11B00A36"/>
    <w:rsid w:val="124D485B"/>
    <w:rsid w:val="14952100"/>
    <w:rsid w:val="15A46B90"/>
    <w:rsid w:val="18E7126B"/>
    <w:rsid w:val="1A8B6099"/>
    <w:rsid w:val="1C4921B3"/>
    <w:rsid w:val="1D3A5FA0"/>
    <w:rsid w:val="20607FDE"/>
    <w:rsid w:val="20AD5FE1"/>
    <w:rsid w:val="20D37110"/>
    <w:rsid w:val="215329E9"/>
    <w:rsid w:val="2173186F"/>
    <w:rsid w:val="21B75E11"/>
    <w:rsid w:val="24134E54"/>
    <w:rsid w:val="2556684B"/>
    <w:rsid w:val="272726CA"/>
    <w:rsid w:val="282F4953"/>
    <w:rsid w:val="288F0997"/>
    <w:rsid w:val="2A4A2E38"/>
    <w:rsid w:val="2A916E63"/>
    <w:rsid w:val="2B835D59"/>
    <w:rsid w:val="2DB42000"/>
    <w:rsid w:val="30167621"/>
    <w:rsid w:val="303C538C"/>
    <w:rsid w:val="305778AE"/>
    <w:rsid w:val="30CF2124"/>
    <w:rsid w:val="31586882"/>
    <w:rsid w:val="339064C2"/>
    <w:rsid w:val="33ED7B40"/>
    <w:rsid w:val="343C3D07"/>
    <w:rsid w:val="347A51A8"/>
    <w:rsid w:val="3497070E"/>
    <w:rsid w:val="35E90F76"/>
    <w:rsid w:val="368E4F3A"/>
    <w:rsid w:val="36A51793"/>
    <w:rsid w:val="38613F89"/>
    <w:rsid w:val="38AA4CC1"/>
    <w:rsid w:val="39FF1AA6"/>
    <w:rsid w:val="3A4F49E1"/>
    <w:rsid w:val="3B893F22"/>
    <w:rsid w:val="3B984165"/>
    <w:rsid w:val="3CD15B81"/>
    <w:rsid w:val="3F165ACD"/>
    <w:rsid w:val="3F2A74F7"/>
    <w:rsid w:val="407D1B7C"/>
    <w:rsid w:val="424F2B40"/>
    <w:rsid w:val="447B2820"/>
    <w:rsid w:val="479D63EE"/>
    <w:rsid w:val="490D7A21"/>
    <w:rsid w:val="498E4EBE"/>
    <w:rsid w:val="4B1957EE"/>
    <w:rsid w:val="4CE03BBE"/>
    <w:rsid w:val="4EC07B5F"/>
    <w:rsid w:val="4ECF52DB"/>
    <w:rsid w:val="4EEE450B"/>
    <w:rsid w:val="4EFB083B"/>
    <w:rsid w:val="50525457"/>
    <w:rsid w:val="50ED7854"/>
    <w:rsid w:val="52FB4C31"/>
    <w:rsid w:val="53316F22"/>
    <w:rsid w:val="536C19E8"/>
    <w:rsid w:val="5436724D"/>
    <w:rsid w:val="56981066"/>
    <w:rsid w:val="56E57E9E"/>
    <w:rsid w:val="5706231D"/>
    <w:rsid w:val="58061A6F"/>
    <w:rsid w:val="582C5C37"/>
    <w:rsid w:val="5AA224B3"/>
    <w:rsid w:val="5AE4556E"/>
    <w:rsid w:val="5D361E7D"/>
    <w:rsid w:val="5D6668B0"/>
    <w:rsid w:val="5DDC4E24"/>
    <w:rsid w:val="5E2C0BC8"/>
    <w:rsid w:val="5FA32F55"/>
    <w:rsid w:val="5FD736CA"/>
    <w:rsid w:val="609B00D0"/>
    <w:rsid w:val="614538A0"/>
    <w:rsid w:val="61A02A33"/>
    <w:rsid w:val="628C4EBC"/>
    <w:rsid w:val="63D17316"/>
    <w:rsid w:val="63FE290C"/>
    <w:rsid w:val="64EA5182"/>
    <w:rsid w:val="66C043ED"/>
    <w:rsid w:val="68555008"/>
    <w:rsid w:val="69527E32"/>
    <w:rsid w:val="6AFA3720"/>
    <w:rsid w:val="6B0F149F"/>
    <w:rsid w:val="6D553B35"/>
    <w:rsid w:val="6F8D3411"/>
    <w:rsid w:val="70EB5859"/>
    <w:rsid w:val="73A3714C"/>
    <w:rsid w:val="741A3ED1"/>
    <w:rsid w:val="75660855"/>
    <w:rsid w:val="76733229"/>
    <w:rsid w:val="77B425C1"/>
    <w:rsid w:val="784B52C6"/>
    <w:rsid w:val="79300FDE"/>
    <w:rsid w:val="79D74247"/>
    <w:rsid w:val="7A3B2DD8"/>
    <w:rsid w:val="7C096E8B"/>
    <w:rsid w:val="7F333FD1"/>
    <w:rsid w:val="7FB241DB"/>
    <w:rsid w:val="DCF7F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nhideWhenUsed="0" w:uiPriority="1"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numPr>
        <w:ilvl w:val="0"/>
        <w:numId w:val="1"/>
      </w:numPr>
      <w:adjustRightInd w:val="0"/>
      <w:spacing w:before="340" w:after="330" w:line="578" w:lineRule="atLeast"/>
      <w:textAlignment w:val="baseline"/>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1"/>
    <w:pPr>
      <w:ind w:left="400"/>
      <w:outlineLvl w:val="2"/>
    </w:pPr>
    <w:rPr>
      <w:rFonts w:ascii="宋体" w:hAnsi="宋体" w:cs="宋体"/>
      <w:b/>
      <w:bCs/>
      <w:sz w:val="24"/>
      <w:lang w:val="zh-CN" w:bidi="zh-CN"/>
    </w:rPr>
  </w:style>
  <w:style w:type="paragraph" w:styleId="6">
    <w:name w:val="heading 4"/>
    <w:basedOn w:val="1"/>
    <w:next w:val="1"/>
    <w:qFormat/>
    <w:uiPriority w:val="0"/>
    <w:pPr>
      <w:keepNext/>
      <w:jc w:val="center"/>
      <w:outlineLvl w:val="3"/>
    </w:pPr>
    <w:rPr>
      <w:rFonts w:eastAsia="新宋体"/>
      <w:kern w:val="0"/>
      <w:sz w:val="30"/>
      <w:szCs w:val="21"/>
    </w:rPr>
  </w:style>
  <w:style w:type="paragraph" w:styleId="7">
    <w:name w:val="heading 6"/>
    <w:basedOn w:val="1"/>
    <w:next w:val="8"/>
    <w:qFormat/>
    <w:uiPriority w:val="0"/>
    <w:pPr>
      <w:keepNext/>
      <w:jc w:val="center"/>
      <w:outlineLvl w:val="5"/>
    </w:pPr>
    <w:rPr>
      <w:b/>
      <w:kern w:val="0"/>
      <w:sz w:val="4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8">
    <w:name w:val="Normal Indent"/>
    <w:basedOn w:val="1"/>
    <w:qFormat/>
    <w:uiPriority w:val="0"/>
    <w:pPr>
      <w:ind w:firstLine="420"/>
    </w:pPr>
    <w:rPr>
      <w:kern w:val="0"/>
      <w:sz w:val="20"/>
      <w:szCs w:val="20"/>
    </w:rPr>
  </w:style>
  <w:style w:type="paragraph" w:styleId="9">
    <w:name w:val="index 5"/>
    <w:basedOn w:val="1"/>
    <w:next w:val="1"/>
    <w:qFormat/>
    <w:uiPriority w:val="0"/>
    <w:pPr>
      <w:ind w:left="798" w:leftChars="380"/>
      <w:jc w:val="left"/>
    </w:pPr>
    <w:rPr>
      <w:rFonts w:ascii="Calibri" w:hAnsi="Calibri"/>
    </w:rPr>
  </w:style>
  <w:style w:type="paragraph" w:styleId="10">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1">
    <w:name w:val="annotation text"/>
    <w:basedOn w:val="1"/>
    <w:link w:val="60"/>
    <w:qFormat/>
    <w:uiPriority w:val="0"/>
    <w:pPr>
      <w:jc w:val="left"/>
    </w:pPr>
  </w:style>
  <w:style w:type="paragraph" w:styleId="12">
    <w:name w:val="Body Text"/>
    <w:basedOn w:val="1"/>
    <w:next w:val="1"/>
    <w:qFormat/>
    <w:uiPriority w:val="1"/>
    <w:rPr>
      <w:rFonts w:ascii="宋体" w:hAnsi="宋体" w:cs="宋体"/>
      <w:sz w:val="24"/>
      <w:lang w:val="zh-CN" w:bidi="zh-CN"/>
    </w:rPr>
  </w:style>
  <w:style w:type="paragraph" w:styleId="13">
    <w:name w:val="Body Text Indent"/>
    <w:basedOn w:val="1"/>
    <w:next w:val="1"/>
    <w:qFormat/>
    <w:uiPriority w:val="0"/>
    <w:pPr>
      <w:ind w:left="765"/>
    </w:pPr>
    <w:rPr>
      <w:rFonts w:ascii="仿宋_GB2312" w:eastAsia="仿宋_GB2312"/>
      <w:kern w:val="0"/>
      <w:sz w:val="28"/>
      <w:szCs w:val="20"/>
    </w:rPr>
  </w:style>
  <w:style w:type="paragraph" w:styleId="14">
    <w:name w:val="index 4"/>
    <w:basedOn w:val="1"/>
    <w:next w:val="1"/>
    <w:unhideWhenUsed/>
    <w:qFormat/>
    <w:uiPriority w:val="99"/>
    <w:pPr>
      <w:ind w:left="600" w:leftChars="600"/>
    </w:pPr>
    <w:rPr>
      <w:rFonts w:ascii="Verdana" w:hAnsi="Verdana"/>
      <w:szCs w:val="20"/>
    </w:rPr>
  </w:style>
  <w:style w:type="paragraph" w:styleId="15">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16">
    <w:name w:val="Plain Text"/>
    <w:basedOn w:val="1"/>
    <w:qFormat/>
    <w:uiPriority w:val="0"/>
    <w:rPr>
      <w:rFonts w:ascii="宋体" w:hAnsi="Courier New"/>
      <w:kern w:val="0"/>
      <w:sz w:val="20"/>
      <w:szCs w:val="21"/>
    </w:rPr>
  </w:style>
  <w:style w:type="paragraph" w:styleId="17">
    <w:name w:val="Balloon Text"/>
    <w:basedOn w:val="1"/>
    <w:link w:val="58"/>
    <w:qFormat/>
    <w:uiPriority w:val="0"/>
    <w:rPr>
      <w:sz w:val="18"/>
      <w:szCs w:val="18"/>
    </w:rPr>
  </w:style>
  <w:style w:type="paragraph" w:styleId="18">
    <w:name w:val="footer"/>
    <w:basedOn w:val="1"/>
    <w:qFormat/>
    <w:uiPriority w:val="99"/>
    <w:pPr>
      <w:tabs>
        <w:tab w:val="center" w:pos="4153"/>
        <w:tab w:val="right" w:pos="8306"/>
      </w:tabs>
      <w:snapToGrid w:val="0"/>
      <w:jc w:val="left"/>
    </w:pPr>
    <w:rPr>
      <w:kern w:val="0"/>
      <w:sz w:val="18"/>
      <w:szCs w:val="20"/>
    </w:rPr>
  </w:style>
  <w:style w:type="paragraph" w:styleId="19">
    <w:name w:val="envelope return"/>
    <w:basedOn w:val="1"/>
    <w:unhideWhenUsed/>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adjustRightInd w:val="0"/>
      <w:jc w:val="left"/>
      <w:textAlignment w:val="baseline"/>
    </w:pPr>
    <w:rPr>
      <w:sz w:val="24"/>
    </w:rPr>
  </w:style>
  <w:style w:type="paragraph" w:styleId="22">
    <w:name w:val="footnote text"/>
    <w:basedOn w:val="1"/>
    <w:qFormat/>
    <w:uiPriority w:val="0"/>
    <w:pPr>
      <w:snapToGrid w:val="0"/>
      <w:jc w:val="left"/>
    </w:pPr>
    <w:rPr>
      <w:rFonts w:ascii="宋体" w:eastAsia="Times New Roman"/>
      <w:snapToGrid w:val="0"/>
      <w:kern w:val="21"/>
      <w:sz w:val="18"/>
      <w:szCs w:val="18"/>
    </w:rPr>
  </w:style>
  <w:style w:type="paragraph" w:styleId="23">
    <w:name w:val="Body Text Indent 3"/>
    <w:basedOn w:val="1"/>
    <w:next w:val="10"/>
    <w:qFormat/>
    <w:uiPriority w:val="0"/>
    <w:pPr>
      <w:spacing w:after="120"/>
      <w:ind w:left="420" w:leftChars="200"/>
    </w:pPr>
    <w:rPr>
      <w:kern w:val="0"/>
      <w:sz w:val="16"/>
      <w:szCs w:val="16"/>
    </w:rPr>
  </w:style>
  <w:style w:type="paragraph" w:styleId="24">
    <w:name w:val="Normal (Web)"/>
    <w:basedOn w:val="1"/>
    <w:qFormat/>
    <w:uiPriority w:val="99"/>
    <w:pPr>
      <w:spacing w:before="100" w:beforeAutospacing="1" w:after="100" w:afterAutospacing="1"/>
      <w:jc w:val="left"/>
    </w:pPr>
    <w:rPr>
      <w:rFonts w:ascii="Calibri" w:hAnsi="Calibri" w:cs="Calibri"/>
      <w:kern w:val="0"/>
    </w:rPr>
  </w:style>
  <w:style w:type="paragraph" w:styleId="25">
    <w:name w:val="annotation subject"/>
    <w:basedOn w:val="11"/>
    <w:next w:val="11"/>
    <w:link w:val="61"/>
    <w:semiHidden/>
    <w:unhideWhenUsed/>
    <w:qFormat/>
    <w:uiPriority w:val="0"/>
    <w:rPr>
      <w:b/>
      <w:bCs/>
    </w:rPr>
  </w:style>
  <w:style w:type="paragraph" w:styleId="26">
    <w:name w:val="Body Text First Indent"/>
    <w:basedOn w:val="12"/>
    <w:next w:val="1"/>
    <w:qFormat/>
    <w:uiPriority w:val="0"/>
    <w:pPr>
      <w:tabs>
        <w:tab w:val="left" w:pos="2020"/>
        <w:tab w:val="center" w:pos="4535"/>
      </w:tabs>
      <w:ind w:firstLine="420" w:firstLineChars="100"/>
    </w:pPr>
  </w:style>
  <w:style w:type="paragraph" w:styleId="27">
    <w:name w:val="Body Text First Indent 2"/>
    <w:basedOn w:val="13"/>
    <w:next w:val="1"/>
    <w:qFormat/>
    <w:uiPriority w:val="0"/>
    <w:pPr>
      <w:ind w:firstLine="420" w:firstLineChars="200"/>
    </w:pPr>
  </w:style>
  <w:style w:type="table" w:styleId="29">
    <w:name w:val="Table Grid"/>
    <w:basedOn w:val="2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FollowedHyperlink"/>
    <w:basedOn w:val="30"/>
    <w:qFormat/>
    <w:uiPriority w:val="0"/>
    <w:rPr>
      <w:vanish/>
      <w:color w:val="338DE6"/>
      <w:u w:val="none"/>
    </w:rPr>
  </w:style>
  <w:style w:type="character" w:styleId="33">
    <w:name w:val="Emphasis"/>
    <w:basedOn w:val="30"/>
    <w:qFormat/>
    <w:uiPriority w:val="0"/>
  </w:style>
  <w:style w:type="character" w:styleId="34">
    <w:name w:val="HTML Definition"/>
    <w:basedOn w:val="30"/>
    <w:qFormat/>
    <w:uiPriority w:val="0"/>
  </w:style>
  <w:style w:type="character" w:styleId="35">
    <w:name w:val="HTML Variable"/>
    <w:basedOn w:val="30"/>
    <w:qFormat/>
    <w:uiPriority w:val="0"/>
  </w:style>
  <w:style w:type="character" w:styleId="36">
    <w:name w:val="Hyperlink"/>
    <w:basedOn w:val="30"/>
    <w:qFormat/>
    <w:uiPriority w:val="0"/>
    <w:rPr>
      <w:color w:val="338DE6"/>
      <w:u w:val="none"/>
    </w:rPr>
  </w:style>
  <w:style w:type="character" w:styleId="37">
    <w:name w:val="HTML Code"/>
    <w:basedOn w:val="30"/>
    <w:qFormat/>
    <w:uiPriority w:val="0"/>
    <w:rPr>
      <w:rFonts w:hint="default" w:ascii="serif" w:hAnsi="serif" w:eastAsia="serif" w:cs="serif"/>
      <w:color w:val="556DA9"/>
      <w:sz w:val="21"/>
      <w:szCs w:val="21"/>
    </w:rPr>
  </w:style>
  <w:style w:type="character" w:styleId="38">
    <w:name w:val="annotation reference"/>
    <w:basedOn w:val="30"/>
    <w:qFormat/>
    <w:uiPriority w:val="0"/>
    <w:rPr>
      <w:sz w:val="21"/>
      <w:szCs w:val="21"/>
    </w:rPr>
  </w:style>
  <w:style w:type="character" w:styleId="39">
    <w:name w:val="HTML Cite"/>
    <w:basedOn w:val="30"/>
    <w:qFormat/>
    <w:uiPriority w:val="0"/>
  </w:style>
  <w:style w:type="character" w:styleId="40">
    <w:name w:val="footnote reference"/>
    <w:qFormat/>
    <w:uiPriority w:val="0"/>
    <w:rPr>
      <w:vertAlign w:val="superscript"/>
    </w:rPr>
  </w:style>
  <w:style w:type="character" w:styleId="41">
    <w:name w:val="HTML Keyboard"/>
    <w:basedOn w:val="30"/>
    <w:qFormat/>
    <w:uiPriority w:val="0"/>
    <w:rPr>
      <w:rFonts w:ascii="serif" w:hAnsi="serif" w:eastAsia="serif" w:cs="serif"/>
      <w:sz w:val="21"/>
      <w:szCs w:val="21"/>
    </w:rPr>
  </w:style>
  <w:style w:type="character" w:styleId="42">
    <w:name w:val="HTML Sample"/>
    <w:basedOn w:val="30"/>
    <w:qFormat/>
    <w:uiPriority w:val="0"/>
    <w:rPr>
      <w:rFonts w:hint="default" w:ascii="serif" w:hAnsi="serif" w:eastAsia="serif" w:cs="serif"/>
      <w:sz w:val="21"/>
      <w:szCs w:val="21"/>
    </w:rPr>
  </w:style>
  <w:style w:type="paragraph" w:customStyle="1" w:styleId="43">
    <w:name w:val="正文首行缩进1"/>
    <w:basedOn w:val="44"/>
    <w:qFormat/>
    <w:uiPriority w:val="0"/>
    <w:pPr>
      <w:spacing w:line="360" w:lineRule="auto"/>
      <w:ind w:firstLine="200"/>
    </w:pPr>
    <w:rPr>
      <w:rFonts w:ascii="仿宋_GB2312" w:hAnsi="Times New Roman" w:eastAsia="仿宋_GB2312"/>
      <w:sz w:val="30"/>
      <w:szCs w:val="30"/>
    </w:rPr>
  </w:style>
  <w:style w:type="paragraph" w:customStyle="1" w:styleId="44">
    <w:name w:val="正文文本1"/>
    <w:basedOn w:val="1"/>
    <w:next w:val="1"/>
    <w:qFormat/>
    <w:uiPriority w:val="0"/>
    <w:rPr>
      <w:rFonts w:ascii="楷体_GB2312" w:hAnsi="Arial" w:eastAsia="楷体_GB2312"/>
      <w:sz w:val="28"/>
      <w:szCs w:val="28"/>
    </w:rPr>
  </w:style>
  <w:style w:type="paragraph" w:customStyle="1" w:styleId="45">
    <w:name w:val="列出段落1"/>
    <w:basedOn w:val="1"/>
    <w:qFormat/>
    <w:uiPriority w:val="0"/>
    <w:pPr>
      <w:ind w:firstLine="420" w:firstLineChars="200"/>
    </w:pPr>
    <w:rPr>
      <w:rFonts w:cs="黑体"/>
      <w:szCs w:val="22"/>
    </w:rPr>
  </w:style>
  <w:style w:type="paragraph" w:customStyle="1" w:styleId="46">
    <w:name w:val="Default"/>
    <w:qFormat/>
    <w:uiPriority w:val="99"/>
    <w:pPr>
      <w:widowControl w:val="0"/>
      <w:autoSpaceDE w:val="0"/>
      <w:autoSpaceDN w:val="0"/>
      <w:adjustRightInd w:val="0"/>
    </w:pPr>
    <w:rPr>
      <w:rFonts w:ascii="MS Mincho" w:hAnsi="Calibri" w:eastAsia="宋体" w:cs="Times New Roman"/>
      <w:color w:val="000000"/>
      <w:kern w:val="2"/>
      <w:sz w:val="21"/>
      <w:szCs w:val="24"/>
      <w:lang w:val="en-US" w:eastAsia="zh-CN" w:bidi="ar-SA"/>
    </w:rPr>
  </w:style>
  <w:style w:type="paragraph" w:customStyle="1" w:styleId="47">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8">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49">
    <w:name w:val="font31"/>
    <w:qFormat/>
    <w:uiPriority w:val="0"/>
    <w:rPr>
      <w:rFonts w:hint="eastAsia" w:ascii="方正仿宋_GBK" w:hAnsi="方正仿宋_GBK" w:eastAsia="方正仿宋_GBK" w:cs="方正仿宋_GBK"/>
      <w:color w:val="000000"/>
      <w:sz w:val="24"/>
      <w:szCs w:val="24"/>
      <w:u w:val="none"/>
    </w:rPr>
  </w:style>
  <w:style w:type="paragraph" w:customStyle="1" w:styleId="50">
    <w:name w:val="正文1"/>
    <w:basedOn w:val="1"/>
    <w:next w:val="1"/>
    <w:qFormat/>
    <w:uiPriority w:val="0"/>
    <w:pPr>
      <w:widowControl/>
      <w:spacing w:after="200" w:line="300" w:lineRule="atLeast"/>
      <w:jc w:val="left"/>
    </w:pPr>
    <w:rPr>
      <w:rFonts w:cs="宋体"/>
      <w:kern w:val="0"/>
      <w:sz w:val="22"/>
    </w:rPr>
  </w:style>
  <w:style w:type="paragraph" w:styleId="51">
    <w:name w:val="List Paragraph"/>
    <w:basedOn w:val="1"/>
    <w:qFormat/>
    <w:uiPriority w:val="34"/>
    <w:pPr>
      <w:ind w:firstLine="420" w:firstLineChars="200"/>
    </w:pPr>
    <w:rPr>
      <w:rFonts w:ascii="Calibri" w:hAnsi="Calibri"/>
      <w:szCs w:val="22"/>
    </w:rPr>
  </w:style>
  <w:style w:type="paragraph" w:customStyle="1" w:styleId="52">
    <w:name w:val="样式 首行缩进:  2 字符"/>
    <w:basedOn w:val="1"/>
    <w:qFormat/>
    <w:uiPriority w:val="0"/>
    <w:pPr>
      <w:ind w:left="899" w:leftChars="321" w:firstLine="2"/>
    </w:pPr>
    <w:rPr>
      <w:rFonts w:cs="宋体"/>
      <w:sz w:val="28"/>
      <w:szCs w:val="20"/>
    </w:rPr>
  </w:style>
  <w:style w:type="paragraph" w:customStyle="1" w:styleId="53">
    <w:name w:val="Table Paragraph"/>
    <w:basedOn w:val="1"/>
    <w:qFormat/>
    <w:uiPriority w:val="1"/>
    <w:rPr>
      <w:rFonts w:ascii="宋体" w:hAnsi="宋体" w:cs="宋体"/>
      <w:lang w:val="zh-CN" w:bidi="zh-CN"/>
    </w:rPr>
  </w:style>
  <w:style w:type="character" w:customStyle="1" w:styleId="54">
    <w:name w:val="fontstrikethrough"/>
    <w:basedOn w:val="30"/>
    <w:qFormat/>
    <w:uiPriority w:val="0"/>
    <w:rPr>
      <w:u w:val="single"/>
    </w:rPr>
  </w:style>
  <w:style w:type="character" w:customStyle="1" w:styleId="55">
    <w:name w:val="fontborder"/>
    <w:basedOn w:val="30"/>
    <w:qFormat/>
    <w:uiPriority w:val="0"/>
    <w:rPr>
      <w:bdr w:val="single" w:color="000000" w:sz="6" w:space="0"/>
    </w:rPr>
  </w:style>
  <w:style w:type="character" w:customStyle="1" w:styleId="56">
    <w:name w:val="trumbowyg-msg-error"/>
    <w:basedOn w:val="30"/>
    <w:qFormat/>
    <w:uiPriority w:val="0"/>
    <w:rPr>
      <w:color w:val="E74C3C"/>
    </w:rPr>
  </w:style>
  <w:style w:type="character" w:customStyle="1" w:styleId="57">
    <w:name w:val="trumbowyg-msg-error1"/>
    <w:basedOn w:val="30"/>
    <w:qFormat/>
    <w:uiPriority w:val="0"/>
    <w:rPr>
      <w:color w:val="E74C3C"/>
    </w:rPr>
  </w:style>
  <w:style w:type="character" w:customStyle="1" w:styleId="58">
    <w:name w:val="批注框文本 字符"/>
    <w:basedOn w:val="30"/>
    <w:link w:val="17"/>
    <w:qFormat/>
    <w:uiPriority w:val="0"/>
    <w:rPr>
      <w:kern w:val="2"/>
      <w:sz w:val="18"/>
      <w:szCs w:val="18"/>
    </w:r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60">
    <w:name w:val="批注文字 字符"/>
    <w:basedOn w:val="30"/>
    <w:link w:val="11"/>
    <w:qFormat/>
    <w:uiPriority w:val="0"/>
    <w:rPr>
      <w:kern w:val="2"/>
      <w:sz w:val="21"/>
      <w:szCs w:val="24"/>
    </w:rPr>
  </w:style>
  <w:style w:type="character" w:customStyle="1" w:styleId="61">
    <w:name w:val="批注主题 字符"/>
    <w:basedOn w:val="60"/>
    <w:link w:val="25"/>
    <w:semiHidden/>
    <w:qFormat/>
    <w:uiPriority w:val="0"/>
    <w:rPr>
      <w:b/>
      <w:bCs/>
      <w:kern w:val="2"/>
      <w:sz w:val="21"/>
      <w:szCs w:val="24"/>
    </w:rPr>
  </w:style>
  <w:style w:type="paragraph" w:customStyle="1" w:styleId="6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63">
    <w:name w:val="item-name"/>
    <w:basedOn w:val="30"/>
    <w:qFormat/>
    <w:uiPriority w:val="0"/>
  </w:style>
  <w:style w:type="character" w:customStyle="1" w:styleId="64">
    <w:name w:val="item-name1"/>
    <w:basedOn w:val="30"/>
    <w:qFormat/>
    <w:uiPriority w:val="0"/>
  </w:style>
  <w:style w:type="character" w:customStyle="1" w:styleId="65">
    <w:name w:val="newtxt"/>
    <w:basedOn w:val="30"/>
    <w:qFormat/>
    <w:uiPriority w:val="0"/>
    <w:rPr>
      <w:vanish/>
    </w:rPr>
  </w:style>
  <w:style w:type="character" w:customStyle="1" w:styleId="66">
    <w:name w:val="timebg"/>
    <w:basedOn w:val="30"/>
    <w:qFormat/>
    <w:uiPriority w:val="0"/>
  </w:style>
  <w:style w:type="paragraph" w:customStyle="1" w:styleId="67">
    <w:name w:val="正文（缩进）"/>
    <w:basedOn w:val="1"/>
    <w:next w:val="1"/>
    <w:qFormat/>
    <w:uiPriority w:val="0"/>
    <w:pPr>
      <w:spacing w:line="360" w:lineRule="auto"/>
      <w:ind w:firstLine="200" w:firstLineChars="200"/>
    </w:pPr>
    <w:rPr>
      <w:rFonts w:ascii="宋体" w:hAnsi="宋体"/>
    </w:rPr>
  </w:style>
  <w:style w:type="table" w:customStyle="1" w:styleId="68">
    <w:name w:val="Table Normal"/>
    <w:semiHidden/>
    <w:unhideWhenUsed/>
    <w:qFormat/>
    <w:uiPriority w:val="0"/>
    <w:tblPr>
      <w:tblCellMar>
        <w:top w:w="0" w:type="dxa"/>
        <w:left w:w="0" w:type="dxa"/>
        <w:bottom w:w="0" w:type="dxa"/>
        <w:right w:w="0" w:type="dxa"/>
      </w:tblCellMar>
    </w:tblPr>
  </w:style>
  <w:style w:type="paragraph" w:customStyle="1" w:styleId="69">
    <w:name w:val="Table Text"/>
    <w:basedOn w:val="1"/>
    <w:semiHidden/>
    <w:qFormat/>
    <w:uiPriority w:val="0"/>
    <w:rPr>
      <w:rFonts w:ascii="宋体" w:hAnsi="宋体" w:cs="宋体"/>
      <w:sz w:val="28"/>
      <w:szCs w:val="28"/>
      <w:lang w:eastAsia="en-US"/>
    </w:rPr>
  </w:style>
  <w:style w:type="paragraph" w:customStyle="1" w:styleId="70">
    <w:name w:val="正文首行缩进 211"/>
    <w:basedOn w:val="71"/>
    <w:next w:val="1"/>
    <w:qFormat/>
    <w:uiPriority w:val="0"/>
    <w:pPr>
      <w:spacing w:after="0" w:line="360" w:lineRule="auto"/>
      <w:ind w:left="0" w:firstLine="420"/>
    </w:pPr>
    <w:rPr>
      <w:rFonts w:ascii="宋体" w:hAnsi="宋体"/>
      <w:sz w:val="20"/>
      <w:szCs w:val="20"/>
    </w:rPr>
  </w:style>
  <w:style w:type="paragraph" w:customStyle="1" w:styleId="71">
    <w:name w:val="正文文本缩进1"/>
    <w:basedOn w:val="1"/>
    <w:next w:val="72"/>
    <w:unhideWhenUsed/>
    <w:qFormat/>
    <w:uiPriority w:val="0"/>
    <w:pPr>
      <w:spacing w:after="120"/>
      <w:ind w:left="420"/>
    </w:pPr>
  </w:style>
  <w:style w:type="paragraph" w:customStyle="1" w:styleId="72">
    <w:name w:val="寄信人地址1"/>
    <w:basedOn w:val="1"/>
    <w:unhideWhenUsed/>
    <w:qFormat/>
    <w:uiPriority w:val="99"/>
    <w:rPr>
      <w:rFonts w:ascii="Arial" w:hAnsi="Arial"/>
    </w:rPr>
  </w:style>
  <w:style w:type="paragraph" w:customStyle="1" w:styleId="73">
    <w:name w:val="0- 正文"/>
    <w:basedOn w:val="1"/>
    <w:qFormat/>
    <w:uiPriority w:val="0"/>
    <w:pPr>
      <w:spacing w:line="360" w:lineRule="auto"/>
      <w:ind w:firstLine="482"/>
    </w:pPr>
    <w:rPr>
      <w:sz w:val="24"/>
      <w:szCs w:val="20"/>
      <w:lang w:val="zh-CN"/>
    </w:rPr>
  </w:style>
  <w:style w:type="paragraph" w:customStyle="1" w:styleId="74">
    <w:name w:val="正文缩进1"/>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5" textRotate="1"/>
    <customShpInfo spid="_x0000_s307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16981</Words>
  <Characters>17823</Characters>
  <Lines>151</Lines>
  <Paragraphs>42</Paragraphs>
  <TotalTime>30</TotalTime>
  <ScaleCrop>false</ScaleCrop>
  <LinksUpToDate>false</LinksUpToDate>
  <CharactersWithSpaces>18510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2022-06-26T17:53:00Z</dcterms:created>
  <dc:creator>瘦瘦瘦</dc:creator>
  <cp:lastModifiedBy>姜  君</cp:lastModifiedBy>
  <cp:lastPrinted>2022-07-30T10:48:00Z</cp:lastPrinted>
  <dcterms:modified xsi:type="dcterms:W3CDTF">2025-09-25T08:33:45Z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9F6D6D91F3B44993A74DCA47B5E53F4C_13</vt:lpwstr>
  </property>
  <property fmtid="{D5CDD505-2E9C-101B-9397-08002B2CF9AE}" pid="4" name="KSOTemplateDocerSaveRecord">
    <vt:lpwstr>eyJoZGlkIjoiMGRkNTk5ZjA5YWZiMjQ4N2FjZjQ2MmExYTFlODRiZjYiLCJ1c2VySWQiOiIxNjU1OTQ5OTkwIn0=</vt:lpwstr>
  </property>
</Properties>
</file>