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22" w:firstLineChars="550"/>
        <w:rPr>
          <w:rFonts w:eastAsia="楷体_GB2312"/>
          <w:b/>
          <w:sz w:val="44"/>
          <w:highlight w:val="none"/>
        </w:rPr>
      </w:pPr>
    </w:p>
    <w:p>
      <w:pPr>
        <w:autoSpaceDE w:val="0"/>
        <w:autoSpaceDN w:val="0"/>
        <w:adjustRightInd w:val="0"/>
        <w:jc w:val="center"/>
        <w:rPr>
          <w:rFonts w:hint="eastAsia" w:eastAsia="宋体"/>
          <w:b/>
          <w:bCs/>
          <w:sz w:val="44"/>
          <w:szCs w:val="44"/>
          <w:highlight w:val="none"/>
          <w:lang w:eastAsia="zh-CN"/>
        </w:rPr>
      </w:pPr>
      <w:r>
        <w:rPr>
          <w:rFonts w:hint="eastAsia"/>
          <w:b/>
          <w:bCs/>
          <w:sz w:val="44"/>
          <w:szCs w:val="44"/>
          <w:highlight w:val="none"/>
          <w:lang w:eastAsia="zh-CN"/>
        </w:rPr>
        <w:t>南通开放大学重要事项系统及财务预算系统升级改造项目</w:t>
      </w:r>
    </w:p>
    <w:p>
      <w:pPr>
        <w:autoSpaceDE w:val="0"/>
        <w:autoSpaceDN w:val="0"/>
        <w:adjustRightInd w:val="0"/>
        <w:jc w:val="center"/>
        <w:rPr>
          <w:b/>
          <w:bCs/>
          <w:sz w:val="44"/>
          <w:szCs w:val="44"/>
          <w:highlight w:val="none"/>
        </w:rPr>
      </w:pPr>
    </w:p>
    <w:p>
      <w:pPr>
        <w:autoSpaceDE w:val="0"/>
        <w:autoSpaceDN w:val="0"/>
        <w:adjustRightInd w:val="0"/>
        <w:spacing w:line="1000" w:lineRule="exact"/>
        <w:jc w:val="center"/>
        <w:rPr>
          <w:rFonts w:ascii="华文新魏" w:hAnsi="Arial Narrow" w:eastAsia="华文新魏"/>
          <w:b/>
          <w:bCs/>
          <w:sz w:val="100"/>
          <w:szCs w:val="100"/>
          <w:highlight w:val="none"/>
        </w:rPr>
      </w:pPr>
      <w:r>
        <w:rPr>
          <w:rFonts w:hint="eastAsia" w:ascii="华文新魏" w:eastAsia="华文新魏"/>
          <w:b/>
          <w:bCs/>
          <w:sz w:val="100"/>
          <w:szCs w:val="100"/>
          <w:highlight w:val="none"/>
          <w:lang w:val="zh-CN"/>
        </w:rPr>
        <w:t>竞争性</w:t>
      </w:r>
    </w:p>
    <w:p>
      <w:pPr>
        <w:autoSpaceDE w:val="0"/>
        <w:autoSpaceDN w:val="0"/>
        <w:adjustRightInd w:val="0"/>
        <w:spacing w:line="1000" w:lineRule="exact"/>
        <w:jc w:val="center"/>
        <w:rPr>
          <w:rFonts w:ascii="华文新魏" w:hAnsi="Arial Narrow" w:eastAsia="华文新魏"/>
          <w:b/>
          <w:bCs/>
          <w:sz w:val="100"/>
          <w:szCs w:val="100"/>
          <w:highlight w:val="none"/>
        </w:rPr>
      </w:pPr>
      <w:r>
        <w:rPr>
          <w:rFonts w:hint="eastAsia" w:ascii="华文新魏" w:hAnsi="Arial Narrow" w:eastAsia="华文新魏"/>
          <w:b/>
          <w:bCs/>
          <w:sz w:val="100"/>
          <w:szCs w:val="100"/>
          <w:highlight w:val="none"/>
          <w:lang w:val="zh-CN"/>
        </w:rPr>
        <w:t>磋商文件</w:t>
      </w:r>
    </w:p>
    <w:p>
      <w:pPr>
        <w:keepNext/>
        <w:keepLines/>
        <w:autoSpaceDE w:val="0"/>
        <w:autoSpaceDN w:val="0"/>
        <w:adjustRightInd w:val="0"/>
        <w:spacing w:before="260" w:after="260" w:line="600" w:lineRule="exact"/>
        <w:ind w:right="210"/>
        <w:jc w:val="center"/>
        <w:outlineLvl w:val="0"/>
        <w:rPr>
          <w:rFonts w:hint="eastAsia" w:ascii="楷体_GB2312" w:eastAsia="宋体"/>
          <w:b/>
          <w:sz w:val="44"/>
          <w:szCs w:val="44"/>
          <w:highlight w:val="none"/>
          <w:lang w:eastAsia="zh-CN"/>
        </w:rPr>
      </w:pPr>
      <w:r>
        <w:rPr>
          <w:rFonts w:hint="eastAsia" w:ascii="宋体" w:hAnsi="宋体"/>
          <w:sz w:val="36"/>
          <w:szCs w:val="36"/>
          <w:highlight w:val="none"/>
        </w:rPr>
        <w:t>项目编号：</w:t>
      </w:r>
      <w:r>
        <w:rPr>
          <w:rFonts w:hint="eastAsia" w:ascii="宋体" w:hAnsi="宋体"/>
          <w:sz w:val="36"/>
          <w:szCs w:val="36"/>
          <w:highlight w:val="none"/>
          <w:lang w:eastAsia="zh-CN"/>
        </w:rPr>
        <w:t>KD-2024035</w:t>
      </w:r>
    </w:p>
    <w:p>
      <w:pPr>
        <w:autoSpaceDE w:val="0"/>
        <w:autoSpaceDN w:val="0"/>
        <w:adjustRightInd w:val="0"/>
        <w:spacing w:line="360" w:lineRule="auto"/>
        <w:ind w:firstLine="420"/>
        <w:jc w:val="center"/>
        <w:rPr>
          <w:rFonts w:eastAsia="黑体"/>
          <w:szCs w:val="21"/>
          <w:highlight w:val="none"/>
        </w:rPr>
      </w:pPr>
    </w:p>
    <w:p>
      <w:pPr>
        <w:autoSpaceDE w:val="0"/>
        <w:autoSpaceDN w:val="0"/>
        <w:adjustRightInd w:val="0"/>
        <w:spacing w:line="360" w:lineRule="auto"/>
        <w:ind w:firstLine="420"/>
        <w:jc w:val="center"/>
        <w:rPr>
          <w:rFonts w:eastAsia="黑体"/>
          <w:szCs w:val="21"/>
          <w:highlight w:val="none"/>
        </w:rPr>
      </w:pPr>
    </w:p>
    <w:p>
      <w:pPr>
        <w:autoSpaceDE w:val="0"/>
        <w:autoSpaceDN w:val="0"/>
        <w:adjustRightInd w:val="0"/>
        <w:spacing w:line="360" w:lineRule="auto"/>
        <w:ind w:firstLine="420"/>
        <w:jc w:val="center"/>
        <w:rPr>
          <w:rFonts w:eastAsia="黑体"/>
          <w:szCs w:val="21"/>
          <w:highlight w:val="none"/>
        </w:rPr>
      </w:pPr>
    </w:p>
    <w:p>
      <w:pPr>
        <w:autoSpaceDE w:val="0"/>
        <w:autoSpaceDN w:val="0"/>
        <w:adjustRightInd w:val="0"/>
        <w:spacing w:line="360" w:lineRule="auto"/>
        <w:ind w:firstLine="420"/>
        <w:jc w:val="center"/>
        <w:rPr>
          <w:rFonts w:eastAsia="黑体"/>
          <w:szCs w:val="21"/>
          <w:highlight w:val="none"/>
        </w:rPr>
      </w:pPr>
    </w:p>
    <w:p>
      <w:pPr>
        <w:autoSpaceDE w:val="0"/>
        <w:autoSpaceDN w:val="0"/>
        <w:adjustRightInd w:val="0"/>
        <w:spacing w:line="360" w:lineRule="auto"/>
        <w:ind w:firstLine="420"/>
        <w:jc w:val="center"/>
        <w:rPr>
          <w:rFonts w:eastAsia="黑体"/>
          <w:szCs w:val="21"/>
          <w:highlight w:val="none"/>
        </w:rPr>
      </w:pPr>
    </w:p>
    <w:p>
      <w:pPr>
        <w:autoSpaceDE w:val="0"/>
        <w:autoSpaceDN w:val="0"/>
        <w:adjustRightInd w:val="0"/>
        <w:jc w:val="center"/>
        <w:rPr>
          <w:szCs w:val="21"/>
          <w:highlight w:val="none"/>
        </w:rPr>
      </w:pPr>
    </w:p>
    <w:p>
      <w:pPr>
        <w:autoSpaceDE w:val="0"/>
        <w:autoSpaceDN w:val="0"/>
        <w:adjustRightInd w:val="0"/>
        <w:spacing w:line="360" w:lineRule="auto"/>
        <w:ind w:firstLine="420"/>
        <w:jc w:val="center"/>
        <w:rPr>
          <w:szCs w:val="21"/>
          <w:highlight w:val="none"/>
        </w:rPr>
      </w:pPr>
    </w:p>
    <w:p>
      <w:pPr>
        <w:autoSpaceDE w:val="0"/>
        <w:autoSpaceDN w:val="0"/>
        <w:adjustRightInd w:val="0"/>
        <w:spacing w:line="360" w:lineRule="auto"/>
        <w:ind w:firstLine="420"/>
        <w:jc w:val="center"/>
        <w:rPr>
          <w:szCs w:val="21"/>
          <w:highlight w:val="none"/>
        </w:rPr>
      </w:pPr>
    </w:p>
    <w:p>
      <w:pPr>
        <w:autoSpaceDE w:val="0"/>
        <w:autoSpaceDN w:val="0"/>
        <w:adjustRightInd w:val="0"/>
        <w:spacing w:line="360" w:lineRule="auto"/>
        <w:ind w:firstLine="420"/>
        <w:jc w:val="center"/>
        <w:rPr>
          <w:szCs w:val="21"/>
          <w:highlight w:val="none"/>
        </w:rPr>
      </w:pPr>
    </w:p>
    <w:p>
      <w:pPr>
        <w:autoSpaceDE w:val="0"/>
        <w:autoSpaceDN w:val="0"/>
        <w:adjustRightInd w:val="0"/>
        <w:spacing w:line="360" w:lineRule="auto"/>
        <w:ind w:firstLine="420"/>
        <w:jc w:val="center"/>
        <w:rPr>
          <w:szCs w:val="21"/>
          <w:highlight w:val="none"/>
        </w:rPr>
      </w:pPr>
    </w:p>
    <w:p>
      <w:pPr>
        <w:autoSpaceDE w:val="0"/>
        <w:autoSpaceDN w:val="0"/>
        <w:adjustRightInd w:val="0"/>
        <w:spacing w:line="360" w:lineRule="auto"/>
        <w:ind w:firstLine="420"/>
        <w:jc w:val="center"/>
        <w:rPr>
          <w:szCs w:val="21"/>
          <w:highlight w:val="none"/>
        </w:rPr>
      </w:pPr>
    </w:p>
    <w:p>
      <w:pPr>
        <w:spacing w:line="500" w:lineRule="exact"/>
        <w:jc w:val="center"/>
        <w:rPr>
          <w:rFonts w:hint="eastAsia" w:ascii="宋体" w:hAnsi="宋体" w:eastAsia="宋体"/>
          <w:spacing w:val="20"/>
          <w:sz w:val="28"/>
          <w:szCs w:val="28"/>
          <w:highlight w:val="none"/>
          <w:lang w:eastAsia="zh-CN"/>
        </w:rPr>
      </w:pPr>
      <w:r>
        <w:rPr>
          <w:rFonts w:hint="eastAsia" w:ascii="宋体" w:hAnsi="宋体"/>
          <w:spacing w:val="20"/>
          <w:sz w:val="28"/>
          <w:szCs w:val="28"/>
          <w:highlight w:val="none"/>
        </w:rPr>
        <w:t>采购单位</w:t>
      </w:r>
      <w:r>
        <w:rPr>
          <w:rFonts w:hint="eastAsia" w:ascii="宋体" w:hAnsi="宋体"/>
          <w:spacing w:val="20"/>
          <w:sz w:val="28"/>
          <w:szCs w:val="28"/>
          <w:highlight w:val="none"/>
          <w:u w:val="single"/>
        </w:rPr>
        <w:t>：</w:t>
      </w:r>
      <w:r>
        <w:rPr>
          <w:rFonts w:hint="eastAsia" w:ascii="宋体" w:hAnsi="宋体"/>
          <w:spacing w:val="20"/>
          <w:sz w:val="28"/>
          <w:szCs w:val="28"/>
          <w:highlight w:val="none"/>
          <w:u w:val="single"/>
          <w:lang w:eastAsia="zh-CN"/>
        </w:rPr>
        <w:t>南通开放大学</w:t>
      </w:r>
    </w:p>
    <w:p>
      <w:pPr>
        <w:spacing w:line="500" w:lineRule="exact"/>
        <w:jc w:val="center"/>
        <w:rPr>
          <w:rFonts w:ascii="宋体" w:hAnsi="宋体"/>
          <w:color w:val="auto"/>
          <w:spacing w:val="20"/>
          <w:sz w:val="28"/>
          <w:szCs w:val="28"/>
          <w:highlight w:val="none"/>
        </w:rPr>
      </w:pPr>
      <w:r>
        <w:rPr>
          <w:rFonts w:hint="eastAsia" w:ascii="宋体" w:hAnsi="宋体"/>
          <w:color w:val="auto"/>
          <w:spacing w:val="20"/>
          <w:sz w:val="28"/>
          <w:szCs w:val="28"/>
          <w:highlight w:val="none"/>
        </w:rPr>
        <w:t>代理单位</w:t>
      </w:r>
      <w:r>
        <w:rPr>
          <w:rFonts w:hint="eastAsia" w:ascii="宋体" w:hAnsi="宋体"/>
          <w:color w:val="auto"/>
          <w:spacing w:val="20"/>
          <w:sz w:val="28"/>
          <w:szCs w:val="28"/>
          <w:highlight w:val="none"/>
          <w:u w:val="single"/>
        </w:rPr>
        <w:t>：江苏西亚项目管理咨询有限公司</w:t>
      </w:r>
    </w:p>
    <w:p>
      <w:pPr>
        <w:spacing w:line="500" w:lineRule="exact"/>
        <w:jc w:val="center"/>
        <w:rPr>
          <w:rFonts w:ascii="宋体" w:hAnsi="宋体"/>
          <w:color w:val="auto"/>
          <w:spacing w:val="20"/>
          <w:sz w:val="28"/>
          <w:szCs w:val="28"/>
          <w:highlight w:val="none"/>
        </w:rPr>
      </w:pPr>
      <w:r>
        <w:rPr>
          <w:rFonts w:hint="eastAsia" w:ascii="宋体" w:hAnsi="宋体"/>
          <w:color w:val="auto"/>
          <w:spacing w:val="20"/>
          <w:sz w:val="28"/>
          <w:szCs w:val="28"/>
          <w:highlight w:val="none"/>
        </w:rPr>
        <w:t>日期：</w:t>
      </w:r>
      <w:r>
        <w:rPr>
          <w:rFonts w:ascii="宋体" w:hAnsi="宋体"/>
          <w:color w:val="auto"/>
          <w:spacing w:val="20"/>
          <w:sz w:val="28"/>
          <w:szCs w:val="28"/>
          <w:highlight w:val="none"/>
          <w:u w:val="single"/>
        </w:rPr>
        <w:t>202</w:t>
      </w:r>
      <w:r>
        <w:rPr>
          <w:rFonts w:hint="eastAsia" w:ascii="宋体" w:hAnsi="宋体"/>
          <w:color w:val="auto"/>
          <w:spacing w:val="20"/>
          <w:sz w:val="28"/>
          <w:szCs w:val="28"/>
          <w:highlight w:val="none"/>
          <w:u w:val="single"/>
          <w:lang w:val="en-US" w:eastAsia="zh-CN"/>
        </w:rPr>
        <w:t>4</w:t>
      </w:r>
      <w:r>
        <w:rPr>
          <w:rFonts w:hint="eastAsia" w:ascii="宋体" w:hAnsi="宋体"/>
          <w:color w:val="auto"/>
          <w:spacing w:val="20"/>
          <w:sz w:val="28"/>
          <w:szCs w:val="28"/>
          <w:highlight w:val="none"/>
          <w:u w:val="single"/>
          <w:lang w:eastAsia="zh-Hans"/>
        </w:rPr>
        <w:t>年</w:t>
      </w:r>
      <w:r>
        <w:rPr>
          <w:rFonts w:hint="eastAsia" w:ascii="宋体" w:hAnsi="宋体"/>
          <w:color w:val="auto"/>
          <w:spacing w:val="20"/>
          <w:sz w:val="28"/>
          <w:szCs w:val="28"/>
          <w:highlight w:val="none"/>
          <w:u w:val="single"/>
          <w:lang w:val="en-US" w:eastAsia="zh-CN"/>
        </w:rPr>
        <w:t>07</w:t>
      </w:r>
      <w:r>
        <w:rPr>
          <w:rFonts w:hint="eastAsia" w:ascii="宋体" w:hAnsi="宋体"/>
          <w:color w:val="auto"/>
          <w:spacing w:val="20"/>
          <w:sz w:val="28"/>
          <w:szCs w:val="28"/>
          <w:highlight w:val="none"/>
          <w:u w:val="single"/>
          <w:lang w:eastAsia="zh-Hans"/>
        </w:rPr>
        <w:t>月</w:t>
      </w:r>
    </w:p>
    <w:p>
      <w:pPr>
        <w:adjustRightInd w:val="0"/>
        <w:snapToGrid w:val="0"/>
        <w:ind w:left="-158" w:leftChars="-75" w:right="-601" w:rightChars="-286"/>
        <w:rPr>
          <w:rFonts w:ascii="宋体" w:hAnsi="宋体"/>
          <w:snapToGrid w:val="0"/>
          <w:sz w:val="26"/>
          <w:szCs w:val="28"/>
          <w:highlight w:val="none"/>
        </w:rPr>
      </w:pPr>
      <w:r>
        <w:rPr>
          <w:rFonts w:hint="eastAsia" w:ascii="宋体" w:hAnsi="宋体"/>
          <w:snapToGrid w:val="0"/>
          <w:sz w:val="26"/>
          <w:szCs w:val="28"/>
          <w:highlight w:val="none"/>
        </w:rPr>
        <w:t xml:space="preserve">   </w:t>
      </w:r>
    </w:p>
    <w:p>
      <w:pPr>
        <w:spacing w:line="360" w:lineRule="auto"/>
        <w:jc w:val="center"/>
        <w:rPr>
          <w:rFonts w:ascii="楷体_GB2312" w:eastAsia="楷体_GB2312"/>
          <w:b/>
          <w:bCs/>
          <w:sz w:val="44"/>
          <w:szCs w:val="44"/>
          <w:highlight w:val="none"/>
          <w:lang w:val="zh-CN"/>
        </w:rPr>
      </w:pPr>
      <w:r>
        <w:rPr>
          <w:rFonts w:ascii="楷体_GB2312" w:eastAsia="楷体_GB2312"/>
          <w:b/>
          <w:bCs/>
          <w:sz w:val="44"/>
          <w:szCs w:val="44"/>
          <w:highlight w:val="none"/>
          <w:lang w:val="zh-CN"/>
        </w:rPr>
        <w:br w:type="page"/>
      </w:r>
      <w:r>
        <w:rPr>
          <w:rFonts w:hint="eastAsia" w:ascii="楷体_GB2312" w:eastAsia="楷体_GB2312"/>
          <w:b/>
          <w:bCs/>
          <w:sz w:val="44"/>
          <w:szCs w:val="44"/>
          <w:highlight w:val="none"/>
          <w:lang w:val="zh-CN"/>
        </w:rPr>
        <w:t>目   录</w:t>
      </w:r>
    </w:p>
    <w:p>
      <w:pPr>
        <w:autoSpaceDE w:val="0"/>
        <w:autoSpaceDN w:val="0"/>
        <w:adjustRightInd w:val="0"/>
        <w:spacing w:line="480" w:lineRule="auto"/>
        <w:ind w:firstLine="556"/>
        <w:rPr>
          <w:rFonts w:ascii="楷体_GB2312" w:eastAsia="楷体_GB2312"/>
          <w:b/>
          <w:bCs/>
          <w:sz w:val="32"/>
          <w:szCs w:val="32"/>
          <w:highlight w:val="none"/>
        </w:rPr>
      </w:pPr>
    </w:p>
    <w:p>
      <w:pPr>
        <w:autoSpaceDE w:val="0"/>
        <w:autoSpaceDN w:val="0"/>
        <w:adjustRightInd w:val="0"/>
        <w:spacing w:line="480" w:lineRule="auto"/>
        <w:ind w:firstLine="556"/>
        <w:rPr>
          <w:rFonts w:ascii="楷体_GB2312" w:eastAsia="楷体_GB2312"/>
          <w:b/>
          <w:sz w:val="32"/>
          <w:szCs w:val="32"/>
          <w:highlight w:val="none"/>
          <w:lang w:val="zh-CN"/>
        </w:rPr>
      </w:pPr>
      <w:r>
        <w:rPr>
          <w:rFonts w:hint="eastAsia" w:ascii="楷体_GB2312" w:eastAsia="楷体_GB2312"/>
          <w:b/>
          <w:bCs/>
          <w:sz w:val="32"/>
          <w:szCs w:val="32"/>
          <w:highlight w:val="none"/>
        </w:rPr>
        <w:t>第一部分  竞争性磋商</w:t>
      </w:r>
      <w:r>
        <w:rPr>
          <w:rFonts w:hint="eastAsia" w:ascii="楷体_GB2312" w:eastAsia="楷体_GB2312"/>
          <w:b/>
          <w:sz w:val="32"/>
          <w:szCs w:val="32"/>
          <w:highlight w:val="none"/>
          <w:lang w:val="zh-CN"/>
        </w:rPr>
        <w:t>公告</w:t>
      </w:r>
    </w:p>
    <w:p>
      <w:pPr>
        <w:autoSpaceDE w:val="0"/>
        <w:autoSpaceDN w:val="0"/>
        <w:adjustRightInd w:val="0"/>
        <w:spacing w:line="480" w:lineRule="auto"/>
        <w:ind w:firstLine="556"/>
        <w:rPr>
          <w:rFonts w:ascii="楷体_GB2312" w:eastAsia="楷体_GB2312"/>
          <w:b/>
          <w:sz w:val="32"/>
          <w:szCs w:val="32"/>
          <w:highlight w:val="none"/>
          <w:lang w:val="zh-CN"/>
        </w:rPr>
      </w:pPr>
      <w:r>
        <w:rPr>
          <w:rFonts w:hint="eastAsia" w:ascii="楷体_GB2312" w:eastAsia="楷体_GB2312"/>
          <w:b/>
          <w:bCs/>
          <w:sz w:val="32"/>
          <w:szCs w:val="32"/>
          <w:highlight w:val="none"/>
        </w:rPr>
        <w:t>第二部分  磋商</w:t>
      </w:r>
      <w:r>
        <w:rPr>
          <w:rFonts w:hint="eastAsia" w:ascii="楷体_GB2312" w:eastAsia="楷体_GB2312"/>
          <w:b/>
          <w:sz w:val="32"/>
          <w:szCs w:val="32"/>
          <w:highlight w:val="none"/>
          <w:lang w:val="zh-CN"/>
        </w:rPr>
        <w:t>须知</w:t>
      </w:r>
    </w:p>
    <w:p>
      <w:pPr>
        <w:autoSpaceDE w:val="0"/>
        <w:autoSpaceDN w:val="0"/>
        <w:adjustRightInd w:val="0"/>
        <w:spacing w:line="480" w:lineRule="auto"/>
        <w:ind w:firstLine="537"/>
        <w:rPr>
          <w:rFonts w:ascii="楷体_GB2312" w:eastAsia="楷体_GB2312"/>
          <w:b/>
          <w:sz w:val="32"/>
          <w:szCs w:val="32"/>
          <w:highlight w:val="none"/>
          <w:lang w:val="zh-CN"/>
        </w:rPr>
      </w:pPr>
      <w:r>
        <w:rPr>
          <w:rFonts w:hint="eastAsia" w:ascii="楷体_GB2312" w:eastAsia="楷体_GB2312"/>
          <w:b/>
          <w:bCs/>
          <w:sz w:val="32"/>
          <w:szCs w:val="32"/>
          <w:highlight w:val="none"/>
        </w:rPr>
        <w:t xml:space="preserve">第三部分  </w:t>
      </w:r>
      <w:r>
        <w:rPr>
          <w:rFonts w:hint="eastAsia" w:ascii="楷体_GB2312" w:eastAsia="楷体_GB2312"/>
          <w:b/>
          <w:sz w:val="32"/>
          <w:szCs w:val="32"/>
          <w:highlight w:val="none"/>
          <w:lang w:val="zh-CN"/>
        </w:rPr>
        <w:t>项目需求</w:t>
      </w:r>
    </w:p>
    <w:p>
      <w:pPr>
        <w:autoSpaceDE w:val="0"/>
        <w:autoSpaceDN w:val="0"/>
        <w:adjustRightInd w:val="0"/>
        <w:spacing w:line="480" w:lineRule="auto"/>
        <w:ind w:firstLine="537"/>
        <w:rPr>
          <w:rFonts w:ascii="楷体_GB2312" w:eastAsia="楷体_GB2312"/>
          <w:b/>
          <w:sz w:val="32"/>
          <w:szCs w:val="32"/>
          <w:highlight w:val="none"/>
          <w:lang w:val="zh-CN"/>
        </w:rPr>
      </w:pPr>
      <w:r>
        <w:rPr>
          <w:rFonts w:hint="eastAsia" w:ascii="楷体_GB2312" w:eastAsia="楷体_GB2312"/>
          <w:b/>
          <w:bCs/>
          <w:sz w:val="32"/>
          <w:szCs w:val="32"/>
          <w:highlight w:val="none"/>
        </w:rPr>
        <w:t>第四部分  磋商</w:t>
      </w:r>
      <w:r>
        <w:rPr>
          <w:rFonts w:hint="eastAsia" w:ascii="楷体_GB2312" w:eastAsia="楷体_GB2312"/>
          <w:b/>
          <w:sz w:val="32"/>
          <w:szCs w:val="32"/>
          <w:highlight w:val="none"/>
          <w:lang w:val="zh-CN"/>
        </w:rPr>
        <w:t>程序和内容</w:t>
      </w:r>
    </w:p>
    <w:p>
      <w:pPr>
        <w:autoSpaceDE w:val="0"/>
        <w:autoSpaceDN w:val="0"/>
        <w:adjustRightInd w:val="0"/>
        <w:spacing w:line="480" w:lineRule="auto"/>
        <w:ind w:firstLine="556"/>
        <w:rPr>
          <w:rFonts w:ascii="楷体_GB2312" w:eastAsia="楷体_GB2312"/>
          <w:b/>
          <w:bCs/>
          <w:sz w:val="32"/>
          <w:szCs w:val="32"/>
          <w:highlight w:val="none"/>
        </w:rPr>
      </w:pPr>
      <w:r>
        <w:rPr>
          <w:rFonts w:hint="eastAsia" w:ascii="楷体_GB2312" w:eastAsia="楷体_GB2312"/>
          <w:b/>
          <w:bCs/>
          <w:sz w:val="32"/>
          <w:szCs w:val="32"/>
          <w:highlight w:val="none"/>
        </w:rPr>
        <w:t>第五部分  合同签订与验收付款</w:t>
      </w:r>
    </w:p>
    <w:p>
      <w:pPr>
        <w:tabs>
          <w:tab w:val="left" w:pos="7740"/>
        </w:tabs>
        <w:spacing w:line="500" w:lineRule="exact"/>
        <w:ind w:firstLine="641" w:firstLineChars="200"/>
        <w:rPr>
          <w:rFonts w:ascii="楷体_GB2312" w:eastAsia="楷体_GB2312"/>
          <w:b/>
          <w:spacing w:val="2"/>
          <w:sz w:val="32"/>
          <w:szCs w:val="32"/>
          <w:highlight w:val="none"/>
        </w:rPr>
      </w:pPr>
      <w:r>
        <w:rPr>
          <w:rFonts w:hint="eastAsia" w:ascii="楷体_GB2312" w:eastAsia="楷体_GB2312"/>
          <w:b/>
          <w:bCs/>
          <w:sz w:val="32"/>
          <w:szCs w:val="32"/>
          <w:highlight w:val="none"/>
        </w:rPr>
        <w:t>第六部分  质疑提出和处理</w:t>
      </w:r>
    </w:p>
    <w:p>
      <w:pPr>
        <w:spacing w:line="500" w:lineRule="exact"/>
        <w:rPr>
          <w:rFonts w:ascii="楷体_GB2312" w:eastAsia="楷体_GB2312"/>
          <w:b/>
          <w:sz w:val="32"/>
          <w:szCs w:val="32"/>
          <w:highlight w:val="none"/>
        </w:rPr>
      </w:pPr>
    </w:p>
    <w:p>
      <w:pPr>
        <w:tabs>
          <w:tab w:val="left" w:pos="7740"/>
        </w:tabs>
        <w:spacing w:line="500" w:lineRule="exact"/>
        <w:ind w:firstLine="641" w:firstLineChars="200"/>
        <w:rPr>
          <w:rFonts w:ascii="黑体" w:eastAsia="黑体"/>
          <w:b/>
          <w:bCs/>
          <w:sz w:val="36"/>
          <w:szCs w:val="36"/>
          <w:highlight w:val="none"/>
          <w:lang w:val="zh-CN"/>
        </w:rPr>
      </w:pPr>
      <w:r>
        <w:rPr>
          <w:rFonts w:hint="eastAsia" w:ascii="楷体_GB2312" w:eastAsia="楷体_GB2312"/>
          <w:b/>
          <w:bCs/>
          <w:sz w:val="32"/>
          <w:szCs w:val="32"/>
          <w:highlight w:val="none"/>
        </w:rPr>
        <w:t>第七部分  响应</w:t>
      </w:r>
      <w:r>
        <w:rPr>
          <w:rFonts w:hint="eastAsia" w:ascii="楷体_GB2312" w:eastAsia="楷体_GB2312"/>
          <w:b/>
          <w:sz w:val="32"/>
          <w:szCs w:val="32"/>
          <w:highlight w:val="none"/>
          <w:lang w:val="zh-CN"/>
        </w:rPr>
        <w:t>文件</w:t>
      </w:r>
      <w:r>
        <w:rPr>
          <w:rFonts w:hint="eastAsia" w:ascii="楷体_GB2312" w:eastAsia="楷体_GB2312"/>
          <w:b/>
          <w:bCs/>
          <w:sz w:val="32"/>
          <w:szCs w:val="32"/>
          <w:highlight w:val="none"/>
        </w:rPr>
        <w:t>组成</w:t>
      </w:r>
    </w:p>
    <w:p>
      <w:pPr>
        <w:autoSpaceDE w:val="0"/>
        <w:autoSpaceDN w:val="0"/>
        <w:adjustRightInd w:val="0"/>
        <w:snapToGrid w:val="0"/>
        <w:spacing w:line="300" w:lineRule="auto"/>
        <w:jc w:val="center"/>
        <w:outlineLvl w:val="0"/>
        <w:rPr>
          <w:rFonts w:ascii="仿宋_GB2312" w:eastAsia="仿宋_GB2312"/>
          <w:b/>
          <w:bCs/>
          <w:sz w:val="36"/>
          <w:szCs w:val="36"/>
          <w:highlight w:val="none"/>
          <w:lang w:val="zh-CN"/>
        </w:rPr>
      </w:pPr>
      <w:r>
        <w:rPr>
          <w:rFonts w:ascii="仿宋_GB2312" w:eastAsia="仿宋_GB2312"/>
          <w:b/>
          <w:bCs/>
          <w:sz w:val="36"/>
          <w:szCs w:val="36"/>
          <w:highlight w:val="none"/>
          <w:lang w:val="zh-CN"/>
        </w:rPr>
        <w:br w:type="page"/>
      </w:r>
      <w:r>
        <w:rPr>
          <w:rFonts w:hint="eastAsia" w:ascii="仿宋_GB2312" w:eastAsia="仿宋_GB2312"/>
          <w:b/>
          <w:bCs/>
          <w:sz w:val="36"/>
          <w:szCs w:val="36"/>
          <w:highlight w:val="none"/>
          <w:lang w:val="zh-CN"/>
        </w:rPr>
        <w:t xml:space="preserve">第一部分  </w:t>
      </w:r>
      <w:bookmarkStart w:id="0" w:name="OLE_LINK1"/>
      <w:r>
        <w:rPr>
          <w:rFonts w:hint="eastAsia" w:ascii="仿宋_GB2312" w:eastAsia="仿宋_GB2312"/>
          <w:b/>
          <w:bCs/>
          <w:sz w:val="36"/>
          <w:szCs w:val="36"/>
          <w:highlight w:val="none"/>
          <w:lang w:val="zh-CN"/>
        </w:rPr>
        <w:t>竞争性磋商公告</w:t>
      </w:r>
    </w:p>
    <w:p>
      <w:pPr>
        <w:widowControl/>
        <w:shd w:val="clear" w:color="auto" w:fill="FFFFFF"/>
        <w:rPr>
          <w:rFonts w:ascii="Microsoft YaHei UI" w:hAnsi="Microsoft YaHei UI" w:eastAsia="Microsoft YaHei UI" w:cs="宋体"/>
          <w:spacing w:val="7"/>
          <w:kern w:val="0"/>
          <w:sz w:val="23"/>
          <w:szCs w:val="23"/>
          <w:highlight w:val="none"/>
        </w:rPr>
      </w:pPr>
    </w:p>
    <w:p>
      <w:pPr>
        <w:snapToGrid w:val="0"/>
        <w:spacing w:line="480" w:lineRule="exact"/>
        <w:ind w:firstLine="480" w:firstLineChars="200"/>
        <w:rPr>
          <w:sz w:val="24"/>
          <w:highlight w:val="none"/>
        </w:rPr>
      </w:pPr>
      <w:r>
        <w:rPr>
          <w:bCs/>
          <w:sz w:val="24"/>
          <w:highlight w:val="none"/>
        </w:rPr>
        <w:t>项目概况</w:t>
      </w:r>
      <w:r>
        <w:rPr>
          <w:rFonts w:hint="eastAsia"/>
          <w:bCs/>
          <w:sz w:val="24"/>
          <w:highlight w:val="none"/>
        </w:rPr>
        <w:t>：</w:t>
      </w:r>
      <w:r>
        <w:rPr>
          <w:rFonts w:hint="eastAsia"/>
          <w:bCs/>
          <w:sz w:val="24"/>
          <w:highlight w:val="none"/>
          <w:u w:val="single"/>
          <w:lang w:eastAsia="zh-CN"/>
        </w:rPr>
        <w:t>南通开放大学重要事项系统及财务预算系统升级改造项目</w:t>
      </w:r>
      <w:r>
        <w:rPr>
          <w:sz w:val="24"/>
          <w:highlight w:val="none"/>
        </w:rPr>
        <w:t>的潜在</w:t>
      </w:r>
      <w:r>
        <w:rPr>
          <w:rFonts w:hint="eastAsia"/>
          <w:sz w:val="24"/>
          <w:highlight w:val="none"/>
        </w:rPr>
        <w:t>供应商</w:t>
      </w:r>
      <w:r>
        <w:rPr>
          <w:sz w:val="24"/>
          <w:highlight w:val="none"/>
        </w:rPr>
        <w:t>应在</w:t>
      </w:r>
      <w:r>
        <w:rPr>
          <w:rFonts w:hint="eastAsia"/>
          <w:sz w:val="24"/>
          <w:highlight w:val="none"/>
          <w:u w:val="single"/>
          <w:lang w:val="en-US" w:eastAsia="zh-CN"/>
        </w:rPr>
        <w:t>南通开放大学官网、南通市教育局网</w:t>
      </w:r>
      <w:r>
        <w:rPr>
          <w:sz w:val="24"/>
          <w:highlight w:val="none"/>
        </w:rPr>
        <w:t>获取</w:t>
      </w:r>
      <w:r>
        <w:rPr>
          <w:rFonts w:hint="eastAsia"/>
          <w:sz w:val="24"/>
          <w:highlight w:val="none"/>
        </w:rPr>
        <w:t>采购</w:t>
      </w:r>
      <w:r>
        <w:rPr>
          <w:sz w:val="24"/>
          <w:highlight w:val="none"/>
        </w:rPr>
        <w:t>文件，并于</w:t>
      </w:r>
      <w:r>
        <w:rPr>
          <w:rFonts w:hint="eastAsia"/>
          <w:color w:val="auto"/>
          <w:sz w:val="24"/>
          <w:highlight w:val="none"/>
          <w:u w:val="single"/>
        </w:rPr>
        <w:t>2024年0</w:t>
      </w:r>
      <w:r>
        <w:rPr>
          <w:rFonts w:hint="eastAsia"/>
          <w:color w:val="auto"/>
          <w:sz w:val="24"/>
          <w:highlight w:val="none"/>
          <w:u w:val="single"/>
          <w:lang w:val="en-US" w:eastAsia="zh-CN"/>
        </w:rPr>
        <w:t>7</w:t>
      </w:r>
      <w:r>
        <w:rPr>
          <w:rFonts w:hint="eastAsia"/>
          <w:color w:val="auto"/>
          <w:sz w:val="24"/>
          <w:highlight w:val="none"/>
          <w:u w:val="single"/>
        </w:rPr>
        <w:t>月</w:t>
      </w:r>
      <w:r>
        <w:rPr>
          <w:rFonts w:hint="eastAsia"/>
          <w:color w:val="auto"/>
          <w:sz w:val="24"/>
          <w:highlight w:val="none"/>
          <w:u w:val="single"/>
          <w:lang w:val="en-US" w:eastAsia="zh-CN"/>
        </w:rPr>
        <w:t>29</w:t>
      </w:r>
      <w:r>
        <w:rPr>
          <w:rFonts w:hint="eastAsia"/>
          <w:color w:val="auto"/>
          <w:sz w:val="24"/>
          <w:highlight w:val="none"/>
          <w:u w:val="single"/>
        </w:rPr>
        <w:t>日</w:t>
      </w:r>
      <w:r>
        <w:rPr>
          <w:rFonts w:hint="eastAsia"/>
          <w:color w:val="auto"/>
          <w:sz w:val="24"/>
          <w:highlight w:val="none"/>
          <w:u w:val="single"/>
          <w:lang w:val="en-US" w:eastAsia="zh-CN"/>
        </w:rPr>
        <w:t>09</w:t>
      </w:r>
      <w:r>
        <w:rPr>
          <w:color w:val="auto"/>
          <w:sz w:val="24"/>
          <w:highlight w:val="none"/>
          <w:u w:val="single"/>
        </w:rPr>
        <w:t>点</w:t>
      </w:r>
      <w:r>
        <w:rPr>
          <w:rFonts w:hint="eastAsia"/>
          <w:color w:val="auto"/>
          <w:sz w:val="24"/>
          <w:highlight w:val="none"/>
          <w:u w:val="single"/>
          <w:lang w:val="en-US" w:eastAsia="zh-CN"/>
        </w:rPr>
        <w:t>30</w:t>
      </w:r>
      <w:r>
        <w:rPr>
          <w:color w:val="auto"/>
          <w:sz w:val="24"/>
          <w:highlight w:val="none"/>
          <w:u w:val="single"/>
        </w:rPr>
        <w:t>分</w:t>
      </w:r>
      <w:r>
        <w:rPr>
          <w:sz w:val="24"/>
          <w:highlight w:val="none"/>
        </w:rPr>
        <w:t>（北京时间）前递交</w:t>
      </w:r>
      <w:r>
        <w:rPr>
          <w:rFonts w:hint="eastAsia"/>
          <w:sz w:val="24"/>
          <w:highlight w:val="none"/>
        </w:rPr>
        <w:t>响应</w:t>
      </w:r>
      <w:r>
        <w:rPr>
          <w:sz w:val="24"/>
          <w:highlight w:val="none"/>
        </w:rPr>
        <w:t>文件。</w:t>
      </w:r>
    </w:p>
    <w:p>
      <w:pPr>
        <w:snapToGrid w:val="0"/>
        <w:spacing w:line="480" w:lineRule="exact"/>
        <w:ind w:firstLine="480" w:firstLineChars="200"/>
        <w:rPr>
          <w:b/>
          <w:sz w:val="24"/>
          <w:highlight w:val="none"/>
        </w:rPr>
      </w:pPr>
      <w:r>
        <w:rPr>
          <w:sz w:val="24"/>
          <w:highlight w:val="none"/>
        </w:rPr>
        <w:t> </w:t>
      </w:r>
      <w:r>
        <w:rPr>
          <w:b/>
          <w:sz w:val="24"/>
          <w:highlight w:val="none"/>
        </w:rPr>
        <w:t xml:space="preserve"> 一、项目基本情况</w:t>
      </w:r>
    </w:p>
    <w:p>
      <w:pPr>
        <w:snapToGrid w:val="0"/>
        <w:spacing w:line="480" w:lineRule="exact"/>
        <w:ind w:firstLine="480" w:firstLineChars="200"/>
        <w:rPr>
          <w:rFonts w:hint="eastAsia" w:eastAsia="宋体"/>
          <w:sz w:val="24"/>
          <w:highlight w:val="none"/>
          <w:lang w:eastAsia="zh-CN"/>
        </w:rPr>
      </w:pPr>
      <w:r>
        <w:rPr>
          <w:rFonts w:hint="eastAsia"/>
          <w:sz w:val="24"/>
          <w:highlight w:val="none"/>
        </w:rPr>
        <w:t>项目编号：</w:t>
      </w:r>
      <w:r>
        <w:rPr>
          <w:rFonts w:hint="eastAsia"/>
          <w:sz w:val="24"/>
          <w:highlight w:val="none"/>
          <w:lang w:eastAsia="zh-CN"/>
        </w:rPr>
        <w:t>KD-2024035</w:t>
      </w:r>
    </w:p>
    <w:p>
      <w:pPr>
        <w:snapToGrid w:val="0"/>
        <w:spacing w:line="480" w:lineRule="exact"/>
        <w:ind w:firstLine="480" w:firstLineChars="200"/>
        <w:rPr>
          <w:rFonts w:hint="eastAsia" w:eastAsia="宋体"/>
          <w:sz w:val="24"/>
          <w:highlight w:val="none"/>
          <w:lang w:eastAsia="zh-CN"/>
        </w:rPr>
      </w:pPr>
      <w:r>
        <w:rPr>
          <w:rFonts w:hint="eastAsia"/>
          <w:sz w:val="24"/>
          <w:highlight w:val="none"/>
        </w:rPr>
        <w:t>项目名称：</w:t>
      </w:r>
      <w:r>
        <w:rPr>
          <w:rFonts w:hint="eastAsia"/>
          <w:sz w:val="24"/>
          <w:highlight w:val="none"/>
          <w:lang w:eastAsia="zh-CN"/>
        </w:rPr>
        <w:t>南通开放大学重要事项系统及财务预算系统升级改造项目</w:t>
      </w:r>
    </w:p>
    <w:p>
      <w:pPr>
        <w:snapToGrid w:val="0"/>
        <w:spacing w:line="480" w:lineRule="exact"/>
        <w:ind w:firstLine="480" w:firstLineChars="200"/>
        <w:rPr>
          <w:rFonts w:hint="eastAsia"/>
          <w:sz w:val="24"/>
          <w:highlight w:val="none"/>
        </w:rPr>
      </w:pPr>
      <w:r>
        <w:rPr>
          <w:rFonts w:hint="eastAsia"/>
          <w:sz w:val="24"/>
          <w:highlight w:val="none"/>
        </w:rPr>
        <w:t>采购方式：竞争性磋商</w:t>
      </w:r>
    </w:p>
    <w:p>
      <w:pPr>
        <w:snapToGrid w:val="0"/>
        <w:spacing w:line="480" w:lineRule="exact"/>
        <w:ind w:firstLine="480" w:firstLineChars="200"/>
        <w:rPr>
          <w:sz w:val="24"/>
          <w:highlight w:val="none"/>
        </w:rPr>
      </w:pPr>
      <w:r>
        <w:rPr>
          <w:sz w:val="24"/>
          <w:highlight w:val="none"/>
        </w:rPr>
        <w:t>预算金额：</w:t>
      </w:r>
      <w:r>
        <w:rPr>
          <w:rFonts w:hint="eastAsia"/>
          <w:sz w:val="24"/>
          <w:highlight w:val="none"/>
          <w:u w:val="single"/>
          <w:lang w:val="en-US" w:eastAsia="zh-CN"/>
        </w:rPr>
        <w:t>40万</w:t>
      </w:r>
      <w:r>
        <w:rPr>
          <w:sz w:val="24"/>
          <w:highlight w:val="none"/>
        </w:rPr>
        <w:t>元</w:t>
      </w:r>
    </w:p>
    <w:p>
      <w:pPr>
        <w:snapToGrid w:val="0"/>
        <w:spacing w:line="480" w:lineRule="exact"/>
        <w:ind w:firstLine="480" w:firstLineChars="200"/>
        <w:rPr>
          <w:sz w:val="24"/>
          <w:highlight w:val="none"/>
        </w:rPr>
      </w:pPr>
      <w:r>
        <w:rPr>
          <w:rFonts w:hint="eastAsia"/>
          <w:sz w:val="24"/>
          <w:highlight w:val="none"/>
        </w:rPr>
        <w:t>最高限价：</w:t>
      </w:r>
      <w:r>
        <w:rPr>
          <w:rFonts w:hint="eastAsia"/>
          <w:sz w:val="24"/>
          <w:highlight w:val="none"/>
          <w:u w:val="single"/>
          <w:lang w:val="en-US" w:eastAsia="zh-CN"/>
        </w:rPr>
        <w:t>40万</w:t>
      </w:r>
      <w:r>
        <w:rPr>
          <w:sz w:val="24"/>
          <w:highlight w:val="none"/>
        </w:rPr>
        <w:t>元</w:t>
      </w:r>
      <w:r>
        <w:rPr>
          <w:rFonts w:hint="eastAsia"/>
          <w:sz w:val="24"/>
          <w:highlight w:val="none"/>
        </w:rPr>
        <w:t xml:space="preserve"> </w:t>
      </w:r>
    </w:p>
    <w:p>
      <w:pPr>
        <w:snapToGrid w:val="0"/>
        <w:spacing w:line="480" w:lineRule="exact"/>
        <w:ind w:firstLine="480" w:firstLineChars="200"/>
        <w:rPr>
          <w:sz w:val="24"/>
          <w:highlight w:val="none"/>
        </w:rPr>
      </w:pPr>
      <w:r>
        <w:rPr>
          <w:sz w:val="24"/>
          <w:highlight w:val="none"/>
        </w:rPr>
        <w:t>采购需求：详见</w:t>
      </w:r>
      <w:r>
        <w:rPr>
          <w:spacing w:val="7"/>
          <w:kern w:val="0"/>
          <w:sz w:val="24"/>
          <w:highlight w:val="none"/>
        </w:rPr>
        <w:t>第三部分</w:t>
      </w:r>
      <w:r>
        <w:rPr>
          <w:sz w:val="24"/>
          <w:highlight w:val="none"/>
        </w:rPr>
        <w:t>项目需求。</w:t>
      </w:r>
    </w:p>
    <w:p>
      <w:pPr>
        <w:spacing w:line="600" w:lineRule="exact"/>
        <w:ind w:firstLine="480" w:firstLineChars="200"/>
        <w:rPr>
          <w:spacing w:val="7"/>
          <w:highlight w:val="none"/>
        </w:rPr>
      </w:pPr>
      <w:r>
        <w:rPr>
          <w:rFonts w:hint="eastAsia"/>
          <w:sz w:val="24"/>
          <w:highlight w:val="none"/>
          <w:lang w:val="en-US" w:eastAsia="zh-CN"/>
        </w:rPr>
        <w:t>交货期</w:t>
      </w:r>
      <w:r>
        <w:rPr>
          <w:rFonts w:hint="eastAsia"/>
          <w:sz w:val="24"/>
          <w:highlight w:val="none"/>
        </w:rPr>
        <w:t>：</w:t>
      </w:r>
      <w:r>
        <w:rPr>
          <w:rFonts w:hint="eastAsia"/>
          <w:sz w:val="24"/>
          <w:highlight w:val="none"/>
          <w:lang w:val="en-US" w:eastAsia="zh-CN"/>
        </w:rPr>
        <w:t>合同签订后60天内</w:t>
      </w:r>
      <w:r>
        <w:rPr>
          <w:rFonts w:hint="eastAsia"/>
          <w:sz w:val="24"/>
          <w:highlight w:val="none"/>
        </w:rPr>
        <w:t>。</w:t>
      </w:r>
    </w:p>
    <w:p>
      <w:pPr>
        <w:snapToGrid w:val="0"/>
        <w:spacing w:line="480" w:lineRule="exact"/>
        <w:ind w:firstLine="480" w:firstLineChars="200"/>
        <w:rPr>
          <w:sz w:val="24"/>
          <w:highlight w:val="none"/>
        </w:rPr>
      </w:pPr>
      <w:r>
        <w:rPr>
          <w:sz w:val="24"/>
          <w:highlight w:val="none"/>
        </w:rPr>
        <w:t>本项目不接受联合体</w:t>
      </w:r>
      <w:r>
        <w:rPr>
          <w:rFonts w:hint="eastAsia"/>
          <w:sz w:val="24"/>
          <w:highlight w:val="none"/>
        </w:rPr>
        <w:t>响应</w:t>
      </w:r>
      <w:r>
        <w:rPr>
          <w:sz w:val="24"/>
          <w:highlight w:val="none"/>
        </w:rPr>
        <w:t>。</w:t>
      </w:r>
    </w:p>
    <w:p>
      <w:pPr>
        <w:snapToGrid w:val="0"/>
        <w:spacing w:line="480" w:lineRule="exact"/>
        <w:ind w:firstLine="480" w:firstLineChars="200"/>
        <w:rPr>
          <w:b/>
          <w:sz w:val="24"/>
          <w:highlight w:val="none"/>
        </w:rPr>
      </w:pPr>
      <w:r>
        <w:rPr>
          <w:b/>
          <w:sz w:val="24"/>
          <w:highlight w:val="none"/>
        </w:rPr>
        <w:t>二、申请人的资格要求：</w:t>
      </w:r>
    </w:p>
    <w:p>
      <w:pPr>
        <w:snapToGrid w:val="0"/>
        <w:spacing w:line="480" w:lineRule="exact"/>
        <w:ind w:firstLine="480" w:firstLineChars="200"/>
        <w:rPr>
          <w:sz w:val="24"/>
          <w:highlight w:val="none"/>
        </w:rPr>
      </w:pPr>
      <w:r>
        <w:rPr>
          <w:rFonts w:hint="eastAsia"/>
          <w:sz w:val="24"/>
          <w:highlight w:val="none"/>
        </w:rPr>
        <w:t>1.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snapToGrid w:val="0"/>
        <w:spacing w:line="480" w:lineRule="exact"/>
        <w:ind w:firstLine="480" w:firstLineChars="200"/>
        <w:rPr>
          <w:sz w:val="24"/>
          <w:highlight w:val="none"/>
        </w:rPr>
      </w:pPr>
      <w:r>
        <w:rPr>
          <w:rFonts w:hint="eastAsia"/>
          <w:sz w:val="24"/>
          <w:highlight w:val="none"/>
        </w:rPr>
        <w:t>2.未被“信用中国”网站（www.creditchina.gov.cn）、“中国政府采购网”（www.ccgp.gov.cn）列入失信被执行人、重大税收违法案件当事人名单、政府采购严重违法失信行为记录名单；</w:t>
      </w:r>
    </w:p>
    <w:p>
      <w:pPr>
        <w:snapToGrid w:val="0"/>
        <w:spacing w:line="480" w:lineRule="exact"/>
        <w:ind w:firstLine="480" w:firstLineChars="200"/>
        <w:rPr>
          <w:b/>
          <w:sz w:val="24"/>
          <w:highlight w:val="none"/>
        </w:rPr>
      </w:pPr>
      <w:r>
        <w:rPr>
          <w:b/>
          <w:sz w:val="24"/>
          <w:highlight w:val="none"/>
        </w:rPr>
        <w:t>三、获取</w:t>
      </w:r>
      <w:r>
        <w:rPr>
          <w:rFonts w:hint="eastAsia"/>
          <w:b/>
          <w:sz w:val="24"/>
          <w:highlight w:val="none"/>
        </w:rPr>
        <w:t>采购</w:t>
      </w:r>
      <w:r>
        <w:rPr>
          <w:b/>
          <w:sz w:val="24"/>
          <w:highlight w:val="none"/>
        </w:rPr>
        <w:t>文件</w:t>
      </w:r>
    </w:p>
    <w:p>
      <w:pPr>
        <w:snapToGrid w:val="0"/>
        <w:spacing w:line="480" w:lineRule="exact"/>
        <w:ind w:firstLine="480" w:firstLineChars="200"/>
        <w:rPr>
          <w:sz w:val="24"/>
          <w:highlight w:val="none"/>
        </w:rPr>
      </w:pPr>
      <w:r>
        <w:rPr>
          <w:sz w:val="24"/>
          <w:highlight w:val="none"/>
        </w:rPr>
        <w:t>时间：</w:t>
      </w:r>
      <w:r>
        <w:rPr>
          <w:rFonts w:hint="eastAsia"/>
          <w:color w:val="auto"/>
          <w:sz w:val="24"/>
          <w:highlight w:val="none"/>
          <w:u w:val="single"/>
          <w:lang w:val="en-US" w:eastAsia="zh-CN"/>
        </w:rPr>
        <w:t>自公告发布之日</w:t>
      </w:r>
      <w:r>
        <w:rPr>
          <w:rFonts w:hint="eastAsia"/>
          <w:sz w:val="24"/>
          <w:highlight w:val="none"/>
        </w:rPr>
        <w:t>起</w:t>
      </w:r>
      <w:r>
        <w:rPr>
          <w:sz w:val="24"/>
          <w:highlight w:val="none"/>
        </w:rPr>
        <w:t>至</w:t>
      </w:r>
      <w:r>
        <w:rPr>
          <w:rFonts w:hint="eastAsia"/>
          <w:color w:val="auto"/>
          <w:sz w:val="24"/>
          <w:highlight w:val="none"/>
          <w:u w:val="single"/>
        </w:rPr>
        <w:t>2024年0</w:t>
      </w:r>
      <w:r>
        <w:rPr>
          <w:rFonts w:hint="eastAsia"/>
          <w:color w:val="auto"/>
          <w:sz w:val="24"/>
          <w:highlight w:val="none"/>
          <w:u w:val="single"/>
          <w:lang w:val="en-US" w:eastAsia="zh-CN"/>
        </w:rPr>
        <w:t>7</w:t>
      </w:r>
      <w:r>
        <w:rPr>
          <w:rFonts w:hint="eastAsia"/>
          <w:color w:val="auto"/>
          <w:sz w:val="24"/>
          <w:highlight w:val="none"/>
          <w:u w:val="single"/>
        </w:rPr>
        <w:t>月</w:t>
      </w:r>
      <w:r>
        <w:rPr>
          <w:rFonts w:hint="eastAsia"/>
          <w:color w:val="auto"/>
          <w:sz w:val="24"/>
          <w:highlight w:val="none"/>
          <w:u w:val="single"/>
          <w:lang w:val="en-US" w:eastAsia="zh-CN"/>
        </w:rPr>
        <w:t>29</w:t>
      </w:r>
      <w:r>
        <w:rPr>
          <w:rFonts w:hint="eastAsia"/>
          <w:color w:val="auto"/>
          <w:sz w:val="24"/>
          <w:highlight w:val="none"/>
          <w:u w:val="single"/>
        </w:rPr>
        <w:t>日</w:t>
      </w:r>
      <w:r>
        <w:rPr>
          <w:rFonts w:hint="eastAsia"/>
          <w:color w:val="auto"/>
          <w:sz w:val="24"/>
          <w:highlight w:val="none"/>
          <w:u w:val="single"/>
          <w:lang w:val="en-US" w:eastAsia="zh-CN"/>
        </w:rPr>
        <w:t>09</w:t>
      </w:r>
      <w:r>
        <w:rPr>
          <w:color w:val="auto"/>
          <w:sz w:val="24"/>
          <w:highlight w:val="none"/>
          <w:u w:val="single"/>
        </w:rPr>
        <w:t>点</w:t>
      </w:r>
      <w:r>
        <w:rPr>
          <w:rFonts w:hint="eastAsia"/>
          <w:color w:val="auto"/>
          <w:sz w:val="24"/>
          <w:highlight w:val="none"/>
          <w:u w:val="single"/>
          <w:lang w:val="en-US" w:eastAsia="zh-CN"/>
        </w:rPr>
        <w:t>30</w:t>
      </w:r>
      <w:r>
        <w:rPr>
          <w:color w:val="auto"/>
          <w:sz w:val="24"/>
          <w:highlight w:val="none"/>
          <w:u w:val="single"/>
        </w:rPr>
        <w:t>分</w:t>
      </w:r>
      <w:r>
        <w:rPr>
          <w:sz w:val="24"/>
          <w:highlight w:val="none"/>
        </w:rPr>
        <w:t>。</w:t>
      </w:r>
    </w:p>
    <w:p>
      <w:pPr>
        <w:snapToGrid w:val="0"/>
        <w:spacing w:line="480" w:lineRule="exact"/>
        <w:ind w:firstLine="480" w:firstLineChars="200"/>
        <w:rPr>
          <w:rFonts w:hint="default" w:eastAsia="宋体"/>
          <w:b/>
          <w:bCs/>
          <w:sz w:val="24"/>
          <w:highlight w:val="none"/>
          <w:lang w:val="en-US" w:eastAsia="zh-CN"/>
        </w:rPr>
      </w:pPr>
      <w:r>
        <w:rPr>
          <w:rFonts w:hint="eastAsia"/>
          <w:sz w:val="24"/>
          <w:highlight w:val="none"/>
        </w:rPr>
        <w:t>地点：</w:t>
      </w:r>
      <w:r>
        <w:rPr>
          <w:rFonts w:hint="eastAsia"/>
          <w:sz w:val="24"/>
          <w:highlight w:val="none"/>
          <w:u w:val="single"/>
          <w:lang w:val="en-US" w:eastAsia="zh-CN"/>
        </w:rPr>
        <w:t>南通开放大学官网、南通市教育局网</w:t>
      </w:r>
    </w:p>
    <w:p>
      <w:pPr>
        <w:snapToGrid w:val="0"/>
        <w:spacing w:line="480" w:lineRule="exact"/>
        <w:ind w:firstLine="480" w:firstLineChars="200"/>
        <w:rPr>
          <w:rFonts w:hint="eastAsia" w:eastAsia="宋体"/>
          <w:b/>
          <w:sz w:val="24"/>
          <w:highlight w:val="none"/>
          <w:u w:val="single"/>
          <w:lang w:val="en-US" w:eastAsia="zh-CN"/>
        </w:rPr>
      </w:pPr>
      <w:r>
        <w:rPr>
          <w:rFonts w:hint="eastAsia"/>
          <w:sz w:val="24"/>
          <w:highlight w:val="none"/>
        </w:rPr>
        <w:t>方式：</w:t>
      </w:r>
      <w:r>
        <w:rPr>
          <w:rFonts w:hint="eastAsia"/>
          <w:sz w:val="24"/>
          <w:highlight w:val="none"/>
          <w:lang w:val="en-US" w:eastAsia="zh-CN"/>
        </w:rPr>
        <w:t>自行下载</w:t>
      </w:r>
    </w:p>
    <w:p>
      <w:pPr>
        <w:snapToGrid w:val="0"/>
        <w:spacing w:line="480" w:lineRule="exact"/>
        <w:ind w:firstLine="480" w:firstLineChars="200"/>
        <w:rPr>
          <w:b/>
          <w:sz w:val="24"/>
          <w:highlight w:val="none"/>
        </w:rPr>
      </w:pPr>
      <w:r>
        <w:rPr>
          <w:b/>
          <w:sz w:val="24"/>
          <w:highlight w:val="none"/>
        </w:rPr>
        <w:t>四、</w:t>
      </w:r>
      <w:r>
        <w:rPr>
          <w:rFonts w:hint="eastAsia"/>
          <w:b/>
          <w:sz w:val="24"/>
          <w:highlight w:val="none"/>
        </w:rPr>
        <w:t>响应</w:t>
      </w:r>
      <w:r>
        <w:rPr>
          <w:b/>
          <w:sz w:val="24"/>
          <w:highlight w:val="none"/>
        </w:rPr>
        <w:t>文件</w:t>
      </w:r>
      <w:r>
        <w:rPr>
          <w:rFonts w:hint="eastAsia"/>
          <w:b/>
          <w:sz w:val="24"/>
          <w:highlight w:val="none"/>
        </w:rPr>
        <w:t>提交</w:t>
      </w:r>
    </w:p>
    <w:p>
      <w:pPr>
        <w:snapToGrid w:val="0"/>
        <w:spacing w:line="480" w:lineRule="exact"/>
        <w:ind w:firstLine="480" w:firstLineChars="200"/>
        <w:rPr>
          <w:sz w:val="24"/>
          <w:highlight w:val="none"/>
        </w:rPr>
      </w:pPr>
      <w:r>
        <w:rPr>
          <w:rFonts w:hint="eastAsia"/>
          <w:sz w:val="24"/>
          <w:highlight w:val="none"/>
        </w:rPr>
        <w:t>截止时间：</w:t>
      </w:r>
      <w:r>
        <w:rPr>
          <w:rFonts w:hint="eastAsia"/>
          <w:color w:val="auto"/>
          <w:sz w:val="24"/>
          <w:highlight w:val="none"/>
          <w:u w:val="single"/>
        </w:rPr>
        <w:t>2024年0</w:t>
      </w:r>
      <w:r>
        <w:rPr>
          <w:rFonts w:hint="eastAsia"/>
          <w:color w:val="auto"/>
          <w:sz w:val="24"/>
          <w:highlight w:val="none"/>
          <w:u w:val="single"/>
          <w:lang w:val="en-US" w:eastAsia="zh-CN"/>
        </w:rPr>
        <w:t>7</w:t>
      </w:r>
      <w:r>
        <w:rPr>
          <w:rFonts w:hint="eastAsia"/>
          <w:color w:val="auto"/>
          <w:sz w:val="24"/>
          <w:highlight w:val="none"/>
          <w:u w:val="single"/>
        </w:rPr>
        <w:t>月</w:t>
      </w:r>
      <w:r>
        <w:rPr>
          <w:rFonts w:hint="eastAsia"/>
          <w:color w:val="auto"/>
          <w:sz w:val="24"/>
          <w:highlight w:val="none"/>
          <w:u w:val="single"/>
          <w:lang w:val="en-US" w:eastAsia="zh-CN"/>
        </w:rPr>
        <w:t>29</w:t>
      </w:r>
      <w:r>
        <w:rPr>
          <w:rFonts w:hint="eastAsia"/>
          <w:color w:val="auto"/>
          <w:sz w:val="24"/>
          <w:highlight w:val="none"/>
          <w:u w:val="single"/>
        </w:rPr>
        <w:t>日</w:t>
      </w:r>
      <w:r>
        <w:rPr>
          <w:rFonts w:hint="eastAsia"/>
          <w:color w:val="auto"/>
          <w:sz w:val="24"/>
          <w:highlight w:val="none"/>
          <w:u w:val="single"/>
          <w:lang w:val="en-US" w:eastAsia="zh-CN"/>
        </w:rPr>
        <w:t>09</w:t>
      </w:r>
      <w:r>
        <w:rPr>
          <w:color w:val="auto"/>
          <w:sz w:val="24"/>
          <w:highlight w:val="none"/>
          <w:u w:val="single"/>
        </w:rPr>
        <w:t>点</w:t>
      </w:r>
      <w:r>
        <w:rPr>
          <w:rFonts w:hint="eastAsia"/>
          <w:color w:val="auto"/>
          <w:sz w:val="24"/>
          <w:highlight w:val="none"/>
          <w:u w:val="single"/>
          <w:lang w:val="en-US" w:eastAsia="zh-CN"/>
        </w:rPr>
        <w:t>30</w:t>
      </w:r>
      <w:r>
        <w:rPr>
          <w:color w:val="auto"/>
          <w:sz w:val="24"/>
          <w:highlight w:val="none"/>
          <w:u w:val="single"/>
        </w:rPr>
        <w:t>分</w:t>
      </w:r>
      <w:r>
        <w:rPr>
          <w:sz w:val="24"/>
          <w:highlight w:val="none"/>
        </w:rPr>
        <w:t>（北京时间）</w:t>
      </w:r>
      <w:r>
        <w:rPr>
          <w:rFonts w:hint="eastAsia"/>
          <w:sz w:val="24"/>
          <w:highlight w:val="none"/>
        </w:rPr>
        <w:t>，</w:t>
      </w:r>
      <w:r>
        <w:rPr>
          <w:sz w:val="24"/>
          <w:highlight w:val="none"/>
        </w:rPr>
        <w:t>逾时拒绝接收</w:t>
      </w:r>
      <w:r>
        <w:rPr>
          <w:rFonts w:hint="eastAsia"/>
          <w:sz w:val="24"/>
          <w:highlight w:val="none"/>
        </w:rPr>
        <w:t>磋商</w:t>
      </w:r>
      <w:r>
        <w:rPr>
          <w:sz w:val="24"/>
          <w:highlight w:val="none"/>
        </w:rPr>
        <w:t>响应文件</w:t>
      </w:r>
      <w:r>
        <w:rPr>
          <w:rFonts w:hint="eastAsia"/>
          <w:sz w:val="24"/>
          <w:highlight w:val="none"/>
        </w:rPr>
        <w:t>。</w:t>
      </w:r>
    </w:p>
    <w:p>
      <w:pPr>
        <w:snapToGrid w:val="0"/>
        <w:spacing w:line="480" w:lineRule="exact"/>
        <w:ind w:firstLine="480" w:firstLineChars="200"/>
        <w:rPr>
          <w:sz w:val="24"/>
          <w:highlight w:val="none"/>
        </w:rPr>
      </w:pPr>
      <w:r>
        <w:rPr>
          <w:sz w:val="24"/>
          <w:highlight w:val="none"/>
        </w:rPr>
        <w:t>地点：</w:t>
      </w:r>
      <w:r>
        <w:rPr>
          <w:rFonts w:hint="eastAsia"/>
          <w:sz w:val="24"/>
          <w:highlight w:val="none"/>
        </w:rPr>
        <w:t>南通市崇川区北大街108号金域商业中心T3楼24楼0</w:t>
      </w:r>
      <w:r>
        <w:rPr>
          <w:rFonts w:hint="eastAsia"/>
          <w:sz w:val="24"/>
          <w:highlight w:val="none"/>
          <w:lang w:val="en-US" w:eastAsia="zh-CN"/>
        </w:rPr>
        <w:t>2</w:t>
      </w:r>
      <w:r>
        <w:rPr>
          <w:rFonts w:hint="eastAsia"/>
          <w:sz w:val="24"/>
          <w:highlight w:val="none"/>
        </w:rPr>
        <w:t>室，如有变动另行通知。</w:t>
      </w:r>
    </w:p>
    <w:p>
      <w:pPr>
        <w:snapToGrid w:val="0"/>
        <w:spacing w:line="480" w:lineRule="exact"/>
        <w:ind w:firstLine="480" w:firstLineChars="200"/>
        <w:rPr>
          <w:b/>
          <w:sz w:val="24"/>
          <w:highlight w:val="none"/>
        </w:rPr>
      </w:pPr>
      <w:r>
        <w:rPr>
          <w:rFonts w:hint="eastAsia"/>
          <w:b/>
          <w:sz w:val="24"/>
          <w:highlight w:val="none"/>
        </w:rPr>
        <w:t>五、开启</w:t>
      </w:r>
    </w:p>
    <w:p>
      <w:pPr>
        <w:snapToGrid w:val="0"/>
        <w:spacing w:line="480" w:lineRule="exact"/>
        <w:ind w:firstLine="480" w:firstLineChars="200"/>
        <w:rPr>
          <w:sz w:val="24"/>
          <w:highlight w:val="none"/>
        </w:rPr>
      </w:pPr>
      <w:r>
        <w:rPr>
          <w:rFonts w:hint="eastAsia"/>
          <w:sz w:val="24"/>
          <w:highlight w:val="none"/>
        </w:rPr>
        <w:t>时间：</w:t>
      </w:r>
      <w:r>
        <w:rPr>
          <w:rFonts w:hint="eastAsia"/>
          <w:color w:val="auto"/>
          <w:sz w:val="24"/>
          <w:highlight w:val="none"/>
          <w:u w:val="single"/>
        </w:rPr>
        <w:t>2024年0</w:t>
      </w:r>
      <w:r>
        <w:rPr>
          <w:rFonts w:hint="eastAsia"/>
          <w:color w:val="auto"/>
          <w:sz w:val="24"/>
          <w:highlight w:val="none"/>
          <w:u w:val="single"/>
          <w:lang w:val="en-US" w:eastAsia="zh-CN"/>
        </w:rPr>
        <w:t>7</w:t>
      </w:r>
      <w:r>
        <w:rPr>
          <w:rFonts w:hint="eastAsia"/>
          <w:color w:val="auto"/>
          <w:sz w:val="24"/>
          <w:highlight w:val="none"/>
          <w:u w:val="single"/>
        </w:rPr>
        <w:t>月</w:t>
      </w:r>
      <w:r>
        <w:rPr>
          <w:rFonts w:hint="eastAsia"/>
          <w:color w:val="auto"/>
          <w:sz w:val="24"/>
          <w:highlight w:val="none"/>
          <w:u w:val="single"/>
          <w:lang w:val="en-US" w:eastAsia="zh-CN"/>
        </w:rPr>
        <w:t>29</w:t>
      </w:r>
      <w:r>
        <w:rPr>
          <w:rFonts w:hint="eastAsia"/>
          <w:color w:val="auto"/>
          <w:sz w:val="24"/>
          <w:highlight w:val="none"/>
          <w:u w:val="single"/>
        </w:rPr>
        <w:t>日</w:t>
      </w:r>
      <w:r>
        <w:rPr>
          <w:rFonts w:hint="eastAsia"/>
          <w:color w:val="auto"/>
          <w:sz w:val="24"/>
          <w:highlight w:val="none"/>
          <w:u w:val="single"/>
          <w:lang w:val="en-US" w:eastAsia="zh-CN"/>
        </w:rPr>
        <w:t>09</w:t>
      </w:r>
      <w:r>
        <w:rPr>
          <w:color w:val="auto"/>
          <w:sz w:val="24"/>
          <w:highlight w:val="none"/>
          <w:u w:val="single"/>
        </w:rPr>
        <w:t>点</w:t>
      </w:r>
      <w:r>
        <w:rPr>
          <w:rFonts w:hint="eastAsia"/>
          <w:color w:val="auto"/>
          <w:sz w:val="24"/>
          <w:highlight w:val="none"/>
          <w:u w:val="single"/>
          <w:lang w:val="en-US" w:eastAsia="zh-CN"/>
        </w:rPr>
        <w:t>30</w:t>
      </w:r>
      <w:r>
        <w:rPr>
          <w:color w:val="auto"/>
          <w:sz w:val="24"/>
          <w:highlight w:val="none"/>
          <w:u w:val="single"/>
        </w:rPr>
        <w:t>分</w:t>
      </w:r>
      <w:r>
        <w:rPr>
          <w:sz w:val="24"/>
          <w:highlight w:val="none"/>
        </w:rPr>
        <w:t>（北京时间）</w:t>
      </w:r>
    </w:p>
    <w:p>
      <w:pPr>
        <w:snapToGrid w:val="0"/>
        <w:spacing w:line="480" w:lineRule="exact"/>
        <w:ind w:firstLine="480" w:firstLineChars="200"/>
        <w:rPr>
          <w:sz w:val="24"/>
          <w:highlight w:val="none"/>
        </w:rPr>
      </w:pPr>
      <w:r>
        <w:rPr>
          <w:rFonts w:hint="eastAsia"/>
          <w:sz w:val="24"/>
          <w:highlight w:val="none"/>
        </w:rPr>
        <w:t>地点：南通市崇川区北大街108号金域商业中心T3楼24楼0</w:t>
      </w:r>
      <w:r>
        <w:rPr>
          <w:rFonts w:hint="eastAsia"/>
          <w:sz w:val="24"/>
          <w:highlight w:val="none"/>
          <w:lang w:val="en-US" w:eastAsia="zh-CN"/>
        </w:rPr>
        <w:t>2</w:t>
      </w:r>
      <w:r>
        <w:rPr>
          <w:rFonts w:hint="eastAsia"/>
          <w:sz w:val="24"/>
          <w:highlight w:val="none"/>
        </w:rPr>
        <w:t>室，如有变动另行通知。</w:t>
      </w:r>
    </w:p>
    <w:p>
      <w:pPr>
        <w:snapToGrid w:val="0"/>
        <w:spacing w:line="480" w:lineRule="exact"/>
        <w:ind w:firstLine="480" w:firstLineChars="200"/>
        <w:rPr>
          <w:b/>
          <w:sz w:val="24"/>
          <w:highlight w:val="none"/>
        </w:rPr>
      </w:pPr>
      <w:r>
        <w:rPr>
          <w:rFonts w:hint="eastAsia"/>
          <w:b/>
          <w:sz w:val="24"/>
          <w:highlight w:val="none"/>
        </w:rPr>
        <w:t>六</w:t>
      </w:r>
      <w:r>
        <w:rPr>
          <w:b/>
          <w:sz w:val="24"/>
          <w:highlight w:val="none"/>
        </w:rPr>
        <w:t>、公告期限</w:t>
      </w:r>
    </w:p>
    <w:p>
      <w:pPr>
        <w:snapToGrid w:val="0"/>
        <w:spacing w:line="480" w:lineRule="exact"/>
        <w:ind w:firstLine="480" w:firstLineChars="200"/>
        <w:rPr>
          <w:sz w:val="24"/>
          <w:highlight w:val="none"/>
        </w:rPr>
      </w:pPr>
      <w:r>
        <w:rPr>
          <w:sz w:val="24"/>
          <w:highlight w:val="none"/>
        </w:rPr>
        <w:t>自本公告发布之日起</w:t>
      </w:r>
      <w:r>
        <w:rPr>
          <w:rFonts w:hint="eastAsia"/>
          <w:sz w:val="24"/>
          <w:highlight w:val="none"/>
        </w:rPr>
        <w:t>3</w:t>
      </w:r>
      <w:r>
        <w:rPr>
          <w:sz w:val="24"/>
          <w:highlight w:val="none"/>
        </w:rPr>
        <w:t>个工作日。</w:t>
      </w:r>
    </w:p>
    <w:p>
      <w:pPr>
        <w:snapToGrid w:val="0"/>
        <w:spacing w:line="480" w:lineRule="exact"/>
        <w:ind w:firstLine="480" w:firstLineChars="200"/>
        <w:rPr>
          <w:b/>
          <w:sz w:val="24"/>
          <w:highlight w:val="none"/>
        </w:rPr>
      </w:pPr>
      <w:r>
        <w:rPr>
          <w:rFonts w:hint="eastAsia"/>
          <w:b/>
          <w:sz w:val="24"/>
          <w:highlight w:val="none"/>
        </w:rPr>
        <w:t>七</w:t>
      </w:r>
      <w:r>
        <w:rPr>
          <w:b/>
          <w:sz w:val="24"/>
          <w:highlight w:val="none"/>
        </w:rPr>
        <w:t>、其他补充事宜</w:t>
      </w:r>
    </w:p>
    <w:p>
      <w:pPr>
        <w:snapToGrid w:val="0"/>
        <w:spacing w:line="480" w:lineRule="exact"/>
        <w:ind w:firstLine="480" w:firstLineChars="200"/>
        <w:rPr>
          <w:sz w:val="24"/>
          <w:highlight w:val="none"/>
        </w:rPr>
      </w:pPr>
      <w:r>
        <w:rPr>
          <w:sz w:val="24"/>
          <w:highlight w:val="none"/>
        </w:rPr>
        <w:t>1</w:t>
      </w:r>
      <w:r>
        <w:rPr>
          <w:rFonts w:hint="eastAsia"/>
          <w:sz w:val="24"/>
          <w:highlight w:val="none"/>
        </w:rPr>
        <w:t>.</w:t>
      </w:r>
      <w:r>
        <w:rPr>
          <w:sz w:val="24"/>
          <w:highlight w:val="none"/>
        </w:rPr>
        <w:t>保证金：免收</w:t>
      </w:r>
    </w:p>
    <w:p>
      <w:pPr>
        <w:snapToGrid w:val="0"/>
        <w:spacing w:line="480" w:lineRule="exact"/>
        <w:ind w:firstLine="480" w:firstLineChars="200"/>
        <w:rPr>
          <w:b/>
          <w:sz w:val="24"/>
          <w:highlight w:val="none"/>
        </w:rPr>
      </w:pPr>
      <w:r>
        <w:rPr>
          <w:sz w:val="24"/>
          <w:highlight w:val="none"/>
        </w:rPr>
        <w:t>2</w:t>
      </w:r>
      <w:r>
        <w:rPr>
          <w:rFonts w:hint="eastAsia"/>
          <w:sz w:val="24"/>
          <w:highlight w:val="none"/>
        </w:rPr>
        <w:t>.</w:t>
      </w:r>
      <w:r>
        <w:rPr>
          <w:sz w:val="24"/>
          <w:highlight w:val="none"/>
        </w:rPr>
        <w:t>项目</w:t>
      </w:r>
      <w:r>
        <w:rPr>
          <w:rFonts w:hint="eastAsia"/>
          <w:sz w:val="24"/>
          <w:highlight w:val="none"/>
        </w:rPr>
        <w:t>磋商</w:t>
      </w:r>
      <w:r>
        <w:rPr>
          <w:sz w:val="24"/>
          <w:highlight w:val="none"/>
        </w:rPr>
        <w:t>活动模式：</w:t>
      </w:r>
      <w:r>
        <w:rPr>
          <w:bCs/>
          <w:sz w:val="24"/>
          <w:highlight w:val="none"/>
        </w:rPr>
        <w:t>现场模式</w:t>
      </w:r>
    </w:p>
    <w:p>
      <w:pPr>
        <w:snapToGrid w:val="0"/>
        <w:spacing w:line="480" w:lineRule="exact"/>
        <w:ind w:firstLine="480" w:firstLineChars="200"/>
        <w:rPr>
          <w:rFonts w:hint="default" w:eastAsia="宋体"/>
          <w:sz w:val="24"/>
          <w:highlight w:val="none"/>
          <w:lang w:val="en-US" w:eastAsia="zh-CN"/>
        </w:rPr>
      </w:pPr>
      <w:r>
        <w:rPr>
          <w:sz w:val="24"/>
          <w:highlight w:val="none"/>
        </w:rPr>
        <w:t>3</w:t>
      </w:r>
      <w:r>
        <w:rPr>
          <w:rFonts w:hint="eastAsia"/>
          <w:sz w:val="24"/>
          <w:highlight w:val="none"/>
        </w:rPr>
        <w:t>.</w:t>
      </w:r>
      <w:r>
        <w:rPr>
          <w:sz w:val="24"/>
          <w:highlight w:val="none"/>
        </w:rPr>
        <w:t>项目演示、样品、答辩等：</w:t>
      </w:r>
      <w:r>
        <w:rPr>
          <w:rFonts w:hint="eastAsia"/>
          <w:sz w:val="24"/>
          <w:highlight w:val="none"/>
          <w:lang w:val="en-US" w:eastAsia="zh-CN"/>
        </w:rPr>
        <w:t>需自带笔记本电脑演示，详见第四部分。</w:t>
      </w:r>
    </w:p>
    <w:p>
      <w:pPr>
        <w:snapToGrid w:val="0"/>
        <w:spacing w:line="480" w:lineRule="exact"/>
        <w:ind w:firstLine="480" w:firstLineChars="200"/>
        <w:rPr>
          <w:sz w:val="24"/>
          <w:highlight w:val="none"/>
        </w:rPr>
      </w:pPr>
      <w:r>
        <w:rPr>
          <w:sz w:val="24"/>
          <w:highlight w:val="none"/>
        </w:rPr>
        <w:t>4</w:t>
      </w:r>
      <w:r>
        <w:rPr>
          <w:rFonts w:hint="eastAsia"/>
          <w:sz w:val="24"/>
          <w:highlight w:val="none"/>
        </w:rPr>
        <w:t>.</w:t>
      </w:r>
      <w:r>
        <w:rPr>
          <w:sz w:val="24"/>
          <w:highlight w:val="none"/>
        </w:rPr>
        <w:t>对项目需求部分（供应商其他资格要求、项目需求、评分标准）的询问、质疑请向采购人提出，由采购人负责答复；对项目</w:t>
      </w:r>
      <w:r>
        <w:rPr>
          <w:rFonts w:hint="eastAsia"/>
          <w:sz w:val="24"/>
          <w:highlight w:val="none"/>
        </w:rPr>
        <w:t>采购</w:t>
      </w:r>
      <w:r>
        <w:rPr>
          <w:sz w:val="24"/>
          <w:highlight w:val="none"/>
        </w:rPr>
        <w:t>文件其它部分的询问请向</w:t>
      </w:r>
      <w:r>
        <w:rPr>
          <w:rFonts w:hint="eastAsia"/>
          <w:sz w:val="24"/>
          <w:highlight w:val="none"/>
        </w:rPr>
        <w:t>采购</w:t>
      </w:r>
      <w:r>
        <w:rPr>
          <w:sz w:val="24"/>
          <w:highlight w:val="none"/>
        </w:rPr>
        <w:t>人或项目</w:t>
      </w:r>
      <w:r>
        <w:rPr>
          <w:rFonts w:hint="eastAsia"/>
          <w:sz w:val="24"/>
          <w:highlight w:val="none"/>
        </w:rPr>
        <w:t>联系</w:t>
      </w:r>
      <w:r>
        <w:rPr>
          <w:sz w:val="24"/>
          <w:highlight w:val="none"/>
        </w:rPr>
        <w:t>人提出。</w:t>
      </w:r>
    </w:p>
    <w:p>
      <w:pPr>
        <w:snapToGrid w:val="0"/>
        <w:spacing w:line="480" w:lineRule="exact"/>
        <w:ind w:firstLine="480" w:firstLineChars="200"/>
        <w:rPr>
          <w:sz w:val="24"/>
          <w:highlight w:val="none"/>
        </w:rPr>
      </w:pPr>
      <w:r>
        <w:rPr>
          <w:rFonts w:hint="eastAsia"/>
          <w:sz w:val="24"/>
          <w:highlight w:val="none"/>
        </w:rPr>
        <w:t>5.</w:t>
      </w:r>
      <w:r>
        <w:rPr>
          <w:sz w:val="24"/>
          <w:highlight w:val="none"/>
        </w:rPr>
        <w:t>供应商应依照规定提交各类声明函、承诺函，不再同时提供原件备查或提供有关部门出具的相关证明文件。但中标或成交供应商，应做好提交声明函、承诺函相应原件的核查准备；核查后发现虚假或违背承诺的，依照相关法律法规规定处理。</w:t>
      </w:r>
    </w:p>
    <w:p>
      <w:pPr>
        <w:snapToGrid w:val="0"/>
        <w:spacing w:line="480" w:lineRule="exact"/>
        <w:ind w:firstLine="480" w:firstLineChars="200"/>
        <w:rPr>
          <w:b/>
          <w:sz w:val="24"/>
          <w:highlight w:val="none"/>
        </w:rPr>
      </w:pPr>
      <w:r>
        <w:rPr>
          <w:rFonts w:hint="eastAsia"/>
          <w:b/>
          <w:sz w:val="24"/>
          <w:highlight w:val="none"/>
        </w:rPr>
        <w:t>八</w:t>
      </w:r>
      <w:r>
        <w:rPr>
          <w:b/>
          <w:sz w:val="24"/>
          <w:highlight w:val="none"/>
        </w:rPr>
        <w:t>、</w:t>
      </w:r>
      <w:r>
        <w:rPr>
          <w:rFonts w:hint="eastAsia"/>
          <w:b/>
          <w:sz w:val="24"/>
          <w:highlight w:val="none"/>
        </w:rPr>
        <w:t>凡</w:t>
      </w:r>
      <w:r>
        <w:rPr>
          <w:b/>
          <w:sz w:val="24"/>
          <w:highlight w:val="none"/>
        </w:rPr>
        <w:t>对本次</w:t>
      </w:r>
      <w:r>
        <w:rPr>
          <w:rFonts w:hint="eastAsia"/>
          <w:b/>
          <w:sz w:val="24"/>
          <w:highlight w:val="none"/>
        </w:rPr>
        <w:t>采购</w:t>
      </w:r>
      <w:r>
        <w:rPr>
          <w:b/>
          <w:sz w:val="24"/>
          <w:highlight w:val="none"/>
        </w:rPr>
        <w:t>提出询问，请按以下方式联系。</w:t>
      </w:r>
    </w:p>
    <w:p>
      <w:pPr>
        <w:widowControl/>
        <w:shd w:val="clear" w:color="auto" w:fill="FFFFFF"/>
        <w:adjustRightInd w:val="0"/>
        <w:snapToGrid w:val="0"/>
        <w:spacing w:line="480" w:lineRule="exact"/>
        <w:ind w:firstLine="480" w:firstLineChars="200"/>
        <w:jc w:val="left"/>
        <w:rPr>
          <w:rFonts w:hint="eastAsia"/>
          <w:sz w:val="24"/>
          <w:highlight w:val="none"/>
        </w:rPr>
      </w:pPr>
      <w:r>
        <w:rPr>
          <w:sz w:val="24"/>
          <w:highlight w:val="none"/>
        </w:rPr>
        <w:t>1</w:t>
      </w:r>
      <w:r>
        <w:rPr>
          <w:rFonts w:hint="eastAsia"/>
          <w:sz w:val="24"/>
          <w:highlight w:val="none"/>
        </w:rPr>
        <w:t>. 采购人信息</w:t>
      </w:r>
    </w:p>
    <w:p>
      <w:pPr>
        <w:widowControl/>
        <w:shd w:val="clear" w:color="auto" w:fill="FFFFFF"/>
        <w:adjustRightInd w:val="0"/>
        <w:snapToGrid w:val="0"/>
        <w:spacing w:line="480" w:lineRule="exact"/>
        <w:ind w:firstLine="480" w:firstLineChars="200"/>
        <w:jc w:val="left"/>
        <w:rPr>
          <w:rFonts w:hint="eastAsia"/>
          <w:sz w:val="24"/>
          <w:highlight w:val="none"/>
        </w:rPr>
      </w:pPr>
      <w:r>
        <w:rPr>
          <w:rFonts w:hint="eastAsia"/>
          <w:sz w:val="24"/>
          <w:highlight w:val="none"/>
        </w:rPr>
        <w:t>名称：南通开放大学</w:t>
      </w:r>
    </w:p>
    <w:p>
      <w:pPr>
        <w:widowControl/>
        <w:shd w:val="clear" w:color="auto" w:fill="FFFFFF"/>
        <w:adjustRightInd w:val="0"/>
        <w:snapToGrid w:val="0"/>
        <w:spacing w:line="480" w:lineRule="exact"/>
        <w:ind w:firstLine="480" w:firstLineChars="200"/>
        <w:jc w:val="left"/>
        <w:rPr>
          <w:rFonts w:hint="eastAsia"/>
          <w:sz w:val="24"/>
          <w:highlight w:val="none"/>
        </w:rPr>
      </w:pPr>
      <w:r>
        <w:rPr>
          <w:rFonts w:hint="eastAsia"/>
          <w:sz w:val="24"/>
          <w:highlight w:val="none"/>
        </w:rPr>
        <w:t>联系方式：蔡老师89090630、</w:t>
      </w:r>
      <w:r>
        <w:rPr>
          <w:rFonts w:hint="eastAsia"/>
          <w:sz w:val="24"/>
          <w:highlight w:val="none"/>
          <w:lang w:val="en-US" w:eastAsia="zh-CN"/>
        </w:rPr>
        <w:t>唐</w:t>
      </w:r>
      <w:r>
        <w:rPr>
          <w:rFonts w:hint="eastAsia"/>
          <w:sz w:val="24"/>
          <w:highlight w:val="none"/>
        </w:rPr>
        <w:t>老师83559263</w:t>
      </w:r>
    </w:p>
    <w:p>
      <w:pPr>
        <w:widowControl/>
        <w:shd w:val="clear" w:color="auto" w:fill="FFFFFF"/>
        <w:adjustRightInd w:val="0"/>
        <w:snapToGrid w:val="0"/>
        <w:spacing w:line="480" w:lineRule="exact"/>
        <w:ind w:firstLine="480" w:firstLineChars="200"/>
        <w:jc w:val="left"/>
        <w:rPr>
          <w:rFonts w:hint="eastAsia"/>
          <w:sz w:val="24"/>
          <w:highlight w:val="none"/>
        </w:rPr>
      </w:pPr>
      <w:r>
        <w:rPr>
          <w:rFonts w:hint="eastAsia"/>
          <w:sz w:val="24"/>
          <w:highlight w:val="none"/>
        </w:rPr>
        <w:t>2.采购代理机构信息</w:t>
      </w:r>
    </w:p>
    <w:p>
      <w:pPr>
        <w:widowControl/>
        <w:shd w:val="clear" w:color="auto" w:fill="FFFFFF"/>
        <w:adjustRightInd w:val="0"/>
        <w:snapToGrid w:val="0"/>
        <w:spacing w:line="480" w:lineRule="exact"/>
        <w:ind w:firstLine="480" w:firstLineChars="200"/>
        <w:jc w:val="left"/>
        <w:rPr>
          <w:rFonts w:hint="eastAsia"/>
          <w:sz w:val="24"/>
          <w:highlight w:val="none"/>
        </w:rPr>
      </w:pPr>
      <w:r>
        <w:rPr>
          <w:rFonts w:hint="eastAsia"/>
          <w:sz w:val="24"/>
          <w:highlight w:val="none"/>
        </w:rPr>
        <w:t>名称：江苏西亚项目管理咨询有限公司</w:t>
      </w:r>
    </w:p>
    <w:p>
      <w:pPr>
        <w:widowControl/>
        <w:shd w:val="clear" w:color="auto" w:fill="FFFFFF"/>
        <w:adjustRightInd w:val="0"/>
        <w:snapToGrid w:val="0"/>
        <w:spacing w:line="480" w:lineRule="exact"/>
        <w:ind w:firstLine="480" w:firstLineChars="200"/>
        <w:jc w:val="left"/>
        <w:rPr>
          <w:rFonts w:hint="eastAsia"/>
          <w:sz w:val="24"/>
          <w:highlight w:val="none"/>
        </w:rPr>
      </w:pPr>
      <w:r>
        <w:rPr>
          <w:rFonts w:hint="eastAsia"/>
          <w:sz w:val="24"/>
          <w:highlight w:val="none"/>
        </w:rPr>
        <w:t>地址：南通市北大街万科金域广场T3楼24楼02室</w:t>
      </w:r>
    </w:p>
    <w:p>
      <w:pPr>
        <w:widowControl/>
        <w:shd w:val="clear" w:color="auto" w:fill="FFFFFF"/>
        <w:adjustRightInd w:val="0"/>
        <w:snapToGrid w:val="0"/>
        <w:spacing w:line="480" w:lineRule="exact"/>
        <w:ind w:firstLine="480" w:firstLineChars="200"/>
        <w:jc w:val="left"/>
        <w:rPr>
          <w:rFonts w:hint="eastAsia"/>
          <w:sz w:val="24"/>
          <w:highlight w:val="none"/>
        </w:rPr>
      </w:pPr>
      <w:r>
        <w:rPr>
          <w:rFonts w:hint="eastAsia"/>
          <w:sz w:val="24"/>
          <w:highlight w:val="none"/>
        </w:rPr>
        <w:t xml:space="preserve">联系方式：徐玲18962990275 </w:t>
      </w:r>
    </w:p>
    <w:bookmarkEnd w:id="0"/>
    <w:p>
      <w:pPr>
        <w:snapToGrid w:val="0"/>
        <w:spacing w:line="480" w:lineRule="exact"/>
        <w:contextualSpacing/>
        <w:jc w:val="center"/>
        <w:rPr>
          <w:rFonts w:ascii="仿宋_GB2312" w:eastAsia="仿宋_GB2312"/>
          <w:b/>
          <w:sz w:val="28"/>
          <w:szCs w:val="28"/>
          <w:highlight w:val="none"/>
        </w:rPr>
      </w:pPr>
      <w:r>
        <w:rPr>
          <w:rFonts w:ascii="仿宋_GB2312" w:eastAsia="仿宋_GB2312"/>
          <w:sz w:val="36"/>
          <w:szCs w:val="36"/>
          <w:highlight w:val="none"/>
          <w:lang w:val="zh-CN"/>
        </w:rPr>
        <w:br w:type="page"/>
      </w:r>
      <w:r>
        <w:rPr>
          <w:rFonts w:hint="eastAsia" w:ascii="仿宋_GB2312" w:eastAsia="仿宋_GB2312"/>
          <w:b/>
          <w:bCs/>
          <w:sz w:val="36"/>
          <w:szCs w:val="36"/>
          <w:highlight w:val="none"/>
          <w:lang w:val="zh-CN"/>
        </w:rPr>
        <w:t>第二部分 磋商须知</w:t>
      </w:r>
    </w:p>
    <w:p>
      <w:pPr>
        <w:autoSpaceDE w:val="0"/>
        <w:autoSpaceDN w:val="0"/>
        <w:adjustRightInd w:val="0"/>
        <w:snapToGrid w:val="0"/>
        <w:spacing w:line="300" w:lineRule="auto"/>
        <w:contextualSpacing/>
        <w:rPr>
          <w:rFonts w:ascii="黑体" w:eastAsia="黑体"/>
          <w:b/>
          <w:bCs/>
          <w:sz w:val="28"/>
          <w:szCs w:val="28"/>
          <w:highlight w:val="none"/>
          <w:lang w:val="zh-CN"/>
        </w:rPr>
      </w:pPr>
    </w:p>
    <w:p>
      <w:pPr>
        <w:snapToGrid w:val="0"/>
        <w:spacing w:line="480" w:lineRule="exact"/>
        <w:ind w:firstLine="480" w:firstLineChars="200"/>
        <w:contextualSpacing/>
        <w:outlineLvl w:val="0"/>
        <w:rPr>
          <w:b/>
          <w:sz w:val="24"/>
          <w:highlight w:val="none"/>
        </w:rPr>
      </w:pPr>
      <w:r>
        <w:rPr>
          <w:b/>
          <w:sz w:val="24"/>
          <w:highlight w:val="none"/>
        </w:rPr>
        <w:t>一、本磋商文件由采购人或采购代理机构解释。</w:t>
      </w:r>
    </w:p>
    <w:p>
      <w:pPr>
        <w:snapToGrid w:val="0"/>
        <w:spacing w:line="480" w:lineRule="exact"/>
        <w:ind w:firstLine="480" w:firstLineChars="200"/>
        <w:contextualSpacing/>
        <w:rPr>
          <w:b/>
          <w:sz w:val="24"/>
          <w:highlight w:val="none"/>
        </w:rPr>
      </w:pPr>
      <w:r>
        <w:rPr>
          <w:sz w:val="24"/>
          <w:highlight w:val="none"/>
        </w:rPr>
        <w:t>1、供应商</w:t>
      </w:r>
      <w:r>
        <w:rPr>
          <w:rFonts w:hint="eastAsia"/>
          <w:sz w:val="24"/>
          <w:highlight w:val="none"/>
          <w:lang w:eastAsia="zh-Hans"/>
        </w:rPr>
        <w:t>获取</w:t>
      </w:r>
      <w:r>
        <w:rPr>
          <w:sz w:val="24"/>
          <w:highlight w:val="none"/>
        </w:rPr>
        <w:t>磋商文件后，应仔细检查磋商文件的所有内容，如对采购活动事项有疑问的，应向采购人或采购代理机构以书面形式提出，否则视同供应商理解并接受本磋商文件所有内容，并由此引起的损失自负。供应商不得在磋商结束后针对磋商文件所有内容提出质疑事项。</w:t>
      </w:r>
    </w:p>
    <w:p>
      <w:pPr>
        <w:snapToGrid w:val="0"/>
        <w:spacing w:line="480" w:lineRule="exact"/>
        <w:ind w:firstLine="480" w:firstLineChars="200"/>
        <w:contextualSpacing/>
        <w:rPr>
          <w:sz w:val="24"/>
          <w:highlight w:val="none"/>
        </w:rPr>
      </w:pPr>
      <w:r>
        <w:rPr>
          <w:sz w:val="24"/>
          <w:highlight w:val="none"/>
        </w:rPr>
        <w:t>2、供应商应认真审阅磋商文件中所有的事项、格式、条款和规范要求等，如果供应商没有按照磋商文件要求提交响应文件，或者响应文件没有对磋商文件做出实质性响应，将被拒绝参与磋商。</w:t>
      </w:r>
    </w:p>
    <w:p>
      <w:pPr>
        <w:snapToGrid w:val="0"/>
        <w:spacing w:line="480" w:lineRule="exact"/>
        <w:ind w:firstLine="480" w:firstLineChars="200"/>
        <w:contextualSpacing/>
        <w:rPr>
          <w:b/>
          <w:sz w:val="24"/>
          <w:highlight w:val="none"/>
        </w:rPr>
      </w:pPr>
      <w:r>
        <w:rPr>
          <w:b/>
          <w:sz w:val="24"/>
          <w:highlight w:val="none"/>
        </w:rPr>
        <w:t>二、磋商文件的澄清、修改、答疑</w:t>
      </w:r>
    </w:p>
    <w:p>
      <w:pPr>
        <w:pStyle w:val="3"/>
        <w:snapToGrid w:val="0"/>
        <w:spacing w:line="480" w:lineRule="exact"/>
        <w:ind w:left="0" w:leftChars="0" w:firstLine="480" w:firstLineChars="200"/>
        <w:contextualSpacing/>
        <w:rPr>
          <w:sz w:val="24"/>
          <w:highlight w:val="none"/>
        </w:rPr>
      </w:pPr>
      <w:r>
        <w:rPr>
          <w:sz w:val="24"/>
          <w:highlight w:val="none"/>
        </w:rPr>
        <w:t>采购人可以对已发出的磋商文件进行必要的澄清或者修改，澄清或者修改的内容作为磋商文件的组成部分。澄清或者修改的内容可能影响响应文件编制的，采购人将在提交首次响应文件截止之日5日前，以网上公告书面形式通知所有接收磋商文件的供应商，不足5日的，应当顺延提交首次响应文件截止之日。</w:t>
      </w:r>
    </w:p>
    <w:p>
      <w:pPr>
        <w:pStyle w:val="3"/>
        <w:snapToGrid w:val="0"/>
        <w:spacing w:line="480" w:lineRule="exact"/>
        <w:ind w:left="0" w:leftChars="0" w:firstLine="480" w:firstLineChars="200"/>
        <w:contextualSpacing/>
        <w:rPr>
          <w:sz w:val="24"/>
          <w:highlight w:val="none"/>
          <w:lang w:val="zh-CN"/>
        </w:rPr>
      </w:pPr>
      <w:r>
        <w:rPr>
          <w:sz w:val="24"/>
          <w:highlight w:val="none"/>
        </w:rPr>
        <w:t>供应商由于对磋商文件的任何推论和误解以及采购人或采购代理机构对有</w:t>
      </w:r>
      <w:r>
        <w:rPr>
          <w:sz w:val="24"/>
          <w:highlight w:val="none"/>
          <w:lang w:val="zh-CN"/>
        </w:rPr>
        <w:t>关问题的口头解释所造成的后果，均由供应商自负。</w:t>
      </w:r>
    </w:p>
    <w:p>
      <w:pPr>
        <w:pStyle w:val="3"/>
        <w:snapToGrid w:val="0"/>
        <w:spacing w:line="480" w:lineRule="exact"/>
        <w:ind w:left="0" w:leftChars="0" w:firstLine="480" w:firstLineChars="200"/>
        <w:contextualSpacing/>
        <w:rPr>
          <w:sz w:val="24"/>
          <w:highlight w:val="none"/>
        </w:rPr>
      </w:pPr>
      <w:r>
        <w:rPr>
          <w:sz w:val="24"/>
          <w:highlight w:val="none"/>
          <w:lang w:val="zh-CN"/>
        </w:rPr>
        <w:t>采购单位可视情组织答疑会。</w:t>
      </w:r>
    </w:p>
    <w:p>
      <w:pPr>
        <w:autoSpaceDE w:val="0"/>
        <w:autoSpaceDN w:val="0"/>
        <w:adjustRightInd w:val="0"/>
        <w:snapToGrid w:val="0"/>
        <w:spacing w:after="120" w:line="480" w:lineRule="exact"/>
        <w:ind w:firstLine="562"/>
        <w:contextualSpacing/>
        <w:rPr>
          <w:b/>
          <w:bCs/>
          <w:sz w:val="24"/>
          <w:highlight w:val="none"/>
        </w:rPr>
      </w:pPr>
      <w:r>
        <w:rPr>
          <w:b/>
          <w:bCs/>
          <w:sz w:val="24"/>
          <w:highlight w:val="none"/>
          <w:lang w:val="zh-CN"/>
        </w:rPr>
        <w:t>三、响应文件的编写、递交、上传</w:t>
      </w:r>
    </w:p>
    <w:p>
      <w:pPr>
        <w:autoSpaceDE w:val="0"/>
        <w:autoSpaceDN w:val="0"/>
        <w:adjustRightInd w:val="0"/>
        <w:snapToGrid w:val="0"/>
        <w:spacing w:line="480" w:lineRule="exact"/>
        <w:ind w:right="210" w:firstLine="560"/>
        <w:rPr>
          <w:b/>
          <w:sz w:val="24"/>
          <w:highlight w:val="none"/>
        </w:rPr>
      </w:pPr>
      <w:r>
        <w:rPr>
          <w:b/>
          <w:sz w:val="24"/>
          <w:highlight w:val="none"/>
        </w:rPr>
        <w:t>（一）响应文件的编写</w:t>
      </w:r>
    </w:p>
    <w:p>
      <w:pPr>
        <w:autoSpaceDE w:val="0"/>
        <w:autoSpaceDN w:val="0"/>
        <w:adjustRightInd w:val="0"/>
        <w:snapToGrid w:val="0"/>
        <w:spacing w:line="480" w:lineRule="exact"/>
        <w:ind w:firstLine="480" w:firstLineChars="200"/>
        <w:contextualSpacing/>
        <w:jc w:val="left"/>
        <w:rPr>
          <w:sz w:val="24"/>
          <w:highlight w:val="none"/>
        </w:rPr>
      </w:pPr>
      <w:r>
        <w:rPr>
          <w:sz w:val="24"/>
          <w:highlight w:val="none"/>
          <w:lang w:val="zh-CN"/>
        </w:rPr>
        <w:t>供应商按</w:t>
      </w:r>
      <w:r>
        <w:rPr>
          <w:rFonts w:ascii="宋体" w:hAnsi="宋体"/>
          <w:sz w:val="24"/>
          <w:highlight w:val="none"/>
          <w:lang w:val="zh-CN"/>
        </w:rPr>
        <w:t>“第七部分 响应文件组成”</w:t>
      </w:r>
      <w:r>
        <w:rPr>
          <w:sz w:val="24"/>
          <w:highlight w:val="none"/>
          <w:lang w:val="zh-CN"/>
        </w:rPr>
        <w:t>要求编写响应文件。</w:t>
      </w:r>
    </w:p>
    <w:p>
      <w:pPr>
        <w:snapToGrid w:val="0"/>
        <w:spacing w:line="480" w:lineRule="exact"/>
        <w:ind w:firstLine="480" w:firstLineChars="200"/>
        <w:contextualSpacing/>
        <w:rPr>
          <w:b/>
          <w:sz w:val="24"/>
          <w:highlight w:val="none"/>
        </w:rPr>
      </w:pPr>
      <w:r>
        <w:rPr>
          <w:b/>
          <w:sz w:val="24"/>
          <w:highlight w:val="none"/>
        </w:rPr>
        <w:t>（二）响应文件的递交</w:t>
      </w:r>
    </w:p>
    <w:p>
      <w:pPr>
        <w:snapToGrid w:val="0"/>
        <w:spacing w:line="480" w:lineRule="exact"/>
        <w:ind w:firstLine="480" w:firstLineChars="200"/>
        <w:contextualSpacing/>
        <w:rPr>
          <w:sz w:val="24"/>
          <w:highlight w:val="none"/>
        </w:rPr>
      </w:pPr>
      <w:r>
        <w:rPr>
          <w:sz w:val="24"/>
          <w:highlight w:val="none"/>
        </w:rPr>
        <w:t>1、响应文件三部分内容（资格审查文件、商务技术文件、报价文件）须分别单独密封，</w:t>
      </w:r>
      <w:r>
        <w:rPr>
          <w:sz w:val="24"/>
          <w:highlight w:val="none"/>
          <w:lang w:val="zh-CN"/>
        </w:rPr>
        <w:t>并牢</w:t>
      </w:r>
      <w:r>
        <w:rPr>
          <w:sz w:val="24"/>
          <w:highlight w:val="none"/>
        </w:rPr>
        <w:t>固装订成册，不得相互混淆，文件自编目录并连续标注页码，不得将内容拆开。报价文件不得出现于其他磋商文件中。</w:t>
      </w:r>
    </w:p>
    <w:p>
      <w:pPr>
        <w:snapToGrid w:val="0"/>
        <w:spacing w:line="480" w:lineRule="exact"/>
        <w:ind w:firstLine="480" w:firstLineChars="200"/>
        <w:rPr>
          <w:sz w:val="24"/>
          <w:highlight w:val="none"/>
        </w:rPr>
      </w:pPr>
      <w:r>
        <w:rPr>
          <w:sz w:val="24"/>
          <w:highlight w:val="none"/>
        </w:rPr>
        <w:t>2、响应文件每一部分内容均须提供“</w:t>
      </w:r>
      <w:r>
        <w:rPr>
          <w:b/>
          <w:sz w:val="24"/>
          <w:highlight w:val="none"/>
        </w:rPr>
        <w:t>一正</w:t>
      </w:r>
      <w:r>
        <w:rPr>
          <w:rFonts w:hint="eastAsia"/>
          <w:b/>
          <w:sz w:val="24"/>
          <w:highlight w:val="none"/>
          <w:u w:val="single"/>
          <w:lang w:eastAsia="zh-Hans"/>
        </w:rPr>
        <w:t>二</w:t>
      </w:r>
      <w:r>
        <w:rPr>
          <w:b/>
          <w:sz w:val="24"/>
          <w:highlight w:val="none"/>
        </w:rPr>
        <w:t>副”</w:t>
      </w:r>
      <w:r>
        <w:rPr>
          <w:sz w:val="24"/>
          <w:highlight w:val="none"/>
        </w:rPr>
        <w:t>纸质响应文件。</w:t>
      </w:r>
    </w:p>
    <w:p>
      <w:pPr>
        <w:snapToGrid w:val="0"/>
        <w:spacing w:line="480" w:lineRule="exact"/>
        <w:ind w:firstLine="480" w:firstLineChars="200"/>
        <w:rPr>
          <w:sz w:val="24"/>
          <w:highlight w:val="none"/>
        </w:rPr>
      </w:pPr>
      <w:r>
        <w:rPr>
          <w:rFonts w:hint="eastAsia"/>
          <w:sz w:val="24"/>
          <w:highlight w:val="none"/>
          <w:lang w:val="en-US" w:eastAsia="zh-CN"/>
        </w:rPr>
        <w:t>3</w:t>
      </w:r>
      <w:r>
        <w:rPr>
          <w:sz w:val="24"/>
          <w:highlight w:val="none"/>
        </w:rPr>
        <w:t>、</w:t>
      </w:r>
      <w:r>
        <w:rPr>
          <w:rFonts w:hint="eastAsia"/>
          <w:sz w:val="24"/>
          <w:highlight w:val="none"/>
        </w:rPr>
        <w:t>密封后，应在每一密封的响应文件上明确标注采购项目名称、响应文件各自对应的名称</w:t>
      </w:r>
      <w:r>
        <w:rPr>
          <w:rFonts w:hint="eastAsia"/>
          <w:sz w:val="24"/>
          <w:highlight w:val="none"/>
          <w:lang w:eastAsia="zh-CN"/>
        </w:rPr>
        <w:t>（</w:t>
      </w:r>
      <w:r>
        <w:rPr>
          <w:sz w:val="24"/>
          <w:highlight w:val="none"/>
        </w:rPr>
        <w:t>（资格审查文件</w:t>
      </w:r>
      <w:r>
        <w:rPr>
          <w:rFonts w:hint="eastAsia"/>
          <w:sz w:val="24"/>
          <w:highlight w:val="none"/>
          <w:lang w:val="en-US" w:eastAsia="zh-CN"/>
        </w:rPr>
        <w:t>/</w:t>
      </w:r>
      <w:r>
        <w:rPr>
          <w:sz w:val="24"/>
          <w:highlight w:val="none"/>
        </w:rPr>
        <w:t>商务技术文件</w:t>
      </w:r>
      <w:r>
        <w:rPr>
          <w:rFonts w:hint="eastAsia"/>
          <w:sz w:val="24"/>
          <w:highlight w:val="none"/>
          <w:lang w:val="en-US" w:eastAsia="zh-CN"/>
        </w:rPr>
        <w:t>/</w:t>
      </w:r>
      <w:r>
        <w:rPr>
          <w:sz w:val="24"/>
          <w:highlight w:val="none"/>
        </w:rPr>
        <w:t>报价文件）</w:t>
      </w:r>
      <w:r>
        <w:rPr>
          <w:rFonts w:hint="eastAsia"/>
          <w:sz w:val="24"/>
          <w:highlight w:val="none"/>
        </w:rPr>
        <w:t>、供应商全称及日期，同时加盖供应商公章或骑缝签字。</w:t>
      </w:r>
    </w:p>
    <w:p>
      <w:pPr>
        <w:snapToGrid w:val="0"/>
        <w:spacing w:line="480" w:lineRule="exact"/>
        <w:ind w:firstLine="480" w:firstLineChars="200"/>
        <w:contextualSpacing/>
        <w:rPr>
          <w:sz w:val="24"/>
          <w:highlight w:val="none"/>
        </w:rPr>
      </w:pPr>
      <w:r>
        <w:rPr>
          <w:rFonts w:hint="eastAsia"/>
          <w:sz w:val="24"/>
          <w:highlight w:val="none"/>
          <w:lang w:val="en-US" w:eastAsia="zh-CN"/>
        </w:rPr>
        <w:t>4</w:t>
      </w:r>
      <w:r>
        <w:rPr>
          <w:sz w:val="24"/>
          <w:highlight w:val="none"/>
        </w:rPr>
        <w:t>、纸质响应文件须</w:t>
      </w:r>
      <w:r>
        <w:rPr>
          <w:sz w:val="24"/>
          <w:highlight w:val="none"/>
          <w:lang w:val="zh-CN"/>
        </w:rPr>
        <w:t>采用A4纸（</w:t>
      </w:r>
      <w:r>
        <w:rPr>
          <w:sz w:val="24"/>
          <w:highlight w:val="none"/>
        </w:rPr>
        <w:t>图纸等除外），正本须打印并由法定代表人或授权人签字并加盖单位印章。副本可复印，但须加盖单位印章。文件内容中不得行间插字、涂改、增删，如修补错漏处，须由响应文件签署人签字并加盖公章。</w:t>
      </w:r>
    </w:p>
    <w:p>
      <w:pPr>
        <w:snapToGrid w:val="0"/>
        <w:spacing w:line="480" w:lineRule="exact"/>
        <w:ind w:firstLine="480" w:firstLineChars="200"/>
        <w:contextualSpacing/>
        <w:rPr>
          <w:sz w:val="24"/>
          <w:highlight w:val="none"/>
        </w:rPr>
      </w:pPr>
      <w:r>
        <w:rPr>
          <w:sz w:val="24"/>
          <w:highlight w:val="none"/>
        </w:rPr>
        <w:t>5、递交时间：供应商须在规定的响应文件接收截止时间前送达指定地点。</w:t>
      </w:r>
    </w:p>
    <w:p>
      <w:pPr>
        <w:snapToGrid w:val="0"/>
        <w:spacing w:line="460" w:lineRule="exact"/>
        <w:ind w:firstLine="480" w:firstLineChars="200"/>
        <w:outlineLvl w:val="1"/>
        <w:rPr>
          <w:rFonts w:ascii="宋体" w:hAnsi="宋体" w:cs="宋体"/>
          <w:b/>
          <w:bCs/>
          <w:sz w:val="24"/>
          <w:highlight w:val="none"/>
        </w:rPr>
      </w:pPr>
      <w:r>
        <w:rPr>
          <w:rFonts w:hint="eastAsia" w:ascii="宋体" w:hAnsi="宋体" w:cs="宋体"/>
          <w:b/>
          <w:bCs/>
          <w:sz w:val="24"/>
          <w:highlight w:val="none"/>
        </w:rPr>
        <w:t>四、响应文件的有效期</w:t>
      </w:r>
    </w:p>
    <w:p>
      <w:pPr>
        <w:snapToGrid w:val="0"/>
        <w:spacing w:line="460" w:lineRule="exact"/>
        <w:ind w:firstLine="480" w:firstLineChars="200"/>
        <w:rPr>
          <w:rFonts w:ascii="宋体" w:hAnsi="宋体" w:cs="宋体"/>
          <w:sz w:val="24"/>
          <w:highlight w:val="none"/>
        </w:rPr>
      </w:pPr>
      <w:r>
        <w:rPr>
          <w:rFonts w:hint="eastAsia" w:ascii="宋体" w:hAnsi="宋体" w:cs="宋体"/>
          <w:sz w:val="24"/>
          <w:highlight w:val="none"/>
        </w:rPr>
        <w:t>1、从响应文件接收截止之日算起，</w:t>
      </w:r>
      <w:r>
        <w:rPr>
          <w:rFonts w:ascii="宋体" w:hAnsi="宋体" w:cs="宋体"/>
          <w:b/>
          <w:sz w:val="24"/>
          <w:highlight w:val="none"/>
          <w:u w:val="single"/>
        </w:rPr>
        <w:t>45</w:t>
      </w:r>
      <w:r>
        <w:rPr>
          <w:rFonts w:hint="eastAsia" w:ascii="宋体" w:hAnsi="宋体" w:cs="宋体"/>
          <w:sz w:val="24"/>
          <w:highlight w:val="none"/>
        </w:rPr>
        <w:t>个“日历天”内响应文件应保持有效。有效期短于这个规定期限的，投标将被拒绝。</w:t>
      </w:r>
    </w:p>
    <w:p>
      <w:pPr>
        <w:snapToGrid w:val="0"/>
        <w:spacing w:line="460" w:lineRule="exact"/>
        <w:ind w:firstLine="470" w:firstLineChars="196"/>
        <w:outlineLvl w:val="1"/>
        <w:rPr>
          <w:rFonts w:ascii="宋体" w:hAnsi="宋体" w:cs="宋体"/>
          <w:b/>
          <w:sz w:val="24"/>
          <w:highlight w:val="none"/>
        </w:rPr>
      </w:pPr>
      <w:r>
        <w:rPr>
          <w:rFonts w:hint="eastAsia" w:ascii="宋体" w:hAnsi="宋体" w:cs="宋体"/>
          <w:sz w:val="24"/>
          <w:highlight w:val="none"/>
        </w:rPr>
        <w:t>2、在特殊情况下，采购代理机构可与响应供应商协商延长响应文件的有效期。这种要求和答复都应以书面、传真、或电报的形式进行。同意延长有效期的响应供应商不能修改响应文件，拒绝接受延期要求的响应供应商的响应文件将被拒绝。</w:t>
      </w:r>
    </w:p>
    <w:p>
      <w:pPr>
        <w:snapToGrid w:val="0"/>
        <w:spacing w:line="480" w:lineRule="exact"/>
        <w:ind w:firstLine="601" w:firstLineChars="250"/>
        <w:contextualSpacing/>
        <w:rPr>
          <w:b/>
          <w:sz w:val="24"/>
          <w:highlight w:val="none"/>
        </w:rPr>
      </w:pPr>
      <w:r>
        <w:rPr>
          <w:rFonts w:hint="eastAsia"/>
          <w:b/>
          <w:sz w:val="24"/>
          <w:highlight w:val="none"/>
        </w:rPr>
        <w:t>五</w:t>
      </w:r>
      <w:r>
        <w:rPr>
          <w:b/>
          <w:sz w:val="24"/>
          <w:highlight w:val="none"/>
        </w:rPr>
        <w:t>、报价准备</w:t>
      </w:r>
    </w:p>
    <w:p>
      <w:pPr>
        <w:pStyle w:val="25"/>
        <w:snapToGrid w:val="0"/>
        <w:spacing w:line="480" w:lineRule="exact"/>
        <w:ind w:firstLine="494"/>
        <w:contextualSpacing/>
        <w:rPr>
          <w:rFonts w:ascii="Times New Roman" w:hAnsi="Times New Roman" w:eastAsia="宋体"/>
          <w:sz w:val="24"/>
          <w:szCs w:val="24"/>
          <w:highlight w:val="none"/>
        </w:rPr>
      </w:pPr>
      <w:r>
        <w:rPr>
          <w:rFonts w:ascii="Times New Roman" w:hAnsi="Times New Roman" w:eastAsia="宋体"/>
          <w:sz w:val="24"/>
          <w:szCs w:val="24"/>
          <w:highlight w:val="none"/>
        </w:rPr>
        <w:t>1、磋商结束后，供应商就所有内容进行最后报价，少报无效。</w:t>
      </w:r>
    </w:p>
    <w:p>
      <w:pPr>
        <w:pStyle w:val="25"/>
        <w:snapToGrid w:val="0"/>
        <w:spacing w:line="480" w:lineRule="exact"/>
        <w:ind w:firstLine="494"/>
        <w:contextualSpacing/>
        <w:rPr>
          <w:rFonts w:ascii="Times New Roman" w:hAnsi="Times New Roman" w:eastAsia="宋体"/>
          <w:sz w:val="24"/>
          <w:szCs w:val="24"/>
          <w:highlight w:val="none"/>
        </w:rPr>
      </w:pPr>
      <w:r>
        <w:rPr>
          <w:rFonts w:ascii="Times New Roman" w:hAnsi="Times New Roman" w:eastAsia="宋体"/>
          <w:sz w:val="24"/>
          <w:szCs w:val="24"/>
          <w:highlight w:val="none"/>
        </w:rPr>
        <w:t xml:space="preserve">2、最后报价应包括本项目的全部费用 (含一切必须的辅助材料费用)及相关服务费等。 </w:t>
      </w:r>
    </w:p>
    <w:p>
      <w:pPr>
        <w:pStyle w:val="25"/>
        <w:snapToGrid w:val="0"/>
        <w:spacing w:line="480" w:lineRule="exact"/>
        <w:ind w:firstLine="494"/>
        <w:contextualSpacing/>
        <w:rPr>
          <w:rFonts w:ascii="Times New Roman" w:hAnsi="Times New Roman" w:eastAsia="宋体"/>
          <w:sz w:val="24"/>
          <w:szCs w:val="24"/>
          <w:highlight w:val="none"/>
        </w:rPr>
      </w:pPr>
      <w:r>
        <w:rPr>
          <w:rFonts w:ascii="Times New Roman" w:hAnsi="Times New Roman" w:eastAsia="宋体"/>
          <w:sz w:val="24"/>
          <w:szCs w:val="24"/>
          <w:highlight w:val="none"/>
        </w:rPr>
        <w:t>3、最后报价将作为磋商小组评定成交供应商的组成依据。</w:t>
      </w:r>
    </w:p>
    <w:p>
      <w:pPr>
        <w:snapToGrid w:val="0"/>
        <w:spacing w:line="480" w:lineRule="exact"/>
        <w:ind w:firstLine="480" w:firstLineChars="200"/>
        <w:rPr>
          <w:sz w:val="24"/>
          <w:highlight w:val="none"/>
        </w:rPr>
      </w:pPr>
      <w:r>
        <w:rPr>
          <w:rFonts w:hint="eastAsia"/>
          <w:b/>
          <w:sz w:val="24"/>
          <w:highlight w:val="none"/>
          <w:lang w:val="zh-CN"/>
        </w:rPr>
        <w:t>六</w:t>
      </w:r>
      <w:r>
        <w:rPr>
          <w:b/>
          <w:sz w:val="24"/>
          <w:highlight w:val="none"/>
          <w:lang w:val="zh-CN"/>
        </w:rPr>
        <w:t>、</w:t>
      </w:r>
      <w:r>
        <w:rPr>
          <w:b/>
          <w:bCs/>
          <w:sz w:val="24"/>
          <w:highlight w:val="none"/>
        </w:rPr>
        <w:t>相关费用</w:t>
      </w:r>
    </w:p>
    <w:p>
      <w:pPr>
        <w:snapToGrid w:val="0"/>
        <w:spacing w:line="480" w:lineRule="exact"/>
        <w:ind w:firstLine="480" w:firstLineChars="200"/>
        <w:contextualSpacing/>
        <w:rPr>
          <w:sz w:val="24"/>
          <w:highlight w:val="none"/>
        </w:rPr>
      </w:pPr>
      <w:r>
        <w:rPr>
          <w:sz w:val="24"/>
          <w:highlight w:val="none"/>
        </w:rPr>
        <w:t>1、供应商承担参与磋商可能发生的全部费用，采购人在任何情况下均无义务和责任承担这些费用。</w:t>
      </w:r>
    </w:p>
    <w:p>
      <w:pPr>
        <w:snapToGrid w:val="0"/>
        <w:spacing w:line="480" w:lineRule="exact"/>
        <w:ind w:firstLine="480" w:firstLineChars="200"/>
        <w:contextualSpacing/>
        <w:rPr>
          <w:sz w:val="24"/>
          <w:highlight w:val="none"/>
        </w:rPr>
      </w:pPr>
      <w:r>
        <w:rPr>
          <w:sz w:val="24"/>
          <w:highlight w:val="none"/>
        </w:rPr>
        <w:t>2、采购人不收取任何费用。</w:t>
      </w:r>
    </w:p>
    <w:p>
      <w:pPr>
        <w:snapToGrid w:val="0"/>
        <w:spacing w:line="440" w:lineRule="exact"/>
        <w:ind w:firstLine="480" w:firstLineChars="200"/>
        <w:outlineLvl w:val="1"/>
        <w:rPr>
          <w:rFonts w:hint="eastAsia"/>
          <w:bCs/>
          <w:sz w:val="24"/>
          <w:highlight w:val="none"/>
          <w:lang w:val="en-US" w:eastAsia="zh-CN"/>
        </w:rPr>
      </w:pPr>
      <w:r>
        <w:rPr>
          <w:rFonts w:hint="eastAsia"/>
          <w:bCs/>
          <w:sz w:val="24"/>
          <w:highlight w:val="none"/>
        </w:rPr>
        <w:t>3、</w:t>
      </w:r>
      <w:r>
        <w:rPr>
          <w:rFonts w:hint="eastAsia"/>
          <w:bCs/>
          <w:sz w:val="24"/>
          <w:highlight w:val="none"/>
          <w:lang w:val="en-US" w:eastAsia="zh-CN"/>
        </w:rPr>
        <w:t>文件费：300元/份，递交响应文件时缴纳给代理机构。</w:t>
      </w:r>
    </w:p>
    <w:p>
      <w:pPr>
        <w:snapToGrid w:val="0"/>
        <w:spacing w:line="440" w:lineRule="exact"/>
        <w:ind w:firstLine="480" w:firstLineChars="200"/>
        <w:outlineLvl w:val="1"/>
        <w:rPr>
          <w:bCs/>
          <w:sz w:val="24"/>
          <w:highlight w:val="none"/>
        </w:rPr>
      </w:pPr>
      <w:r>
        <w:rPr>
          <w:rFonts w:hint="eastAsia"/>
          <w:bCs/>
          <w:sz w:val="24"/>
          <w:highlight w:val="none"/>
          <w:lang w:val="en-US" w:eastAsia="zh-CN"/>
        </w:rPr>
        <w:t>4、</w:t>
      </w:r>
      <w:r>
        <w:rPr>
          <w:rFonts w:hint="eastAsia"/>
          <w:bCs/>
          <w:sz w:val="24"/>
          <w:highlight w:val="none"/>
        </w:rPr>
        <w:t>采购代理费：按</w:t>
      </w:r>
      <w:r>
        <w:rPr>
          <w:rFonts w:hint="eastAsia"/>
          <w:bCs/>
          <w:sz w:val="24"/>
          <w:highlight w:val="none"/>
          <w:lang w:val="en-US" w:eastAsia="zh-CN"/>
        </w:rPr>
        <w:t>3000</w:t>
      </w:r>
      <w:r>
        <w:rPr>
          <w:rFonts w:hint="eastAsia"/>
          <w:bCs/>
          <w:sz w:val="24"/>
          <w:highlight w:val="none"/>
        </w:rPr>
        <w:t>元计收，由</w:t>
      </w:r>
      <w:r>
        <w:rPr>
          <w:rFonts w:hint="eastAsia"/>
          <w:bCs/>
          <w:sz w:val="24"/>
          <w:highlight w:val="none"/>
          <w:lang w:eastAsia="zh-Hans"/>
        </w:rPr>
        <w:t>成交</w:t>
      </w:r>
      <w:r>
        <w:rPr>
          <w:rFonts w:hint="eastAsia"/>
          <w:bCs/>
          <w:sz w:val="24"/>
          <w:highlight w:val="none"/>
        </w:rPr>
        <w:t>人支付；专家费按实结算，由</w:t>
      </w:r>
      <w:r>
        <w:rPr>
          <w:rFonts w:hint="eastAsia"/>
          <w:bCs/>
          <w:sz w:val="24"/>
          <w:highlight w:val="none"/>
          <w:lang w:eastAsia="zh-Hans"/>
        </w:rPr>
        <w:t>成交人</w:t>
      </w:r>
      <w:r>
        <w:rPr>
          <w:rFonts w:hint="eastAsia"/>
          <w:bCs/>
          <w:sz w:val="24"/>
          <w:highlight w:val="none"/>
          <w:lang w:val="en-US" w:eastAsia="zh-CN"/>
        </w:rPr>
        <w:t>承担</w:t>
      </w:r>
      <w:r>
        <w:rPr>
          <w:bCs/>
          <w:sz w:val="24"/>
          <w:highlight w:val="none"/>
        </w:rPr>
        <w:t>。</w:t>
      </w:r>
      <w:r>
        <w:rPr>
          <w:rFonts w:hint="eastAsia"/>
          <w:bCs/>
          <w:sz w:val="24"/>
          <w:highlight w:val="none"/>
        </w:rPr>
        <w:t xml:space="preserve">    </w:t>
      </w:r>
    </w:p>
    <w:p>
      <w:pPr>
        <w:autoSpaceDE w:val="0"/>
        <w:autoSpaceDN w:val="0"/>
        <w:adjustRightInd w:val="0"/>
        <w:snapToGrid w:val="0"/>
        <w:spacing w:line="300" w:lineRule="auto"/>
        <w:jc w:val="center"/>
        <w:outlineLvl w:val="0"/>
        <w:rPr>
          <w:rFonts w:ascii="仿宋_GB2312" w:eastAsia="仿宋_GB2312"/>
          <w:b/>
          <w:bCs/>
          <w:szCs w:val="21"/>
          <w:highlight w:val="none"/>
          <w:lang w:val="zh-CN"/>
        </w:rPr>
      </w:pPr>
      <w:r>
        <w:rPr>
          <w:rFonts w:ascii="仿宋_GB2312" w:eastAsia="仿宋_GB2312"/>
          <w:b/>
          <w:bCs/>
          <w:sz w:val="36"/>
          <w:szCs w:val="36"/>
          <w:highlight w:val="none"/>
          <w:lang w:val="zh-CN"/>
        </w:rPr>
        <w:br w:type="page"/>
      </w:r>
      <w:r>
        <w:rPr>
          <w:rFonts w:hint="eastAsia" w:ascii="仿宋_GB2312" w:eastAsia="仿宋_GB2312"/>
          <w:b/>
          <w:bCs/>
          <w:sz w:val="36"/>
          <w:szCs w:val="36"/>
          <w:highlight w:val="none"/>
          <w:lang w:val="zh-CN"/>
        </w:rPr>
        <w:t>第三部分 项目需求</w:t>
      </w:r>
    </w:p>
    <w:p>
      <w:pPr>
        <w:adjustRightInd w:val="0"/>
        <w:snapToGrid w:val="0"/>
        <w:spacing w:line="500" w:lineRule="exact"/>
        <w:ind w:firstLine="480" w:firstLineChars="200"/>
        <w:rPr>
          <w:rFonts w:ascii="宋体" w:cs="宋体"/>
          <w:b/>
          <w:kern w:val="0"/>
          <w:sz w:val="24"/>
          <w:highlight w:val="none"/>
          <w:lang w:val="zh-CN"/>
        </w:rPr>
      </w:pPr>
      <w:r>
        <w:rPr>
          <w:rFonts w:hint="eastAsia"/>
          <w:b/>
          <w:sz w:val="24"/>
          <w:highlight w:val="none"/>
        </w:rPr>
        <w:t>供应商</w:t>
      </w:r>
      <w:r>
        <w:rPr>
          <w:b/>
          <w:sz w:val="24"/>
          <w:highlight w:val="none"/>
          <w:lang w:val="zh-CN"/>
        </w:rPr>
        <w:t>在制作</w:t>
      </w:r>
      <w:r>
        <w:rPr>
          <w:rFonts w:hint="eastAsia"/>
          <w:b/>
          <w:sz w:val="24"/>
          <w:highlight w:val="none"/>
        </w:rPr>
        <w:t>响应</w:t>
      </w:r>
      <w:r>
        <w:rPr>
          <w:b/>
          <w:sz w:val="24"/>
          <w:highlight w:val="none"/>
          <w:lang w:val="zh-CN"/>
        </w:rPr>
        <w:t>文件时仔细研究项目需求说明。项目需求包括技术要求和商务要求:技术要求是指对采购标的功能和质量要求，包括性能、材料、结构、外观、安全，或者服务内容和标准等</w:t>
      </w:r>
      <w:r>
        <w:rPr>
          <w:rFonts w:hint="eastAsia"/>
          <w:b/>
          <w:sz w:val="24"/>
          <w:highlight w:val="none"/>
          <w:lang w:val="zh-CN"/>
        </w:rPr>
        <w:t>；</w:t>
      </w:r>
      <w:r>
        <w:rPr>
          <w:b/>
          <w:sz w:val="24"/>
          <w:highlight w:val="none"/>
          <w:lang w:val="zh-CN"/>
        </w:rPr>
        <w:t>商务要求是指取得采购标的的时间、地点、财务和服务要求，包括交付（实施）的时间（期限）和地点（范围），付款条件（进度和方法），</w:t>
      </w:r>
      <w:r>
        <w:rPr>
          <w:rFonts w:hint="eastAsia"/>
          <w:b/>
          <w:sz w:val="24"/>
          <w:highlight w:val="none"/>
        </w:rPr>
        <w:t>商品</w:t>
      </w:r>
      <w:r>
        <w:rPr>
          <w:b/>
          <w:sz w:val="24"/>
          <w:highlight w:val="none"/>
          <w:lang w:val="zh-CN"/>
        </w:rPr>
        <w:t>包装</w:t>
      </w:r>
      <w:r>
        <w:rPr>
          <w:rFonts w:hint="eastAsia"/>
          <w:b/>
          <w:sz w:val="24"/>
          <w:highlight w:val="none"/>
          <w:lang w:val="zh-CN"/>
        </w:rPr>
        <w:t>、</w:t>
      </w:r>
      <w:r>
        <w:rPr>
          <w:rFonts w:hint="eastAsia"/>
          <w:b/>
          <w:sz w:val="24"/>
          <w:highlight w:val="none"/>
        </w:rPr>
        <w:t>快递包装</w:t>
      </w:r>
      <w:r>
        <w:rPr>
          <w:b/>
          <w:sz w:val="24"/>
          <w:highlight w:val="none"/>
          <w:lang w:val="zh-CN"/>
        </w:rPr>
        <w:t>和运输，售后服务，保险等。</w:t>
      </w:r>
    </w:p>
    <w:p>
      <w:pPr>
        <w:pStyle w:val="25"/>
        <w:snapToGrid w:val="0"/>
        <w:spacing w:line="480" w:lineRule="exact"/>
        <w:ind w:firstLine="480" w:firstLineChars="200"/>
        <w:rPr>
          <w:rFonts w:ascii="宋体" w:eastAsia="宋体"/>
          <w:sz w:val="24"/>
          <w:szCs w:val="24"/>
          <w:highlight w:val="none"/>
        </w:rPr>
      </w:pPr>
      <w:r>
        <w:rPr>
          <w:rFonts w:hint="eastAsia" w:ascii="宋体" w:eastAsia="宋体" w:cs="宋体"/>
          <w:b/>
          <w:kern w:val="0"/>
          <w:sz w:val="24"/>
          <w:szCs w:val="24"/>
          <w:highlight w:val="none"/>
          <w:lang w:val="zh-CN"/>
        </w:rPr>
        <w:t>请供应商在制作响应文件时仔细研究项目需求说明。</w:t>
      </w:r>
      <w:r>
        <w:rPr>
          <w:rFonts w:hint="eastAsia" w:ascii="宋体" w:eastAsia="宋体" w:cs="宋体"/>
          <w:kern w:val="0"/>
          <w:sz w:val="24"/>
          <w:szCs w:val="24"/>
          <w:highlight w:val="none"/>
          <w:lang w:val="zh-CN"/>
        </w:rPr>
        <w:t>供应商不能简单照搬照抄采购单位项目需求说明中的技术、商务要求，必须作实事求是的响应。如照搬照抄项目需求说明中的技术、商务要求的，成交后供应商在同采购单位签订合同和履约环节中不得提出异议，一切后果和损失由成交供应商承担。如供应商提供的货物和服务同采购单位提出的项目需求说明中的技术、商务要求不同的，必须在《商</w:t>
      </w:r>
      <w:r>
        <w:rPr>
          <w:rFonts w:hint="eastAsia" w:ascii="宋体" w:eastAsia="宋体"/>
          <w:sz w:val="24"/>
          <w:szCs w:val="24"/>
          <w:highlight w:val="none"/>
        </w:rPr>
        <w:t>务部分正负偏离表》和《技术部分正负偏离表》上明示，如不明示的视同完全响应</w:t>
      </w:r>
      <w:r>
        <w:rPr>
          <w:rFonts w:hint="eastAsia" w:ascii="宋体" w:eastAsia="宋体" w:cs="宋体"/>
          <w:kern w:val="0"/>
          <w:sz w:val="24"/>
          <w:szCs w:val="24"/>
          <w:highlight w:val="none"/>
          <w:lang w:val="zh-CN"/>
        </w:rPr>
        <w:t>。</w:t>
      </w:r>
    </w:p>
    <w:p>
      <w:pPr>
        <w:pStyle w:val="8"/>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textAlignment w:val="auto"/>
        <w:outlineLvl w:val="2"/>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en-US" w:eastAsia="zh-CN"/>
        </w:rPr>
        <w:t>一、</w:t>
      </w:r>
      <w:r>
        <w:rPr>
          <w:rFonts w:hint="eastAsia" w:asciiTheme="minorEastAsia" w:hAnsiTheme="minorEastAsia" w:eastAsiaTheme="minorEastAsia" w:cstheme="minorEastAsia"/>
          <w:b/>
          <w:bCs/>
          <w:kern w:val="0"/>
          <w:sz w:val="24"/>
          <w:szCs w:val="24"/>
          <w:highlight w:val="none"/>
          <w:lang w:val="zh-CN"/>
        </w:rPr>
        <w:t>项目概述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19" w:firstLineChars="0"/>
        <w:jc w:val="both"/>
        <w:textAlignment w:val="auto"/>
        <w:rPr>
          <w:rFonts w:hint="eastAsia" w:asciiTheme="minorEastAsia" w:hAnsiTheme="minorEastAsia" w:eastAsiaTheme="minorEastAsia" w:cstheme="minorEastAsia"/>
          <w:bCs w:val="0"/>
          <w:kern w:val="0"/>
          <w:sz w:val="24"/>
          <w:szCs w:val="24"/>
          <w:highlight w:val="none"/>
          <w:lang w:val="zh-CN" w:eastAsia="zh-CN" w:bidi="ar-SA"/>
        </w:rPr>
      </w:pPr>
      <w:r>
        <w:rPr>
          <w:rFonts w:hint="eastAsia" w:asciiTheme="minorEastAsia" w:hAnsiTheme="minorEastAsia" w:eastAsiaTheme="minorEastAsia" w:cstheme="minorEastAsia"/>
          <w:bCs w:val="0"/>
          <w:kern w:val="0"/>
          <w:sz w:val="24"/>
          <w:szCs w:val="24"/>
          <w:highlight w:val="none"/>
          <w:lang w:val="zh-CN" w:eastAsia="zh-CN" w:bidi="ar-SA"/>
        </w:rPr>
        <w:t>重要事项监管系统自上线以来，实现了对校内重要事项的全过程管控，包括项目分解、事项登记以及进度预警及督办模块，有效提升了学校内部重要事项的管理效率与监督力度。但目前系统仅实现进度和时间管控，未能与廉政风险要点相结合，且监管过程仍是以人为判断为主，未能实现风险的自动识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19" w:firstLineChars="0"/>
        <w:jc w:val="both"/>
        <w:textAlignment w:val="auto"/>
        <w:rPr>
          <w:rFonts w:hint="eastAsia" w:asciiTheme="minorEastAsia" w:hAnsiTheme="minorEastAsia" w:eastAsiaTheme="minorEastAsia" w:cstheme="minorEastAsia"/>
          <w:bCs w:val="0"/>
          <w:kern w:val="0"/>
          <w:sz w:val="24"/>
          <w:szCs w:val="24"/>
          <w:highlight w:val="none"/>
          <w:lang w:val="zh-CN" w:eastAsia="zh-CN" w:bidi="ar-SA"/>
        </w:rPr>
      </w:pPr>
      <w:r>
        <w:rPr>
          <w:rFonts w:hint="eastAsia" w:asciiTheme="minorEastAsia" w:hAnsiTheme="minorEastAsia" w:eastAsiaTheme="minorEastAsia" w:cstheme="minorEastAsia"/>
          <w:bCs w:val="0"/>
          <w:kern w:val="0"/>
          <w:sz w:val="24"/>
          <w:szCs w:val="24"/>
          <w:highlight w:val="none"/>
          <w:lang w:val="zh-CN" w:eastAsia="zh-CN" w:bidi="ar-SA"/>
        </w:rPr>
        <w:t>为了进一步提升系统的自动监管能力，现需要将原有的重大事项风险报备纸质流程改为线上流程，并根据十大重要领域设置廉政风险点及其相应的流程和内容规范，项目实施人根据风险点上报相关的佐证材料，系统能够根据规则自动识别项目流程的规范性，保障学校重大事项实施过程的合法合规、安全高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19" w:firstLineChars="0"/>
        <w:jc w:val="both"/>
        <w:textAlignment w:val="auto"/>
        <w:rPr>
          <w:rFonts w:hint="eastAsia" w:asciiTheme="minorEastAsia" w:hAnsiTheme="minorEastAsia" w:eastAsiaTheme="minorEastAsia" w:cstheme="minorEastAsia"/>
          <w:bCs w:val="0"/>
          <w:kern w:val="0"/>
          <w:sz w:val="24"/>
          <w:szCs w:val="24"/>
          <w:highlight w:val="none"/>
          <w:lang w:val="zh-CN" w:eastAsia="zh-CN" w:bidi="ar-SA"/>
        </w:rPr>
      </w:pPr>
      <w:r>
        <w:rPr>
          <w:rFonts w:hint="eastAsia" w:asciiTheme="minorEastAsia" w:hAnsiTheme="minorEastAsia" w:eastAsiaTheme="minorEastAsia" w:cstheme="minorEastAsia"/>
          <w:bCs w:val="0"/>
          <w:kern w:val="0"/>
          <w:sz w:val="24"/>
          <w:szCs w:val="24"/>
          <w:highlight w:val="none"/>
          <w:lang w:val="zh-CN" w:eastAsia="zh-CN" w:bidi="ar-SA"/>
        </w:rPr>
        <w:t>同时，为了更好的为领导决策提供支持，提高系统的易用性，系统需要增加图形化的数据展示、实现OA流程表单自动抓取，与网上办事大厅对接统一消息、统一待办等功能，通过对接财务专线实现新生二维码缴费功能，从而进一步完善和优化系统功能，提升用户体验。</w:t>
      </w:r>
    </w:p>
    <w:p>
      <w:pPr>
        <w:pStyle w:val="8"/>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textAlignment w:val="auto"/>
        <w:outlineLvl w:val="2"/>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en-US" w:eastAsia="zh-CN"/>
        </w:rPr>
        <w:t>二、</w:t>
      </w:r>
      <w:r>
        <w:rPr>
          <w:rFonts w:hint="eastAsia" w:asciiTheme="minorEastAsia" w:hAnsiTheme="minorEastAsia" w:eastAsiaTheme="minorEastAsia" w:cstheme="minorEastAsia"/>
          <w:b/>
          <w:bCs/>
          <w:kern w:val="0"/>
          <w:sz w:val="24"/>
          <w:szCs w:val="24"/>
          <w:highlight w:val="none"/>
          <w:lang w:val="zh-CN" w:eastAsia="zh-CN"/>
        </w:rPr>
        <w:t>需求清单</w:t>
      </w:r>
    </w:p>
    <w:tbl>
      <w:tblPr>
        <w:tblStyle w:val="19"/>
        <w:tblW w:w="5000" w:type="pct"/>
        <w:tblInd w:w="113" w:type="dxa"/>
        <w:tblLayout w:type="fixed"/>
        <w:tblCellMar>
          <w:top w:w="0" w:type="dxa"/>
          <w:left w:w="108" w:type="dxa"/>
          <w:bottom w:w="0" w:type="dxa"/>
          <w:right w:w="108" w:type="dxa"/>
        </w:tblCellMar>
      </w:tblPr>
      <w:tblGrid>
        <w:gridCol w:w="1255"/>
        <w:gridCol w:w="5316"/>
        <w:gridCol w:w="1376"/>
        <w:gridCol w:w="1000"/>
      </w:tblGrid>
      <w:tr>
        <w:trPr>
          <w:trHeight w:val="669" w:hRule="atLeast"/>
        </w:trPr>
        <w:tc>
          <w:tcPr>
            <w:tcW w:w="701" w:type="pct"/>
            <w:tcBorders>
              <w:top w:val="single" w:color="000000" w:sz="4" w:space="0"/>
              <w:left w:val="single" w:color="000000" w:sz="4" w:space="0"/>
              <w:bottom w:val="single" w:color="000000" w:sz="4" w:space="0"/>
              <w:right w:val="single" w:color="000000" w:sz="4" w:space="0"/>
            </w:tcBorders>
            <w:noWrap/>
            <w:vAlign w:val="center"/>
          </w:tcPr>
          <w:p>
            <w:pPr>
              <w:widowControl/>
              <w:spacing w:line="480" w:lineRule="exact"/>
              <w:ind w:firstLine="0" w:firstLineChars="0"/>
              <w:jc w:val="center"/>
              <w:textAlignment w:val="center"/>
              <w:rPr>
                <w:rFonts w:hint="eastAsia" w:asciiTheme="minorEastAsia" w:hAnsiTheme="minorEastAsia" w:eastAsiaTheme="minorEastAsia" w:cstheme="minorEastAsia"/>
                <w:b w:val="0"/>
                <w:bCs w:val="0"/>
                <w:kern w:val="0"/>
                <w:sz w:val="24"/>
                <w:highlight w:val="none"/>
                <w:lang w:val="zh-CN"/>
              </w:rPr>
            </w:pPr>
            <w:r>
              <w:rPr>
                <w:rFonts w:hint="eastAsia" w:asciiTheme="minorEastAsia" w:hAnsiTheme="minorEastAsia" w:eastAsiaTheme="minorEastAsia" w:cstheme="minorEastAsia"/>
                <w:b w:val="0"/>
                <w:bCs w:val="0"/>
                <w:kern w:val="0"/>
                <w:sz w:val="24"/>
                <w:highlight w:val="none"/>
                <w:lang w:val="zh-CN" w:bidi="ar-SA"/>
              </w:rPr>
              <w:t>序号</w:t>
            </w:r>
          </w:p>
        </w:tc>
        <w:tc>
          <w:tcPr>
            <w:tcW w:w="2970" w:type="pct"/>
            <w:tcBorders>
              <w:top w:val="single" w:color="000000" w:sz="4" w:space="0"/>
              <w:left w:val="single" w:color="000000" w:sz="4" w:space="0"/>
              <w:bottom w:val="single" w:color="000000" w:sz="4" w:space="0"/>
              <w:right w:val="single" w:color="000000" w:sz="4" w:space="0"/>
            </w:tcBorders>
            <w:noWrap/>
            <w:vAlign w:val="center"/>
          </w:tcPr>
          <w:p>
            <w:pPr>
              <w:widowControl/>
              <w:spacing w:line="480" w:lineRule="exact"/>
              <w:ind w:firstLine="0" w:firstLineChars="0"/>
              <w:jc w:val="left"/>
              <w:textAlignment w:val="center"/>
              <w:rPr>
                <w:rFonts w:hint="eastAsia" w:asciiTheme="minorEastAsia" w:hAnsiTheme="minorEastAsia" w:eastAsiaTheme="minorEastAsia" w:cstheme="minorEastAsia"/>
                <w:b w:val="0"/>
                <w:bCs w:val="0"/>
                <w:kern w:val="0"/>
                <w:sz w:val="24"/>
                <w:highlight w:val="none"/>
                <w:lang w:val="zh-CN"/>
              </w:rPr>
            </w:pPr>
            <w:r>
              <w:rPr>
                <w:rFonts w:hint="eastAsia" w:asciiTheme="minorEastAsia" w:hAnsiTheme="minorEastAsia" w:eastAsiaTheme="minorEastAsia" w:cstheme="minorEastAsia"/>
                <w:b w:val="0"/>
                <w:bCs w:val="0"/>
                <w:kern w:val="0"/>
                <w:sz w:val="24"/>
                <w:highlight w:val="none"/>
                <w:lang w:val="zh-CN" w:bidi="ar-SA"/>
              </w:rPr>
              <w:t>采购内容</w:t>
            </w:r>
          </w:p>
        </w:tc>
        <w:tc>
          <w:tcPr>
            <w:tcW w:w="769" w:type="pct"/>
            <w:tcBorders>
              <w:top w:val="single" w:color="000000" w:sz="4" w:space="0"/>
              <w:left w:val="single" w:color="000000" w:sz="4" w:space="0"/>
              <w:bottom w:val="single" w:color="000000" w:sz="4" w:space="0"/>
              <w:right w:val="single" w:color="000000" w:sz="4" w:space="0"/>
            </w:tcBorders>
            <w:noWrap/>
            <w:vAlign w:val="center"/>
          </w:tcPr>
          <w:p>
            <w:pPr>
              <w:widowControl/>
              <w:spacing w:line="480" w:lineRule="exact"/>
              <w:ind w:firstLine="0" w:firstLineChars="0"/>
              <w:jc w:val="center"/>
              <w:textAlignment w:val="center"/>
              <w:rPr>
                <w:rFonts w:hint="eastAsia" w:asciiTheme="minorEastAsia" w:hAnsiTheme="minorEastAsia" w:eastAsiaTheme="minorEastAsia" w:cstheme="minorEastAsia"/>
                <w:b w:val="0"/>
                <w:bCs w:val="0"/>
                <w:kern w:val="0"/>
                <w:sz w:val="24"/>
                <w:highlight w:val="none"/>
                <w:lang w:val="zh-CN"/>
              </w:rPr>
            </w:pPr>
            <w:r>
              <w:rPr>
                <w:rFonts w:hint="eastAsia" w:asciiTheme="minorEastAsia" w:hAnsiTheme="minorEastAsia" w:eastAsiaTheme="minorEastAsia" w:cstheme="minorEastAsia"/>
                <w:b w:val="0"/>
                <w:bCs w:val="0"/>
                <w:kern w:val="0"/>
                <w:sz w:val="24"/>
                <w:highlight w:val="none"/>
                <w:lang w:val="zh-CN" w:bidi="ar-SA"/>
              </w:rPr>
              <w:t>数量</w:t>
            </w:r>
          </w:p>
        </w:tc>
        <w:tc>
          <w:tcPr>
            <w:tcW w:w="559" w:type="pct"/>
            <w:tcBorders>
              <w:top w:val="single" w:color="000000" w:sz="4" w:space="0"/>
              <w:left w:val="single" w:color="000000" w:sz="4" w:space="0"/>
              <w:bottom w:val="single" w:color="000000" w:sz="4" w:space="0"/>
              <w:right w:val="single" w:color="000000" w:sz="4" w:space="0"/>
            </w:tcBorders>
            <w:noWrap/>
            <w:vAlign w:val="center"/>
          </w:tcPr>
          <w:p>
            <w:pPr>
              <w:widowControl/>
              <w:spacing w:line="480" w:lineRule="exact"/>
              <w:ind w:firstLine="0" w:firstLineChars="0"/>
              <w:jc w:val="center"/>
              <w:textAlignment w:val="center"/>
              <w:rPr>
                <w:rFonts w:hint="eastAsia" w:asciiTheme="minorEastAsia" w:hAnsiTheme="minorEastAsia" w:eastAsiaTheme="minorEastAsia" w:cstheme="minorEastAsia"/>
                <w:b w:val="0"/>
                <w:bCs w:val="0"/>
                <w:kern w:val="0"/>
                <w:sz w:val="24"/>
                <w:highlight w:val="none"/>
                <w:lang w:val="zh-CN"/>
              </w:rPr>
            </w:pPr>
            <w:r>
              <w:rPr>
                <w:rFonts w:hint="eastAsia" w:asciiTheme="minorEastAsia" w:hAnsiTheme="minorEastAsia" w:eastAsiaTheme="minorEastAsia" w:cstheme="minorEastAsia"/>
                <w:b w:val="0"/>
                <w:bCs w:val="0"/>
                <w:kern w:val="0"/>
                <w:sz w:val="24"/>
                <w:highlight w:val="none"/>
                <w:lang w:val="zh-CN" w:bidi="ar-SA"/>
              </w:rPr>
              <w:t>单位</w:t>
            </w:r>
          </w:p>
        </w:tc>
      </w:tr>
      <w:tr>
        <w:trPr>
          <w:trHeight w:val="629" w:hRule="atLeast"/>
        </w:trPr>
        <w:tc>
          <w:tcPr>
            <w:tcW w:w="701" w:type="pct"/>
            <w:tcBorders>
              <w:top w:val="single" w:color="000000" w:sz="4" w:space="0"/>
              <w:left w:val="single" w:color="000000" w:sz="4" w:space="0"/>
              <w:bottom w:val="single" w:color="000000" w:sz="4" w:space="0"/>
              <w:right w:val="single" w:color="000000" w:sz="4" w:space="0"/>
            </w:tcBorders>
            <w:noWrap/>
            <w:vAlign w:val="center"/>
          </w:tcPr>
          <w:p>
            <w:pPr>
              <w:widowControl/>
              <w:spacing w:line="480" w:lineRule="exact"/>
              <w:ind w:firstLine="0" w:firstLineChars="0"/>
              <w:jc w:val="center"/>
              <w:textAlignment w:val="center"/>
              <w:rPr>
                <w:rFonts w:hint="eastAsia" w:asciiTheme="minorEastAsia" w:hAnsiTheme="minorEastAsia" w:eastAsiaTheme="minorEastAsia" w:cstheme="minorEastAsia"/>
                <w:kern w:val="0"/>
                <w:sz w:val="24"/>
                <w:highlight w:val="none"/>
                <w:lang w:val="zh-CN"/>
              </w:rPr>
            </w:pPr>
            <w:r>
              <w:rPr>
                <w:rFonts w:hint="eastAsia" w:asciiTheme="minorEastAsia" w:hAnsiTheme="minorEastAsia" w:eastAsiaTheme="minorEastAsia" w:cstheme="minorEastAsia"/>
                <w:kern w:val="0"/>
                <w:sz w:val="24"/>
                <w:highlight w:val="none"/>
                <w:lang w:val="zh-CN"/>
              </w:rPr>
              <w:t>1</w:t>
            </w:r>
          </w:p>
        </w:tc>
        <w:tc>
          <w:tcPr>
            <w:tcW w:w="2970" w:type="pct"/>
            <w:tcBorders>
              <w:top w:val="single" w:color="000000" w:sz="4" w:space="0"/>
              <w:left w:val="single" w:color="000000" w:sz="4" w:space="0"/>
              <w:bottom w:val="single" w:color="000000" w:sz="4" w:space="0"/>
              <w:right w:val="single" w:color="000000" w:sz="4" w:space="0"/>
            </w:tcBorders>
            <w:noWrap/>
            <w:vAlign w:val="center"/>
          </w:tcPr>
          <w:p>
            <w:pPr>
              <w:widowControl/>
              <w:spacing w:line="480" w:lineRule="exact"/>
              <w:ind w:firstLine="0" w:firstLineChars="0"/>
              <w:jc w:val="left"/>
              <w:textAlignment w:val="center"/>
              <w:rPr>
                <w:rFonts w:hint="eastAsia" w:asciiTheme="minorEastAsia" w:hAnsiTheme="minorEastAsia" w:eastAsiaTheme="minorEastAsia" w:cstheme="minorEastAsia"/>
                <w:kern w:val="0"/>
                <w:sz w:val="24"/>
                <w:highlight w:val="none"/>
                <w:lang w:val="zh-CN" w:eastAsia="zh-CN"/>
              </w:rPr>
            </w:pPr>
            <w:r>
              <w:rPr>
                <w:rFonts w:hint="eastAsia" w:asciiTheme="minorEastAsia" w:hAnsiTheme="minorEastAsia" w:eastAsiaTheme="minorEastAsia" w:cstheme="minorEastAsia"/>
                <w:kern w:val="0"/>
                <w:sz w:val="24"/>
                <w:highlight w:val="none"/>
                <w:lang w:val="zh-CN" w:eastAsia="zh-CN"/>
              </w:rPr>
              <w:t>重要事项系统（含重要事项推进、重点领域监督、重大资金监管三大功能模块）</w:t>
            </w:r>
          </w:p>
        </w:tc>
        <w:tc>
          <w:tcPr>
            <w:tcW w:w="769" w:type="pct"/>
            <w:tcBorders>
              <w:top w:val="single" w:color="000000" w:sz="4" w:space="0"/>
              <w:left w:val="single" w:color="000000" w:sz="4" w:space="0"/>
              <w:bottom w:val="single" w:color="000000" w:sz="4" w:space="0"/>
              <w:right w:val="single" w:color="000000" w:sz="4" w:space="0"/>
            </w:tcBorders>
            <w:noWrap/>
            <w:vAlign w:val="center"/>
          </w:tcPr>
          <w:p>
            <w:pPr>
              <w:widowControl/>
              <w:spacing w:line="480" w:lineRule="exact"/>
              <w:ind w:firstLine="0" w:firstLineChars="0"/>
              <w:jc w:val="center"/>
              <w:textAlignment w:val="center"/>
              <w:rPr>
                <w:rFonts w:hint="eastAsia" w:asciiTheme="minorEastAsia" w:hAnsiTheme="minorEastAsia" w:eastAsiaTheme="minorEastAsia" w:cstheme="minorEastAsia"/>
                <w:kern w:val="0"/>
                <w:sz w:val="24"/>
                <w:highlight w:val="none"/>
                <w:lang w:val="zh-CN"/>
              </w:rPr>
            </w:pPr>
            <w:r>
              <w:rPr>
                <w:rFonts w:hint="eastAsia" w:asciiTheme="minorEastAsia" w:hAnsiTheme="minorEastAsia" w:eastAsiaTheme="minorEastAsia" w:cstheme="minorEastAsia"/>
                <w:kern w:val="0"/>
                <w:sz w:val="24"/>
                <w:highlight w:val="none"/>
                <w:lang w:val="zh-CN" w:bidi="ar-SA"/>
              </w:rPr>
              <w:t>1</w:t>
            </w:r>
          </w:p>
        </w:tc>
        <w:tc>
          <w:tcPr>
            <w:tcW w:w="559" w:type="pct"/>
            <w:tcBorders>
              <w:top w:val="single" w:color="000000" w:sz="4" w:space="0"/>
              <w:left w:val="single" w:color="000000" w:sz="4" w:space="0"/>
              <w:bottom w:val="single" w:color="000000" w:sz="4" w:space="0"/>
              <w:right w:val="single" w:color="000000" w:sz="4" w:space="0"/>
            </w:tcBorders>
            <w:noWrap/>
            <w:vAlign w:val="center"/>
          </w:tcPr>
          <w:p>
            <w:pPr>
              <w:widowControl/>
              <w:spacing w:line="480" w:lineRule="exact"/>
              <w:ind w:firstLine="0" w:firstLineChars="0"/>
              <w:jc w:val="center"/>
              <w:textAlignment w:val="center"/>
              <w:rPr>
                <w:rFonts w:hint="eastAsia" w:asciiTheme="minorEastAsia" w:hAnsiTheme="minorEastAsia" w:eastAsiaTheme="minorEastAsia" w:cstheme="minorEastAsia"/>
                <w:kern w:val="0"/>
                <w:sz w:val="24"/>
                <w:highlight w:val="none"/>
                <w:lang w:val="zh-CN"/>
              </w:rPr>
            </w:pPr>
            <w:r>
              <w:rPr>
                <w:rFonts w:hint="eastAsia" w:asciiTheme="minorEastAsia" w:hAnsiTheme="minorEastAsia" w:eastAsiaTheme="minorEastAsia" w:cstheme="minorEastAsia"/>
                <w:kern w:val="0"/>
                <w:sz w:val="24"/>
                <w:highlight w:val="none"/>
                <w:lang w:val="zh-CN"/>
              </w:rPr>
              <w:t>套</w:t>
            </w:r>
          </w:p>
        </w:tc>
      </w:tr>
      <w:tr>
        <w:trPr>
          <w:trHeight w:val="480" w:hRule="atLeast"/>
        </w:trPr>
        <w:tc>
          <w:tcPr>
            <w:tcW w:w="701" w:type="pct"/>
            <w:tcBorders>
              <w:top w:val="single" w:color="000000" w:sz="4" w:space="0"/>
              <w:left w:val="single" w:color="000000" w:sz="4" w:space="0"/>
              <w:bottom w:val="single" w:color="000000" w:sz="4" w:space="0"/>
              <w:right w:val="single" w:color="000000" w:sz="4" w:space="0"/>
            </w:tcBorders>
            <w:noWrap/>
            <w:vAlign w:val="center"/>
          </w:tcPr>
          <w:p>
            <w:pPr>
              <w:widowControl/>
              <w:spacing w:line="480" w:lineRule="exact"/>
              <w:ind w:firstLine="0" w:firstLineChars="0"/>
              <w:jc w:val="center"/>
              <w:textAlignment w:val="center"/>
              <w:rPr>
                <w:rFonts w:hint="eastAsia" w:asciiTheme="minorEastAsia" w:hAnsiTheme="minorEastAsia" w:eastAsiaTheme="minorEastAsia" w:cstheme="minorEastAsia"/>
                <w:kern w:val="0"/>
                <w:sz w:val="24"/>
                <w:highlight w:val="none"/>
                <w:lang w:val="zh-CN"/>
              </w:rPr>
            </w:pPr>
            <w:r>
              <w:rPr>
                <w:rFonts w:hint="eastAsia" w:asciiTheme="minorEastAsia" w:hAnsiTheme="minorEastAsia" w:eastAsiaTheme="minorEastAsia" w:cstheme="minorEastAsia"/>
                <w:kern w:val="0"/>
                <w:sz w:val="24"/>
                <w:highlight w:val="none"/>
                <w:lang w:val="zh-CN"/>
              </w:rPr>
              <w:t>2</w:t>
            </w:r>
          </w:p>
        </w:tc>
        <w:tc>
          <w:tcPr>
            <w:tcW w:w="2970" w:type="pct"/>
            <w:tcBorders>
              <w:top w:val="single" w:color="000000" w:sz="4" w:space="0"/>
              <w:left w:val="single" w:color="000000" w:sz="4" w:space="0"/>
              <w:bottom w:val="single" w:color="000000" w:sz="4" w:space="0"/>
              <w:right w:val="single" w:color="000000" w:sz="4" w:space="0"/>
            </w:tcBorders>
            <w:noWrap/>
            <w:vAlign w:val="center"/>
          </w:tcPr>
          <w:p>
            <w:pPr>
              <w:widowControl/>
              <w:spacing w:line="480" w:lineRule="exact"/>
              <w:ind w:firstLine="0" w:firstLineChars="0"/>
              <w:jc w:val="left"/>
              <w:textAlignment w:val="center"/>
              <w:rPr>
                <w:rFonts w:hint="eastAsia" w:asciiTheme="minorEastAsia" w:hAnsiTheme="minorEastAsia" w:eastAsiaTheme="minorEastAsia" w:cstheme="minorEastAsia"/>
                <w:kern w:val="0"/>
                <w:sz w:val="24"/>
                <w:highlight w:val="none"/>
                <w:lang w:val="zh-CN" w:bidi="ar-SA"/>
              </w:rPr>
            </w:pPr>
            <w:r>
              <w:rPr>
                <w:rFonts w:hint="eastAsia" w:asciiTheme="minorEastAsia" w:hAnsiTheme="minorEastAsia" w:eastAsiaTheme="minorEastAsia" w:cstheme="minorEastAsia"/>
                <w:kern w:val="0"/>
                <w:sz w:val="24"/>
                <w:highlight w:val="none"/>
                <w:lang w:val="zh-CN" w:bidi="ar-SA"/>
              </w:rPr>
              <w:t>供应商需完成与以下系统对接开发服务（对接费用由中标方承担），包含：</w:t>
            </w:r>
          </w:p>
          <w:p>
            <w:pPr>
              <w:widowControl/>
              <w:spacing w:line="480" w:lineRule="exact"/>
              <w:ind w:firstLine="0" w:firstLineChars="0"/>
              <w:jc w:val="left"/>
              <w:textAlignment w:val="center"/>
              <w:rPr>
                <w:rFonts w:hint="eastAsia" w:asciiTheme="minorEastAsia" w:hAnsiTheme="minorEastAsia" w:eastAsiaTheme="minorEastAsia" w:cstheme="minorEastAsia"/>
                <w:kern w:val="0"/>
                <w:sz w:val="24"/>
                <w:highlight w:val="none"/>
                <w:lang w:val="zh-CN" w:bidi="ar-SA"/>
              </w:rPr>
            </w:pPr>
            <w:r>
              <w:rPr>
                <w:rFonts w:hint="eastAsia" w:asciiTheme="minorEastAsia" w:hAnsiTheme="minorEastAsia" w:eastAsiaTheme="minorEastAsia" w:cstheme="minorEastAsia"/>
                <w:kern w:val="0"/>
                <w:sz w:val="24"/>
                <w:highlight w:val="none"/>
                <w:lang w:val="zh-CN" w:eastAsia="zh-CN" w:bidi="ar-SA"/>
              </w:rPr>
              <w:t>a.</w:t>
            </w:r>
            <w:r>
              <w:rPr>
                <w:rFonts w:hint="eastAsia" w:asciiTheme="minorEastAsia" w:hAnsiTheme="minorEastAsia" w:eastAsiaTheme="minorEastAsia" w:cstheme="minorEastAsia"/>
                <w:kern w:val="0"/>
                <w:sz w:val="24"/>
                <w:highlight w:val="none"/>
                <w:lang w:val="zh-CN" w:bidi="ar-SA"/>
              </w:rPr>
              <w:t>与OA系统对接开发（表单流程</w:t>
            </w:r>
            <w:r>
              <w:rPr>
                <w:rFonts w:hint="eastAsia" w:asciiTheme="minorEastAsia" w:hAnsiTheme="minorEastAsia" w:eastAsiaTheme="minorEastAsia" w:cstheme="minorEastAsia"/>
                <w:kern w:val="0"/>
                <w:sz w:val="24"/>
                <w:highlight w:val="none"/>
                <w:lang w:val="zh-CN" w:eastAsia="zh-CN" w:bidi="ar-SA"/>
              </w:rPr>
              <w:t>、预算项目</w:t>
            </w:r>
            <w:r>
              <w:rPr>
                <w:rFonts w:hint="eastAsia" w:asciiTheme="minorEastAsia" w:hAnsiTheme="minorEastAsia" w:eastAsiaTheme="minorEastAsia" w:cstheme="minorEastAsia"/>
                <w:kern w:val="0"/>
                <w:sz w:val="24"/>
                <w:highlight w:val="none"/>
                <w:lang w:val="zh-CN" w:bidi="ar-SA"/>
              </w:rPr>
              <w:t>无缝对接）；</w:t>
            </w:r>
          </w:p>
          <w:p>
            <w:pPr>
              <w:widowControl/>
              <w:spacing w:line="480" w:lineRule="exact"/>
              <w:ind w:firstLine="0" w:firstLineChars="0"/>
              <w:jc w:val="left"/>
              <w:textAlignment w:val="center"/>
              <w:rPr>
                <w:rFonts w:hint="eastAsia" w:asciiTheme="minorEastAsia" w:hAnsiTheme="minorEastAsia" w:eastAsiaTheme="minorEastAsia" w:cstheme="minorEastAsia"/>
                <w:kern w:val="0"/>
                <w:sz w:val="24"/>
                <w:highlight w:val="none"/>
                <w:lang w:val="zh-CN" w:bidi="ar-SA"/>
              </w:rPr>
            </w:pPr>
            <w:r>
              <w:rPr>
                <w:rFonts w:hint="eastAsia" w:asciiTheme="minorEastAsia" w:hAnsiTheme="minorEastAsia" w:eastAsiaTheme="minorEastAsia" w:cstheme="minorEastAsia"/>
                <w:kern w:val="0"/>
                <w:sz w:val="24"/>
                <w:highlight w:val="none"/>
                <w:lang w:val="zh-CN" w:eastAsia="zh-CN" w:bidi="ar-SA"/>
              </w:rPr>
              <w:t>b.与数据中心定期同步相关数据</w:t>
            </w:r>
            <w:r>
              <w:rPr>
                <w:rFonts w:hint="eastAsia" w:asciiTheme="minorEastAsia" w:hAnsiTheme="minorEastAsia" w:eastAsiaTheme="minorEastAsia" w:cstheme="minorEastAsia"/>
                <w:kern w:val="0"/>
                <w:sz w:val="24"/>
                <w:highlight w:val="none"/>
                <w:lang w:val="zh-CN" w:bidi="ar-SA"/>
              </w:rPr>
              <w:t>；</w:t>
            </w:r>
          </w:p>
          <w:p>
            <w:pPr>
              <w:widowControl/>
              <w:spacing w:line="480" w:lineRule="exact"/>
              <w:ind w:firstLine="0" w:firstLineChars="0"/>
              <w:jc w:val="left"/>
              <w:textAlignment w:val="center"/>
              <w:rPr>
                <w:rFonts w:hint="eastAsia" w:asciiTheme="minorEastAsia" w:hAnsiTheme="minorEastAsia" w:eastAsiaTheme="minorEastAsia" w:cstheme="minorEastAsia"/>
                <w:kern w:val="0"/>
                <w:sz w:val="24"/>
                <w:highlight w:val="none"/>
                <w:lang w:val="zh-CN"/>
              </w:rPr>
            </w:pPr>
            <w:r>
              <w:rPr>
                <w:rFonts w:hint="eastAsia" w:asciiTheme="minorEastAsia" w:hAnsiTheme="minorEastAsia" w:eastAsiaTheme="minorEastAsia" w:cstheme="minorEastAsia"/>
                <w:kern w:val="0"/>
                <w:sz w:val="24"/>
                <w:highlight w:val="none"/>
                <w:lang w:val="zh-CN" w:eastAsia="zh-CN" w:bidi="ar-SA"/>
              </w:rPr>
              <w:t>c.</w:t>
            </w:r>
            <w:r>
              <w:rPr>
                <w:rFonts w:hint="eastAsia" w:asciiTheme="minorEastAsia" w:hAnsiTheme="minorEastAsia" w:eastAsiaTheme="minorEastAsia" w:cstheme="minorEastAsia"/>
                <w:kern w:val="0"/>
                <w:sz w:val="24"/>
                <w:highlight w:val="none"/>
                <w:lang w:val="zh-CN" w:bidi="ar-SA"/>
              </w:rPr>
              <w:t>与统一身份认证、办事大厅</w:t>
            </w:r>
            <w:r>
              <w:rPr>
                <w:rFonts w:hint="eastAsia" w:asciiTheme="minorEastAsia" w:hAnsiTheme="minorEastAsia" w:eastAsiaTheme="minorEastAsia" w:cstheme="minorEastAsia"/>
                <w:kern w:val="0"/>
                <w:sz w:val="24"/>
                <w:highlight w:val="none"/>
                <w:lang w:val="zh-CN" w:eastAsia="zh-CN" w:bidi="ar-SA"/>
              </w:rPr>
              <w:t>完成统一待办、统一消息对接；</w:t>
            </w:r>
          </w:p>
        </w:tc>
        <w:tc>
          <w:tcPr>
            <w:tcW w:w="769" w:type="pct"/>
            <w:tcBorders>
              <w:top w:val="single" w:color="000000" w:sz="4" w:space="0"/>
              <w:left w:val="single" w:color="000000" w:sz="4" w:space="0"/>
              <w:bottom w:val="single" w:color="000000" w:sz="4" w:space="0"/>
              <w:right w:val="single" w:color="000000" w:sz="4" w:space="0"/>
            </w:tcBorders>
            <w:noWrap/>
            <w:vAlign w:val="center"/>
          </w:tcPr>
          <w:p>
            <w:pPr>
              <w:widowControl/>
              <w:spacing w:line="480" w:lineRule="exact"/>
              <w:ind w:firstLine="0" w:firstLineChars="0"/>
              <w:jc w:val="center"/>
              <w:textAlignment w:val="center"/>
              <w:rPr>
                <w:rFonts w:hint="eastAsia" w:asciiTheme="minorEastAsia" w:hAnsiTheme="minorEastAsia" w:eastAsiaTheme="minorEastAsia" w:cstheme="minorEastAsia"/>
                <w:kern w:val="0"/>
                <w:sz w:val="24"/>
                <w:highlight w:val="none"/>
                <w:lang w:val="zh-CN" w:eastAsia="zh-CN" w:bidi="ar-SA"/>
              </w:rPr>
            </w:pPr>
            <w:r>
              <w:rPr>
                <w:rFonts w:hint="eastAsia" w:asciiTheme="minorEastAsia" w:hAnsiTheme="minorEastAsia" w:eastAsiaTheme="minorEastAsia" w:cstheme="minorEastAsia"/>
                <w:kern w:val="0"/>
                <w:sz w:val="24"/>
                <w:highlight w:val="none"/>
                <w:lang w:val="zh-CN" w:eastAsia="zh-CN" w:bidi="ar-SA"/>
              </w:rPr>
              <w:t>1</w:t>
            </w:r>
          </w:p>
        </w:tc>
        <w:tc>
          <w:tcPr>
            <w:tcW w:w="559" w:type="pct"/>
            <w:tcBorders>
              <w:top w:val="single" w:color="000000" w:sz="4" w:space="0"/>
              <w:left w:val="single" w:color="000000" w:sz="4" w:space="0"/>
              <w:bottom w:val="single" w:color="000000" w:sz="4" w:space="0"/>
              <w:right w:val="single" w:color="000000" w:sz="4" w:space="0"/>
            </w:tcBorders>
            <w:noWrap/>
            <w:vAlign w:val="center"/>
          </w:tcPr>
          <w:p>
            <w:pPr>
              <w:widowControl/>
              <w:spacing w:line="480" w:lineRule="exact"/>
              <w:ind w:firstLine="0" w:firstLineChars="0"/>
              <w:jc w:val="center"/>
              <w:textAlignment w:val="center"/>
              <w:rPr>
                <w:rFonts w:hint="eastAsia" w:asciiTheme="minorEastAsia" w:hAnsiTheme="minorEastAsia" w:eastAsiaTheme="minorEastAsia" w:cstheme="minorEastAsia"/>
                <w:kern w:val="0"/>
                <w:sz w:val="24"/>
                <w:highlight w:val="none"/>
                <w:lang w:val="zh-CN" w:eastAsia="zh-CN" w:bidi="ar-SA"/>
              </w:rPr>
            </w:pPr>
            <w:r>
              <w:rPr>
                <w:rFonts w:hint="eastAsia" w:asciiTheme="minorEastAsia" w:hAnsiTheme="minorEastAsia" w:eastAsiaTheme="minorEastAsia" w:cstheme="minorEastAsia"/>
                <w:kern w:val="0"/>
                <w:sz w:val="24"/>
                <w:highlight w:val="none"/>
                <w:lang w:val="zh-CN" w:eastAsia="zh-CN" w:bidi="ar-SA"/>
              </w:rPr>
              <w:t>套</w:t>
            </w:r>
          </w:p>
        </w:tc>
      </w:tr>
      <w:tr>
        <w:trPr>
          <w:trHeight w:val="480" w:hRule="atLeast"/>
        </w:trPr>
        <w:tc>
          <w:tcPr>
            <w:tcW w:w="701" w:type="pct"/>
            <w:tcBorders>
              <w:top w:val="single" w:color="000000" w:sz="4" w:space="0"/>
              <w:left w:val="single" w:color="000000" w:sz="4" w:space="0"/>
              <w:bottom w:val="single" w:color="000000" w:sz="4" w:space="0"/>
              <w:right w:val="single" w:color="000000" w:sz="4" w:space="0"/>
            </w:tcBorders>
            <w:noWrap/>
            <w:vAlign w:val="center"/>
          </w:tcPr>
          <w:p>
            <w:pPr>
              <w:widowControl/>
              <w:spacing w:line="480" w:lineRule="exact"/>
              <w:ind w:firstLine="0" w:firstLineChars="0"/>
              <w:jc w:val="center"/>
              <w:textAlignment w:val="center"/>
              <w:rPr>
                <w:rFonts w:hint="eastAsia" w:asciiTheme="minorEastAsia" w:hAnsiTheme="minorEastAsia" w:eastAsiaTheme="minorEastAsia" w:cstheme="minorEastAsia"/>
                <w:kern w:val="0"/>
                <w:sz w:val="24"/>
                <w:highlight w:val="none"/>
                <w:lang w:val="zh-CN" w:eastAsia="zh-CN"/>
              </w:rPr>
            </w:pPr>
            <w:r>
              <w:rPr>
                <w:rFonts w:hint="eastAsia" w:asciiTheme="minorEastAsia" w:hAnsiTheme="minorEastAsia" w:eastAsiaTheme="minorEastAsia" w:cstheme="minorEastAsia"/>
                <w:kern w:val="0"/>
                <w:sz w:val="24"/>
                <w:highlight w:val="none"/>
                <w:lang w:val="zh-CN" w:eastAsia="zh-CN"/>
              </w:rPr>
              <w:t>3</w:t>
            </w:r>
          </w:p>
        </w:tc>
        <w:tc>
          <w:tcPr>
            <w:tcW w:w="2970" w:type="pct"/>
            <w:tcBorders>
              <w:top w:val="single" w:color="000000" w:sz="4" w:space="0"/>
              <w:left w:val="single" w:color="000000" w:sz="4" w:space="0"/>
              <w:bottom w:val="single" w:color="000000" w:sz="4" w:space="0"/>
              <w:right w:val="single" w:color="000000" w:sz="4" w:space="0"/>
            </w:tcBorders>
            <w:noWrap/>
            <w:vAlign w:val="center"/>
          </w:tcPr>
          <w:p>
            <w:pPr>
              <w:widowControl/>
              <w:spacing w:line="480" w:lineRule="exact"/>
              <w:ind w:firstLine="0" w:firstLineChars="0"/>
              <w:jc w:val="left"/>
              <w:textAlignment w:val="center"/>
              <w:rPr>
                <w:rFonts w:hint="eastAsia" w:asciiTheme="minorEastAsia" w:hAnsiTheme="minorEastAsia" w:eastAsiaTheme="minorEastAsia" w:cstheme="minorEastAsia"/>
                <w:kern w:val="0"/>
                <w:sz w:val="24"/>
                <w:highlight w:val="none"/>
                <w:lang w:val="zh-CN" w:eastAsia="zh-CN" w:bidi="ar-SA"/>
              </w:rPr>
            </w:pPr>
            <w:r>
              <w:rPr>
                <w:rFonts w:hint="eastAsia" w:asciiTheme="minorEastAsia" w:hAnsiTheme="minorEastAsia" w:eastAsiaTheme="minorEastAsia" w:cstheme="minorEastAsia"/>
                <w:kern w:val="0"/>
                <w:sz w:val="24"/>
                <w:highlight w:val="none"/>
                <w:lang w:val="zh-CN" w:eastAsia="zh-CN" w:bidi="ar-SA"/>
              </w:rPr>
              <w:t>收费系统（实现二维码缴费）</w:t>
            </w:r>
          </w:p>
        </w:tc>
        <w:tc>
          <w:tcPr>
            <w:tcW w:w="769" w:type="pct"/>
            <w:tcBorders>
              <w:top w:val="single" w:color="000000" w:sz="4" w:space="0"/>
              <w:left w:val="single" w:color="000000" w:sz="4" w:space="0"/>
              <w:bottom w:val="single" w:color="000000" w:sz="4" w:space="0"/>
              <w:right w:val="single" w:color="000000" w:sz="4" w:space="0"/>
            </w:tcBorders>
            <w:noWrap/>
            <w:vAlign w:val="center"/>
          </w:tcPr>
          <w:p>
            <w:pPr>
              <w:widowControl/>
              <w:spacing w:line="480" w:lineRule="exact"/>
              <w:ind w:firstLine="0" w:firstLineChars="0"/>
              <w:jc w:val="center"/>
              <w:textAlignment w:val="center"/>
              <w:rPr>
                <w:rFonts w:hint="eastAsia" w:asciiTheme="minorEastAsia" w:hAnsiTheme="minorEastAsia" w:eastAsiaTheme="minorEastAsia" w:cstheme="minorEastAsia"/>
                <w:kern w:val="0"/>
                <w:sz w:val="24"/>
                <w:highlight w:val="none"/>
                <w:lang w:val="zh-CN" w:eastAsia="zh-CN" w:bidi="ar-SA"/>
              </w:rPr>
            </w:pPr>
            <w:r>
              <w:rPr>
                <w:rFonts w:hint="eastAsia" w:asciiTheme="minorEastAsia" w:hAnsiTheme="minorEastAsia" w:eastAsiaTheme="minorEastAsia" w:cstheme="minorEastAsia"/>
                <w:kern w:val="0"/>
                <w:sz w:val="24"/>
                <w:highlight w:val="none"/>
                <w:lang w:val="zh-CN" w:eastAsia="zh-CN" w:bidi="ar-SA"/>
              </w:rPr>
              <w:t>1</w:t>
            </w:r>
          </w:p>
        </w:tc>
        <w:tc>
          <w:tcPr>
            <w:tcW w:w="559" w:type="pct"/>
            <w:tcBorders>
              <w:top w:val="single" w:color="000000" w:sz="4" w:space="0"/>
              <w:left w:val="single" w:color="000000" w:sz="4" w:space="0"/>
              <w:bottom w:val="single" w:color="000000" w:sz="4" w:space="0"/>
              <w:right w:val="single" w:color="000000" w:sz="4" w:space="0"/>
            </w:tcBorders>
            <w:noWrap/>
            <w:vAlign w:val="center"/>
          </w:tcPr>
          <w:p>
            <w:pPr>
              <w:widowControl/>
              <w:spacing w:line="480" w:lineRule="exact"/>
              <w:ind w:firstLine="0" w:firstLineChars="0"/>
              <w:jc w:val="center"/>
              <w:textAlignment w:val="center"/>
              <w:rPr>
                <w:rFonts w:hint="eastAsia" w:asciiTheme="minorEastAsia" w:hAnsiTheme="minorEastAsia" w:eastAsiaTheme="minorEastAsia" w:cstheme="minorEastAsia"/>
                <w:kern w:val="0"/>
                <w:sz w:val="24"/>
                <w:highlight w:val="none"/>
                <w:lang w:val="zh-CN" w:eastAsia="zh-CN" w:bidi="ar-SA"/>
              </w:rPr>
            </w:pPr>
            <w:r>
              <w:rPr>
                <w:rFonts w:hint="eastAsia" w:asciiTheme="minorEastAsia" w:hAnsiTheme="minorEastAsia" w:eastAsiaTheme="minorEastAsia" w:cstheme="minorEastAsia"/>
                <w:kern w:val="0"/>
                <w:sz w:val="24"/>
                <w:highlight w:val="none"/>
                <w:lang w:val="zh-CN" w:eastAsia="zh-CN" w:bidi="ar-SA"/>
              </w:rPr>
              <w:t>套</w:t>
            </w:r>
          </w:p>
        </w:tc>
      </w:tr>
    </w:tbl>
    <w:p>
      <w:pPr>
        <w:spacing w:line="480" w:lineRule="exact"/>
        <w:rPr>
          <w:rFonts w:hint="eastAsia" w:asciiTheme="minorEastAsia" w:hAnsiTheme="minorEastAsia" w:eastAsiaTheme="minorEastAsia" w:cstheme="minorEastAsia"/>
          <w:kern w:val="0"/>
          <w:sz w:val="24"/>
          <w:highlight w:val="none"/>
          <w:lang w:val="zh-CN"/>
        </w:rPr>
      </w:pPr>
    </w:p>
    <w:p>
      <w:pPr>
        <w:pStyle w:val="8"/>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textAlignment w:val="auto"/>
        <w:outlineLvl w:val="2"/>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en-US" w:eastAsia="zh-CN"/>
        </w:rPr>
        <w:t>三、</w:t>
      </w:r>
      <w:r>
        <w:rPr>
          <w:rFonts w:hint="eastAsia" w:asciiTheme="minorEastAsia" w:hAnsiTheme="minorEastAsia" w:eastAsiaTheme="minorEastAsia" w:cstheme="minorEastAsia"/>
          <w:b/>
          <w:bCs/>
          <w:kern w:val="0"/>
          <w:sz w:val="24"/>
          <w:szCs w:val="24"/>
          <w:highlight w:val="none"/>
          <w:lang w:val="zh-CN"/>
        </w:rPr>
        <w:t>详细内容</w:t>
      </w:r>
    </w:p>
    <w:p>
      <w:pPr>
        <w:pStyle w:val="9"/>
        <w:keepNext/>
        <w:keepLines/>
        <w:pageBreakBefore w:val="0"/>
        <w:widowControl/>
        <w:numPr>
          <w:ilvl w:val="-1"/>
          <w:numId w:val="0"/>
        </w:numPr>
        <w:kinsoku/>
        <w:wordWrap/>
        <w:overflowPunct/>
        <w:topLinePunct w:val="0"/>
        <w:autoSpaceDE/>
        <w:autoSpaceDN/>
        <w:bidi w:val="0"/>
        <w:adjustRightInd/>
        <w:snapToGrid/>
        <w:spacing w:line="480" w:lineRule="exact"/>
        <w:ind w:left="0" w:firstLine="480" w:firstLineChars="200"/>
        <w:jc w:val="left"/>
        <w:textAlignment w:val="auto"/>
        <w:outlineLvl w:val="3"/>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en-US" w:eastAsia="zh-CN"/>
        </w:rPr>
        <w:t>3.1</w:t>
      </w:r>
      <w:r>
        <w:rPr>
          <w:rFonts w:hint="eastAsia" w:asciiTheme="minorEastAsia" w:hAnsiTheme="minorEastAsia" w:eastAsiaTheme="minorEastAsia" w:cstheme="minorEastAsia"/>
          <w:b/>
          <w:bCs/>
          <w:kern w:val="0"/>
          <w:sz w:val="24"/>
          <w:szCs w:val="24"/>
          <w:highlight w:val="none"/>
          <w:lang w:val="zh-CN"/>
        </w:rPr>
        <w:t>重点领域监督</w:t>
      </w:r>
    </w:p>
    <w:p>
      <w:pPr>
        <w:pStyle w:val="10"/>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textAlignment w:val="auto"/>
        <w:outlineLvl w:val="4"/>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en-US" w:eastAsia="zh-CN"/>
        </w:rPr>
        <w:t>3.1.1</w:t>
      </w:r>
      <w:r>
        <w:rPr>
          <w:rFonts w:hint="eastAsia" w:asciiTheme="minorEastAsia" w:hAnsiTheme="minorEastAsia" w:eastAsiaTheme="minorEastAsia" w:cstheme="minorEastAsia"/>
          <w:b/>
          <w:bCs/>
          <w:kern w:val="0"/>
          <w:sz w:val="24"/>
          <w:szCs w:val="24"/>
          <w:highlight w:val="none"/>
          <w:lang w:val="zh-CN"/>
        </w:rPr>
        <w:t>廉政风险库维护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19" w:firstLineChars="0"/>
        <w:jc w:val="both"/>
        <w:textAlignment w:val="auto"/>
        <w:rPr>
          <w:rFonts w:hint="eastAsia" w:asciiTheme="minorEastAsia" w:hAnsiTheme="minorEastAsia" w:eastAsiaTheme="minorEastAsia" w:cstheme="minorEastAsia"/>
          <w:bCs w:val="0"/>
          <w:kern w:val="0"/>
          <w:sz w:val="24"/>
          <w:szCs w:val="24"/>
          <w:highlight w:val="none"/>
          <w:lang w:val="zh-CN"/>
        </w:rPr>
      </w:pPr>
      <w:r>
        <w:rPr>
          <w:rFonts w:hint="eastAsia" w:asciiTheme="minorEastAsia" w:hAnsiTheme="minorEastAsia" w:eastAsiaTheme="minorEastAsia" w:cstheme="minorEastAsia"/>
          <w:bCs w:val="0"/>
          <w:kern w:val="0"/>
          <w:sz w:val="24"/>
          <w:szCs w:val="24"/>
          <w:highlight w:val="none"/>
          <w:lang w:val="zh-CN" w:eastAsia="zh-CN" w:bidi="ar-SA"/>
        </w:rPr>
        <w:t>围绕重点领域维护重点领域办理事项的廉政风险点，设置风险判断预警规则。</w:t>
      </w:r>
    </w:p>
    <w:p>
      <w:pPr>
        <w:pStyle w:val="10"/>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textAlignment w:val="auto"/>
        <w:outlineLvl w:val="4"/>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en-US" w:eastAsia="zh-CN"/>
        </w:rPr>
        <w:t>3.1.2</w:t>
      </w:r>
      <w:r>
        <w:rPr>
          <w:rFonts w:hint="eastAsia" w:asciiTheme="minorEastAsia" w:hAnsiTheme="minorEastAsia" w:eastAsiaTheme="minorEastAsia" w:cstheme="minorEastAsia"/>
          <w:b/>
          <w:bCs/>
          <w:kern w:val="0"/>
          <w:sz w:val="24"/>
          <w:szCs w:val="24"/>
          <w:highlight w:val="none"/>
          <w:lang w:val="zh-CN"/>
        </w:rPr>
        <w:t>重大事项登记</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80" w:lineRule="exact"/>
        <w:ind w:left="0" w:right="0" w:firstLine="419" w:firstLineChars="0"/>
        <w:jc w:val="both"/>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bCs w:val="0"/>
          <w:kern w:val="0"/>
          <w:sz w:val="24"/>
          <w:szCs w:val="24"/>
          <w:highlight w:val="none"/>
          <w:lang w:val="zh-CN" w:eastAsia="zh-CN" w:bidi="ar-SA"/>
        </w:rPr>
        <w:t>根据学校纪委《重大事项监督检查报备申请表》上的内容登记重大事项，后期也可以对接OA系统，从中直接提取相关流程的数据完成重大事项立项登记。</w:t>
      </w:r>
    </w:p>
    <w:p>
      <w:pPr>
        <w:pStyle w:val="10"/>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textAlignment w:val="auto"/>
        <w:outlineLvl w:val="4"/>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en-US" w:eastAsia="zh-CN"/>
        </w:rPr>
        <w:t>3.1.3</w:t>
      </w:r>
      <w:r>
        <w:rPr>
          <w:rFonts w:hint="eastAsia" w:asciiTheme="minorEastAsia" w:hAnsiTheme="minorEastAsia" w:eastAsiaTheme="minorEastAsia" w:cstheme="minorEastAsia"/>
          <w:b/>
          <w:bCs/>
          <w:kern w:val="0"/>
          <w:sz w:val="24"/>
          <w:szCs w:val="24"/>
          <w:highlight w:val="none"/>
          <w:lang w:val="zh-CN"/>
        </w:rPr>
        <w:t>重大事项实施</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80" w:lineRule="exact"/>
        <w:ind w:left="0" w:right="0" w:firstLine="419" w:firstLineChars="0"/>
        <w:jc w:val="both"/>
        <w:textAlignment w:val="auto"/>
        <w:rPr>
          <w:rFonts w:hint="eastAsia" w:asciiTheme="minorEastAsia" w:hAnsiTheme="minorEastAsia" w:eastAsiaTheme="minorEastAsia" w:cstheme="minorEastAsia"/>
          <w:bCs w:val="0"/>
          <w:kern w:val="0"/>
          <w:sz w:val="24"/>
          <w:szCs w:val="24"/>
          <w:highlight w:val="none"/>
          <w:lang w:val="zh-CN"/>
        </w:rPr>
      </w:pPr>
      <w:r>
        <w:rPr>
          <w:rFonts w:hint="eastAsia" w:asciiTheme="minorEastAsia" w:hAnsiTheme="minorEastAsia" w:eastAsiaTheme="minorEastAsia" w:cstheme="minorEastAsia"/>
          <w:bCs w:val="0"/>
          <w:kern w:val="0"/>
          <w:sz w:val="24"/>
          <w:szCs w:val="24"/>
          <w:highlight w:val="none"/>
          <w:lang w:val="zh-CN" w:eastAsia="zh-CN" w:bidi="ar-SA"/>
        </w:rPr>
        <w:t>由《重大事项监督检查报备申请表》中的项目归口部门负责人在项目实施过程中根据项目领域所涉及到的相关廉政风险点上报相关内容和材料，系统将自动根据用户上报的内容和材料并结合项目重点领域的廉政风险点设置的风险预警规则给与提醒和警告。</w:t>
      </w:r>
    </w:p>
    <w:p>
      <w:pPr>
        <w:pStyle w:val="10"/>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textAlignment w:val="auto"/>
        <w:outlineLvl w:val="4"/>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en-US" w:eastAsia="zh-CN"/>
        </w:rPr>
        <w:t>3.1.4</w:t>
      </w:r>
      <w:r>
        <w:rPr>
          <w:rFonts w:hint="eastAsia" w:asciiTheme="minorEastAsia" w:hAnsiTheme="minorEastAsia" w:eastAsiaTheme="minorEastAsia" w:cstheme="minorEastAsia"/>
          <w:b/>
          <w:bCs/>
          <w:kern w:val="0"/>
          <w:sz w:val="24"/>
          <w:szCs w:val="24"/>
          <w:highlight w:val="none"/>
          <w:lang w:val="zh-CN"/>
        </w:rPr>
        <w:t>纪检监察—预警模块</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80" w:lineRule="exact"/>
        <w:ind w:left="0" w:right="0" w:firstLine="419" w:firstLineChars="0"/>
        <w:jc w:val="both"/>
        <w:textAlignment w:val="auto"/>
        <w:rPr>
          <w:rFonts w:hint="eastAsia" w:asciiTheme="minorEastAsia" w:hAnsiTheme="minorEastAsia" w:eastAsiaTheme="minorEastAsia" w:cstheme="minorEastAsia"/>
          <w:bCs w:val="0"/>
          <w:kern w:val="0"/>
          <w:sz w:val="24"/>
          <w:szCs w:val="24"/>
          <w:highlight w:val="none"/>
          <w:lang w:val="zh-CN"/>
        </w:rPr>
      </w:pPr>
      <w:r>
        <w:rPr>
          <w:rFonts w:hint="eastAsia" w:asciiTheme="minorEastAsia" w:hAnsiTheme="minorEastAsia" w:eastAsiaTheme="minorEastAsia" w:cstheme="minorEastAsia"/>
          <w:bCs w:val="0"/>
          <w:kern w:val="0"/>
          <w:sz w:val="24"/>
          <w:szCs w:val="24"/>
          <w:highlight w:val="none"/>
          <w:lang w:val="zh-CN" w:eastAsia="zh-CN" w:bidi="ar-SA"/>
        </w:rPr>
        <w:t>增加纪检监察管理模块，设置纪检监察角色，通过廉政风险点设置的风险预警规则向纪检监察人员自动进行重点领域事项实施办理的廉政风险监督预警。</w:t>
      </w:r>
    </w:p>
    <w:p>
      <w:pPr>
        <w:pStyle w:val="10"/>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textAlignment w:val="auto"/>
        <w:outlineLvl w:val="4"/>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en-US" w:eastAsia="zh-CN"/>
        </w:rPr>
        <w:t>3.1.5</w:t>
      </w:r>
      <w:r>
        <w:rPr>
          <w:rFonts w:hint="eastAsia" w:asciiTheme="minorEastAsia" w:hAnsiTheme="minorEastAsia" w:eastAsiaTheme="minorEastAsia" w:cstheme="minorEastAsia"/>
          <w:b/>
          <w:bCs/>
          <w:kern w:val="0"/>
          <w:sz w:val="24"/>
          <w:szCs w:val="24"/>
          <w:highlight w:val="none"/>
          <w:lang w:val="zh-CN"/>
        </w:rPr>
        <w:t>纪检监察—处置模块</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80" w:lineRule="exact"/>
        <w:ind w:left="0" w:right="0" w:firstLine="419" w:firstLineChars="0"/>
        <w:jc w:val="both"/>
        <w:textAlignment w:val="auto"/>
        <w:rPr>
          <w:rFonts w:hint="eastAsia" w:asciiTheme="minorEastAsia" w:hAnsiTheme="minorEastAsia" w:eastAsiaTheme="minorEastAsia" w:cstheme="minorEastAsia"/>
          <w:bCs w:val="0"/>
          <w:kern w:val="0"/>
          <w:sz w:val="24"/>
          <w:szCs w:val="24"/>
          <w:highlight w:val="none"/>
          <w:lang w:val="zh-CN"/>
        </w:rPr>
      </w:pPr>
      <w:r>
        <w:rPr>
          <w:rFonts w:hint="eastAsia" w:asciiTheme="minorEastAsia" w:hAnsiTheme="minorEastAsia" w:eastAsiaTheme="minorEastAsia" w:cstheme="minorEastAsia"/>
          <w:bCs w:val="0"/>
          <w:kern w:val="0"/>
          <w:sz w:val="24"/>
          <w:szCs w:val="24"/>
          <w:highlight w:val="none"/>
          <w:lang w:val="zh-CN" w:eastAsia="zh-CN" w:bidi="ar-SA"/>
        </w:rPr>
        <w:t>廉政风险监督预警之后，纪检监察人员可以对预警事项进行处置，例如发送警示信息、进行廉政谈话等。</w:t>
      </w:r>
    </w:p>
    <w:p>
      <w:pPr>
        <w:pStyle w:val="9"/>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jc w:val="left"/>
        <w:textAlignment w:val="auto"/>
        <w:outlineLvl w:val="3"/>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en-US" w:eastAsia="zh-CN"/>
        </w:rPr>
        <w:t>3.2</w:t>
      </w:r>
      <w:r>
        <w:rPr>
          <w:rFonts w:hint="eastAsia" w:asciiTheme="minorEastAsia" w:hAnsiTheme="minorEastAsia" w:eastAsiaTheme="minorEastAsia" w:cstheme="minorEastAsia"/>
          <w:b/>
          <w:bCs/>
          <w:kern w:val="0"/>
          <w:sz w:val="24"/>
          <w:szCs w:val="24"/>
          <w:highlight w:val="none"/>
          <w:lang w:val="zh-CN"/>
        </w:rPr>
        <w:t>重要事项推进</w:t>
      </w:r>
    </w:p>
    <w:p>
      <w:pPr>
        <w:pStyle w:val="10"/>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textAlignment w:val="auto"/>
        <w:outlineLvl w:val="4"/>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en-US" w:eastAsia="zh-CN"/>
        </w:rPr>
        <w:t>3.2.1</w:t>
      </w:r>
      <w:r>
        <w:rPr>
          <w:rFonts w:hint="eastAsia" w:asciiTheme="minorEastAsia" w:hAnsiTheme="minorEastAsia" w:eastAsiaTheme="minorEastAsia" w:cstheme="minorEastAsia"/>
          <w:b/>
          <w:bCs/>
          <w:kern w:val="0"/>
          <w:sz w:val="24"/>
          <w:szCs w:val="24"/>
          <w:highlight w:val="none"/>
          <w:lang w:val="zh-CN"/>
        </w:rPr>
        <w:t>首页界面调整</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80" w:lineRule="exact"/>
        <w:ind w:left="0" w:right="0" w:firstLine="419" w:firstLineChars="0"/>
        <w:jc w:val="both"/>
        <w:textAlignment w:val="auto"/>
        <w:rPr>
          <w:rFonts w:hint="eastAsia" w:asciiTheme="minorEastAsia" w:hAnsiTheme="minorEastAsia" w:eastAsiaTheme="minorEastAsia" w:cstheme="minorEastAsia"/>
          <w:bCs w:val="0"/>
          <w:kern w:val="0"/>
          <w:sz w:val="24"/>
          <w:szCs w:val="24"/>
          <w:highlight w:val="none"/>
          <w:lang w:val="zh-CN"/>
        </w:rPr>
      </w:pPr>
      <w:r>
        <w:rPr>
          <w:rFonts w:hint="eastAsia" w:asciiTheme="minorEastAsia" w:hAnsiTheme="minorEastAsia" w:eastAsiaTheme="minorEastAsia" w:cstheme="minorEastAsia"/>
          <w:bCs w:val="0"/>
          <w:kern w:val="0"/>
          <w:sz w:val="24"/>
          <w:szCs w:val="24"/>
          <w:highlight w:val="none"/>
          <w:lang w:val="zh-CN" w:eastAsia="zh-CN" w:bidi="ar-SA"/>
        </w:rPr>
        <w:t>在首页上将总项目数、已完成数、未完成数以饼状图的方式展示。同时展示项目概览，根据用户权限展示项目总体进展情况，校领导可以查询所有项目，部门负责人可以查看本部门所有项目，项目经办人只能查看自己经手的项目。</w:t>
      </w:r>
    </w:p>
    <w:p>
      <w:pPr>
        <w:pStyle w:val="10"/>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textAlignment w:val="auto"/>
        <w:outlineLvl w:val="4"/>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en-US" w:eastAsia="zh-CN"/>
        </w:rPr>
        <w:t>3.2.2</w:t>
      </w:r>
      <w:r>
        <w:rPr>
          <w:rFonts w:hint="eastAsia" w:asciiTheme="minorEastAsia" w:hAnsiTheme="minorEastAsia" w:eastAsiaTheme="minorEastAsia" w:cstheme="minorEastAsia"/>
          <w:b/>
          <w:bCs/>
          <w:kern w:val="0"/>
          <w:sz w:val="24"/>
          <w:szCs w:val="24"/>
          <w:highlight w:val="none"/>
          <w:lang w:val="zh-CN"/>
        </w:rPr>
        <w:t>增加预警事项功能</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80" w:lineRule="exact"/>
        <w:ind w:left="0" w:right="0" w:firstLine="419" w:firstLineChars="0"/>
        <w:jc w:val="both"/>
        <w:textAlignment w:val="auto"/>
        <w:rPr>
          <w:rFonts w:hint="eastAsia" w:asciiTheme="minorEastAsia" w:hAnsiTheme="minorEastAsia" w:eastAsiaTheme="minorEastAsia" w:cstheme="minorEastAsia"/>
          <w:bCs w:val="0"/>
          <w:kern w:val="0"/>
          <w:sz w:val="24"/>
          <w:szCs w:val="24"/>
          <w:highlight w:val="none"/>
          <w:lang w:val="zh-CN"/>
        </w:rPr>
      </w:pPr>
      <w:r>
        <w:rPr>
          <w:rFonts w:hint="eastAsia" w:asciiTheme="minorEastAsia" w:hAnsiTheme="minorEastAsia" w:eastAsiaTheme="minorEastAsia" w:cstheme="minorEastAsia"/>
          <w:bCs w:val="0"/>
          <w:kern w:val="0"/>
          <w:sz w:val="24"/>
          <w:szCs w:val="24"/>
          <w:highlight w:val="none"/>
          <w:lang w:val="zh-CN" w:eastAsia="zh-CN" w:bidi="ar-SA"/>
        </w:rPr>
        <w:t>在监督管理模块中增加项目预警功能，显示即将逾期办理的事项，项目监督管理人员可以根据年度、事项名称、子项名称、实施人、办理部门、剩余天数等查询条件，在已登记实施的重大事项中筛选出符合条件的相关事项和部门办理的子项，根据实际情况给与相关事项办理人员提醒或警告。</w:t>
      </w:r>
    </w:p>
    <w:p>
      <w:pPr>
        <w:pStyle w:val="10"/>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textAlignment w:val="auto"/>
        <w:outlineLvl w:val="4"/>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en-US" w:eastAsia="zh-CN"/>
        </w:rPr>
        <w:t>3.2.3</w:t>
      </w:r>
      <w:r>
        <w:rPr>
          <w:rFonts w:hint="eastAsia" w:asciiTheme="minorEastAsia" w:hAnsiTheme="minorEastAsia" w:eastAsiaTheme="minorEastAsia" w:cstheme="minorEastAsia"/>
          <w:b/>
          <w:bCs/>
          <w:kern w:val="0"/>
          <w:sz w:val="24"/>
          <w:szCs w:val="24"/>
          <w:highlight w:val="none"/>
          <w:lang w:val="zh-CN"/>
        </w:rPr>
        <w:t>与办事大厅对接</w:t>
      </w:r>
    </w:p>
    <w:p>
      <w:pPr>
        <w:keepNext w:val="0"/>
        <w:keepLines w:val="0"/>
        <w:pageBreakBefore w:val="0"/>
        <w:widowControl w:val="0"/>
        <w:numPr>
          <w:ilvl w:val="0"/>
          <w:numId w:val="1"/>
        </w:numPr>
        <w:suppressLineNumbers w:val="0"/>
        <w:kinsoku/>
        <w:wordWrap/>
        <w:overflowPunct/>
        <w:topLinePunct w:val="0"/>
        <w:autoSpaceDE/>
        <w:autoSpaceDN/>
        <w:bidi w:val="0"/>
        <w:spacing w:before="0" w:beforeAutospacing="0" w:after="0" w:afterAutospacing="0" w:line="480" w:lineRule="exact"/>
        <w:ind w:left="0" w:right="0" w:firstLine="419" w:firstLineChars="0"/>
        <w:jc w:val="both"/>
        <w:textAlignment w:val="auto"/>
        <w:rPr>
          <w:rFonts w:hint="eastAsia" w:asciiTheme="minorEastAsia" w:hAnsiTheme="minorEastAsia" w:eastAsiaTheme="minorEastAsia" w:cstheme="minorEastAsia"/>
          <w:bCs w:val="0"/>
          <w:kern w:val="0"/>
          <w:sz w:val="24"/>
          <w:szCs w:val="24"/>
          <w:highlight w:val="none"/>
          <w:lang w:val="zh-CN"/>
        </w:rPr>
      </w:pPr>
      <w:r>
        <w:rPr>
          <w:rFonts w:hint="eastAsia" w:asciiTheme="minorEastAsia" w:hAnsiTheme="minorEastAsia" w:eastAsiaTheme="minorEastAsia" w:cstheme="minorEastAsia"/>
          <w:bCs w:val="0"/>
          <w:kern w:val="0"/>
          <w:sz w:val="24"/>
          <w:szCs w:val="24"/>
          <w:highlight w:val="none"/>
          <w:lang w:val="zh-CN" w:eastAsia="zh-CN" w:bidi="ar-SA"/>
        </w:rPr>
        <w:t>任务中心对接</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80" w:lineRule="exact"/>
        <w:ind w:right="0" w:firstLine="480" w:firstLineChars="200"/>
        <w:jc w:val="both"/>
        <w:textAlignment w:val="auto"/>
        <w:rPr>
          <w:rFonts w:hint="eastAsia" w:asciiTheme="minorEastAsia" w:hAnsiTheme="minorEastAsia" w:eastAsiaTheme="minorEastAsia" w:cstheme="minorEastAsia"/>
          <w:bCs w:val="0"/>
          <w:kern w:val="0"/>
          <w:sz w:val="24"/>
          <w:szCs w:val="24"/>
          <w:highlight w:val="none"/>
          <w:lang w:val="zh-CN"/>
        </w:rPr>
      </w:pPr>
      <w:r>
        <w:rPr>
          <w:rFonts w:hint="eastAsia" w:asciiTheme="minorEastAsia" w:hAnsiTheme="minorEastAsia" w:eastAsiaTheme="minorEastAsia" w:cstheme="minorEastAsia"/>
          <w:bCs w:val="0"/>
          <w:kern w:val="0"/>
          <w:sz w:val="24"/>
          <w:szCs w:val="24"/>
          <w:highlight w:val="none"/>
          <w:lang w:val="zh-CN" w:eastAsia="zh-CN" w:bidi="ar-SA"/>
        </w:rPr>
        <w:t>调取开放大学网上办事大厅任务中心接口，将重大事项系统中用户的待办事项通过任务中心接口发送到网上办事大厅，并在网上办事大厅的任务中心里显示待办任务，用户点击待办任务能够直接进入重大事项系统调取相应的功能处理待办事项，用户的待办任务处理完成后调用任务中心接口通知网上办事大厅的任务已完成。如果办理用户在重大事项系统中完成某项待办任务后再发送给其他用户办理，也需要调用网上办事大厅任务中心接口生成信息的待办任务到网上办事大厅。</w:t>
      </w:r>
    </w:p>
    <w:p>
      <w:pPr>
        <w:pStyle w:val="16"/>
        <w:keepNext w:val="0"/>
        <w:keepLines w:val="0"/>
        <w:widowControl w:val="0"/>
        <w:suppressLineNumbers w:val="0"/>
        <w:adjustRightInd w:val="0"/>
        <w:snapToGrid w:val="0"/>
        <w:spacing w:before="0" w:beforeAutospacing="0" w:after="0" w:afterAutospacing="0" w:line="480" w:lineRule="exact"/>
        <w:ind w:left="0" w:right="0"/>
        <w:jc w:val="both"/>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eastAsia="zh-CN" w:bidi="ar-SA"/>
        </w:rPr>
        <w:t xml:space="preserve">  </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480" w:lineRule="exact"/>
        <w:ind w:left="0" w:right="0" w:firstLine="419" w:firstLineChars="0"/>
        <w:jc w:val="both"/>
        <w:textAlignment w:val="auto"/>
        <w:rPr>
          <w:rFonts w:hint="eastAsia" w:asciiTheme="minorEastAsia" w:hAnsiTheme="minorEastAsia" w:eastAsiaTheme="minorEastAsia" w:cstheme="minorEastAsia"/>
          <w:bCs w:val="0"/>
          <w:kern w:val="0"/>
          <w:sz w:val="24"/>
          <w:szCs w:val="24"/>
          <w:highlight w:val="none"/>
          <w:lang w:val="zh-CN"/>
        </w:rPr>
      </w:pPr>
      <w:r>
        <w:rPr>
          <w:rFonts w:hint="eastAsia" w:asciiTheme="minorEastAsia" w:hAnsiTheme="minorEastAsia" w:eastAsiaTheme="minorEastAsia" w:cstheme="minorEastAsia"/>
          <w:bCs w:val="0"/>
          <w:kern w:val="0"/>
          <w:sz w:val="24"/>
          <w:szCs w:val="24"/>
          <w:highlight w:val="none"/>
          <w:lang w:val="zh-CN" w:eastAsia="zh-CN" w:bidi="ar-SA"/>
        </w:rPr>
        <w:t>消息中心对接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bCs w:val="0"/>
          <w:kern w:val="0"/>
          <w:sz w:val="24"/>
          <w:szCs w:val="24"/>
          <w:highlight w:val="none"/>
          <w:lang w:val="zh-CN" w:eastAsia="zh-CN" w:bidi="ar-SA"/>
        </w:rPr>
        <w:t>调取开放大学网上办事大厅消息中心接口，在重大事项系统中发送短信通知的时候同步将短信通知推送到网上办事大厅的消息中心，短信通知包括项目待办信息、预警提醒信息、督查督办信息等。</w:t>
      </w:r>
    </w:p>
    <w:p>
      <w:pPr>
        <w:pStyle w:val="10"/>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textAlignment w:val="auto"/>
        <w:outlineLvl w:val="4"/>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en-US" w:eastAsia="zh-CN"/>
        </w:rPr>
        <w:t>3.2.4</w:t>
      </w:r>
      <w:r>
        <w:rPr>
          <w:rFonts w:hint="eastAsia" w:asciiTheme="minorEastAsia" w:hAnsiTheme="minorEastAsia" w:eastAsiaTheme="minorEastAsia" w:cstheme="minorEastAsia"/>
          <w:b/>
          <w:bCs/>
          <w:kern w:val="0"/>
          <w:sz w:val="24"/>
          <w:szCs w:val="24"/>
          <w:highlight w:val="none"/>
          <w:lang w:val="zh-CN"/>
        </w:rPr>
        <w:t>增加项目概览</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80" w:lineRule="exact"/>
        <w:ind w:left="0" w:right="0" w:firstLine="419" w:firstLineChars="0"/>
        <w:jc w:val="both"/>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bCs w:val="0"/>
          <w:kern w:val="0"/>
          <w:sz w:val="24"/>
          <w:szCs w:val="24"/>
          <w:highlight w:val="none"/>
          <w:lang w:val="zh-CN" w:eastAsia="zh-CN" w:bidi="ar-SA"/>
        </w:rPr>
        <w:t>在重大事项信息展示的界面中增加项目概览功能，打开项目概览，以图形化的方式展示整体项目的进展情况。项目概览可以分权限查看，学校领导可以查看全部项目，项目经办人只能查看自己经手的项目。同时，项目概览里的部门事项列表可以直接链接到部门事项的流程图。</w:t>
      </w:r>
    </w:p>
    <w:p>
      <w:pPr>
        <w:pStyle w:val="10"/>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textAlignment w:val="auto"/>
        <w:outlineLvl w:val="4"/>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en-US" w:eastAsia="zh-CN"/>
        </w:rPr>
        <w:t>3.2.5</w:t>
      </w:r>
      <w:r>
        <w:rPr>
          <w:rFonts w:hint="eastAsia" w:asciiTheme="minorEastAsia" w:hAnsiTheme="minorEastAsia" w:eastAsiaTheme="minorEastAsia" w:cstheme="minorEastAsia"/>
          <w:b/>
          <w:bCs/>
          <w:kern w:val="0"/>
          <w:sz w:val="24"/>
          <w:szCs w:val="24"/>
          <w:highlight w:val="none"/>
          <w:lang w:val="zh-CN"/>
        </w:rPr>
        <w:t>短信发送接口更新</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80" w:lineRule="exact"/>
        <w:ind w:left="0" w:right="0" w:firstLine="419" w:firstLineChars="0"/>
        <w:jc w:val="both"/>
        <w:textAlignment w:val="auto"/>
        <w:rPr>
          <w:rFonts w:hint="eastAsia" w:asciiTheme="minorEastAsia" w:hAnsiTheme="minorEastAsia" w:eastAsiaTheme="minorEastAsia" w:cstheme="minorEastAsia"/>
          <w:bCs w:val="0"/>
          <w:kern w:val="0"/>
          <w:sz w:val="24"/>
          <w:szCs w:val="24"/>
          <w:highlight w:val="none"/>
          <w:lang w:val="zh-CN" w:eastAsia="zh-CN" w:bidi="ar-SA"/>
        </w:rPr>
      </w:pPr>
      <w:r>
        <w:rPr>
          <w:rFonts w:hint="eastAsia" w:asciiTheme="minorEastAsia" w:hAnsiTheme="minorEastAsia" w:eastAsiaTheme="minorEastAsia" w:cstheme="minorEastAsia"/>
          <w:bCs w:val="0"/>
          <w:kern w:val="0"/>
          <w:sz w:val="24"/>
          <w:szCs w:val="24"/>
          <w:highlight w:val="none"/>
          <w:lang w:val="zh-CN" w:eastAsia="zh-CN" w:bidi="ar-SA"/>
        </w:rPr>
        <w:t>根据短信平台更新后的新规则开发短信接口，建立重大事项短信通知模版，测试重大事项短信发送功能。</w:t>
      </w:r>
    </w:p>
    <w:p>
      <w:pPr>
        <w:pStyle w:val="10"/>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textAlignment w:val="auto"/>
        <w:outlineLvl w:val="4"/>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en-US" w:eastAsia="zh-CN"/>
        </w:rPr>
        <w:t>3.2.6</w:t>
      </w:r>
      <w:r>
        <w:rPr>
          <w:rFonts w:hint="eastAsia" w:asciiTheme="minorEastAsia" w:hAnsiTheme="minorEastAsia" w:eastAsiaTheme="minorEastAsia" w:cstheme="minorEastAsia"/>
          <w:b/>
          <w:bCs/>
          <w:kern w:val="0"/>
          <w:sz w:val="24"/>
          <w:szCs w:val="24"/>
          <w:highlight w:val="none"/>
          <w:lang w:val="zh-CN"/>
        </w:rPr>
        <w:t>事项办理流程调整</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80" w:lineRule="exact"/>
        <w:ind w:left="0" w:right="0" w:firstLine="419" w:firstLineChars="0"/>
        <w:jc w:val="both"/>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bCs w:val="0"/>
          <w:kern w:val="0"/>
          <w:sz w:val="24"/>
          <w:szCs w:val="24"/>
          <w:highlight w:val="none"/>
          <w:lang w:val="zh-CN" w:eastAsia="zh-CN" w:bidi="ar-SA"/>
        </w:rPr>
        <w:t>将部门分解和计划安排步骤合并，由重大事项中各分解子事项的主办部门负责人将子项再分解为部门需要办理的若干分解事项，并指定部门分解事项的预计开始时间、预计完成时间、实施责任部门、实施责任人等，由实施责任人来具体办理相关部门分解事项。</w:t>
      </w:r>
    </w:p>
    <w:p>
      <w:pPr>
        <w:pStyle w:val="9"/>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jc w:val="left"/>
        <w:textAlignment w:val="auto"/>
        <w:outlineLvl w:val="3"/>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en-US" w:eastAsia="zh-CN"/>
        </w:rPr>
        <w:t>3.3</w:t>
      </w:r>
      <w:r>
        <w:rPr>
          <w:rFonts w:hint="eastAsia" w:asciiTheme="minorEastAsia" w:hAnsiTheme="minorEastAsia" w:eastAsiaTheme="minorEastAsia" w:cstheme="minorEastAsia"/>
          <w:b/>
          <w:bCs/>
          <w:kern w:val="0"/>
          <w:sz w:val="24"/>
          <w:szCs w:val="24"/>
          <w:highlight w:val="none"/>
          <w:lang w:val="zh-CN"/>
        </w:rPr>
        <w:t>重大资金监管</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80" w:lineRule="exact"/>
        <w:ind w:left="0" w:right="0" w:firstLine="419" w:firstLineChars="0"/>
        <w:jc w:val="both"/>
        <w:textAlignment w:val="auto"/>
        <w:rPr>
          <w:rFonts w:hint="eastAsia" w:asciiTheme="minorEastAsia" w:hAnsiTheme="minorEastAsia" w:eastAsiaTheme="minorEastAsia" w:cstheme="minorEastAsia"/>
          <w:bCs w:val="0"/>
          <w:kern w:val="0"/>
          <w:sz w:val="24"/>
          <w:szCs w:val="24"/>
          <w:highlight w:val="none"/>
          <w:lang w:val="zh-CN"/>
        </w:rPr>
      </w:pPr>
      <w:r>
        <w:rPr>
          <w:rFonts w:hint="eastAsia" w:asciiTheme="minorEastAsia" w:hAnsiTheme="minorEastAsia" w:eastAsiaTheme="minorEastAsia" w:cstheme="minorEastAsia"/>
          <w:bCs w:val="0"/>
          <w:kern w:val="0"/>
          <w:sz w:val="24"/>
          <w:szCs w:val="24"/>
          <w:highlight w:val="none"/>
          <w:lang w:val="zh-CN" w:eastAsia="zh-CN" w:bidi="ar-SA"/>
        </w:rPr>
        <w:t>将财务预算系统的财务预算编制、执行、调整和决算，财务审批、控制、支付环节以及“三公</w:t>
      </w:r>
      <w:r>
        <w:rPr>
          <w:rFonts w:hint="eastAsia" w:asciiTheme="minorEastAsia" w:hAnsiTheme="minorEastAsia" w:eastAsiaTheme="minorEastAsia" w:cstheme="minorEastAsia"/>
          <w:bCs w:val="0"/>
          <w:kern w:val="0"/>
          <w:sz w:val="24"/>
          <w:szCs w:val="24"/>
          <w:highlight w:val="none"/>
          <w:lang w:val="en-US" w:eastAsia="zh-CN" w:bidi="ar-SA"/>
        </w:rPr>
        <w:t>两</w:t>
      </w:r>
      <w:r>
        <w:rPr>
          <w:rFonts w:hint="eastAsia" w:asciiTheme="minorEastAsia" w:hAnsiTheme="minorEastAsia" w:eastAsiaTheme="minorEastAsia" w:cstheme="minorEastAsia"/>
          <w:bCs w:val="0"/>
          <w:kern w:val="0"/>
          <w:sz w:val="24"/>
          <w:szCs w:val="24"/>
          <w:highlight w:val="none"/>
          <w:lang w:val="zh-CN" w:eastAsia="zh-CN" w:bidi="ar-SA"/>
        </w:rPr>
        <w:t>费”支出监管与执行纳入学校纪委重大资金监管范畴。</w:t>
      </w:r>
    </w:p>
    <w:p>
      <w:pPr>
        <w:pStyle w:val="10"/>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textAlignment w:val="auto"/>
        <w:outlineLvl w:val="4"/>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en-US" w:eastAsia="zh-CN"/>
        </w:rPr>
        <w:t>3.3.1</w:t>
      </w:r>
      <w:r>
        <w:rPr>
          <w:rFonts w:hint="eastAsia" w:asciiTheme="minorEastAsia" w:hAnsiTheme="minorEastAsia" w:eastAsiaTheme="minorEastAsia" w:cstheme="minorEastAsia"/>
          <w:b/>
          <w:bCs/>
          <w:kern w:val="0"/>
          <w:sz w:val="24"/>
          <w:szCs w:val="24"/>
          <w:highlight w:val="none"/>
          <w:lang w:val="zh-CN"/>
        </w:rPr>
        <w:t>提供预算项目接口</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80" w:lineRule="exact"/>
        <w:ind w:left="0" w:right="0" w:firstLine="419" w:firstLineChars="0"/>
        <w:jc w:val="both"/>
        <w:textAlignment w:val="auto"/>
        <w:rPr>
          <w:rFonts w:hint="eastAsia" w:asciiTheme="minorEastAsia" w:hAnsiTheme="minorEastAsia" w:eastAsiaTheme="minorEastAsia" w:cstheme="minorEastAsia"/>
          <w:bCs w:val="0"/>
          <w:kern w:val="0"/>
          <w:sz w:val="24"/>
          <w:szCs w:val="24"/>
          <w:highlight w:val="none"/>
          <w:lang w:val="zh-CN"/>
        </w:rPr>
      </w:pPr>
      <w:r>
        <w:rPr>
          <w:rFonts w:hint="eastAsia" w:asciiTheme="minorEastAsia" w:hAnsiTheme="minorEastAsia" w:eastAsiaTheme="minorEastAsia" w:cstheme="minorEastAsia"/>
          <w:bCs w:val="0"/>
          <w:kern w:val="0"/>
          <w:sz w:val="24"/>
          <w:szCs w:val="24"/>
          <w:highlight w:val="none"/>
          <w:lang w:val="zh-CN" w:eastAsia="zh-CN" w:bidi="ar-SA"/>
        </w:rPr>
        <w:t>财务预算系统提供接口，将年度、预算项目、预算总额等数据上传至学校数据中心。</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80" w:lineRule="exact"/>
        <w:ind w:left="0" w:right="0" w:firstLine="419" w:firstLineChars="0"/>
        <w:jc w:val="both"/>
        <w:textAlignment w:val="auto"/>
        <w:rPr>
          <w:rFonts w:hint="eastAsia" w:asciiTheme="minorEastAsia" w:hAnsiTheme="minorEastAsia" w:eastAsiaTheme="minorEastAsia" w:cstheme="minorEastAsia"/>
          <w:bCs w:val="0"/>
          <w:kern w:val="0"/>
          <w:sz w:val="24"/>
          <w:szCs w:val="24"/>
          <w:highlight w:val="none"/>
          <w:lang w:val="zh-CN"/>
        </w:rPr>
      </w:pPr>
      <w:r>
        <w:rPr>
          <w:rFonts w:hint="eastAsia" w:asciiTheme="minorEastAsia" w:hAnsiTheme="minorEastAsia" w:eastAsiaTheme="minorEastAsia" w:cstheme="minorEastAsia"/>
          <w:bCs w:val="0"/>
          <w:kern w:val="0"/>
          <w:sz w:val="24"/>
          <w:szCs w:val="24"/>
          <w:highlight w:val="none"/>
          <w:lang w:val="zh-CN" w:eastAsia="zh-CN" w:bidi="ar-SA"/>
        </w:rPr>
        <w:t>学校OA系统的财务报销单据、差旅费报销表、劳务费发放表、教师超课时教学津贴、领款单、领款单汇总表等流程进行调整，在流程表单中增加“预算项目”的填报内容，预算项目从数据中心获取，对应的是财务预算管理中的预算科目，OA用户申请报销时需要根据实际情况选择报销费用的预算科目，在财务审核过程中也可以有财务审核人员调整预算科目。</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80" w:lineRule="exact"/>
        <w:ind w:left="0" w:right="0" w:firstLine="419" w:firstLineChars="0"/>
        <w:jc w:val="both"/>
        <w:textAlignment w:val="auto"/>
        <w:rPr>
          <w:rFonts w:hint="eastAsia" w:asciiTheme="minorEastAsia" w:hAnsiTheme="minorEastAsia" w:eastAsiaTheme="minorEastAsia" w:cstheme="minorEastAsia"/>
          <w:bCs w:val="0"/>
          <w:kern w:val="0"/>
          <w:sz w:val="24"/>
          <w:szCs w:val="24"/>
          <w:highlight w:val="none"/>
          <w:lang w:val="zh-CN"/>
        </w:rPr>
      </w:pPr>
      <w:r>
        <w:rPr>
          <w:rFonts w:hint="eastAsia" w:asciiTheme="minorEastAsia" w:hAnsiTheme="minorEastAsia" w:eastAsiaTheme="minorEastAsia" w:cstheme="minorEastAsia"/>
          <w:bCs w:val="0"/>
          <w:kern w:val="0"/>
          <w:sz w:val="24"/>
          <w:szCs w:val="24"/>
          <w:highlight w:val="none"/>
          <w:lang w:val="zh-CN" w:eastAsia="zh-CN" w:bidi="ar-SA"/>
        </w:rPr>
        <w:t>同时，在OA用户申请报销时进行控制，计算预算项目的剩余金额，当预算项目余额不足时不可填报。</w:t>
      </w:r>
    </w:p>
    <w:p>
      <w:pPr>
        <w:pStyle w:val="10"/>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textAlignment w:val="auto"/>
        <w:outlineLvl w:val="4"/>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en-US" w:eastAsia="zh-CN"/>
        </w:rPr>
        <w:t>3.3.2</w:t>
      </w:r>
      <w:r>
        <w:rPr>
          <w:rFonts w:hint="eastAsia" w:asciiTheme="minorEastAsia" w:hAnsiTheme="minorEastAsia" w:eastAsiaTheme="minorEastAsia" w:cstheme="minorEastAsia"/>
          <w:b/>
          <w:bCs/>
          <w:kern w:val="0"/>
          <w:sz w:val="24"/>
          <w:szCs w:val="24"/>
          <w:highlight w:val="none"/>
          <w:lang w:val="zh-CN"/>
        </w:rPr>
        <w:t>数字资金与OA系统对接</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80" w:lineRule="exact"/>
        <w:ind w:left="0" w:right="0" w:firstLine="419" w:firstLineChars="0"/>
        <w:jc w:val="both"/>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bCs w:val="0"/>
          <w:kern w:val="0"/>
          <w:sz w:val="24"/>
          <w:szCs w:val="24"/>
          <w:highlight w:val="none"/>
          <w:lang w:val="zh-CN" w:eastAsia="zh-CN" w:bidi="ar-SA"/>
        </w:rPr>
        <w:t>财务预算管理系统的预算管理模块与OA系统对接，从OA系统中抓取财务报销单据、差旅费报销表、劳务费发放表、教师超课时教学津贴、领款单、领款单汇总表等流程的数据（需要流程在校领导签批完成后），以此作为预算报销的执行数据，后期可以通过财务预算管理系统预算管理模块查看预算执行情况的相关统计数据。</w:t>
      </w:r>
    </w:p>
    <w:p>
      <w:pPr>
        <w:pStyle w:val="10"/>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textAlignment w:val="auto"/>
        <w:outlineLvl w:val="4"/>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en-US" w:eastAsia="zh-CN"/>
        </w:rPr>
        <w:t>3.3.3</w:t>
      </w:r>
      <w:r>
        <w:rPr>
          <w:rFonts w:hint="eastAsia" w:asciiTheme="minorEastAsia" w:hAnsiTheme="minorEastAsia" w:eastAsiaTheme="minorEastAsia" w:cstheme="minorEastAsia"/>
          <w:b/>
          <w:bCs/>
          <w:kern w:val="0"/>
          <w:sz w:val="24"/>
          <w:szCs w:val="24"/>
          <w:highlight w:val="none"/>
          <w:lang w:val="zh-CN"/>
        </w:rPr>
        <w:t>工资查询封面</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80" w:lineRule="exact"/>
        <w:ind w:left="0" w:right="0" w:firstLine="420" w:firstLineChars="0"/>
        <w:jc w:val="both"/>
        <w:textAlignment w:val="auto"/>
        <w:rPr>
          <w:rFonts w:hint="eastAsia" w:asciiTheme="minorEastAsia" w:hAnsiTheme="minorEastAsia" w:eastAsiaTheme="minorEastAsia" w:cstheme="minorEastAsia"/>
          <w:bCs w:val="0"/>
          <w:kern w:val="0"/>
          <w:sz w:val="24"/>
          <w:szCs w:val="24"/>
          <w:highlight w:val="none"/>
          <w:lang w:val="zh-CN"/>
        </w:rPr>
      </w:pPr>
      <w:r>
        <w:rPr>
          <w:rFonts w:hint="eastAsia" w:asciiTheme="minorEastAsia" w:hAnsiTheme="minorEastAsia" w:eastAsiaTheme="minorEastAsia" w:cstheme="minorEastAsia"/>
          <w:bCs w:val="0"/>
          <w:kern w:val="0"/>
          <w:sz w:val="24"/>
          <w:szCs w:val="24"/>
          <w:highlight w:val="none"/>
          <w:lang w:val="zh-CN" w:eastAsia="zh-CN" w:bidi="ar-SA"/>
        </w:rPr>
        <w:t>调整工资查询系统封面，取消首页上通知公告和共享材料两个栏目，将待办事项栏目下移，在原先的待办事项的位置增加个人工资查询栏目，用于展示当前登录系统用户的个人工资各年度的发放情况，年度可以切换默认显示当前年度。</w:t>
      </w:r>
    </w:p>
    <w:p>
      <w:pPr>
        <w:pStyle w:val="10"/>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textAlignment w:val="auto"/>
        <w:outlineLvl w:val="4"/>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en-US" w:eastAsia="zh-CN"/>
        </w:rPr>
        <w:t>3.3.4</w:t>
      </w:r>
      <w:r>
        <w:rPr>
          <w:rFonts w:hint="eastAsia" w:asciiTheme="minorEastAsia" w:hAnsiTheme="minorEastAsia" w:eastAsiaTheme="minorEastAsia" w:cstheme="minorEastAsia"/>
          <w:b/>
          <w:bCs/>
          <w:kern w:val="0"/>
          <w:sz w:val="24"/>
          <w:szCs w:val="24"/>
          <w:highlight w:val="none"/>
          <w:lang w:val="zh-CN"/>
        </w:rPr>
        <w:t>增加导入记录功能</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80" w:lineRule="exact"/>
        <w:ind w:left="0" w:right="0" w:firstLine="419" w:firstLineChars="0"/>
        <w:jc w:val="both"/>
        <w:textAlignment w:val="auto"/>
        <w:rPr>
          <w:rFonts w:hint="eastAsia" w:asciiTheme="minorEastAsia" w:hAnsiTheme="minorEastAsia" w:eastAsiaTheme="minorEastAsia" w:cstheme="minorEastAsia"/>
          <w:bCs w:val="0"/>
          <w:kern w:val="0"/>
          <w:sz w:val="24"/>
          <w:szCs w:val="24"/>
          <w:highlight w:val="none"/>
          <w:lang w:val="zh-CN"/>
        </w:rPr>
      </w:pPr>
      <w:r>
        <w:rPr>
          <w:rFonts w:hint="eastAsia" w:asciiTheme="minorEastAsia" w:hAnsiTheme="minorEastAsia" w:eastAsiaTheme="minorEastAsia" w:cstheme="minorEastAsia"/>
          <w:bCs w:val="0"/>
          <w:kern w:val="0"/>
          <w:sz w:val="24"/>
          <w:szCs w:val="24"/>
          <w:highlight w:val="none"/>
          <w:lang w:val="zh-CN" w:eastAsia="zh-CN" w:bidi="ar-SA"/>
        </w:rPr>
        <w:t>每次财务人员导入非固定工资后都需要保存导入记录，财务人员可以通过导入记录查询功能查询每次的导入明细记录，并在明细记录中标记导入数据是否正确，可以通过导入记录中的人员身份证号比对系统中的人员信息的身份证号，如果比对不上的则显示未红色字样作为提醒。</w:t>
      </w:r>
    </w:p>
    <w:p>
      <w:pPr>
        <w:pStyle w:val="10"/>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textAlignment w:val="auto"/>
        <w:outlineLvl w:val="4"/>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en-US" w:eastAsia="zh-CN"/>
        </w:rPr>
        <w:t>3.3.5</w:t>
      </w:r>
      <w:r>
        <w:rPr>
          <w:rFonts w:hint="eastAsia" w:asciiTheme="minorEastAsia" w:hAnsiTheme="minorEastAsia" w:eastAsiaTheme="minorEastAsia" w:cstheme="minorEastAsia"/>
          <w:b/>
          <w:bCs/>
          <w:kern w:val="0"/>
          <w:sz w:val="24"/>
          <w:szCs w:val="24"/>
          <w:highlight w:val="none"/>
          <w:lang w:val="zh-CN"/>
        </w:rPr>
        <w:t>与办事大厅对接</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80" w:lineRule="exact"/>
        <w:ind w:left="0" w:right="0" w:firstLine="419" w:firstLineChars="0"/>
        <w:jc w:val="both"/>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bCs w:val="0"/>
          <w:kern w:val="0"/>
          <w:sz w:val="24"/>
          <w:szCs w:val="24"/>
          <w:highlight w:val="none"/>
          <w:lang w:val="zh-CN" w:eastAsia="zh-CN" w:bidi="ar-SA"/>
        </w:rPr>
        <w:t>与开放大学网上办事大厅消息中心接口对接，在财务人员导入工资后发送工资到账短信通知时同步将工资到账通知推送到网上办事大厅的消息中心。</w:t>
      </w:r>
    </w:p>
    <w:p>
      <w:pPr>
        <w:pStyle w:val="10"/>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textAlignment w:val="auto"/>
        <w:outlineLvl w:val="4"/>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en-US" w:eastAsia="zh-CN"/>
        </w:rPr>
        <w:t>3.3.6</w:t>
      </w:r>
      <w:r>
        <w:rPr>
          <w:rFonts w:hint="eastAsia" w:asciiTheme="minorEastAsia" w:hAnsiTheme="minorEastAsia" w:eastAsiaTheme="minorEastAsia" w:cstheme="minorEastAsia"/>
          <w:b/>
          <w:bCs/>
          <w:kern w:val="0"/>
          <w:sz w:val="24"/>
          <w:szCs w:val="24"/>
          <w:highlight w:val="none"/>
          <w:lang w:val="zh-CN"/>
        </w:rPr>
        <w:t>“三公</w:t>
      </w:r>
      <w:r>
        <w:rPr>
          <w:rFonts w:hint="eastAsia" w:asciiTheme="minorEastAsia" w:hAnsiTheme="minorEastAsia" w:eastAsiaTheme="minorEastAsia" w:cstheme="minorEastAsia"/>
          <w:b/>
          <w:bCs/>
          <w:kern w:val="0"/>
          <w:sz w:val="24"/>
          <w:szCs w:val="24"/>
          <w:highlight w:val="none"/>
          <w:lang w:val="en-US" w:eastAsia="zh-CN"/>
        </w:rPr>
        <w:t>两</w:t>
      </w:r>
      <w:r>
        <w:rPr>
          <w:rFonts w:hint="eastAsia" w:asciiTheme="minorEastAsia" w:hAnsiTheme="minorEastAsia" w:eastAsiaTheme="minorEastAsia" w:cstheme="minorEastAsia"/>
          <w:b/>
          <w:bCs/>
          <w:kern w:val="0"/>
          <w:sz w:val="24"/>
          <w:szCs w:val="24"/>
          <w:highlight w:val="none"/>
          <w:lang w:val="zh-CN"/>
        </w:rPr>
        <w:t>费”支出监管与执行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20" w:firstLineChars="0"/>
        <w:jc w:val="both"/>
        <w:textAlignment w:val="auto"/>
        <w:rPr>
          <w:rFonts w:hint="eastAsia" w:asciiTheme="minorEastAsia" w:hAnsiTheme="minorEastAsia" w:eastAsiaTheme="minorEastAsia" w:cstheme="minorEastAsia"/>
          <w:bCs w:val="0"/>
          <w:kern w:val="0"/>
          <w:sz w:val="24"/>
          <w:szCs w:val="24"/>
          <w:highlight w:val="none"/>
          <w:lang w:val="zh-CN" w:eastAsia="zh-CN" w:bidi="ar-SA"/>
        </w:rPr>
      </w:pPr>
      <w:r>
        <w:rPr>
          <w:rFonts w:hint="eastAsia" w:asciiTheme="minorEastAsia" w:hAnsiTheme="minorEastAsia" w:eastAsiaTheme="minorEastAsia" w:cstheme="minorEastAsia"/>
          <w:bCs w:val="0"/>
          <w:kern w:val="0"/>
          <w:sz w:val="24"/>
          <w:szCs w:val="24"/>
          <w:highlight w:val="none"/>
          <w:lang w:val="zh-CN" w:eastAsia="zh-CN" w:bidi="ar-SA"/>
        </w:rPr>
        <w:t>增加对“三公</w:t>
      </w:r>
      <w:r>
        <w:rPr>
          <w:rFonts w:hint="eastAsia" w:asciiTheme="minorEastAsia" w:hAnsiTheme="minorEastAsia" w:eastAsiaTheme="minorEastAsia" w:cstheme="minorEastAsia"/>
          <w:bCs w:val="0"/>
          <w:kern w:val="0"/>
          <w:sz w:val="24"/>
          <w:szCs w:val="24"/>
          <w:highlight w:val="none"/>
          <w:lang w:val="en-US" w:eastAsia="zh-CN" w:bidi="ar-SA"/>
        </w:rPr>
        <w:t>两</w:t>
      </w:r>
      <w:r>
        <w:rPr>
          <w:rFonts w:hint="eastAsia" w:asciiTheme="minorEastAsia" w:hAnsiTheme="minorEastAsia" w:eastAsiaTheme="minorEastAsia" w:cstheme="minorEastAsia"/>
          <w:bCs w:val="0"/>
          <w:kern w:val="0"/>
          <w:sz w:val="24"/>
          <w:szCs w:val="24"/>
          <w:highlight w:val="none"/>
          <w:lang w:val="zh-CN" w:eastAsia="zh-CN" w:bidi="ar-SA"/>
        </w:rPr>
        <w:t>费”支出的监管与执行，“三公</w:t>
      </w:r>
      <w:r>
        <w:rPr>
          <w:rFonts w:hint="eastAsia" w:asciiTheme="minorEastAsia" w:hAnsiTheme="minorEastAsia" w:eastAsiaTheme="minorEastAsia" w:cstheme="minorEastAsia"/>
          <w:bCs w:val="0"/>
          <w:kern w:val="0"/>
          <w:sz w:val="24"/>
          <w:szCs w:val="24"/>
          <w:highlight w:val="none"/>
          <w:lang w:val="en-US" w:eastAsia="zh-CN" w:bidi="ar-SA"/>
        </w:rPr>
        <w:t>两</w:t>
      </w:r>
      <w:r>
        <w:rPr>
          <w:rFonts w:hint="eastAsia" w:asciiTheme="minorEastAsia" w:hAnsiTheme="minorEastAsia" w:eastAsiaTheme="minorEastAsia" w:cstheme="minorEastAsia"/>
          <w:bCs w:val="0"/>
          <w:kern w:val="0"/>
          <w:sz w:val="24"/>
          <w:szCs w:val="24"/>
          <w:highlight w:val="none"/>
          <w:lang w:val="zh-CN" w:eastAsia="zh-CN" w:bidi="ar-SA"/>
        </w:rPr>
        <w:t>费”在每年的预算里都有独立对应的预算项目，将这部分预算项目相关的预算执行情况单独进行统计，并提供相应的报表展示和数据展示。</w:t>
      </w:r>
    </w:p>
    <w:p>
      <w:pPr>
        <w:pStyle w:val="9"/>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jc w:val="left"/>
        <w:textAlignment w:val="auto"/>
        <w:outlineLvl w:val="3"/>
        <w:rPr>
          <w:rFonts w:hint="eastAsia" w:asciiTheme="minorEastAsia" w:hAnsiTheme="minorEastAsia" w:eastAsiaTheme="minorEastAsia" w:cstheme="minorEastAsia"/>
          <w:b/>
          <w:bCs/>
          <w:kern w:val="0"/>
          <w:sz w:val="24"/>
          <w:szCs w:val="24"/>
          <w:highlight w:val="none"/>
          <w:lang w:val="zh-CN" w:eastAsia="zh-CN"/>
        </w:rPr>
      </w:pPr>
      <w:r>
        <w:rPr>
          <w:rFonts w:hint="eastAsia" w:asciiTheme="minorEastAsia" w:hAnsiTheme="minorEastAsia" w:eastAsiaTheme="minorEastAsia" w:cstheme="minorEastAsia"/>
          <w:b/>
          <w:bCs/>
          <w:kern w:val="0"/>
          <w:sz w:val="24"/>
          <w:szCs w:val="24"/>
          <w:highlight w:val="none"/>
          <w:lang w:val="en-US" w:eastAsia="zh-CN"/>
        </w:rPr>
        <w:t>3.4</w:t>
      </w:r>
      <w:r>
        <w:rPr>
          <w:rFonts w:hint="eastAsia" w:asciiTheme="minorEastAsia" w:hAnsiTheme="minorEastAsia" w:eastAsiaTheme="minorEastAsia" w:cstheme="minorEastAsia"/>
          <w:b/>
          <w:bCs/>
          <w:kern w:val="0"/>
          <w:sz w:val="24"/>
          <w:szCs w:val="24"/>
          <w:highlight w:val="none"/>
          <w:lang w:val="zh-CN" w:eastAsia="zh-CN"/>
        </w:rPr>
        <w:t>收费系统</w:t>
      </w:r>
    </w:p>
    <w:p>
      <w:pPr>
        <w:numPr>
          <w:ilvl w:val="0"/>
          <w:numId w:val="2"/>
        </w:numPr>
        <w:spacing w:line="480" w:lineRule="exact"/>
        <w:ind w:left="450" w:leftChars="100" w:hanging="240" w:hangingChars="100"/>
        <w:rPr>
          <w:rFonts w:hint="eastAsia" w:asciiTheme="minorEastAsia" w:hAnsiTheme="minorEastAsia" w:eastAsiaTheme="minorEastAsia" w:cstheme="minorEastAsia"/>
          <w:kern w:val="0"/>
          <w:sz w:val="24"/>
          <w:highlight w:val="none"/>
          <w:lang w:val="zh-CN" w:eastAsia="zh-CN"/>
        </w:rPr>
      </w:pPr>
      <w:r>
        <w:rPr>
          <w:rFonts w:hint="eastAsia" w:asciiTheme="minorEastAsia" w:hAnsiTheme="minorEastAsia" w:eastAsiaTheme="minorEastAsia" w:cstheme="minorEastAsia"/>
          <w:kern w:val="0"/>
          <w:sz w:val="24"/>
          <w:highlight w:val="none"/>
          <w:lang w:val="zh-CN" w:eastAsia="zh-CN"/>
        </w:rPr>
        <w:t>收费系统可导入学生名单、缴费标准等信息生成缴费信息；</w:t>
      </w:r>
    </w:p>
    <w:p>
      <w:pPr>
        <w:numPr>
          <w:ilvl w:val="0"/>
          <w:numId w:val="2"/>
        </w:numPr>
        <w:spacing w:line="480" w:lineRule="exact"/>
        <w:ind w:left="450" w:leftChars="100" w:hanging="240" w:hangingChars="100"/>
        <w:rPr>
          <w:rFonts w:hint="eastAsia" w:asciiTheme="minorEastAsia" w:hAnsiTheme="minorEastAsia" w:eastAsiaTheme="minorEastAsia" w:cstheme="minorEastAsia"/>
          <w:kern w:val="0"/>
          <w:sz w:val="24"/>
          <w:highlight w:val="none"/>
          <w:lang w:val="zh-CN" w:eastAsia="zh-CN"/>
        </w:rPr>
      </w:pPr>
      <w:r>
        <w:rPr>
          <w:rFonts w:hint="eastAsia" w:asciiTheme="minorEastAsia" w:hAnsiTheme="minorEastAsia" w:eastAsiaTheme="minorEastAsia" w:cstheme="minorEastAsia"/>
          <w:kern w:val="0"/>
          <w:sz w:val="24"/>
          <w:highlight w:val="none"/>
          <w:lang w:val="zh-CN" w:eastAsia="zh-CN"/>
        </w:rPr>
        <w:t>收费系统通过加密接口向南通市财政局提交数据并生成非税缴款通知书信息；</w:t>
      </w:r>
    </w:p>
    <w:p>
      <w:pPr>
        <w:numPr>
          <w:ilvl w:val="0"/>
          <w:numId w:val="2"/>
        </w:numPr>
        <w:spacing w:line="480" w:lineRule="exact"/>
        <w:ind w:left="450" w:leftChars="100" w:hanging="240" w:hangingChars="100"/>
        <w:rPr>
          <w:rFonts w:hint="eastAsia" w:asciiTheme="minorEastAsia" w:hAnsiTheme="minorEastAsia" w:eastAsiaTheme="minorEastAsia" w:cstheme="minorEastAsia"/>
          <w:kern w:val="0"/>
          <w:sz w:val="24"/>
          <w:highlight w:val="none"/>
          <w:lang w:val="zh-CN" w:eastAsia="zh-CN"/>
        </w:rPr>
      </w:pPr>
      <w:r>
        <w:rPr>
          <w:rFonts w:hint="eastAsia" w:asciiTheme="minorEastAsia" w:hAnsiTheme="minorEastAsia" w:eastAsiaTheme="minorEastAsia" w:cstheme="minorEastAsia"/>
          <w:kern w:val="0"/>
          <w:sz w:val="24"/>
          <w:highlight w:val="none"/>
          <w:lang w:val="zh-CN" w:eastAsia="zh-CN"/>
        </w:rPr>
        <w:t>学生或缴款人可以通过扫描专用二维码，可根据身份证查询缴款信息，确认数据无误后，进入省非税统一支付平台进行缴费；</w:t>
      </w:r>
    </w:p>
    <w:p>
      <w:pPr>
        <w:numPr>
          <w:ilvl w:val="0"/>
          <w:numId w:val="2"/>
        </w:numPr>
        <w:spacing w:line="480" w:lineRule="exact"/>
        <w:ind w:left="450" w:leftChars="100" w:hanging="240" w:hangingChars="100"/>
        <w:rPr>
          <w:rFonts w:hint="eastAsia" w:asciiTheme="minorEastAsia" w:hAnsiTheme="minorEastAsia" w:eastAsiaTheme="minorEastAsia" w:cstheme="minorEastAsia"/>
          <w:kern w:val="0"/>
          <w:sz w:val="24"/>
          <w:highlight w:val="none"/>
          <w:lang w:val="zh-CN" w:eastAsia="zh-CN"/>
        </w:rPr>
      </w:pPr>
      <w:r>
        <w:rPr>
          <w:rFonts w:hint="eastAsia" w:asciiTheme="minorEastAsia" w:hAnsiTheme="minorEastAsia" w:eastAsiaTheme="minorEastAsia" w:cstheme="minorEastAsia"/>
          <w:kern w:val="0"/>
          <w:sz w:val="24"/>
          <w:highlight w:val="none"/>
          <w:lang w:val="zh-CN" w:eastAsia="zh-CN"/>
        </w:rPr>
        <w:t>缴费成功后，财政非税系统自动成功记账，收费系统自动更新缴款状态；</w:t>
      </w:r>
    </w:p>
    <w:p>
      <w:pPr>
        <w:numPr>
          <w:ilvl w:val="0"/>
          <w:numId w:val="2"/>
        </w:numPr>
        <w:spacing w:line="480" w:lineRule="exact"/>
        <w:ind w:left="450" w:leftChars="100" w:hanging="240" w:hangingChars="100"/>
        <w:rPr>
          <w:rFonts w:hint="eastAsia" w:asciiTheme="minorEastAsia" w:hAnsiTheme="minorEastAsia" w:eastAsiaTheme="minorEastAsia" w:cstheme="minorEastAsia"/>
          <w:kern w:val="0"/>
          <w:sz w:val="24"/>
          <w:highlight w:val="none"/>
          <w:lang w:val="zh-CN" w:eastAsia="zh-CN"/>
        </w:rPr>
      </w:pPr>
      <w:r>
        <w:rPr>
          <w:rFonts w:hint="eastAsia" w:asciiTheme="minorEastAsia" w:hAnsiTheme="minorEastAsia" w:eastAsiaTheme="minorEastAsia" w:cstheme="minorEastAsia"/>
          <w:kern w:val="0"/>
          <w:sz w:val="24"/>
          <w:highlight w:val="none"/>
          <w:lang w:val="zh-CN" w:eastAsia="zh-CN"/>
        </w:rPr>
        <w:t>收费系统可通过二维码实现新生缴费；</w:t>
      </w:r>
    </w:p>
    <w:p>
      <w:pPr>
        <w:numPr>
          <w:ilvl w:val="0"/>
          <w:numId w:val="2"/>
        </w:numPr>
        <w:spacing w:line="480" w:lineRule="exact"/>
        <w:ind w:left="450" w:leftChars="100" w:hanging="240" w:hangingChars="100"/>
        <w:rPr>
          <w:rFonts w:hint="eastAsia" w:asciiTheme="minorEastAsia" w:hAnsiTheme="minorEastAsia" w:eastAsiaTheme="minorEastAsia" w:cstheme="minorEastAsia"/>
          <w:kern w:val="0"/>
          <w:sz w:val="24"/>
          <w:highlight w:val="none"/>
          <w:lang w:val="zh-CN" w:eastAsia="zh-CN"/>
        </w:rPr>
      </w:pPr>
      <w:r>
        <w:rPr>
          <w:rFonts w:hint="eastAsia" w:asciiTheme="minorEastAsia" w:hAnsiTheme="minorEastAsia" w:eastAsiaTheme="minorEastAsia" w:cstheme="minorEastAsia"/>
          <w:kern w:val="0"/>
          <w:sz w:val="24"/>
          <w:highlight w:val="none"/>
          <w:lang w:val="zh-CN" w:eastAsia="zh-CN"/>
        </w:rPr>
        <w:t>缴款完成后，可自动开具电子票据；</w:t>
      </w:r>
    </w:p>
    <w:p>
      <w:pPr>
        <w:numPr>
          <w:ilvl w:val="0"/>
          <w:numId w:val="2"/>
        </w:numPr>
        <w:spacing w:line="480" w:lineRule="exact"/>
        <w:ind w:left="450" w:leftChars="100" w:hanging="240" w:hangingChars="100"/>
        <w:rPr>
          <w:rFonts w:hint="eastAsia" w:asciiTheme="minorEastAsia" w:hAnsiTheme="minorEastAsia" w:eastAsiaTheme="minorEastAsia" w:cstheme="minorEastAsia"/>
          <w:kern w:val="0"/>
          <w:sz w:val="24"/>
          <w:highlight w:val="none"/>
          <w:lang w:val="zh-CN" w:eastAsia="zh-CN"/>
        </w:rPr>
      </w:pPr>
      <w:r>
        <w:rPr>
          <w:rFonts w:hint="eastAsia" w:asciiTheme="minorEastAsia" w:hAnsiTheme="minorEastAsia" w:eastAsiaTheme="minorEastAsia" w:cstheme="minorEastAsia"/>
          <w:kern w:val="0"/>
          <w:sz w:val="24"/>
          <w:highlight w:val="none"/>
          <w:lang w:val="zh-CN" w:eastAsia="zh-CN"/>
        </w:rPr>
        <w:t>收费系统通过相关报表查询；</w:t>
      </w:r>
    </w:p>
    <w:p>
      <w:pPr>
        <w:numPr>
          <w:ilvl w:val="0"/>
          <w:numId w:val="2"/>
        </w:numPr>
        <w:spacing w:line="480" w:lineRule="exact"/>
        <w:ind w:left="450" w:leftChars="100" w:hanging="240" w:hangingChars="100"/>
        <w:rPr>
          <w:rFonts w:hint="eastAsia" w:asciiTheme="minorEastAsia" w:hAnsiTheme="minorEastAsia" w:eastAsiaTheme="minorEastAsia" w:cstheme="minorEastAsia"/>
          <w:kern w:val="0"/>
          <w:sz w:val="24"/>
          <w:highlight w:val="none"/>
          <w:lang w:val="zh-CN" w:eastAsia="zh-CN"/>
        </w:rPr>
      </w:pPr>
      <w:r>
        <w:rPr>
          <w:rFonts w:hint="eastAsia" w:asciiTheme="minorEastAsia" w:hAnsiTheme="minorEastAsia" w:eastAsiaTheme="minorEastAsia" w:cstheme="minorEastAsia"/>
          <w:kern w:val="0"/>
          <w:sz w:val="24"/>
          <w:highlight w:val="none"/>
          <w:lang w:val="zh-CN" w:eastAsia="zh-CN"/>
        </w:rPr>
        <w:t>学校可从收费系统下载缴款情况进行核对。</w:t>
      </w:r>
    </w:p>
    <w:p>
      <w:pPr>
        <w:pStyle w:val="9"/>
        <w:keepNext/>
        <w:keepLines/>
        <w:pageBreakBefore w:val="0"/>
        <w:widowControl/>
        <w:numPr>
          <w:ilvl w:val="-1"/>
          <w:numId w:val="0"/>
        </w:numPr>
        <w:kinsoku/>
        <w:wordWrap/>
        <w:overflowPunct/>
        <w:topLinePunct w:val="0"/>
        <w:autoSpaceDE/>
        <w:autoSpaceDN/>
        <w:bidi w:val="0"/>
        <w:adjustRightInd/>
        <w:snapToGrid/>
        <w:spacing w:line="480" w:lineRule="exact"/>
        <w:ind w:left="0" w:leftChars="0" w:firstLine="480" w:firstLineChars="200"/>
        <w:jc w:val="left"/>
        <w:textAlignment w:val="auto"/>
        <w:outlineLvl w:val="3"/>
        <w:rPr>
          <w:rFonts w:hint="eastAsia" w:asciiTheme="minorEastAsia" w:hAnsiTheme="minorEastAsia" w:eastAsiaTheme="minorEastAsia" w:cstheme="minorEastAsia"/>
          <w:b/>
          <w:bCs/>
          <w:kern w:val="0"/>
          <w:sz w:val="24"/>
          <w:szCs w:val="24"/>
          <w:highlight w:val="none"/>
          <w:lang w:val="zh-CN" w:eastAsia="zh-CN"/>
        </w:rPr>
      </w:pPr>
      <w:r>
        <w:rPr>
          <w:rFonts w:hint="eastAsia" w:asciiTheme="minorEastAsia" w:hAnsiTheme="minorEastAsia" w:eastAsiaTheme="minorEastAsia" w:cstheme="minorEastAsia"/>
          <w:b/>
          <w:bCs/>
          <w:kern w:val="0"/>
          <w:sz w:val="24"/>
          <w:szCs w:val="24"/>
          <w:highlight w:val="none"/>
          <w:lang w:val="en-US" w:eastAsia="zh-CN"/>
        </w:rPr>
        <w:t>3.5</w:t>
      </w:r>
      <w:r>
        <w:rPr>
          <w:rFonts w:hint="eastAsia" w:asciiTheme="minorEastAsia" w:hAnsiTheme="minorEastAsia" w:eastAsiaTheme="minorEastAsia" w:cstheme="minorEastAsia"/>
          <w:b/>
          <w:bCs/>
          <w:kern w:val="0"/>
          <w:sz w:val="24"/>
          <w:szCs w:val="24"/>
          <w:highlight w:val="none"/>
          <w:lang w:val="zh-CN" w:eastAsia="zh-CN"/>
        </w:rPr>
        <w:t>其他需求</w:t>
      </w:r>
    </w:p>
    <w:p>
      <w:pPr>
        <w:snapToGrid w:val="0"/>
        <w:spacing w:line="480" w:lineRule="exact"/>
        <w:ind w:firstLine="482"/>
        <w:rPr>
          <w:rFonts w:hint="eastAsia" w:asciiTheme="minorEastAsia" w:hAnsiTheme="minorEastAsia" w:eastAsiaTheme="minorEastAsia" w:cstheme="minorEastAsia"/>
          <w:b w:val="0"/>
          <w:bCs w:val="0"/>
          <w:kern w:val="0"/>
          <w:sz w:val="24"/>
          <w:highlight w:val="none"/>
          <w:lang w:val="zh-CN"/>
        </w:rPr>
      </w:pPr>
      <w:r>
        <w:rPr>
          <w:rFonts w:hint="eastAsia" w:asciiTheme="minorEastAsia" w:hAnsiTheme="minorEastAsia" w:eastAsiaTheme="minorEastAsia" w:cstheme="minorEastAsia"/>
          <w:b w:val="0"/>
          <w:bCs w:val="0"/>
          <w:kern w:val="0"/>
          <w:sz w:val="24"/>
          <w:highlight w:val="none"/>
          <w:lang w:val="zh-CN" w:eastAsia="zh-CN"/>
        </w:rPr>
        <w:t>1、</w:t>
      </w:r>
      <w:r>
        <w:rPr>
          <w:rFonts w:hint="eastAsia" w:asciiTheme="minorEastAsia" w:hAnsiTheme="minorEastAsia" w:eastAsiaTheme="minorEastAsia" w:cstheme="minorEastAsia"/>
          <w:b w:val="0"/>
          <w:bCs w:val="0"/>
          <w:kern w:val="0"/>
          <w:sz w:val="24"/>
          <w:highlight w:val="none"/>
          <w:lang w:val="zh-CN"/>
        </w:rPr>
        <w:t>售后服务</w:t>
      </w:r>
    </w:p>
    <w:p>
      <w:pPr>
        <w:spacing w:line="480" w:lineRule="exact"/>
        <w:ind w:firstLine="480"/>
        <w:rPr>
          <w:rFonts w:hint="eastAsia" w:asciiTheme="minorEastAsia" w:hAnsiTheme="minorEastAsia" w:eastAsiaTheme="minorEastAsia" w:cstheme="minorEastAsia"/>
          <w:bCs w:val="0"/>
          <w:kern w:val="0"/>
          <w:sz w:val="24"/>
          <w:highlight w:val="none"/>
          <w:lang w:val="zh-CN"/>
        </w:rPr>
      </w:pPr>
      <w:r>
        <w:rPr>
          <w:rFonts w:hint="eastAsia" w:asciiTheme="minorEastAsia" w:hAnsiTheme="minorEastAsia" w:eastAsiaTheme="minorEastAsia" w:cstheme="minorEastAsia"/>
          <w:bCs w:val="0"/>
          <w:kern w:val="0"/>
          <w:sz w:val="24"/>
          <w:highlight w:val="none"/>
          <w:lang w:val="zh-CN"/>
        </w:rPr>
        <w:t>本项目质保服务期：提供自验收后3年免费维护服务，服务内容包括软件使用功能答疑、系统日常维护等。</w:t>
      </w:r>
    </w:p>
    <w:p>
      <w:pPr>
        <w:spacing w:line="480" w:lineRule="exact"/>
        <w:ind w:firstLine="420" w:firstLineChars="0"/>
        <w:rPr>
          <w:rFonts w:hint="eastAsia" w:asciiTheme="minorEastAsia" w:hAnsiTheme="minorEastAsia" w:eastAsiaTheme="minorEastAsia" w:cstheme="minorEastAsia"/>
          <w:bCs w:val="0"/>
          <w:kern w:val="0"/>
          <w:sz w:val="24"/>
          <w:highlight w:val="none"/>
          <w:lang w:val="zh-CN"/>
        </w:rPr>
      </w:pPr>
      <w:r>
        <w:rPr>
          <w:rFonts w:hint="eastAsia" w:asciiTheme="minorEastAsia" w:hAnsiTheme="minorEastAsia" w:eastAsiaTheme="minorEastAsia" w:cstheme="minorEastAsia"/>
          <w:bCs w:val="0"/>
          <w:kern w:val="0"/>
          <w:sz w:val="24"/>
          <w:highlight w:val="none"/>
          <w:lang w:val="zh-CN"/>
        </w:rPr>
        <w:t>（1）应急措施</w:t>
      </w:r>
    </w:p>
    <w:p>
      <w:pPr>
        <w:spacing w:line="480" w:lineRule="exact"/>
        <w:ind w:firstLine="480"/>
        <w:rPr>
          <w:rFonts w:hint="eastAsia" w:asciiTheme="minorEastAsia" w:hAnsiTheme="minorEastAsia" w:eastAsiaTheme="minorEastAsia" w:cstheme="minorEastAsia"/>
          <w:bCs w:val="0"/>
          <w:kern w:val="0"/>
          <w:sz w:val="24"/>
          <w:highlight w:val="none"/>
          <w:lang w:val="zh-CN"/>
        </w:rPr>
      </w:pPr>
      <w:r>
        <w:rPr>
          <w:rFonts w:hint="eastAsia" w:asciiTheme="minorEastAsia" w:hAnsiTheme="minorEastAsia" w:eastAsiaTheme="minorEastAsia" w:cstheme="minorEastAsia"/>
          <w:bCs w:val="0"/>
          <w:kern w:val="0"/>
          <w:sz w:val="24"/>
          <w:highlight w:val="none"/>
          <w:lang w:val="zh-CN"/>
        </w:rPr>
        <w:t>投标方应随时解决所发生的问题；7×24小时响应，如发生紧急故障，在得到用户通知后，应在半小时内做出实质性响应，并在24小时内解决问题；如遇特大问题（系统不能正常运行）在8小时内派遣相关问题专家前往现场解决。问题解决后24小时内，提交问题处理报告，说明问题种类、问题原因、问题解决中使用的方法及造成的损失情况等。</w:t>
      </w:r>
    </w:p>
    <w:p>
      <w:pPr>
        <w:spacing w:line="480" w:lineRule="exact"/>
        <w:ind w:firstLine="420" w:firstLineChars="0"/>
        <w:rPr>
          <w:rFonts w:hint="eastAsia" w:asciiTheme="minorEastAsia" w:hAnsiTheme="minorEastAsia" w:eastAsiaTheme="minorEastAsia" w:cstheme="minorEastAsia"/>
          <w:bCs w:val="0"/>
          <w:kern w:val="0"/>
          <w:sz w:val="24"/>
          <w:highlight w:val="none"/>
          <w:lang w:val="zh-CN"/>
        </w:rPr>
      </w:pPr>
      <w:r>
        <w:rPr>
          <w:rFonts w:hint="eastAsia" w:asciiTheme="minorEastAsia" w:hAnsiTheme="minorEastAsia" w:eastAsiaTheme="minorEastAsia" w:cstheme="minorEastAsia"/>
          <w:bCs w:val="0"/>
          <w:kern w:val="0"/>
          <w:sz w:val="24"/>
          <w:highlight w:val="none"/>
          <w:lang w:val="zh-CN"/>
        </w:rPr>
        <w:t>（2）保障措施</w:t>
      </w:r>
    </w:p>
    <w:p>
      <w:pPr>
        <w:spacing w:line="480" w:lineRule="exact"/>
        <w:ind w:firstLine="480"/>
        <w:rPr>
          <w:rFonts w:hint="eastAsia" w:asciiTheme="minorEastAsia" w:hAnsiTheme="minorEastAsia" w:eastAsiaTheme="minorEastAsia" w:cstheme="minorEastAsia"/>
          <w:bCs w:val="0"/>
          <w:kern w:val="0"/>
          <w:sz w:val="24"/>
          <w:highlight w:val="none"/>
          <w:lang w:val="zh-CN"/>
        </w:rPr>
      </w:pPr>
      <w:r>
        <w:rPr>
          <w:rFonts w:hint="eastAsia" w:asciiTheme="minorEastAsia" w:hAnsiTheme="minorEastAsia" w:eastAsiaTheme="minorEastAsia" w:cstheme="minorEastAsia"/>
          <w:bCs w:val="0"/>
          <w:kern w:val="0"/>
          <w:sz w:val="24"/>
          <w:highlight w:val="none"/>
          <w:lang w:val="zh-CN"/>
        </w:rPr>
        <w:t>热线电话服务。提供7×24小时的技术支持服务，指导完成简单的故障排除工作以及日常维护工作记录等工作。</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Theme="minorEastAsia" w:hAnsiTheme="minorEastAsia" w:eastAsiaTheme="minorEastAsia" w:cstheme="minorEastAsia"/>
          <w:bCs w:val="0"/>
          <w:kern w:val="0"/>
          <w:sz w:val="24"/>
          <w:highlight w:val="none"/>
          <w:lang w:val="zh-CN"/>
        </w:rPr>
      </w:pPr>
      <w:r>
        <w:rPr>
          <w:rFonts w:hint="eastAsia" w:asciiTheme="minorEastAsia" w:hAnsiTheme="minorEastAsia" w:eastAsiaTheme="minorEastAsia" w:cstheme="minorEastAsia"/>
          <w:bCs w:val="0"/>
          <w:kern w:val="0"/>
          <w:sz w:val="24"/>
          <w:highlight w:val="none"/>
          <w:lang w:val="zh-CN"/>
        </w:rPr>
        <w:t>在线支持。安排专职的技术支持工程师进行7×24小时在线支持，及时对用户的在线咨询进行答复。</w:t>
      </w:r>
    </w:p>
    <w:p>
      <w:pPr>
        <w:spacing w:line="480" w:lineRule="exact"/>
        <w:ind w:firstLine="480"/>
        <w:rPr>
          <w:rFonts w:hint="eastAsia" w:asciiTheme="minorEastAsia" w:hAnsiTheme="minorEastAsia" w:eastAsiaTheme="minorEastAsia" w:cstheme="minorEastAsia"/>
          <w:bCs w:val="0"/>
          <w:kern w:val="0"/>
          <w:sz w:val="24"/>
          <w:highlight w:val="none"/>
          <w:lang w:val="zh-CN"/>
        </w:rPr>
      </w:pPr>
      <w:r>
        <w:rPr>
          <w:rFonts w:hint="eastAsia" w:asciiTheme="minorEastAsia" w:hAnsiTheme="minorEastAsia" w:eastAsiaTheme="minorEastAsia" w:cstheme="minorEastAsia"/>
          <w:bCs w:val="0"/>
          <w:kern w:val="0"/>
          <w:sz w:val="24"/>
          <w:highlight w:val="none"/>
          <w:lang w:val="zh-CN"/>
        </w:rPr>
        <w:t>电子邮件服务。用户可将问题通过E-mail的方式发给维护项目组负责人，项目负责人每天至少接收一次邮件，并在2个工作日内及时予以回复。</w:t>
      </w:r>
    </w:p>
    <w:p>
      <w:pPr>
        <w:numPr>
          <w:ilvl w:val="0"/>
          <w:numId w:val="3"/>
        </w:numPr>
        <w:bidi w:val="0"/>
        <w:spacing w:line="480" w:lineRule="exact"/>
        <w:rPr>
          <w:rFonts w:hint="eastAsia" w:asciiTheme="minorEastAsia" w:hAnsiTheme="minorEastAsia" w:eastAsiaTheme="minorEastAsia" w:cstheme="minorEastAsia"/>
          <w:b w:val="0"/>
          <w:bCs w:val="0"/>
          <w:kern w:val="0"/>
          <w:sz w:val="24"/>
          <w:highlight w:val="none"/>
          <w:lang w:val="zh-CN" w:eastAsia="zh-CN"/>
        </w:rPr>
      </w:pPr>
      <w:r>
        <w:rPr>
          <w:rFonts w:hint="eastAsia" w:asciiTheme="minorEastAsia" w:hAnsiTheme="minorEastAsia" w:eastAsiaTheme="minorEastAsia" w:cstheme="minorEastAsia"/>
          <w:b w:val="0"/>
          <w:bCs w:val="0"/>
          <w:kern w:val="0"/>
          <w:sz w:val="24"/>
          <w:highlight w:val="none"/>
          <w:lang w:val="zh-CN" w:eastAsia="zh-CN"/>
        </w:rPr>
        <w:t>安全性原则</w:t>
      </w:r>
    </w:p>
    <w:p>
      <w:pPr>
        <w:pStyle w:val="2"/>
        <w:numPr>
          <w:ilvl w:val="0"/>
          <w:numId w:val="0"/>
        </w:numPr>
        <w:spacing w:line="480" w:lineRule="exact"/>
        <w:ind w:right="0" w:rightChars="0" w:firstLine="480" w:firstLineChars="200"/>
        <w:rPr>
          <w:rFonts w:hint="eastAsia" w:asciiTheme="minorEastAsia" w:hAnsiTheme="minorEastAsia" w:eastAsiaTheme="minorEastAsia" w:cstheme="minorEastAsia"/>
          <w:b w:val="0"/>
          <w:bCs w:val="0"/>
          <w:kern w:val="0"/>
          <w:sz w:val="24"/>
          <w:highlight w:val="none"/>
          <w:lang w:val="zh-CN" w:eastAsia="zh-CN"/>
        </w:rPr>
      </w:pPr>
      <w:r>
        <w:rPr>
          <w:rFonts w:hint="eastAsia" w:asciiTheme="minorEastAsia" w:hAnsiTheme="minorEastAsia" w:eastAsiaTheme="minorEastAsia" w:cstheme="minorEastAsia"/>
          <w:b w:val="0"/>
          <w:bCs w:val="0"/>
          <w:kern w:val="0"/>
          <w:sz w:val="24"/>
          <w:highlight w:val="none"/>
          <w:lang w:val="zh-CN"/>
        </w:rPr>
        <w:t>系统达到二级以上（含）等保要求，能通过漏洞扫描，必须提供等保相关材料。如下图：</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outlineLvl w:val="9"/>
        <w:rPr>
          <w:rFonts w:hint="eastAsia" w:asciiTheme="minorEastAsia" w:hAnsiTheme="minorEastAsia" w:eastAsiaTheme="minorEastAsia" w:cstheme="minorEastAsia"/>
          <w:kern w:val="0"/>
          <w:sz w:val="24"/>
          <w:highlight w:val="none"/>
          <w:lang w:val="zh-CN"/>
        </w:rPr>
      </w:pPr>
      <w:r>
        <w:rPr>
          <w:rFonts w:hint="eastAsia" w:asciiTheme="minorEastAsia" w:hAnsiTheme="minorEastAsia" w:eastAsiaTheme="minorEastAsia" w:cstheme="minorEastAsia"/>
          <w:kern w:val="0"/>
          <w:sz w:val="24"/>
          <w:highlight w:val="none"/>
          <w:lang w:val="zh-CN"/>
        </w:rPr>
        <w:drawing>
          <wp:anchor distT="0" distB="0" distL="114300" distR="114300" simplePos="0" relativeHeight="251659264" behindDoc="0" locked="0" layoutInCell="1" allowOverlap="1">
            <wp:simplePos x="0" y="0"/>
            <wp:positionH relativeFrom="column">
              <wp:posOffset>167005</wp:posOffset>
            </wp:positionH>
            <wp:positionV relativeFrom="paragraph">
              <wp:posOffset>88265</wp:posOffset>
            </wp:positionV>
            <wp:extent cx="3028315" cy="1828165"/>
            <wp:effectExtent l="0" t="0" r="19685" b="635"/>
            <wp:wrapTopAndBottom/>
            <wp:docPr id="1" name="图片 1" descr="20e2f2da02244e6bcc25418bf6ad5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e2f2da02244e6bcc25418bf6ad57e"/>
                    <pic:cNvPicPr>
                      <a:picLocks noChangeAspect="1"/>
                    </pic:cNvPicPr>
                  </pic:nvPicPr>
                  <pic:blipFill>
                    <a:blip r:embed="rId6"/>
                    <a:srcRect r="50211"/>
                    <a:stretch>
                      <a:fillRect/>
                    </a:stretch>
                  </pic:blipFill>
                  <pic:spPr>
                    <a:xfrm>
                      <a:off x="0" y="0"/>
                      <a:ext cx="3028315" cy="1828165"/>
                    </a:xfrm>
                    <a:prstGeom prst="rect">
                      <a:avLst/>
                    </a:prstGeom>
                    <a:noFill/>
                    <a:ln>
                      <a:noFill/>
                    </a:ln>
                  </pic:spPr>
                </pic:pic>
              </a:graphicData>
            </a:graphic>
          </wp:anchor>
        </w:drawing>
      </w:r>
    </w:p>
    <w:p>
      <w:pPr>
        <w:pStyle w:val="2"/>
        <w:numPr>
          <w:ilvl w:val="0"/>
          <w:numId w:val="3"/>
        </w:numPr>
        <w:spacing w:line="480" w:lineRule="exact"/>
        <w:ind w:left="0" w:leftChars="0" w:firstLine="420" w:firstLineChars="0"/>
        <w:rPr>
          <w:rFonts w:hint="eastAsia" w:asciiTheme="minorEastAsia" w:hAnsiTheme="minorEastAsia" w:eastAsiaTheme="minorEastAsia" w:cstheme="minorEastAsia"/>
          <w:b w:val="0"/>
          <w:bCs w:val="0"/>
          <w:kern w:val="0"/>
          <w:sz w:val="24"/>
          <w:highlight w:val="none"/>
          <w:lang w:val="zh-CN" w:eastAsia="zh-CN"/>
        </w:rPr>
      </w:pPr>
      <w:r>
        <w:rPr>
          <w:rFonts w:hint="eastAsia" w:asciiTheme="minorEastAsia" w:hAnsiTheme="minorEastAsia" w:eastAsiaTheme="minorEastAsia" w:cstheme="minorEastAsia"/>
          <w:b w:val="0"/>
          <w:bCs w:val="0"/>
          <w:kern w:val="0"/>
          <w:sz w:val="24"/>
          <w:highlight w:val="none"/>
          <w:lang w:val="zh-CN" w:eastAsia="zh-CN"/>
        </w:rPr>
        <w:t>国产化部署</w:t>
      </w:r>
    </w:p>
    <w:p>
      <w:pPr>
        <w:numPr>
          <w:ilvl w:val="0"/>
          <w:numId w:val="0"/>
        </w:numPr>
        <w:spacing w:line="480" w:lineRule="exact"/>
        <w:ind w:left="420" w:leftChars="0" w:right="0" w:rightChars="0"/>
        <w:rPr>
          <w:rFonts w:hint="eastAsia" w:asciiTheme="minorEastAsia" w:hAnsiTheme="minorEastAsia" w:eastAsiaTheme="minorEastAsia" w:cstheme="minorEastAsia"/>
          <w:kern w:val="0"/>
          <w:sz w:val="24"/>
          <w:highlight w:val="none"/>
          <w:lang w:val="zh-CN" w:eastAsia="zh-CN"/>
        </w:rPr>
      </w:pPr>
      <w:r>
        <w:rPr>
          <w:rFonts w:hint="eastAsia" w:asciiTheme="minorEastAsia" w:hAnsiTheme="minorEastAsia" w:eastAsiaTheme="minorEastAsia" w:cstheme="minorEastAsia"/>
          <w:bCs w:val="0"/>
          <w:kern w:val="0"/>
          <w:sz w:val="24"/>
          <w:highlight w:val="none"/>
          <w:lang w:val="zh-CN"/>
        </w:rPr>
        <w:t>必须支持国产化服务器部署，配合做好国产化部署工作。</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outlineLvl w:val="1"/>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zh-CN"/>
        </w:rPr>
        <w:t>四、付款时间和条件</w:t>
      </w:r>
    </w:p>
    <w:p>
      <w:pPr>
        <w:pStyle w:val="3"/>
        <w:snapToGrid w:val="0"/>
        <w:spacing w:line="480" w:lineRule="exact"/>
        <w:ind w:left="0" w:leftChars="0" w:firstLine="480" w:firstLineChars="200"/>
        <w:contextualSpacing/>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项目合同签订后支付30%，验收通过后支付70%。</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outlineLvl w:val="1"/>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b/>
          <w:bCs/>
          <w:kern w:val="0"/>
          <w:sz w:val="24"/>
          <w:szCs w:val="24"/>
          <w:highlight w:val="none"/>
          <w:lang w:val="zh-CN"/>
        </w:rPr>
        <w:t>五、其他</w:t>
      </w:r>
    </w:p>
    <w:p>
      <w:pPr>
        <w:tabs>
          <w:tab w:val="left" w:pos="630"/>
        </w:tabs>
        <w:snapToGrid w:val="0"/>
        <w:spacing w:line="480" w:lineRule="exact"/>
        <w:ind w:firstLine="480" w:firstLineChars="200"/>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1.签定合同日期：自成交通知书发出之日起30个工作日内按时签约。</w:t>
      </w:r>
    </w:p>
    <w:p>
      <w:pPr>
        <w:snapToGrid w:val="0"/>
        <w:spacing w:line="480" w:lineRule="exact"/>
        <w:ind w:firstLine="480" w:firstLineChars="200"/>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2.交货（服务）地点：南通市中远路169号，南通开放大学。</w:t>
      </w:r>
    </w:p>
    <w:p>
      <w:pPr>
        <w:snapToGrid w:val="0"/>
        <w:spacing w:line="480" w:lineRule="exact"/>
        <w:ind w:firstLine="480" w:firstLineChars="200"/>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3.验收的具体方案：在接到供应商以书面形式提出验收申请后，在5个工作日内及时组织相关专业技术人员，并邀请相关部门共同参与验收，出具验收报告，作为支付货款的依据。</w:t>
      </w:r>
    </w:p>
    <w:p>
      <w:pPr>
        <w:widowControl/>
        <w:shd w:val="clear" w:color="auto" w:fill="FFFFFF"/>
        <w:rPr>
          <w:rFonts w:cs="楷体_GB2312"/>
          <w:kern w:val="0"/>
          <w:sz w:val="28"/>
          <w:szCs w:val="28"/>
          <w:highlight w:val="none"/>
        </w:rPr>
      </w:pPr>
    </w:p>
    <w:p>
      <w:pPr>
        <w:autoSpaceDE w:val="0"/>
        <w:autoSpaceDN w:val="0"/>
        <w:adjustRightInd w:val="0"/>
        <w:snapToGrid w:val="0"/>
        <w:spacing w:line="300" w:lineRule="auto"/>
        <w:jc w:val="center"/>
        <w:rPr>
          <w:rFonts w:ascii="仿宋_GB2312" w:eastAsia="仿宋_GB2312"/>
          <w:b/>
          <w:bCs/>
          <w:sz w:val="36"/>
          <w:szCs w:val="36"/>
          <w:highlight w:val="none"/>
          <w:lang w:val="zh-CN"/>
        </w:rPr>
      </w:pPr>
      <w:r>
        <w:rPr>
          <w:rFonts w:ascii="仿宋_GB2312" w:eastAsia="仿宋_GB2312"/>
          <w:b/>
          <w:bCs/>
          <w:sz w:val="36"/>
          <w:szCs w:val="36"/>
          <w:highlight w:val="none"/>
          <w:lang w:val="zh-CN"/>
        </w:rPr>
        <w:br w:type="page"/>
      </w:r>
      <w:r>
        <w:rPr>
          <w:rFonts w:hint="eastAsia" w:ascii="仿宋_GB2312" w:eastAsia="仿宋_GB2312"/>
          <w:b/>
          <w:bCs/>
          <w:sz w:val="36"/>
          <w:szCs w:val="36"/>
          <w:highlight w:val="none"/>
          <w:lang w:val="zh-CN"/>
        </w:rPr>
        <w:t>第四部分  评审程序和内容</w:t>
      </w:r>
    </w:p>
    <w:p>
      <w:pPr>
        <w:tabs>
          <w:tab w:val="left" w:pos="3585"/>
        </w:tabs>
        <w:snapToGrid w:val="0"/>
        <w:spacing w:line="480" w:lineRule="exact"/>
        <w:ind w:firstLine="461" w:firstLineChars="192"/>
        <w:rPr>
          <w:b/>
          <w:sz w:val="24"/>
          <w:highlight w:val="none"/>
        </w:rPr>
      </w:pPr>
      <w:r>
        <w:rPr>
          <w:rFonts w:hint="eastAsia"/>
          <w:b/>
          <w:bCs/>
          <w:sz w:val="24"/>
          <w:highlight w:val="none"/>
        </w:rPr>
        <w:t>一、</w:t>
      </w:r>
      <w:r>
        <w:rPr>
          <w:rFonts w:hint="eastAsia"/>
          <w:b/>
          <w:sz w:val="24"/>
          <w:highlight w:val="none"/>
        </w:rPr>
        <w:t>采购人委托代理机构组织磋商</w:t>
      </w:r>
    </w:p>
    <w:p>
      <w:pPr>
        <w:tabs>
          <w:tab w:val="left" w:pos="3585"/>
        </w:tabs>
        <w:snapToGrid w:val="0"/>
        <w:spacing w:line="480" w:lineRule="exact"/>
        <w:ind w:firstLine="460" w:firstLineChars="192"/>
        <w:rPr>
          <w:rFonts w:cs="宋体"/>
          <w:kern w:val="0"/>
          <w:sz w:val="24"/>
          <w:highlight w:val="none"/>
        </w:rPr>
      </w:pPr>
      <w:r>
        <w:rPr>
          <w:kern w:val="0"/>
          <w:sz w:val="24"/>
          <w:highlight w:val="none"/>
          <w:lang w:val="zh-CN"/>
        </w:rPr>
        <w:t>响应供应商</w:t>
      </w:r>
      <w:r>
        <w:rPr>
          <w:rFonts w:hint="eastAsia" w:cs="宋体"/>
          <w:kern w:val="0"/>
          <w:sz w:val="24"/>
          <w:highlight w:val="none"/>
          <w:lang w:val="zh-CN"/>
        </w:rPr>
        <w:t>须持有效身份</w:t>
      </w:r>
      <w:r>
        <w:rPr>
          <w:rFonts w:hint="eastAsia" w:cs="宋体"/>
          <w:kern w:val="0"/>
          <w:sz w:val="24"/>
          <w:highlight w:val="none"/>
        </w:rPr>
        <w:t>证明</w:t>
      </w:r>
      <w:r>
        <w:rPr>
          <w:kern w:val="0"/>
          <w:sz w:val="24"/>
          <w:highlight w:val="none"/>
          <w:lang w:val="zh-CN"/>
        </w:rPr>
        <w:t>参加磋商会</w:t>
      </w:r>
      <w:r>
        <w:rPr>
          <w:rFonts w:hint="eastAsia" w:cs="宋体"/>
          <w:kern w:val="0"/>
          <w:sz w:val="24"/>
          <w:highlight w:val="none"/>
          <w:lang w:val="zh-CN"/>
        </w:rPr>
        <w:t>。</w:t>
      </w:r>
    </w:p>
    <w:p>
      <w:pPr>
        <w:snapToGrid w:val="0"/>
        <w:spacing w:line="480" w:lineRule="exact"/>
        <w:ind w:firstLine="480" w:firstLineChars="200"/>
        <w:rPr>
          <w:b/>
          <w:bCs/>
          <w:sz w:val="24"/>
          <w:highlight w:val="none"/>
        </w:rPr>
      </w:pPr>
      <w:r>
        <w:rPr>
          <w:rFonts w:hint="eastAsia"/>
          <w:b/>
          <w:kern w:val="0"/>
          <w:sz w:val="24"/>
          <w:highlight w:val="none"/>
          <w:lang w:val="zh-CN"/>
        </w:rPr>
        <w:t>二、</w:t>
      </w:r>
      <w:r>
        <w:rPr>
          <w:b/>
          <w:kern w:val="0"/>
          <w:sz w:val="24"/>
          <w:highlight w:val="none"/>
          <w:lang w:val="zh-CN"/>
        </w:rPr>
        <w:t>竞争性磋商小组</w:t>
      </w:r>
      <w:r>
        <w:rPr>
          <w:rFonts w:hint="eastAsia"/>
          <w:b/>
          <w:bCs/>
          <w:sz w:val="24"/>
          <w:highlight w:val="none"/>
        </w:rPr>
        <w:t>由有关专家和</w:t>
      </w:r>
      <w:r>
        <w:rPr>
          <w:rFonts w:hint="eastAsia"/>
          <w:b/>
          <w:sz w:val="24"/>
          <w:highlight w:val="none"/>
        </w:rPr>
        <w:t>采购人代表</w:t>
      </w:r>
      <w:r>
        <w:rPr>
          <w:rFonts w:hint="eastAsia"/>
          <w:b/>
          <w:bCs/>
          <w:sz w:val="24"/>
          <w:highlight w:val="none"/>
        </w:rPr>
        <w:t>组成</w:t>
      </w:r>
      <w:r>
        <w:rPr>
          <w:rFonts w:hint="eastAsia"/>
          <w:b/>
          <w:sz w:val="24"/>
          <w:highlight w:val="none"/>
        </w:rPr>
        <w:t>，按照</w:t>
      </w:r>
      <w:r>
        <w:rPr>
          <w:rFonts w:hint="eastAsia"/>
          <w:b/>
          <w:bCs/>
          <w:sz w:val="24"/>
          <w:highlight w:val="none"/>
        </w:rPr>
        <w:t>公平、公正、择优的原则进行</w:t>
      </w:r>
      <w:r>
        <w:rPr>
          <w:rFonts w:hint="eastAsia"/>
          <w:b/>
          <w:sz w:val="24"/>
          <w:highlight w:val="none"/>
        </w:rPr>
        <w:t>独立</w:t>
      </w:r>
      <w:r>
        <w:rPr>
          <w:rFonts w:hint="eastAsia"/>
          <w:b/>
          <w:bCs/>
          <w:sz w:val="24"/>
          <w:highlight w:val="none"/>
        </w:rPr>
        <w:t>评审。</w:t>
      </w:r>
    </w:p>
    <w:p>
      <w:pPr>
        <w:snapToGrid w:val="0"/>
        <w:spacing w:line="480" w:lineRule="exact"/>
        <w:ind w:firstLine="480" w:firstLineChars="200"/>
        <w:rPr>
          <w:b/>
          <w:bCs/>
          <w:sz w:val="24"/>
          <w:highlight w:val="none"/>
        </w:rPr>
      </w:pPr>
      <w:r>
        <w:rPr>
          <w:rFonts w:hint="eastAsia"/>
          <w:bCs/>
          <w:sz w:val="24"/>
          <w:highlight w:val="none"/>
        </w:rPr>
        <w:t>磋商小组</w:t>
      </w:r>
      <w:r>
        <w:rPr>
          <w:bCs/>
          <w:sz w:val="24"/>
          <w:highlight w:val="none"/>
        </w:rPr>
        <w:t>由采购人代表和评审专家共计3人组成。</w:t>
      </w:r>
    </w:p>
    <w:p>
      <w:pPr>
        <w:snapToGrid w:val="0"/>
        <w:spacing w:line="480" w:lineRule="exact"/>
        <w:ind w:firstLine="570"/>
        <w:rPr>
          <w:b/>
          <w:bCs/>
          <w:sz w:val="24"/>
          <w:highlight w:val="none"/>
        </w:rPr>
      </w:pPr>
      <w:r>
        <w:rPr>
          <w:rFonts w:hint="eastAsia"/>
          <w:b/>
          <w:bCs/>
          <w:sz w:val="24"/>
          <w:highlight w:val="none"/>
        </w:rPr>
        <w:t>（一）评审内容</w:t>
      </w:r>
    </w:p>
    <w:p>
      <w:pPr>
        <w:snapToGrid w:val="0"/>
        <w:spacing w:line="480" w:lineRule="exact"/>
        <w:ind w:firstLine="480" w:firstLineChars="200"/>
        <w:jc w:val="left"/>
        <w:rPr>
          <w:bCs/>
          <w:sz w:val="24"/>
          <w:highlight w:val="none"/>
        </w:rPr>
      </w:pPr>
      <w:r>
        <w:rPr>
          <w:bCs/>
          <w:sz w:val="24"/>
          <w:highlight w:val="none"/>
        </w:rPr>
        <w:t>1、是否递交</w:t>
      </w:r>
      <w:r>
        <w:rPr>
          <w:rFonts w:hint="eastAsia"/>
          <w:bCs/>
          <w:sz w:val="24"/>
          <w:highlight w:val="none"/>
        </w:rPr>
        <w:t>响应文件</w:t>
      </w:r>
      <w:r>
        <w:rPr>
          <w:bCs/>
          <w:sz w:val="24"/>
          <w:highlight w:val="none"/>
        </w:rPr>
        <w:t>；</w:t>
      </w:r>
    </w:p>
    <w:p>
      <w:pPr>
        <w:snapToGrid w:val="0"/>
        <w:spacing w:line="480" w:lineRule="exact"/>
        <w:ind w:firstLine="480" w:firstLineChars="200"/>
        <w:jc w:val="left"/>
        <w:rPr>
          <w:bCs/>
          <w:sz w:val="24"/>
          <w:highlight w:val="none"/>
        </w:rPr>
      </w:pPr>
      <w:r>
        <w:rPr>
          <w:bCs/>
          <w:sz w:val="24"/>
          <w:highlight w:val="none"/>
        </w:rPr>
        <w:t>2、</w:t>
      </w:r>
      <w:r>
        <w:rPr>
          <w:rFonts w:hint="eastAsia"/>
          <w:bCs/>
          <w:sz w:val="24"/>
          <w:highlight w:val="none"/>
        </w:rPr>
        <w:t>供应商</w:t>
      </w:r>
      <w:r>
        <w:rPr>
          <w:bCs/>
          <w:sz w:val="24"/>
          <w:highlight w:val="none"/>
        </w:rPr>
        <w:t>资格是否符合</w:t>
      </w:r>
      <w:r>
        <w:rPr>
          <w:rFonts w:hint="eastAsia"/>
          <w:bCs/>
          <w:sz w:val="24"/>
          <w:highlight w:val="none"/>
        </w:rPr>
        <w:t>；</w:t>
      </w:r>
    </w:p>
    <w:p>
      <w:pPr>
        <w:snapToGrid w:val="0"/>
        <w:spacing w:line="480" w:lineRule="exact"/>
        <w:ind w:firstLine="480" w:firstLineChars="200"/>
        <w:jc w:val="left"/>
        <w:rPr>
          <w:sz w:val="24"/>
          <w:highlight w:val="none"/>
        </w:rPr>
      </w:pPr>
      <w:r>
        <w:rPr>
          <w:sz w:val="24"/>
          <w:highlight w:val="none"/>
        </w:rPr>
        <w:t>3、</w:t>
      </w:r>
      <w:r>
        <w:rPr>
          <w:rFonts w:hint="eastAsia"/>
          <w:sz w:val="24"/>
          <w:highlight w:val="none"/>
        </w:rPr>
        <w:t>响应文件</w:t>
      </w:r>
      <w:r>
        <w:rPr>
          <w:sz w:val="24"/>
          <w:highlight w:val="none"/>
        </w:rPr>
        <w:t>是否完整；</w:t>
      </w:r>
    </w:p>
    <w:p>
      <w:pPr>
        <w:snapToGrid w:val="0"/>
        <w:spacing w:line="480" w:lineRule="exact"/>
        <w:ind w:firstLine="480" w:firstLineChars="200"/>
        <w:jc w:val="left"/>
        <w:rPr>
          <w:sz w:val="24"/>
          <w:highlight w:val="none"/>
        </w:rPr>
      </w:pPr>
      <w:r>
        <w:rPr>
          <w:sz w:val="24"/>
          <w:highlight w:val="none"/>
        </w:rPr>
        <w:t>4、</w:t>
      </w:r>
      <w:r>
        <w:rPr>
          <w:rFonts w:hint="eastAsia"/>
          <w:sz w:val="24"/>
          <w:highlight w:val="none"/>
        </w:rPr>
        <w:t>响应文件</w:t>
      </w:r>
      <w:r>
        <w:rPr>
          <w:sz w:val="24"/>
          <w:highlight w:val="none"/>
        </w:rPr>
        <w:t>是否恰当地签署；</w:t>
      </w:r>
    </w:p>
    <w:p>
      <w:pPr>
        <w:snapToGrid w:val="0"/>
        <w:spacing w:line="480" w:lineRule="exact"/>
        <w:ind w:firstLine="480" w:firstLineChars="200"/>
        <w:jc w:val="left"/>
        <w:rPr>
          <w:sz w:val="24"/>
          <w:highlight w:val="none"/>
        </w:rPr>
      </w:pPr>
      <w:r>
        <w:rPr>
          <w:sz w:val="24"/>
          <w:highlight w:val="none"/>
        </w:rPr>
        <w:t>5、是否作出实质性响应（是否有实质性响应，只根据</w:t>
      </w:r>
      <w:r>
        <w:rPr>
          <w:rFonts w:hint="eastAsia"/>
          <w:sz w:val="24"/>
          <w:highlight w:val="none"/>
        </w:rPr>
        <w:t>响应文件</w:t>
      </w:r>
      <w:r>
        <w:rPr>
          <w:sz w:val="24"/>
          <w:highlight w:val="none"/>
        </w:rPr>
        <w:t>本身，而不寻求外部证据）；</w:t>
      </w:r>
    </w:p>
    <w:p>
      <w:pPr>
        <w:snapToGrid w:val="0"/>
        <w:spacing w:line="480" w:lineRule="exact"/>
        <w:ind w:firstLine="480" w:firstLineChars="200"/>
        <w:jc w:val="left"/>
        <w:rPr>
          <w:sz w:val="24"/>
          <w:highlight w:val="none"/>
        </w:rPr>
      </w:pPr>
      <w:r>
        <w:rPr>
          <w:sz w:val="24"/>
          <w:highlight w:val="none"/>
        </w:rPr>
        <w:t>6、是否有计算错误。</w:t>
      </w:r>
    </w:p>
    <w:p>
      <w:pPr>
        <w:snapToGrid w:val="0"/>
        <w:spacing w:line="480" w:lineRule="exact"/>
        <w:ind w:firstLine="480" w:firstLineChars="200"/>
        <w:rPr>
          <w:b/>
          <w:bCs/>
          <w:sz w:val="24"/>
          <w:highlight w:val="none"/>
        </w:rPr>
      </w:pPr>
      <w:r>
        <w:rPr>
          <w:rFonts w:hint="eastAsia"/>
          <w:b/>
          <w:bCs/>
          <w:sz w:val="24"/>
          <w:highlight w:val="none"/>
        </w:rPr>
        <w:t>（二）相应的规定</w:t>
      </w:r>
    </w:p>
    <w:p>
      <w:pPr>
        <w:snapToGrid w:val="0"/>
        <w:spacing w:line="480" w:lineRule="exact"/>
        <w:ind w:firstLine="480" w:firstLineChars="200"/>
        <w:rPr>
          <w:sz w:val="24"/>
          <w:highlight w:val="none"/>
        </w:rPr>
      </w:pPr>
      <w:r>
        <w:rPr>
          <w:sz w:val="24"/>
          <w:highlight w:val="none"/>
        </w:rPr>
        <w:t>1、</w:t>
      </w:r>
      <w:r>
        <w:rPr>
          <w:rFonts w:hint="eastAsia"/>
          <w:sz w:val="24"/>
          <w:highlight w:val="none"/>
        </w:rPr>
        <w:t>响应文件</w:t>
      </w:r>
      <w:r>
        <w:rPr>
          <w:sz w:val="24"/>
          <w:highlight w:val="none"/>
        </w:rPr>
        <w:t>中报价</w:t>
      </w:r>
      <w:r>
        <w:rPr>
          <w:rFonts w:hint="eastAsia"/>
          <w:sz w:val="24"/>
          <w:highlight w:val="none"/>
        </w:rPr>
        <w:t>总</w:t>
      </w:r>
      <w:r>
        <w:rPr>
          <w:sz w:val="24"/>
          <w:highlight w:val="none"/>
        </w:rPr>
        <w:t>表内容与</w:t>
      </w:r>
      <w:r>
        <w:rPr>
          <w:rFonts w:hint="eastAsia"/>
          <w:sz w:val="24"/>
          <w:highlight w:val="none"/>
        </w:rPr>
        <w:t>响应文件</w:t>
      </w:r>
      <w:r>
        <w:rPr>
          <w:sz w:val="24"/>
          <w:highlight w:val="none"/>
        </w:rPr>
        <w:t>中相应内容不一致的，以</w:t>
      </w:r>
      <w:r>
        <w:rPr>
          <w:rFonts w:hint="eastAsia"/>
          <w:sz w:val="24"/>
          <w:highlight w:val="none"/>
        </w:rPr>
        <w:t>报价总表</w:t>
      </w:r>
      <w:r>
        <w:rPr>
          <w:sz w:val="24"/>
          <w:highlight w:val="none"/>
        </w:rPr>
        <w:t>为准；</w:t>
      </w:r>
    </w:p>
    <w:p>
      <w:pPr>
        <w:snapToGrid w:val="0"/>
        <w:spacing w:line="480" w:lineRule="exact"/>
        <w:ind w:firstLine="480" w:firstLineChars="200"/>
        <w:rPr>
          <w:sz w:val="24"/>
          <w:highlight w:val="none"/>
        </w:rPr>
      </w:pPr>
      <w:r>
        <w:rPr>
          <w:sz w:val="24"/>
          <w:highlight w:val="none"/>
        </w:rPr>
        <w:t>2、大写金额和小写金额不一致的，以大写金额为准；</w:t>
      </w:r>
    </w:p>
    <w:p>
      <w:pPr>
        <w:snapToGrid w:val="0"/>
        <w:spacing w:line="480" w:lineRule="exact"/>
        <w:ind w:firstLine="480" w:firstLineChars="200"/>
        <w:rPr>
          <w:sz w:val="24"/>
          <w:highlight w:val="none"/>
        </w:rPr>
      </w:pPr>
      <w:r>
        <w:rPr>
          <w:sz w:val="24"/>
          <w:highlight w:val="none"/>
        </w:rPr>
        <w:t>3、单价金额小数点或者百分比有明显错位的，以</w:t>
      </w:r>
      <w:r>
        <w:rPr>
          <w:rFonts w:hint="eastAsia"/>
          <w:sz w:val="24"/>
          <w:highlight w:val="none"/>
        </w:rPr>
        <w:t>报价总表</w:t>
      </w:r>
      <w:r>
        <w:rPr>
          <w:sz w:val="24"/>
          <w:highlight w:val="none"/>
        </w:rPr>
        <w:t>的总价为准，并修改单价；</w:t>
      </w:r>
    </w:p>
    <w:p>
      <w:pPr>
        <w:snapToGrid w:val="0"/>
        <w:spacing w:line="480" w:lineRule="exact"/>
        <w:ind w:firstLine="480" w:firstLineChars="200"/>
        <w:rPr>
          <w:sz w:val="24"/>
          <w:highlight w:val="none"/>
        </w:rPr>
      </w:pPr>
      <w:r>
        <w:rPr>
          <w:sz w:val="24"/>
          <w:highlight w:val="none"/>
        </w:rPr>
        <w:t>4、总价金额与按单价汇总金额不一致的，以单价金额计算结果为准。</w:t>
      </w:r>
    </w:p>
    <w:p>
      <w:pPr>
        <w:snapToGrid w:val="0"/>
        <w:spacing w:line="480" w:lineRule="exact"/>
        <w:ind w:firstLine="480" w:firstLineChars="200"/>
        <w:rPr>
          <w:sz w:val="24"/>
          <w:highlight w:val="none"/>
        </w:rPr>
      </w:pPr>
      <w:r>
        <w:rPr>
          <w:sz w:val="24"/>
          <w:highlight w:val="none"/>
        </w:rPr>
        <w:t>同时出现两种以上不一致的，按照前款规定的顺序修正。修正后的报价按照财政部第87号令第五十一条第二款的规定经</w:t>
      </w:r>
      <w:r>
        <w:rPr>
          <w:rFonts w:hint="eastAsia"/>
          <w:sz w:val="24"/>
          <w:highlight w:val="none"/>
        </w:rPr>
        <w:t>供应商</w:t>
      </w:r>
      <w:r>
        <w:rPr>
          <w:sz w:val="24"/>
          <w:highlight w:val="none"/>
        </w:rPr>
        <w:t>确认后产生约束力，</w:t>
      </w:r>
      <w:r>
        <w:rPr>
          <w:rFonts w:hint="eastAsia"/>
          <w:sz w:val="24"/>
          <w:highlight w:val="none"/>
        </w:rPr>
        <w:t>供应商</w:t>
      </w:r>
      <w:r>
        <w:rPr>
          <w:sz w:val="24"/>
          <w:highlight w:val="none"/>
        </w:rPr>
        <w:t>不确认的，其</w:t>
      </w:r>
      <w:r>
        <w:rPr>
          <w:rFonts w:hint="eastAsia"/>
          <w:sz w:val="24"/>
          <w:highlight w:val="none"/>
        </w:rPr>
        <w:t>响应</w:t>
      </w:r>
      <w:r>
        <w:rPr>
          <w:sz w:val="24"/>
          <w:highlight w:val="none"/>
        </w:rPr>
        <w:t>无效。</w:t>
      </w:r>
    </w:p>
    <w:p>
      <w:pPr>
        <w:tabs>
          <w:tab w:val="left" w:pos="3585"/>
        </w:tabs>
        <w:snapToGrid w:val="0"/>
        <w:spacing w:line="480" w:lineRule="exact"/>
        <w:ind w:firstLine="480" w:firstLineChars="200"/>
        <w:rPr>
          <w:b/>
          <w:bCs/>
          <w:sz w:val="24"/>
          <w:highlight w:val="none"/>
        </w:rPr>
      </w:pPr>
      <w:r>
        <w:rPr>
          <w:rFonts w:hint="eastAsia"/>
          <w:b/>
          <w:bCs/>
          <w:sz w:val="24"/>
          <w:highlight w:val="none"/>
        </w:rPr>
        <w:t>三、</w:t>
      </w:r>
      <w:r>
        <w:rPr>
          <w:rFonts w:hint="eastAsia"/>
          <w:b/>
          <w:sz w:val="24"/>
          <w:highlight w:val="none"/>
        </w:rPr>
        <w:t>陈述、演示、</w:t>
      </w:r>
      <w:r>
        <w:rPr>
          <w:rFonts w:hint="eastAsia"/>
          <w:b/>
          <w:bCs/>
          <w:sz w:val="24"/>
          <w:highlight w:val="none"/>
        </w:rPr>
        <w:t>答疑、澄清</w:t>
      </w:r>
    </w:p>
    <w:p>
      <w:pPr>
        <w:snapToGrid w:val="0"/>
        <w:spacing w:line="480" w:lineRule="exact"/>
        <w:ind w:firstLine="570"/>
        <w:rPr>
          <w:b/>
          <w:sz w:val="24"/>
          <w:highlight w:val="none"/>
        </w:rPr>
      </w:pPr>
      <w:r>
        <w:rPr>
          <w:rFonts w:hint="eastAsia"/>
          <w:sz w:val="24"/>
          <w:highlight w:val="none"/>
          <w:shd w:val="clear" w:color="auto" w:fill="FFFFFF"/>
        </w:rPr>
        <w:t>如磋商小组认为有必要，供应商按磋商小组的要求作陈述、演示、</w:t>
      </w:r>
      <w:r>
        <w:rPr>
          <w:rFonts w:hint="eastAsia"/>
          <w:sz w:val="24"/>
          <w:highlight w:val="none"/>
        </w:rPr>
        <w:t>答疑及澄清其响应内容。时间由磋商小组掌握。</w:t>
      </w:r>
    </w:p>
    <w:p>
      <w:pPr>
        <w:snapToGrid w:val="0"/>
        <w:spacing w:line="480" w:lineRule="exact"/>
        <w:ind w:firstLine="570"/>
        <w:rPr>
          <w:sz w:val="24"/>
          <w:highlight w:val="none"/>
        </w:rPr>
      </w:pPr>
      <w:r>
        <w:rPr>
          <w:rFonts w:hint="eastAsia"/>
          <w:sz w:val="24"/>
          <w:highlight w:val="none"/>
        </w:rPr>
        <w:t>重要澄清答复应是书面的，但不得对响应内容进行实质性修改。</w:t>
      </w:r>
    </w:p>
    <w:p>
      <w:pPr>
        <w:snapToGrid w:val="0"/>
        <w:spacing w:line="480" w:lineRule="exact"/>
        <w:ind w:firstLine="570"/>
        <w:rPr>
          <w:b/>
          <w:sz w:val="24"/>
          <w:highlight w:val="none"/>
        </w:rPr>
      </w:pPr>
      <w:r>
        <w:rPr>
          <w:rFonts w:hint="eastAsia"/>
          <w:b/>
          <w:sz w:val="24"/>
          <w:highlight w:val="none"/>
        </w:rPr>
        <w:t>四、出现下列情形之一的，作无效响应处理</w:t>
      </w:r>
    </w:p>
    <w:p>
      <w:pPr>
        <w:snapToGrid w:val="0"/>
        <w:spacing w:line="480" w:lineRule="exact"/>
        <w:ind w:firstLine="480" w:firstLineChars="200"/>
        <w:rPr>
          <w:sz w:val="24"/>
          <w:highlight w:val="none"/>
        </w:rPr>
      </w:pPr>
      <w:r>
        <w:rPr>
          <w:rFonts w:hint="eastAsia"/>
          <w:sz w:val="24"/>
          <w:highlight w:val="none"/>
        </w:rPr>
        <w:t>1、响应文件</w:t>
      </w:r>
      <w:r>
        <w:rPr>
          <w:sz w:val="24"/>
          <w:highlight w:val="none"/>
        </w:rPr>
        <w:t>未按</w:t>
      </w:r>
      <w:r>
        <w:rPr>
          <w:rFonts w:hint="eastAsia"/>
          <w:sz w:val="24"/>
          <w:highlight w:val="none"/>
        </w:rPr>
        <w:t>采购文件</w:t>
      </w:r>
      <w:r>
        <w:rPr>
          <w:sz w:val="24"/>
          <w:highlight w:val="none"/>
        </w:rPr>
        <w:t>要求密封、签署、盖章及主要资料不齐全</w:t>
      </w:r>
      <w:r>
        <w:rPr>
          <w:rFonts w:hint="eastAsia"/>
          <w:sz w:val="24"/>
          <w:highlight w:val="none"/>
        </w:rPr>
        <w:t>或加</w:t>
      </w:r>
      <w:r>
        <w:rPr>
          <w:sz w:val="24"/>
          <w:highlight w:val="none"/>
        </w:rPr>
        <w:t>盖电子签章</w:t>
      </w:r>
      <w:r>
        <w:rPr>
          <w:rFonts w:hint="eastAsia"/>
          <w:sz w:val="24"/>
          <w:highlight w:val="none"/>
        </w:rPr>
        <w:t>；</w:t>
      </w:r>
    </w:p>
    <w:p>
      <w:pPr>
        <w:snapToGrid w:val="0"/>
        <w:spacing w:line="480" w:lineRule="exact"/>
        <w:ind w:firstLine="480" w:firstLineChars="200"/>
        <w:rPr>
          <w:sz w:val="24"/>
          <w:highlight w:val="none"/>
        </w:rPr>
      </w:pPr>
      <w:r>
        <w:rPr>
          <w:rFonts w:hint="eastAsia"/>
          <w:sz w:val="24"/>
          <w:highlight w:val="none"/>
        </w:rPr>
        <w:t>2、供应商</w:t>
      </w:r>
      <w:r>
        <w:rPr>
          <w:sz w:val="24"/>
          <w:highlight w:val="none"/>
        </w:rPr>
        <w:t>在”鸿雁不见面交易系统”规定的时间内未成功解密电子</w:t>
      </w:r>
      <w:r>
        <w:rPr>
          <w:rFonts w:hint="eastAsia"/>
          <w:sz w:val="24"/>
          <w:highlight w:val="none"/>
        </w:rPr>
        <w:t>响应文件</w:t>
      </w:r>
      <w:r>
        <w:rPr>
          <w:sz w:val="24"/>
          <w:highlight w:val="none"/>
        </w:rPr>
        <w:t>的</w:t>
      </w:r>
      <w:r>
        <w:rPr>
          <w:rFonts w:hint="eastAsia"/>
          <w:sz w:val="24"/>
          <w:highlight w:val="none"/>
          <w:lang w:eastAsia="zh-CN"/>
        </w:rPr>
        <w:t>（</w:t>
      </w:r>
      <w:r>
        <w:rPr>
          <w:rFonts w:hint="eastAsia"/>
          <w:sz w:val="24"/>
          <w:highlight w:val="none"/>
          <w:lang w:val="en-US" w:eastAsia="zh-CN"/>
        </w:rPr>
        <w:t>本项目不适用）</w:t>
      </w:r>
      <w:r>
        <w:rPr>
          <w:rFonts w:hint="eastAsia"/>
          <w:sz w:val="24"/>
          <w:highlight w:val="none"/>
        </w:rPr>
        <w:t>；</w:t>
      </w:r>
    </w:p>
    <w:p>
      <w:pPr>
        <w:snapToGrid w:val="0"/>
        <w:spacing w:line="480" w:lineRule="exact"/>
        <w:ind w:firstLine="480" w:firstLineChars="200"/>
        <w:rPr>
          <w:sz w:val="24"/>
          <w:highlight w:val="none"/>
        </w:rPr>
      </w:pPr>
      <w:r>
        <w:rPr>
          <w:rFonts w:hint="eastAsia"/>
          <w:sz w:val="24"/>
          <w:highlight w:val="none"/>
        </w:rPr>
        <w:t>3、</w:t>
      </w:r>
      <w:r>
        <w:rPr>
          <w:sz w:val="24"/>
          <w:highlight w:val="none"/>
        </w:rPr>
        <w:t>未完整上传</w:t>
      </w:r>
      <w:r>
        <w:rPr>
          <w:rFonts w:hint="eastAsia"/>
          <w:sz w:val="24"/>
          <w:highlight w:val="none"/>
        </w:rPr>
        <w:t>响应文件</w:t>
      </w:r>
      <w:r>
        <w:rPr>
          <w:sz w:val="24"/>
          <w:highlight w:val="none"/>
        </w:rPr>
        <w:t>电子文档的，或上传的文件打不开的</w:t>
      </w:r>
      <w:r>
        <w:rPr>
          <w:rFonts w:hint="eastAsia"/>
          <w:sz w:val="24"/>
          <w:highlight w:val="none"/>
          <w:lang w:eastAsia="zh-CN"/>
        </w:rPr>
        <w:t>（</w:t>
      </w:r>
      <w:r>
        <w:rPr>
          <w:rFonts w:hint="eastAsia"/>
          <w:sz w:val="24"/>
          <w:highlight w:val="none"/>
          <w:lang w:val="en-US" w:eastAsia="zh-CN"/>
        </w:rPr>
        <w:t>本项目不适用）</w:t>
      </w:r>
      <w:r>
        <w:rPr>
          <w:rFonts w:hint="eastAsia"/>
          <w:sz w:val="24"/>
          <w:highlight w:val="none"/>
        </w:rPr>
        <w:t>；</w:t>
      </w:r>
    </w:p>
    <w:p>
      <w:pPr>
        <w:snapToGrid w:val="0"/>
        <w:spacing w:line="480" w:lineRule="exact"/>
        <w:ind w:firstLine="480" w:firstLineChars="200"/>
        <w:rPr>
          <w:sz w:val="24"/>
          <w:highlight w:val="none"/>
        </w:rPr>
      </w:pPr>
      <w:r>
        <w:rPr>
          <w:rFonts w:hint="eastAsia"/>
          <w:sz w:val="24"/>
          <w:highlight w:val="none"/>
        </w:rPr>
        <w:t>4、</w:t>
      </w:r>
      <w:r>
        <w:rPr>
          <w:sz w:val="24"/>
          <w:highlight w:val="none"/>
        </w:rPr>
        <w:t>不具备</w:t>
      </w:r>
      <w:r>
        <w:rPr>
          <w:rFonts w:hint="eastAsia"/>
          <w:sz w:val="24"/>
          <w:highlight w:val="none"/>
        </w:rPr>
        <w:t>采购文件</w:t>
      </w:r>
      <w:r>
        <w:rPr>
          <w:sz w:val="24"/>
          <w:highlight w:val="none"/>
        </w:rPr>
        <w:t>中规定的资格要求的</w:t>
      </w:r>
      <w:r>
        <w:rPr>
          <w:rFonts w:hint="eastAsia"/>
          <w:sz w:val="24"/>
          <w:highlight w:val="none"/>
        </w:rPr>
        <w:t>；</w:t>
      </w:r>
    </w:p>
    <w:p>
      <w:pPr>
        <w:snapToGrid w:val="0"/>
        <w:spacing w:line="480" w:lineRule="exact"/>
        <w:ind w:firstLine="480" w:firstLineChars="200"/>
        <w:rPr>
          <w:sz w:val="24"/>
          <w:highlight w:val="none"/>
        </w:rPr>
      </w:pPr>
      <w:r>
        <w:rPr>
          <w:rFonts w:hint="eastAsia"/>
          <w:sz w:val="24"/>
          <w:highlight w:val="none"/>
        </w:rPr>
        <w:t>5、</w:t>
      </w:r>
      <w:r>
        <w:rPr>
          <w:sz w:val="24"/>
          <w:highlight w:val="none"/>
        </w:rPr>
        <w:t>未通过符合性检查的；</w:t>
      </w:r>
    </w:p>
    <w:p>
      <w:pPr>
        <w:snapToGrid w:val="0"/>
        <w:spacing w:line="480" w:lineRule="exact"/>
        <w:ind w:firstLine="480" w:firstLineChars="200"/>
        <w:rPr>
          <w:sz w:val="24"/>
          <w:highlight w:val="none"/>
        </w:rPr>
      </w:pPr>
      <w:r>
        <w:rPr>
          <w:rFonts w:hint="eastAsia"/>
          <w:sz w:val="24"/>
          <w:highlight w:val="none"/>
        </w:rPr>
        <w:t>6、</w:t>
      </w:r>
      <w:r>
        <w:rPr>
          <w:sz w:val="24"/>
          <w:highlight w:val="none"/>
        </w:rPr>
        <w:t>报价超过</w:t>
      </w:r>
      <w:r>
        <w:rPr>
          <w:rFonts w:hint="eastAsia"/>
          <w:sz w:val="24"/>
          <w:highlight w:val="none"/>
        </w:rPr>
        <w:t>采购文件</w:t>
      </w:r>
      <w:r>
        <w:rPr>
          <w:sz w:val="24"/>
          <w:highlight w:val="none"/>
        </w:rPr>
        <w:t>中规定的预算金额或者最高限价的；</w:t>
      </w:r>
    </w:p>
    <w:p>
      <w:pPr>
        <w:snapToGrid w:val="0"/>
        <w:spacing w:line="480" w:lineRule="exact"/>
        <w:ind w:firstLine="480" w:firstLineChars="200"/>
        <w:rPr>
          <w:sz w:val="24"/>
          <w:highlight w:val="none"/>
        </w:rPr>
      </w:pPr>
      <w:r>
        <w:rPr>
          <w:rFonts w:hint="eastAsia"/>
          <w:sz w:val="24"/>
          <w:highlight w:val="none"/>
        </w:rPr>
        <w:t>7、</w:t>
      </w:r>
      <w:r>
        <w:rPr>
          <w:sz w:val="24"/>
          <w:highlight w:val="none"/>
        </w:rPr>
        <w:t>同一</w:t>
      </w:r>
      <w:r>
        <w:rPr>
          <w:rFonts w:hint="eastAsia"/>
          <w:sz w:val="24"/>
          <w:highlight w:val="none"/>
        </w:rPr>
        <w:t>供应商</w:t>
      </w:r>
      <w:r>
        <w:rPr>
          <w:sz w:val="24"/>
          <w:highlight w:val="none"/>
        </w:rPr>
        <w:t>提交两个（含两个）以上不同的</w:t>
      </w:r>
      <w:r>
        <w:rPr>
          <w:rFonts w:hint="eastAsia"/>
          <w:sz w:val="24"/>
          <w:highlight w:val="none"/>
        </w:rPr>
        <w:t>响应</w:t>
      </w:r>
      <w:r>
        <w:rPr>
          <w:sz w:val="24"/>
          <w:highlight w:val="none"/>
        </w:rPr>
        <w:t>报价的</w:t>
      </w:r>
      <w:r>
        <w:rPr>
          <w:rFonts w:hint="eastAsia"/>
          <w:sz w:val="24"/>
          <w:highlight w:val="none"/>
        </w:rPr>
        <w:t>；</w:t>
      </w:r>
    </w:p>
    <w:p>
      <w:pPr>
        <w:snapToGrid w:val="0"/>
        <w:spacing w:line="480" w:lineRule="exact"/>
        <w:ind w:firstLine="480" w:firstLineChars="200"/>
        <w:rPr>
          <w:sz w:val="24"/>
          <w:highlight w:val="none"/>
        </w:rPr>
      </w:pPr>
      <w:r>
        <w:rPr>
          <w:rFonts w:hint="eastAsia"/>
          <w:sz w:val="24"/>
          <w:highlight w:val="none"/>
        </w:rPr>
        <w:t>8、报价文件出现在其他响应文件中的；</w:t>
      </w:r>
    </w:p>
    <w:p>
      <w:pPr>
        <w:snapToGrid w:val="0"/>
        <w:spacing w:line="480" w:lineRule="exact"/>
        <w:ind w:firstLine="480" w:firstLineChars="200"/>
        <w:rPr>
          <w:sz w:val="24"/>
          <w:highlight w:val="none"/>
        </w:rPr>
      </w:pPr>
      <w:r>
        <w:rPr>
          <w:rFonts w:hint="eastAsia"/>
          <w:sz w:val="24"/>
          <w:highlight w:val="none"/>
        </w:rPr>
        <w:t>9、响应文件</w:t>
      </w:r>
      <w:r>
        <w:rPr>
          <w:sz w:val="24"/>
          <w:highlight w:val="none"/>
        </w:rPr>
        <w:t>含有采购人不能接受的附加条件的；</w:t>
      </w:r>
    </w:p>
    <w:p>
      <w:pPr>
        <w:snapToGrid w:val="0"/>
        <w:spacing w:line="480" w:lineRule="exact"/>
        <w:ind w:firstLine="480" w:firstLineChars="200"/>
        <w:rPr>
          <w:sz w:val="24"/>
          <w:highlight w:val="none"/>
        </w:rPr>
      </w:pPr>
      <w:r>
        <w:rPr>
          <w:rFonts w:hint="eastAsia"/>
          <w:sz w:val="24"/>
          <w:highlight w:val="none"/>
        </w:rPr>
        <w:t>10、</w:t>
      </w:r>
      <w:r>
        <w:rPr>
          <w:sz w:val="24"/>
          <w:highlight w:val="none"/>
        </w:rPr>
        <w:t>不符合</w:t>
      </w:r>
      <w:r>
        <w:rPr>
          <w:rFonts w:hint="eastAsia"/>
          <w:sz w:val="24"/>
          <w:highlight w:val="none"/>
        </w:rPr>
        <w:t>采购文件</w:t>
      </w:r>
      <w:r>
        <w:rPr>
          <w:sz w:val="24"/>
          <w:highlight w:val="none"/>
        </w:rPr>
        <w:t>中规定的其他实质性要求</w:t>
      </w:r>
      <w:r>
        <w:rPr>
          <w:rFonts w:hint="eastAsia"/>
          <w:sz w:val="24"/>
          <w:highlight w:val="none"/>
        </w:rPr>
        <w:t>和条件的；</w:t>
      </w:r>
    </w:p>
    <w:p>
      <w:pPr>
        <w:snapToGrid w:val="0"/>
        <w:spacing w:line="480" w:lineRule="exact"/>
        <w:ind w:firstLine="480" w:firstLineChars="200"/>
        <w:rPr>
          <w:sz w:val="24"/>
          <w:highlight w:val="none"/>
        </w:rPr>
      </w:pPr>
      <w:r>
        <w:rPr>
          <w:rFonts w:hint="eastAsia"/>
          <w:sz w:val="24"/>
          <w:highlight w:val="none"/>
        </w:rPr>
        <w:t>11、供应商的商务技术部分得分相差悬殊，磋商小组认为得分畸低者没有实质性响应的；</w:t>
      </w:r>
    </w:p>
    <w:p>
      <w:pPr>
        <w:snapToGrid w:val="0"/>
        <w:spacing w:line="480" w:lineRule="exact"/>
        <w:ind w:firstLine="480" w:firstLineChars="200"/>
        <w:rPr>
          <w:sz w:val="24"/>
          <w:highlight w:val="none"/>
        </w:rPr>
      </w:pPr>
      <w:r>
        <w:rPr>
          <w:rFonts w:hint="eastAsia"/>
          <w:sz w:val="24"/>
          <w:highlight w:val="none"/>
        </w:rPr>
        <w:t>12、响应供应商未在规定时间内提交最后报价的；</w:t>
      </w:r>
    </w:p>
    <w:p>
      <w:pPr>
        <w:snapToGrid w:val="0"/>
        <w:spacing w:line="480" w:lineRule="exact"/>
        <w:ind w:firstLine="480" w:firstLineChars="200"/>
        <w:rPr>
          <w:sz w:val="24"/>
          <w:highlight w:val="none"/>
        </w:rPr>
      </w:pPr>
      <w:r>
        <w:rPr>
          <w:rFonts w:hint="eastAsia"/>
          <w:sz w:val="24"/>
          <w:highlight w:val="none"/>
        </w:rPr>
        <w:t>13、磋商小组</w:t>
      </w:r>
      <w:r>
        <w:rPr>
          <w:sz w:val="24"/>
          <w:highlight w:val="none"/>
        </w:rPr>
        <w:t>认为</w:t>
      </w:r>
      <w:r>
        <w:rPr>
          <w:rFonts w:hint="eastAsia"/>
          <w:sz w:val="24"/>
          <w:highlight w:val="none"/>
        </w:rPr>
        <w:t>供应商</w:t>
      </w:r>
      <w:r>
        <w:rPr>
          <w:sz w:val="24"/>
          <w:highlight w:val="none"/>
        </w:rPr>
        <w:t>的报价明显低于其他通过符合性审查</w:t>
      </w:r>
      <w:r>
        <w:rPr>
          <w:rFonts w:hint="eastAsia"/>
          <w:sz w:val="24"/>
          <w:highlight w:val="none"/>
        </w:rPr>
        <w:t>供应商</w:t>
      </w:r>
      <w:r>
        <w:rPr>
          <w:sz w:val="24"/>
          <w:highlight w:val="none"/>
        </w:rPr>
        <w:t>的报价，有可能影响产品质量或者不能诚信履约的，要求其在合理的时间内提供说明，必要时提交相关证明材料；</w:t>
      </w:r>
      <w:r>
        <w:rPr>
          <w:rFonts w:hint="eastAsia"/>
          <w:sz w:val="24"/>
          <w:highlight w:val="none"/>
        </w:rPr>
        <w:t>供应商</w:t>
      </w:r>
      <w:r>
        <w:rPr>
          <w:sz w:val="24"/>
          <w:highlight w:val="none"/>
        </w:rPr>
        <w:t>不能证明其报价合理性的，</w:t>
      </w:r>
      <w:r>
        <w:rPr>
          <w:rFonts w:hint="eastAsia"/>
          <w:sz w:val="24"/>
          <w:highlight w:val="none"/>
        </w:rPr>
        <w:t>磋商小组</w:t>
      </w:r>
      <w:r>
        <w:rPr>
          <w:sz w:val="24"/>
          <w:highlight w:val="none"/>
        </w:rPr>
        <w:t>应当将其作为无效</w:t>
      </w:r>
      <w:r>
        <w:rPr>
          <w:rFonts w:hint="eastAsia"/>
          <w:sz w:val="24"/>
          <w:highlight w:val="none"/>
        </w:rPr>
        <w:t>响应</w:t>
      </w:r>
      <w:r>
        <w:rPr>
          <w:sz w:val="24"/>
          <w:highlight w:val="none"/>
        </w:rPr>
        <w:t>处理</w:t>
      </w:r>
      <w:r>
        <w:rPr>
          <w:rFonts w:hint="eastAsia"/>
          <w:sz w:val="24"/>
          <w:highlight w:val="none"/>
        </w:rPr>
        <w:t>；</w:t>
      </w:r>
    </w:p>
    <w:p>
      <w:pPr>
        <w:snapToGrid w:val="0"/>
        <w:spacing w:line="480" w:lineRule="exact"/>
        <w:ind w:firstLine="480" w:firstLineChars="200"/>
        <w:rPr>
          <w:sz w:val="24"/>
          <w:highlight w:val="none"/>
        </w:rPr>
      </w:pPr>
      <w:r>
        <w:rPr>
          <w:rFonts w:hint="eastAsia"/>
          <w:sz w:val="24"/>
          <w:highlight w:val="none"/>
        </w:rPr>
        <w:t>14、供应商</w:t>
      </w:r>
      <w:r>
        <w:rPr>
          <w:sz w:val="24"/>
          <w:highlight w:val="none"/>
        </w:rPr>
        <w:t>被 “信用中国”网站（www.creditchina.gov.cn）</w:t>
      </w:r>
      <w:r>
        <w:rPr>
          <w:rFonts w:hint="eastAsia"/>
          <w:sz w:val="24"/>
          <w:highlight w:val="none"/>
        </w:rPr>
        <w:t>、“中国政府采购网”（www.ccgp.gov.cn）</w:t>
      </w:r>
      <w:r>
        <w:rPr>
          <w:sz w:val="24"/>
          <w:highlight w:val="none"/>
        </w:rPr>
        <w:t>列入失信被执行人或重大税收违法案件当事人名单或政府采购严重失信行为记录名单。或查询“信用中国”</w:t>
      </w:r>
      <w:r>
        <w:rPr>
          <w:rFonts w:hint="eastAsia"/>
          <w:sz w:val="24"/>
          <w:highlight w:val="none"/>
        </w:rPr>
        <w:t>、“中国政府采购网”等</w:t>
      </w:r>
      <w:r>
        <w:rPr>
          <w:sz w:val="24"/>
          <w:highlight w:val="none"/>
        </w:rPr>
        <w:t>网站后发现</w:t>
      </w:r>
      <w:r>
        <w:rPr>
          <w:rFonts w:hint="eastAsia"/>
          <w:sz w:val="24"/>
          <w:highlight w:val="none"/>
        </w:rPr>
        <w:t>供应商</w:t>
      </w:r>
      <w:r>
        <w:rPr>
          <w:sz w:val="24"/>
          <w:highlight w:val="none"/>
        </w:rPr>
        <w:t>存在其他不符合《中华人民共和国政府采购法》第二十二条规定条件的信用记录</w:t>
      </w:r>
      <w:r>
        <w:rPr>
          <w:rFonts w:hint="eastAsia"/>
          <w:sz w:val="24"/>
          <w:highlight w:val="none"/>
        </w:rPr>
        <w:t>；</w:t>
      </w:r>
    </w:p>
    <w:p>
      <w:pPr>
        <w:snapToGrid w:val="0"/>
        <w:spacing w:line="480" w:lineRule="exact"/>
        <w:ind w:firstLine="480" w:firstLineChars="200"/>
        <w:rPr>
          <w:sz w:val="24"/>
          <w:highlight w:val="none"/>
        </w:rPr>
      </w:pPr>
      <w:r>
        <w:rPr>
          <w:rFonts w:hint="eastAsia"/>
          <w:sz w:val="24"/>
          <w:highlight w:val="none"/>
        </w:rPr>
        <w:t>15、</w:t>
      </w:r>
      <w:r>
        <w:rPr>
          <w:sz w:val="24"/>
          <w:highlight w:val="none"/>
        </w:rPr>
        <w:t>本项目采购产品</w:t>
      </w:r>
      <w:r>
        <w:rPr>
          <w:rFonts w:hint="eastAsia"/>
          <w:sz w:val="24"/>
          <w:highlight w:val="none"/>
        </w:rPr>
        <w:t>被列入</w:t>
      </w:r>
      <w:r>
        <w:rPr>
          <w:rFonts w:hint="eastAsia"/>
          <w:sz w:val="24"/>
          <w:highlight w:val="none"/>
          <w:lang w:val="zh-CN"/>
        </w:rPr>
        <w:t>政府采购节能产品、环境标志产品实施品目清单</w:t>
      </w:r>
      <w:r>
        <w:rPr>
          <w:rFonts w:hint="eastAsia"/>
          <w:sz w:val="24"/>
          <w:highlight w:val="none"/>
        </w:rPr>
        <w:t>强制采购范围</w:t>
      </w:r>
      <w:r>
        <w:rPr>
          <w:sz w:val="24"/>
          <w:highlight w:val="none"/>
        </w:rPr>
        <w:t>，而</w:t>
      </w:r>
      <w:r>
        <w:rPr>
          <w:rFonts w:hint="eastAsia"/>
          <w:sz w:val="24"/>
          <w:highlight w:val="none"/>
        </w:rPr>
        <w:t>供应商</w:t>
      </w:r>
      <w:r>
        <w:rPr>
          <w:sz w:val="24"/>
          <w:highlight w:val="none"/>
        </w:rPr>
        <w:t>所投产品不在强制采购范围内的</w:t>
      </w:r>
      <w:r>
        <w:rPr>
          <w:rFonts w:hint="eastAsia"/>
          <w:sz w:val="24"/>
          <w:highlight w:val="none"/>
        </w:rPr>
        <w:t>；</w:t>
      </w:r>
    </w:p>
    <w:p>
      <w:pPr>
        <w:snapToGrid w:val="0"/>
        <w:spacing w:line="480" w:lineRule="exact"/>
        <w:ind w:firstLine="480" w:firstLineChars="200"/>
        <w:rPr>
          <w:sz w:val="24"/>
          <w:highlight w:val="none"/>
        </w:rPr>
      </w:pPr>
      <w:r>
        <w:rPr>
          <w:rFonts w:hint="eastAsia"/>
          <w:sz w:val="24"/>
          <w:highlight w:val="none"/>
        </w:rPr>
        <w:t>16、不</w:t>
      </w:r>
      <w:r>
        <w:rPr>
          <w:sz w:val="24"/>
          <w:highlight w:val="none"/>
        </w:rPr>
        <w:t>同的</w:t>
      </w:r>
      <w:r>
        <w:rPr>
          <w:rFonts w:hint="eastAsia"/>
          <w:sz w:val="24"/>
          <w:highlight w:val="none"/>
        </w:rPr>
        <w:t>供应商响应文件</w:t>
      </w:r>
      <w:r>
        <w:rPr>
          <w:sz w:val="24"/>
          <w:highlight w:val="none"/>
        </w:rPr>
        <w:t>制作机器码、文件创建标识码一致的</w:t>
      </w:r>
      <w:r>
        <w:rPr>
          <w:rFonts w:hint="eastAsia"/>
          <w:sz w:val="24"/>
          <w:highlight w:val="none"/>
        </w:rPr>
        <w:t>；</w:t>
      </w:r>
    </w:p>
    <w:p>
      <w:pPr>
        <w:snapToGrid w:val="0"/>
        <w:spacing w:line="480" w:lineRule="exact"/>
        <w:ind w:firstLine="480" w:firstLineChars="200"/>
        <w:rPr>
          <w:sz w:val="24"/>
          <w:highlight w:val="none"/>
        </w:rPr>
      </w:pPr>
      <w:r>
        <w:rPr>
          <w:rFonts w:hint="eastAsia"/>
          <w:sz w:val="24"/>
          <w:highlight w:val="none"/>
        </w:rPr>
        <w:t>17、</w:t>
      </w:r>
      <w:r>
        <w:rPr>
          <w:sz w:val="24"/>
          <w:highlight w:val="none"/>
        </w:rPr>
        <w:t>其他法律、法规及本</w:t>
      </w:r>
      <w:r>
        <w:rPr>
          <w:rFonts w:hint="eastAsia"/>
          <w:sz w:val="24"/>
          <w:highlight w:val="none"/>
        </w:rPr>
        <w:t>采购文件</w:t>
      </w:r>
      <w:r>
        <w:rPr>
          <w:sz w:val="24"/>
          <w:highlight w:val="none"/>
        </w:rPr>
        <w:t>规定的属无效</w:t>
      </w:r>
      <w:r>
        <w:rPr>
          <w:rFonts w:hint="eastAsia"/>
          <w:sz w:val="24"/>
          <w:highlight w:val="none"/>
        </w:rPr>
        <w:t>响应</w:t>
      </w:r>
      <w:r>
        <w:rPr>
          <w:sz w:val="24"/>
          <w:highlight w:val="none"/>
        </w:rPr>
        <w:t>的情形。</w:t>
      </w:r>
      <w:r>
        <w:rPr>
          <w:rFonts w:hint="eastAsia"/>
          <w:sz w:val="24"/>
          <w:highlight w:val="none"/>
        </w:rPr>
        <w:t xml:space="preserve">            </w:t>
      </w:r>
    </w:p>
    <w:p>
      <w:pPr>
        <w:snapToGrid w:val="0"/>
        <w:spacing w:line="480" w:lineRule="exact"/>
        <w:ind w:firstLine="570"/>
        <w:rPr>
          <w:b/>
          <w:sz w:val="24"/>
          <w:highlight w:val="none"/>
        </w:rPr>
      </w:pPr>
      <w:r>
        <w:rPr>
          <w:rFonts w:hint="eastAsia"/>
          <w:b/>
          <w:sz w:val="24"/>
          <w:highlight w:val="none"/>
        </w:rPr>
        <w:t>五、出现下列情形之一的，作废标处理</w:t>
      </w:r>
    </w:p>
    <w:p>
      <w:pPr>
        <w:snapToGrid w:val="0"/>
        <w:spacing w:line="480" w:lineRule="exact"/>
        <w:ind w:firstLine="480" w:firstLineChars="200"/>
        <w:rPr>
          <w:sz w:val="24"/>
          <w:highlight w:val="none"/>
        </w:rPr>
      </w:pPr>
      <w:r>
        <w:rPr>
          <w:sz w:val="24"/>
          <w:highlight w:val="none"/>
        </w:rPr>
        <w:t>1、符合专业条件的</w:t>
      </w:r>
      <w:r>
        <w:rPr>
          <w:rFonts w:hint="eastAsia"/>
          <w:sz w:val="24"/>
          <w:highlight w:val="none"/>
        </w:rPr>
        <w:t>供应商</w:t>
      </w:r>
      <w:r>
        <w:rPr>
          <w:sz w:val="24"/>
          <w:highlight w:val="none"/>
        </w:rPr>
        <w:t>或者对</w:t>
      </w:r>
      <w:r>
        <w:rPr>
          <w:rFonts w:hint="eastAsia"/>
          <w:sz w:val="24"/>
          <w:highlight w:val="none"/>
        </w:rPr>
        <w:t>采购文件</w:t>
      </w:r>
      <w:r>
        <w:rPr>
          <w:sz w:val="24"/>
          <w:highlight w:val="none"/>
        </w:rPr>
        <w:t>作实质响应的</w:t>
      </w:r>
      <w:r>
        <w:rPr>
          <w:rFonts w:hint="eastAsia"/>
          <w:sz w:val="24"/>
          <w:highlight w:val="none"/>
        </w:rPr>
        <w:t>供应商</w:t>
      </w:r>
      <w:r>
        <w:rPr>
          <w:sz w:val="24"/>
          <w:highlight w:val="none"/>
        </w:rPr>
        <w:t>不足</w:t>
      </w:r>
      <w:r>
        <w:rPr>
          <w:sz w:val="24"/>
          <w:highlight w:val="none"/>
          <w:u w:val="single"/>
        </w:rPr>
        <w:t>3</w:t>
      </w:r>
      <w:r>
        <w:rPr>
          <w:sz w:val="24"/>
          <w:highlight w:val="none"/>
        </w:rPr>
        <w:t>家的；</w:t>
      </w:r>
    </w:p>
    <w:p>
      <w:pPr>
        <w:snapToGrid w:val="0"/>
        <w:spacing w:line="480" w:lineRule="exact"/>
        <w:ind w:firstLine="480" w:firstLineChars="200"/>
        <w:rPr>
          <w:sz w:val="24"/>
          <w:highlight w:val="none"/>
        </w:rPr>
      </w:pPr>
      <w:r>
        <w:rPr>
          <w:rFonts w:hint="eastAsia"/>
          <w:sz w:val="24"/>
          <w:highlight w:val="none"/>
        </w:rPr>
        <w:t>2、</w:t>
      </w:r>
      <w:r>
        <w:rPr>
          <w:sz w:val="24"/>
          <w:highlight w:val="none"/>
        </w:rPr>
        <w:t>出现影响采购公正的违法违规行为的；</w:t>
      </w:r>
    </w:p>
    <w:p>
      <w:pPr>
        <w:snapToGrid w:val="0"/>
        <w:spacing w:line="480" w:lineRule="exact"/>
        <w:ind w:firstLine="480" w:firstLineChars="200"/>
        <w:rPr>
          <w:sz w:val="24"/>
          <w:highlight w:val="none"/>
        </w:rPr>
      </w:pPr>
      <w:r>
        <w:rPr>
          <w:sz w:val="24"/>
          <w:highlight w:val="none"/>
        </w:rPr>
        <w:t>3、</w:t>
      </w:r>
      <w:r>
        <w:rPr>
          <w:rFonts w:hint="eastAsia"/>
          <w:sz w:val="24"/>
          <w:highlight w:val="none"/>
        </w:rPr>
        <w:t>供应商</w:t>
      </w:r>
      <w:r>
        <w:rPr>
          <w:sz w:val="24"/>
          <w:highlight w:val="none"/>
        </w:rPr>
        <w:t>的报价均超过了采购预算，采购人不能支付的；</w:t>
      </w:r>
    </w:p>
    <w:p>
      <w:pPr>
        <w:snapToGrid w:val="0"/>
        <w:spacing w:line="480" w:lineRule="exact"/>
        <w:ind w:firstLine="480" w:firstLineChars="200"/>
        <w:rPr>
          <w:sz w:val="24"/>
          <w:highlight w:val="none"/>
        </w:rPr>
      </w:pPr>
      <w:r>
        <w:rPr>
          <w:sz w:val="24"/>
          <w:highlight w:val="none"/>
        </w:rPr>
        <w:t>4、因重大变故，采购任务取消的</w:t>
      </w:r>
      <w:r>
        <w:rPr>
          <w:rFonts w:hint="eastAsia"/>
          <w:sz w:val="24"/>
          <w:highlight w:val="none"/>
        </w:rPr>
        <w:t>；</w:t>
      </w:r>
    </w:p>
    <w:p>
      <w:pPr>
        <w:snapToGrid w:val="0"/>
        <w:spacing w:line="480" w:lineRule="exact"/>
        <w:ind w:firstLine="480" w:firstLineChars="200"/>
        <w:rPr>
          <w:kern w:val="0"/>
          <w:sz w:val="24"/>
          <w:szCs w:val="20"/>
          <w:highlight w:val="none"/>
        </w:rPr>
      </w:pPr>
      <w:r>
        <w:rPr>
          <w:rFonts w:hint="eastAsia"/>
          <w:kern w:val="0"/>
          <w:sz w:val="24"/>
          <w:szCs w:val="20"/>
          <w:highlight w:val="none"/>
        </w:rPr>
        <w:t>5、磋商小组</w:t>
      </w:r>
      <w:r>
        <w:rPr>
          <w:kern w:val="0"/>
          <w:sz w:val="24"/>
          <w:szCs w:val="20"/>
          <w:highlight w:val="none"/>
        </w:rPr>
        <w:t>认定</w:t>
      </w:r>
      <w:r>
        <w:rPr>
          <w:rFonts w:hint="eastAsia"/>
          <w:kern w:val="0"/>
          <w:sz w:val="24"/>
          <w:szCs w:val="20"/>
          <w:highlight w:val="none"/>
        </w:rPr>
        <w:t>采购文件</w:t>
      </w:r>
      <w:r>
        <w:rPr>
          <w:kern w:val="0"/>
          <w:sz w:val="24"/>
          <w:szCs w:val="20"/>
          <w:highlight w:val="none"/>
        </w:rPr>
        <w:t>存在歧义、重大缺陷导致评审工作无法进行</w:t>
      </w:r>
      <w:r>
        <w:rPr>
          <w:rFonts w:hint="eastAsia"/>
          <w:kern w:val="0"/>
          <w:sz w:val="24"/>
          <w:szCs w:val="20"/>
          <w:highlight w:val="none"/>
        </w:rPr>
        <w:t>；</w:t>
      </w:r>
    </w:p>
    <w:p>
      <w:pPr>
        <w:snapToGrid w:val="0"/>
        <w:spacing w:line="480" w:lineRule="exact"/>
        <w:ind w:firstLine="480" w:firstLineChars="200"/>
        <w:rPr>
          <w:kern w:val="0"/>
          <w:sz w:val="24"/>
          <w:szCs w:val="20"/>
          <w:highlight w:val="none"/>
        </w:rPr>
      </w:pPr>
      <w:r>
        <w:rPr>
          <w:rFonts w:hint="eastAsia"/>
          <w:kern w:val="0"/>
          <w:sz w:val="24"/>
          <w:szCs w:val="20"/>
          <w:highlight w:val="none"/>
        </w:rPr>
        <w:t>6、</w:t>
      </w:r>
      <w:r>
        <w:rPr>
          <w:kern w:val="0"/>
          <w:sz w:val="24"/>
          <w:szCs w:val="20"/>
          <w:highlight w:val="none"/>
        </w:rPr>
        <w:t>因系统故障原因造成</w:t>
      </w:r>
      <w:r>
        <w:rPr>
          <w:rFonts w:hint="eastAsia"/>
          <w:kern w:val="0"/>
          <w:sz w:val="24"/>
          <w:szCs w:val="20"/>
          <w:highlight w:val="none"/>
        </w:rPr>
        <w:t>评审工作无法继续进行的</w:t>
      </w:r>
      <w:r>
        <w:rPr>
          <w:kern w:val="0"/>
          <w:sz w:val="24"/>
          <w:szCs w:val="20"/>
          <w:highlight w:val="none"/>
        </w:rPr>
        <w:t>。</w:t>
      </w:r>
    </w:p>
    <w:p>
      <w:pPr>
        <w:snapToGrid w:val="0"/>
        <w:spacing w:line="480" w:lineRule="exact"/>
        <w:ind w:firstLine="555"/>
        <w:rPr>
          <w:sz w:val="24"/>
          <w:highlight w:val="none"/>
        </w:rPr>
      </w:pPr>
      <w:r>
        <w:rPr>
          <w:rFonts w:hint="eastAsia"/>
          <w:sz w:val="24"/>
          <w:highlight w:val="none"/>
        </w:rPr>
        <w:t>上述均保留磋商小组认定可以确定为无效响应或废标的其他情况。</w:t>
      </w:r>
    </w:p>
    <w:p>
      <w:pPr>
        <w:snapToGrid w:val="0"/>
        <w:spacing w:line="480" w:lineRule="exact"/>
        <w:ind w:firstLine="555"/>
        <w:rPr>
          <w:b/>
          <w:sz w:val="24"/>
          <w:highlight w:val="none"/>
        </w:rPr>
      </w:pPr>
      <w:r>
        <w:rPr>
          <w:rFonts w:hint="eastAsia"/>
          <w:b/>
          <w:sz w:val="24"/>
          <w:highlight w:val="none"/>
        </w:rPr>
        <w:t>六</w:t>
      </w:r>
      <w:r>
        <w:rPr>
          <w:rFonts w:hint="eastAsia"/>
          <w:sz w:val="24"/>
          <w:highlight w:val="none"/>
        </w:rPr>
        <w:t>、</w:t>
      </w:r>
      <w:r>
        <w:rPr>
          <w:rFonts w:hint="eastAsia"/>
          <w:b/>
          <w:sz w:val="24"/>
          <w:highlight w:val="none"/>
        </w:rPr>
        <w:t>变更为其他方式采购的情形</w:t>
      </w:r>
    </w:p>
    <w:p>
      <w:pPr>
        <w:autoSpaceDE w:val="0"/>
        <w:autoSpaceDN w:val="0"/>
        <w:adjustRightInd w:val="0"/>
        <w:snapToGrid w:val="0"/>
        <w:spacing w:line="480" w:lineRule="exact"/>
        <w:ind w:firstLine="480" w:firstLineChars="200"/>
        <w:rPr>
          <w:sz w:val="24"/>
          <w:highlight w:val="none"/>
          <w:lang w:val="zh-CN"/>
        </w:rPr>
      </w:pPr>
      <w:r>
        <w:rPr>
          <w:rFonts w:hint="eastAsia"/>
          <w:sz w:val="24"/>
          <w:highlight w:val="none"/>
        </w:rPr>
        <w:t>响应</w:t>
      </w:r>
      <w:r>
        <w:rPr>
          <w:sz w:val="24"/>
          <w:highlight w:val="none"/>
        </w:rPr>
        <w:t>截止时间出现：</w:t>
      </w:r>
      <w:r>
        <w:rPr>
          <w:rFonts w:hint="eastAsia"/>
          <w:sz w:val="24"/>
          <w:highlight w:val="none"/>
        </w:rPr>
        <w:t>响应</w:t>
      </w:r>
      <w:r>
        <w:rPr>
          <w:sz w:val="24"/>
          <w:highlight w:val="none"/>
        </w:rPr>
        <w:t>的供应商不足</w:t>
      </w:r>
      <w:r>
        <w:rPr>
          <w:sz w:val="24"/>
          <w:highlight w:val="none"/>
          <w:u w:val="single"/>
        </w:rPr>
        <w:t>3</w:t>
      </w:r>
      <w:r>
        <w:rPr>
          <w:sz w:val="24"/>
          <w:highlight w:val="none"/>
        </w:rPr>
        <w:t>家的，及评</w:t>
      </w:r>
      <w:r>
        <w:rPr>
          <w:rFonts w:hint="eastAsia"/>
          <w:sz w:val="24"/>
          <w:highlight w:val="none"/>
        </w:rPr>
        <w:t>审</w:t>
      </w:r>
      <w:r>
        <w:rPr>
          <w:sz w:val="24"/>
          <w:highlight w:val="none"/>
        </w:rPr>
        <w:t>中出现符合专业条件的供应商或对</w:t>
      </w:r>
      <w:r>
        <w:rPr>
          <w:rFonts w:hint="eastAsia"/>
          <w:sz w:val="24"/>
          <w:highlight w:val="none"/>
        </w:rPr>
        <w:t>采购文件</w:t>
      </w:r>
      <w:r>
        <w:rPr>
          <w:sz w:val="24"/>
          <w:highlight w:val="none"/>
        </w:rPr>
        <w:t>作实质响应的</w:t>
      </w:r>
      <w:r>
        <w:rPr>
          <w:rFonts w:hint="eastAsia"/>
          <w:sz w:val="24"/>
          <w:highlight w:val="none"/>
        </w:rPr>
        <w:t>供应商</w:t>
      </w:r>
      <w:r>
        <w:rPr>
          <w:sz w:val="24"/>
          <w:highlight w:val="none"/>
        </w:rPr>
        <w:t>不足</w:t>
      </w:r>
      <w:r>
        <w:rPr>
          <w:sz w:val="24"/>
          <w:highlight w:val="none"/>
          <w:u w:val="single"/>
        </w:rPr>
        <w:t>3</w:t>
      </w:r>
      <w:r>
        <w:rPr>
          <w:sz w:val="24"/>
          <w:highlight w:val="none"/>
        </w:rPr>
        <w:t>家如下情形时，除采购任务取消外，采购人报告财政局，视情采取其他方式采购。</w:t>
      </w:r>
      <w:r>
        <w:rPr>
          <w:sz w:val="24"/>
          <w:highlight w:val="none"/>
          <w:lang w:val="zh-CN"/>
        </w:rPr>
        <w:t>本次</w:t>
      </w:r>
      <w:r>
        <w:rPr>
          <w:rFonts w:hint="eastAsia"/>
          <w:sz w:val="24"/>
          <w:highlight w:val="none"/>
          <w:lang w:val="zh-CN"/>
        </w:rPr>
        <w:t>采购文件</w:t>
      </w:r>
      <w:r>
        <w:rPr>
          <w:sz w:val="24"/>
          <w:highlight w:val="none"/>
          <w:lang w:val="zh-CN"/>
        </w:rPr>
        <w:t>中对供应商资质、技术等要求，将作为</w:t>
      </w:r>
      <w:r>
        <w:rPr>
          <w:sz w:val="24"/>
          <w:highlight w:val="none"/>
        </w:rPr>
        <w:t>其他</w:t>
      </w:r>
      <w:r>
        <w:rPr>
          <w:sz w:val="24"/>
          <w:highlight w:val="none"/>
          <w:lang w:val="zh-CN"/>
        </w:rPr>
        <w:t>方式采购的基本要求和依据。原已经</w:t>
      </w:r>
      <w:r>
        <w:rPr>
          <w:rFonts w:hint="eastAsia"/>
          <w:sz w:val="24"/>
          <w:highlight w:val="none"/>
          <w:lang w:val="zh-CN"/>
        </w:rPr>
        <w:t>响应</w:t>
      </w:r>
      <w:r>
        <w:rPr>
          <w:sz w:val="24"/>
          <w:highlight w:val="none"/>
          <w:lang w:val="zh-CN"/>
        </w:rPr>
        <w:t>并符合要求的供应商，根据自愿原则，参加</w:t>
      </w:r>
      <w:r>
        <w:rPr>
          <w:sz w:val="24"/>
          <w:highlight w:val="none"/>
        </w:rPr>
        <w:t>其他</w:t>
      </w:r>
      <w:r>
        <w:rPr>
          <w:sz w:val="24"/>
          <w:highlight w:val="none"/>
          <w:lang w:val="zh-CN"/>
        </w:rPr>
        <w:t>方式采购。</w:t>
      </w:r>
    </w:p>
    <w:p>
      <w:pPr>
        <w:pStyle w:val="26"/>
        <w:snapToGrid w:val="0"/>
        <w:spacing w:before="0" w:after="0" w:line="500" w:lineRule="exact"/>
        <w:ind w:left="0" w:right="0" w:firstLine="480" w:firstLineChars="200"/>
        <w:jc w:val="left"/>
        <w:rPr>
          <w:rFonts w:ascii="Times New Roman" w:hAnsi="Times New Roman"/>
          <w:b/>
          <w:highlight w:val="none"/>
        </w:rPr>
      </w:pPr>
      <w:r>
        <w:rPr>
          <w:rFonts w:hint="eastAsia" w:ascii="Times New Roman" w:hAnsi="Times New Roman"/>
          <w:b/>
          <w:highlight w:val="none"/>
        </w:rPr>
        <w:t>七、磋商程序及评审方法和标准</w:t>
      </w:r>
    </w:p>
    <w:p>
      <w:pPr>
        <w:snapToGrid w:val="0"/>
        <w:spacing w:line="480" w:lineRule="exact"/>
        <w:ind w:firstLine="480" w:firstLineChars="200"/>
        <w:rPr>
          <w:rFonts w:cs="宋体"/>
          <w:sz w:val="24"/>
          <w:highlight w:val="none"/>
        </w:rPr>
      </w:pPr>
      <w:r>
        <w:rPr>
          <w:rFonts w:hint="eastAsia" w:cs="宋体"/>
          <w:sz w:val="24"/>
          <w:highlight w:val="none"/>
        </w:rPr>
        <w:t xml:space="preserve">本项目采用综合评分法，经磋商确定最终采购需求和提交最后报价的供应商后，由磋商小组采用综合评分法对提交最后报价的供应商的响应文件和最后报价进行综合评分。评审时，磋商小组各成员独立对每个有效响应的文件进行评价、打分，然后汇总每个供应商每项评分因素的得分。  </w:t>
      </w:r>
    </w:p>
    <w:p>
      <w:pPr>
        <w:snapToGrid w:val="0"/>
        <w:spacing w:line="480" w:lineRule="exact"/>
        <w:ind w:firstLine="480" w:firstLineChars="200"/>
        <w:rPr>
          <w:rFonts w:cs="宋体"/>
          <w:sz w:val="24"/>
          <w:highlight w:val="none"/>
        </w:rPr>
      </w:pPr>
      <w:r>
        <w:rPr>
          <w:rFonts w:hint="eastAsia" w:cs="宋体"/>
          <w:sz w:val="24"/>
          <w:highlight w:val="none"/>
        </w:rPr>
        <w:t>商务技术部分评审结束后进入最后报价环节，最后报价将作为评审价。代理机构宣布最后报价填报通知后，所有的响应供应商须在规定时间内填写并提交最后报价，未在规定时间内提交最后报价的，视作无效响应处理。</w:t>
      </w:r>
    </w:p>
    <w:p>
      <w:pPr>
        <w:snapToGrid w:val="0"/>
        <w:spacing w:line="480" w:lineRule="exact"/>
        <w:ind w:firstLine="480" w:firstLineChars="200"/>
        <w:rPr>
          <w:rFonts w:cs="宋体"/>
          <w:sz w:val="24"/>
          <w:highlight w:val="none"/>
        </w:rPr>
      </w:pPr>
      <w:r>
        <w:rPr>
          <w:rFonts w:hint="eastAsia" w:cs="宋体"/>
          <w:sz w:val="24"/>
          <w:highlight w:val="none"/>
        </w:rPr>
        <w:t>最后报价是供应商响应文件的有效组成部分，提交最后报价的供应商不得少于3家；只有符合《政府采购竞争性磋商采购方式管理暂行办法》第三条第四项及《财政部关于竞争性磋商采购方式管理暂行办法有关问题的补充通知》（财库[2015]124号）规定情形的，提交最后报价的供应商可以为2家。</w:t>
      </w:r>
    </w:p>
    <w:p>
      <w:pPr>
        <w:snapToGrid w:val="0"/>
        <w:spacing w:line="480" w:lineRule="exact"/>
        <w:ind w:firstLine="480" w:firstLineChars="200"/>
        <w:rPr>
          <w:rFonts w:cs="宋体"/>
          <w:sz w:val="24"/>
          <w:highlight w:val="none"/>
        </w:rPr>
      </w:pPr>
      <w:r>
        <w:rPr>
          <w:rFonts w:hint="eastAsia" w:cs="宋体"/>
          <w:sz w:val="24"/>
          <w:highlight w:val="none"/>
        </w:rPr>
        <w:t>供应商商务、技术部分和价格部分的合计分值，为该供应商的评审总得分。</w:t>
      </w:r>
    </w:p>
    <w:p>
      <w:pPr>
        <w:snapToGrid w:val="0"/>
        <w:spacing w:line="480" w:lineRule="exact"/>
        <w:ind w:firstLine="480" w:firstLineChars="200"/>
        <w:rPr>
          <w:rFonts w:cs="宋体"/>
          <w:sz w:val="24"/>
          <w:highlight w:val="none"/>
        </w:rPr>
      </w:pPr>
      <w:r>
        <w:rPr>
          <w:rFonts w:hint="eastAsia" w:cs="宋体"/>
          <w:sz w:val="24"/>
          <w:highlight w:val="none"/>
        </w:rPr>
        <w:t>评审结果按评审后得分由高到低顺序排列。得分相同的，按响应报价由低到高顺序排列。得分且响应报价相同的并列。响应文件满足磋商文件全部实质性要求，且按照评审因素的量化指标评审得分前三名的供应商为成交候选人。</w:t>
      </w:r>
    </w:p>
    <w:p>
      <w:pPr>
        <w:snapToGrid w:val="0"/>
        <w:spacing w:line="480" w:lineRule="exact"/>
        <w:ind w:firstLine="480" w:firstLineChars="200"/>
        <w:rPr>
          <w:rFonts w:cs="宋体"/>
          <w:sz w:val="24"/>
          <w:highlight w:val="none"/>
        </w:rPr>
      </w:pPr>
      <w:r>
        <w:rPr>
          <w:rFonts w:hint="eastAsia" w:cs="宋体"/>
          <w:sz w:val="24"/>
          <w:highlight w:val="none"/>
        </w:rPr>
        <w:t>评委在认真审阅响应文件的基础上，根据各响应文件的响应程度独立评判，不得统一打分。</w:t>
      </w:r>
    </w:p>
    <w:p>
      <w:pPr>
        <w:snapToGrid w:val="0"/>
        <w:spacing w:line="480" w:lineRule="exact"/>
        <w:ind w:firstLine="570"/>
        <w:rPr>
          <w:b/>
          <w:kern w:val="0"/>
          <w:sz w:val="24"/>
          <w:highlight w:val="none"/>
        </w:rPr>
      </w:pPr>
      <w:r>
        <w:rPr>
          <w:rFonts w:hint="eastAsia"/>
          <w:b/>
          <w:kern w:val="0"/>
          <w:sz w:val="24"/>
          <w:highlight w:val="none"/>
        </w:rPr>
        <w:t>（一）磋商小组对供应商资格进行审查</w:t>
      </w:r>
    </w:p>
    <w:p>
      <w:pPr>
        <w:snapToGrid w:val="0"/>
        <w:spacing w:line="480" w:lineRule="exact"/>
        <w:ind w:firstLine="480" w:firstLineChars="200"/>
        <w:rPr>
          <w:rFonts w:cs="宋体"/>
          <w:sz w:val="24"/>
          <w:highlight w:val="none"/>
        </w:rPr>
      </w:pPr>
      <w:r>
        <w:rPr>
          <w:rFonts w:hint="eastAsia" w:cs="宋体"/>
          <w:sz w:val="24"/>
          <w:highlight w:val="none"/>
        </w:rPr>
        <w:t>供应商资格不合格的，其响应文件判定为无效响应文件。</w:t>
      </w:r>
    </w:p>
    <w:p>
      <w:pPr>
        <w:snapToGrid w:val="0"/>
        <w:spacing w:line="480" w:lineRule="exact"/>
        <w:ind w:firstLine="570"/>
        <w:rPr>
          <w:b/>
          <w:kern w:val="0"/>
          <w:sz w:val="24"/>
          <w:highlight w:val="none"/>
        </w:rPr>
      </w:pPr>
      <w:r>
        <w:rPr>
          <w:rFonts w:hint="eastAsia"/>
          <w:b/>
          <w:kern w:val="0"/>
          <w:sz w:val="24"/>
          <w:highlight w:val="none"/>
        </w:rPr>
        <w:t>（二）磋商小组对符合资格供应商的响应文件进行符合性审查</w:t>
      </w:r>
    </w:p>
    <w:p>
      <w:pPr>
        <w:snapToGrid w:val="0"/>
        <w:spacing w:line="480" w:lineRule="exact"/>
        <w:ind w:firstLine="480" w:firstLineChars="200"/>
        <w:rPr>
          <w:rFonts w:cs="宋体"/>
          <w:sz w:val="24"/>
          <w:highlight w:val="none"/>
        </w:rPr>
      </w:pPr>
      <w:r>
        <w:rPr>
          <w:rFonts w:hint="eastAsia" w:cs="宋体"/>
          <w:sz w:val="24"/>
          <w:highlight w:val="none"/>
        </w:rPr>
        <w:t xml:space="preserve">未通过符合性审查的响应文件，将被判为不满足磋商文件实质性要求。 </w:t>
      </w:r>
    </w:p>
    <w:p>
      <w:pPr>
        <w:snapToGrid w:val="0"/>
        <w:spacing w:line="480" w:lineRule="exact"/>
        <w:ind w:firstLine="570"/>
        <w:rPr>
          <w:b/>
          <w:kern w:val="0"/>
          <w:sz w:val="24"/>
          <w:highlight w:val="none"/>
          <w:lang w:val="zh-CN"/>
        </w:rPr>
      </w:pPr>
      <w:r>
        <w:rPr>
          <w:rFonts w:hint="eastAsia"/>
          <w:b/>
          <w:kern w:val="0"/>
          <w:sz w:val="24"/>
          <w:highlight w:val="none"/>
        </w:rPr>
        <w:t>（</w:t>
      </w:r>
      <w:r>
        <w:rPr>
          <w:rFonts w:hint="eastAsia"/>
          <w:b/>
          <w:kern w:val="0"/>
          <w:sz w:val="24"/>
          <w:highlight w:val="none"/>
          <w:lang w:val="zh-CN"/>
        </w:rPr>
        <w:t>三</w:t>
      </w:r>
      <w:r>
        <w:rPr>
          <w:rFonts w:hint="eastAsia"/>
          <w:b/>
          <w:kern w:val="0"/>
          <w:sz w:val="24"/>
          <w:highlight w:val="none"/>
        </w:rPr>
        <w:t>）</w:t>
      </w:r>
      <w:r>
        <w:rPr>
          <w:rFonts w:hint="eastAsia"/>
          <w:b/>
          <w:kern w:val="0"/>
          <w:sz w:val="24"/>
          <w:highlight w:val="none"/>
          <w:lang w:val="zh-CN"/>
        </w:rPr>
        <w:t>商务技术分：</w:t>
      </w:r>
      <w:r>
        <w:rPr>
          <w:b/>
          <w:kern w:val="0"/>
          <w:sz w:val="24"/>
          <w:highlight w:val="none"/>
        </w:rPr>
        <w:t>70</w:t>
      </w:r>
      <w:r>
        <w:rPr>
          <w:rFonts w:hint="eastAsia"/>
          <w:b/>
          <w:kern w:val="0"/>
          <w:sz w:val="24"/>
          <w:highlight w:val="none"/>
          <w:lang w:val="zh-CN"/>
        </w:rPr>
        <w:t>分</w:t>
      </w:r>
    </w:p>
    <w:p>
      <w:pPr>
        <w:autoSpaceDE w:val="0"/>
        <w:autoSpaceDN w:val="0"/>
        <w:adjustRightInd w:val="0"/>
        <w:snapToGrid w:val="0"/>
        <w:spacing w:line="480" w:lineRule="exact"/>
        <w:ind w:firstLine="480" w:firstLineChars="200"/>
        <w:rPr>
          <w:rFonts w:hint="eastAsia" w:ascii="宋体" w:hAnsi="宋体"/>
          <w:sz w:val="24"/>
          <w:highlight w:val="none"/>
        </w:rPr>
      </w:pPr>
      <w:r>
        <w:rPr>
          <w:rFonts w:hint="eastAsia" w:ascii="宋体" w:hAnsi="宋体"/>
          <w:sz w:val="24"/>
          <w:highlight w:val="none"/>
        </w:rPr>
        <w:t xml:space="preserve">供应商得分为磋商小组成员评分的算术平均分,分值保留小数点后两位。 </w:t>
      </w:r>
    </w:p>
    <w:tbl>
      <w:tblPr>
        <w:tblStyle w:val="19"/>
        <w:tblW w:w="8790" w:type="dxa"/>
        <w:jc w:val="center"/>
        <w:tblLayout w:type="fixed"/>
        <w:tblCellMar>
          <w:top w:w="0" w:type="dxa"/>
          <w:left w:w="0" w:type="dxa"/>
          <w:bottom w:w="0" w:type="dxa"/>
          <w:right w:w="0" w:type="dxa"/>
        </w:tblCellMar>
      </w:tblPr>
      <w:tblGrid>
        <w:gridCol w:w="835"/>
        <w:gridCol w:w="1732"/>
        <w:gridCol w:w="850"/>
        <w:gridCol w:w="5373"/>
      </w:tblGrid>
      <w:tr>
        <w:trPr>
          <w:trHeight w:val="600" w:hRule="atLeast"/>
          <w:jc w:val="center"/>
        </w:trPr>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cs="宋体"/>
                <w:b/>
                <w:color w:val="000000"/>
                <w:sz w:val="28"/>
                <w:szCs w:val="28"/>
              </w:rPr>
            </w:pPr>
            <w:r>
              <w:rPr>
                <w:rFonts w:hint="eastAsia" w:hAnsi="宋体" w:cs="宋体"/>
                <w:b/>
                <w:color w:val="000000"/>
                <w:kern w:val="0"/>
                <w:sz w:val="28"/>
                <w:szCs w:val="28"/>
                <w:lang w:bidi="ar"/>
              </w:rPr>
              <w:t>序号</w:t>
            </w:r>
            <w:r>
              <w:rPr>
                <w:rFonts w:hint="eastAsia" w:cs="宋体"/>
                <w:b/>
                <w:color w:val="000000"/>
                <w:kern w:val="0"/>
                <w:sz w:val="28"/>
                <w:szCs w:val="28"/>
                <w:lang w:bidi="ar"/>
              </w:rPr>
              <w:t xml:space="preserve"> </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cs="宋体"/>
                <w:b/>
                <w:color w:val="000000"/>
                <w:sz w:val="28"/>
                <w:szCs w:val="28"/>
              </w:rPr>
            </w:pPr>
            <w:r>
              <w:rPr>
                <w:rFonts w:hint="eastAsia" w:hAnsi="宋体" w:cs="宋体"/>
                <w:b/>
                <w:color w:val="000000"/>
                <w:kern w:val="0"/>
                <w:sz w:val="28"/>
                <w:szCs w:val="28"/>
                <w:lang w:bidi="ar"/>
              </w:rPr>
              <w:t>评分点名称</w:t>
            </w:r>
            <w:r>
              <w:rPr>
                <w:rFonts w:hint="eastAsia" w:cs="宋体"/>
                <w:b/>
                <w:color w:val="000000"/>
                <w:kern w:val="0"/>
                <w:sz w:val="28"/>
                <w:szCs w:val="28"/>
                <w:lang w:bidi="ar"/>
              </w:rPr>
              <w:t xml:space="preserve"> </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cs="宋体"/>
                <w:b/>
                <w:color w:val="000000"/>
                <w:sz w:val="28"/>
                <w:szCs w:val="28"/>
              </w:rPr>
            </w:pPr>
            <w:r>
              <w:rPr>
                <w:rFonts w:hint="eastAsia" w:hAnsi="宋体" w:cs="宋体"/>
                <w:b/>
                <w:color w:val="000000"/>
                <w:kern w:val="0"/>
                <w:sz w:val="28"/>
                <w:szCs w:val="28"/>
                <w:lang w:bidi="ar"/>
              </w:rPr>
              <w:t>分值</w:t>
            </w:r>
          </w:p>
        </w:tc>
        <w:tc>
          <w:tcPr>
            <w:tcW w:w="5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cs="宋体"/>
                <w:b/>
                <w:color w:val="000000"/>
                <w:sz w:val="28"/>
                <w:szCs w:val="28"/>
              </w:rPr>
            </w:pPr>
            <w:r>
              <w:rPr>
                <w:rFonts w:hint="eastAsia" w:hAnsi="宋体" w:cs="宋体"/>
                <w:b/>
                <w:color w:val="000000"/>
                <w:kern w:val="0"/>
                <w:sz w:val="28"/>
                <w:szCs w:val="28"/>
                <w:lang w:bidi="ar"/>
              </w:rPr>
              <w:t>评审标准</w:t>
            </w:r>
          </w:p>
        </w:tc>
      </w:tr>
      <w:tr>
        <w:trPr>
          <w:trHeight w:val="1580" w:hRule="atLeast"/>
          <w:jc w:val="center"/>
        </w:trPr>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cs="宋体"/>
                <w:color w:val="000000"/>
                <w:sz w:val="24"/>
              </w:rPr>
            </w:pPr>
            <w:r>
              <w:rPr>
                <w:rFonts w:hint="eastAsia" w:cs="宋体"/>
                <w:color w:val="000000"/>
                <w:kern w:val="0"/>
                <w:sz w:val="24"/>
                <w:lang w:bidi="ar"/>
              </w:rPr>
              <w:t>1.1</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s="宋体"/>
                <w:color w:val="000000"/>
                <w:kern w:val="0"/>
                <w:sz w:val="24"/>
                <w:lang w:bidi="ar"/>
              </w:rPr>
            </w:pPr>
            <w:r>
              <w:rPr>
                <w:rFonts w:hint="eastAsia" w:hAnsi="宋体" w:cs="宋体"/>
                <w:color w:val="000000"/>
                <w:kern w:val="0"/>
                <w:sz w:val="24"/>
                <w:lang w:bidi="ar"/>
              </w:rPr>
              <w:t>整体软件开发能力</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cs="宋体"/>
                <w:color w:val="000000"/>
                <w:sz w:val="24"/>
              </w:rPr>
            </w:pPr>
            <w:r>
              <w:rPr>
                <w:rFonts w:hint="eastAsia" w:cs="宋体"/>
                <w:color w:val="000000"/>
                <w:sz w:val="24"/>
              </w:rPr>
              <w:t>5</w:t>
            </w:r>
          </w:p>
        </w:tc>
        <w:tc>
          <w:tcPr>
            <w:tcW w:w="5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s="宋体"/>
                <w:color w:val="000000"/>
                <w:kern w:val="0"/>
                <w:sz w:val="24"/>
                <w:lang w:bidi="ar"/>
              </w:rPr>
            </w:pPr>
            <w:r>
              <w:rPr>
                <w:rFonts w:hint="eastAsia" w:cs="宋体"/>
                <w:color w:val="000000"/>
                <w:kern w:val="0"/>
                <w:sz w:val="24"/>
                <w:lang w:bidi="ar"/>
              </w:rPr>
              <w:t>1.</w:t>
            </w:r>
            <w:r>
              <w:rPr>
                <w:rFonts w:hint="eastAsia" w:hAnsi="宋体" w:cs="宋体"/>
                <w:color w:val="000000"/>
                <w:kern w:val="0"/>
                <w:sz w:val="24"/>
                <w:lang w:bidi="ar"/>
              </w:rPr>
              <w:t>供应商提供</w:t>
            </w:r>
            <w:r>
              <w:rPr>
                <w:rFonts w:hint="eastAsia" w:hAnsi="宋体" w:cs="宋体"/>
                <w:color w:val="000000"/>
                <w:kern w:val="0"/>
                <w:sz w:val="24"/>
                <w:lang w:val="en-US" w:eastAsia="zh-CN" w:bidi="ar"/>
              </w:rPr>
              <w:t>重要</w:t>
            </w:r>
            <w:r>
              <w:rPr>
                <w:rFonts w:hint="eastAsia" w:hAnsi="宋体" w:cs="宋体"/>
                <w:color w:val="000000"/>
                <w:kern w:val="0"/>
                <w:sz w:val="24"/>
                <w:lang w:bidi="ar"/>
              </w:rPr>
              <w:t>事项</w:t>
            </w:r>
            <w:r>
              <w:rPr>
                <w:rFonts w:hint="eastAsia" w:hAnsi="宋体" w:cs="宋体"/>
                <w:color w:val="000000"/>
                <w:kern w:val="0"/>
                <w:sz w:val="24"/>
                <w:lang w:eastAsia="zh-CN" w:bidi="ar"/>
              </w:rPr>
              <w:t>类</w:t>
            </w:r>
            <w:r>
              <w:rPr>
                <w:rFonts w:hint="eastAsia" w:hAnsi="宋体" w:cs="宋体"/>
                <w:color w:val="000000"/>
                <w:kern w:val="0"/>
                <w:sz w:val="24"/>
                <w:lang w:bidi="ar"/>
              </w:rPr>
              <w:t>系统的著作权证书。（有得</w:t>
            </w:r>
            <w:r>
              <w:rPr>
                <w:rFonts w:hint="eastAsia" w:cs="宋体"/>
                <w:color w:val="000000"/>
                <w:kern w:val="0"/>
                <w:sz w:val="24"/>
                <w:lang w:bidi="ar"/>
              </w:rPr>
              <w:t>5</w:t>
            </w:r>
            <w:r>
              <w:rPr>
                <w:rFonts w:hint="eastAsia" w:hAnsi="宋体" w:cs="宋体"/>
                <w:color w:val="000000"/>
                <w:kern w:val="0"/>
                <w:sz w:val="24"/>
                <w:lang w:bidi="ar"/>
              </w:rPr>
              <w:t>分，没有不得分。）</w:t>
            </w:r>
          </w:p>
          <w:p>
            <w:pPr>
              <w:widowControl/>
              <w:jc w:val="left"/>
              <w:textAlignment w:val="center"/>
              <w:rPr>
                <w:rFonts w:hint="eastAsia" w:cs="宋体"/>
                <w:color w:val="000000"/>
                <w:kern w:val="0"/>
                <w:sz w:val="24"/>
                <w:lang w:bidi="ar"/>
              </w:rPr>
            </w:pPr>
            <w:r>
              <w:rPr>
                <w:rFonts w:hint="eastAsia" w:hAnsi="宋体" w:cs="宋体"/>
                <w:color w:val="000000"/>
                <w:kern w:val="0"/>
                <w:sz w:val="24"/>
                <w:lang w:bidi="ar"/>
              </w:rPr>
              <w:t>（复印件加盖公章，原件备查</w:t>
            </w:r>
            <w:r>
              <w:rPr>
                <w:rFonts w:hint="eastAsia" w:cs="宋体"/>
                <w:color w:val="000000"/>
                <w:kern w:val="0"/>
                <w:sz w:val="24"/>
                <w:lang w:eastAsia="zh-CN" w:bidi="ar"/>
              </w:rPr>
              <w:t>，</w:t>
            </w:r>
            <w:r>
              <w:rPr>
                <w:rFonts w:hint="eastAsia" w:hAnsi="宋体" w:cs="宋体"/>
                <w:color w:val="000000"/>
                <w:kern w:val="0"/>
                <w:sz w:val="24"/>
                <w:lang w:bidi="ar"/>
              </w:rPr>
              <w:t>所有著作权取得时间均为本项目招标公告发布之日前取得）</w:t>
            </w:r>
          </w:p>
        </w:tc>
      </w:tr>
      <w:tr>
        <w:trPr>
          <w:trHeight w:val="1580" w:hRule="atLeast"/>
          <w:jc w:val="center"/>
        </w:trPr>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cs="宋体"/>
                <w:color w:val="000000"/>
                <w:kern w:val="0"/>
                <w:sz w:val="24"/>
                <w:lang w:bidi="ar"/>
              </w:rPr>
            </w:pPr>
            <w:r>
              <w:rPr>
                <w:rFonts w:hint="eastAsia" w:cs="宋体"/>
                <w:color w:val="000000"/>
                <w:kern w:val="0"/>
                <w:sz w:val="24"/>
                <w:lang w:bidi="ar"/>
              </w:rPr>
              <w:t>1.2</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s="宋体"/>
                <w:color w:val="000000"/>
                <w:kern w:val="0"/>
                <w:sz w:val="24"/>
                <w:szCs w:val="21"/>
                <w:lang w:bidi="ar"/>
              </w:rPr>
            </w:pPr>
            <w:r>
              <w:rPr>
                <w:rFonts w:hint="eastAsia" w:cs="宋体"/>
                <w:color w:val="000000"/>
                <w:kern w:val="0"/>
                <w:sz w:val="24"/>
                <w:lang w:bidi="ar"/>
              </w:rPr>
              <w:t>项目团队实力</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hAnsi="宋体" w:eastAsia="宋体" w:cs="宋体"/>
                <w:color w:val="000000"/>
                <w:kern w:val="0"/>
                <w:sz w:val="24"/>
                <w:szCs w:val="21"/>
                <w:lang w:eastAsia="zh-CN" w:bidi="ar"/>
              </w:rPr>
            </w:pPr>
            <w:r>
              <w:rPr>
                <w:rFonts w:hint="eastAsia" w:hAnsi="宋体" w:cs="宋体"/>
                <w:color w:val="000000"/>
                <w:kern w:val="0"/>
                <w:sz w:val="24"/>
                <w:lang w:val="en-US" w:eastAsia="zh-CN" w:bidi="ar"/>
              </w:rPr>
              <w:t>4</w:t>
            </w:r>
          </w:p>
        </w:tc>
        <w:tc>
          <w:tcPr>
            <w:tcW w:w="5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hAnsi="宋体" w:eastAsia="宋体" w:cs="宋体"/>
                <w:color w:val="000000"/>
                <w:kern w:val="0"/>
                <w:sz w:val="24"/>
                <w:lang w:eastAsia="zh-CN" w:bidi="ar"/>
              </w:rPr>
            </w:pPr>
            <w:r>
              <w:rPr>
                <w:rFonts w:hint="eastAsia" w:hAnsi="宋体" w:cs="宋体"/>
                <w:color w:val="000000"/>
                <w:kern w:val="0"/>
                <w:sz w:val="24"/>
                <w:lang w:bidi="ar"/>
              </w:rPr>
              <w:t>投标人技术实力及拟派本项目团队力量：</w:t>
            </w:r>
          </w:p>
          <w:p>
            <w:pPr>
              <w:widowControl/>
              <w:jc w:val="left"/>
              <w:textAlignment w:val="center"/>
              <w:rPr>
                <w:rFonts w:hint="eastAsia"/>
                <w:color w:val="000000"/>
                <w:szCs w:val="21"/>
              </w:rPr>
            </w:pPr>
            <w:r>
              <w:rPr>
                <w:rFonts w:hint="eastAsia" w:hAnsi="宋体" w:cs="宋体"/>
                <w:color w:val="000000"/>
                <w:kern w:val="0"/>
                <w:sz w:val="24"/>
                <w:lang w:bidi="ar"/>
              </w:rPr>
              <w:t>（1）项目经理具备高级信息系统项目管理师资质证书，有得</w:t>
            </w:r>
            <w:r>
              <w:rPr>
                <w:rFonts w:hint="eastAsia" w:hAnsi="宋体" w:cs="宋体"/>
                <w:color w:val="000000"/>
                <w:kern w:val="0"/>
                <w:sz w:val="24"/>
                <w:lang w:val="en-US" w:eastAsia="zh-CN" w:bidi="ar"/>
              </w:rPr>
              <w:t>4</w:t>
            </w:r>
            <w:r>
              <w:rPr>
                <w:rFonts w:hint="eastAsia" w:hAnsi="宋体" w:cs="宋体"/>
                <w:color w:val="000000"/>
                <w:kern w:val="0"/>
                <w:sz w:val="24"/>
                <w:lang w:bidi="ar"/>
              </w:rPr>
              <w:t>分，</w:t>
            </w:r>
            <w:r>
              <w:rPr>
                <w:rFonts w:hint="eastAsia" w:hAnsi="宋体" w:cs="宋体"/>
                <w:color w:val="000000"/>
                <w:kern w:val="0"/>
                <w:sz w:val="24"/>
                <w:lang w:eastAsia="zh-CN" w:bidi="ar"/>
              </w:rPr>
              <w:t>没有不得分</w:t>
            </w:r>
            <w:r>
              <w:rPr>
                <w:rFonts w:hint="eastAsia" w:hAnsi="宋体" w:cs="宋体"/>
                <w:color w:val="000000"/>
                <w:kern w:val="0"/>
                <w:sz w:val="24"/>
                <w:lang w:bidi="ar"/>
              </w:rPr>
              <w:t>；</w:t>
            </w:r>
          </w:p>
        </w:tc>
      </w:tr>
      <w:tr>
        <w:trPr>
          <w:trHeight w:val="552" w:hRule="atLeast"/>
          <w:jc w:val="center"/>
        </w:trPr>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cs="宋体"/>
                <w:color w:val="000000"/>
                <w:sz w:val="24"/>
              </w:rPr>
            </w:pPr>
            <w:r>
              <w:rPr>
                <w:rFonts w:hint="eastAsia" w:cs="宋体"/>
                <w:color w:val="000000"/>
                <w:kern w:val="0"/>
                <w:sz w:val="24"/>
                <w:lang w:bidi="ar"/>
              </w:rPr>
              <w:t>1.3</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s="宋体"/>
                <w:color w:val="000000"/>
                <w:kern w:val="0"/>
                <w:sz w:val="24"/>
                <w:lang w:bidi="ar"/>
              </w:rPr>
            </w:pPr>
            <w:r>
              <w:rPr>
                <w:rFonts w:hint="eastAsia" w:hAnsi="宋体" w:cs="宋体"/>
                <w:color w:val="000000"/>
                <w:kern w:val="0"/>
                <w:sz w:val="24"/>
                <w:lang w:bidi="ar"/>
              </w:rPr>
              <w:t>系统功能设计</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eastAsia="宋体" w:cs="宋体"/>
                <w:color w:val="000000"/>
                <w:sz w:val="24"/>
                <w:lang w:val="en-US" w:eastAsia="zh-CN"/>
              </w:rPr>
            </w:pPr>
            <w:r>
              <w:rPr>
                <w:rFonts w:hint="eastAsia" w:cs="宋体"/>
                <w:color w:val="000000"/>
                <w:sz w:val="24"/>
                <w:lang w:val="en-US" w:eastAsia="zh-CN"/>
              </w:rPr>
              <w:t>20</w:t>
            </w:r>
          </w:p>
        </w:tc>
        <w:tc>
          <w:tcPr>
            <w:tcW w:w="5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4"/>
              </w:numPr>
              <w:jc w:val="left"/>
              <w:textAlignment w:val="center"/>
              <w:rPr>
                <w:rFonts w:hint="eastAsia" w:cs="宋体"/>
                <w:color w:val="000000"/>
                <w:sz w:val="24"/>
              </w:rPr>
            </w:pPr>
            <w:r>
              <w:rPr>
                <w:rFonts w:hint="eastAsia" w:cs="宋体"/>
                <w:color w:val="000000"/>
                <w:sz w:val="24"/>
              </w:rPr>
              <w:t>综合比较磋商响应供应商对系统总体设计方案的详尽、明晰程度以及对系统需求理解是否深刻、有针对性的方面优劣，分四档评审，方案</w:t>
            </w:r>
            <w:r>
              <w:rPr>
                <w:rFonts w:hint="eastAsia" w:cs="宋体"/>
                <w:color w:val="000000"/>
                <w:sz w:val="24"/>
                <w:lang w:val="en-US" w:eastAsia="zh-CN"/>
              </w:rPr>
              <w:t>综合评价优得10分，综合评价良好得7分，综合评价一般得3分，综合评价较差得0分。该项最高得10分。</w:t>
            </w:r>
          </w:p>
          <w:p>
            <w:pPr>
              <w:widowControl/>
              <w:numPr>
                <w:ilvl w:val="0"/>
                <w:numId w:val="4"/>
              </w:numPr>
              <w:jc w:val="left"/>
              <w:textAlignment w:val="center"/>
              <w:rPr>
                <w:rFonts w:hint="eastAsia" w:cs="宋体"/>
                <w:color w:val="000000"/>
                <w:sz w:val="24"/>
              </w:rPr>
            </w:pPr>
            <w:r>
              <w:rPr>
                <w:rFonts w:hint="eastAsia" w:cs="宋体"/>
                <w:color w:val="000000"/>
                <w:sz w:val="24"/>
              </w:rPr>
              <w:t>综合比较磋商响应供应商对各子</w:t>
            </w:r>
            <w:r>
              <w:rPr>
                <w:rFonts w:hint="eastAsia" w:cs="宋体"/>
                <w:color w:val="000000"/>
                <w:sz w:val="24"/>
                <w:lang w:val="en-US" w:eastAsia="zh-CN"/>
              </w:rPr>
              <w:t>模块</w:t>
            </w:r>
            <w:r>
              <w:rPr>
                <w:rFonts w:hint="eastAsia" w:cs="宋体"/>
                <w:color w:val="000000"/>
                <w:sz w:val="24"/>
              </w:rPr>
              <w:t>技术方案真实性、完整性、有效性、可行性、先进性、可持续性</w:t>
            </w:r>
            <w:r>
              <w:rPr>
                <w:rFonts w:hint="eastAsia" w:cs="宋体"/>
                <w:color w:val="000000"/>
                <w:sz w:val="24"/>
                <w:lang w:eastAsia="zh-CN"/>
              </w:rPr>
              <w:t>，</w:t>
            </w:r>
            <w:r>
              <w:rPr>
                <w:rFonts w:hint="eastAsia" w:cs="宋体"/>
                <w:color w:val="000000"/>
                <w:sz w:val="24"/>
              </w:rPr>
              <w:t>分四档评审，方案</w:t>
            </w:r>
            <w:r>
              <w:rPr>
                <w:rFonts w:hint="eastAsia" w:cs="宋体"/>
                <w:color w:val="000000"/>
                <w:sz w:val="24"/>
                <w:lang w:val="en-US" w:eastAsia="zh-CN"/>
              </w:rPr>
              <w:t>综合评价优得6分，综合评价良好得4分，综合评价一般得2分，综合评价较差得0分。该项最高得6分。</w:t>
            </w:r>
          </w:p>
          <w:p>
            <w:pPr>
              <w:widowControl/>
              <w:numPr>
                <w:ilvl w:val="0"/>
                <w:numId w:val="4"/>
              </w:numPr>
              <w:jc w:val="left"/>
              <w:textAlignment w:val="center"/>
              <w:rPr>
                <w:rFonts w:hint="eastAsia" w:cs="宋体"/>
                <w:color w:val="000000"/>
                <w:sz w:val="24"/>
              </w:rPr>
            </w:pPr>
            <w:r>
              <w:rPr>
                <w:rFonts w:hint="eastAsia" w:cs="宋体"/>
                <w:color w:val="000000"/>
                <w:sz w:val="24"/>
              </w:rPr>
              <w:t>综合比较磋商响应供应商对系统安全性设计的方案的优劣，分四档评审：方案</w:t>
            </w:r>
            <w:r>
              <w:rPr>
                <w:rFonts w:hint="eastAsia" w:cs="宋体"/>
                <w:color w:val="000000"/>
                <w:sz w:val="24"/>
                <w:lang w:val="en-US" w:eastAsia="zh-CN"/>
              </w:rPr>
              <w:t>综合评价优得4分，综合评价良好得2分，综合评价一般得1分，综合评价较差得0分。该项最高得4分。</w:t>
            </w:r>
          </w:p>
        </w:tc>
      </w:tr>
      <w:tr>
        <w:trPr>
          <w:trHeight w:val="1460" w:hRule="atLeast"/>
          <w:jc w:val="center"/>
        </w:trPr>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cs="宋体"/>
                <w:color w:val="000000"/>
                <w:kern w:val="0"/>
                <w:sz w:val="24"/>
                <w:lang w:bidi="ar"/>
              </w:rPr>
            </w:pPr>
            <w:r>
              <w:rPr>
                <w:rFonts w:hint="eastAsia" w:cs="宋体"/>
                <w:color w:val="000000"/>
                <w:kern w:val="0"/>
                <w:sz w:val="24"/>
                <w:lang w:bidi="ar"/>
              </w:rPr>
              <w:t>1.4</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s="宋体"/>
                <w:color w:val="000000"/>
                <w:kern w:val="0"/>
                <w:sz w:val="24"/>
                <w:lang w:bidi="ar"/>
              </w:rPr>
            </w:pPr>
            <w:r>
              <w:rPr>
                <w:rFonts w:hint="eastAsia" w:hAnsi="宋体" w:cs="宋体"/>
                <w:color w:val="000000"/>
                <w:kern w:val="0"/>
                <w:sz w:val="24"/>
                <w:lang w:bidi="ar"/>
              </w:rPr>
              <w:t>系统演示</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eastAsia="宋体" w:cs="宋体"/>
                <w:color w:val="000000"/>
                <w:sz w:val="24"/>
                <w:lang w:val="en-US" w:eastAsia="zh-CN"/>
              </w:rPr>
            </w:pPr>
            <w:r>
              <w:rPr>
                <w:rFonts w:hint="eastAsia" w:cs="宋体"/>
                <w:color w:val="000000"/>
                <w:sz w:val="24"/>
                <w:lang w:val="en-US" w:eastAsia="zh-CN"/>
              </w:rPr>
              <w:t>15</w:t>
            </w:r>
          </w:p>
        </w:tc>
        <w:tc>
          <w:tcPr>
            <w:tcW w:w="5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s="宋体"/>
                <w:color w:val="000000"/>
                <w:kern w:val="0"/>
                <w:sz w:val="24"/>
                <w:lang w:bidi="ar"/>
              </w:rPr>
            </w:pPr>
            <w:r>
              <w:rPr>
                <w:rFonts w:hint="eastAsia" w:cs="宋体"/>
                <w:color w:val="000000"/>
                <w:kern w:val="0"/>
                <w:sz w:val="24"/>
                <w:lang w:bidi="ar"/>
              </w:rPr>
              <w:t>（1）评委就供应商提供的软件原型设计的过程演示，综合比较，分四档评审</w:t>
            </w:r>
            <w:r>
              <w:rPr>
                <w:rFonts w:hint="eastAsia" w:cs="宋体"/>
                <w:color w:val="000000"/>
                <w:kern w:val="0"/>
                <w:sz w:val="24"/>
                <w:lang w:eastAsia="zh-CN" w:bidi="ar"/>
              </w:rPr>
              <w:t>：</w:t>
            </w:r>
            <w:r>
              <w:rPr>
                <w:rFonts w:hint="eastAsia" w:cs="宋体"/>
                <w:color w:val="000000"/>
                <w:sz w:val="24"/>
                <w:lang w:val="en-US" w:eastAsia="zh-CN"/>
              </w:rPr>
              <w:t>综合评价优得:5分，综合评价良好得3分，综合评价一般得1分，综合评价较差得0分。该项最高得5分。</w:t>
            </w:r>
          </w:p>
          <w:p>
            <w:pPr>
              <w:widowControl/>
              <w:jc w:val="left"/>
              <w:textAlignment w:val="center"/>
              <w:rPr>
                <w:rFonts w:hint="eastAsia" w:cs="宋体"/>
                <w:color w:val="000000"/>
                <w:kern w:val="0"/>
                <w:sz w:val="24"/>
                <w:lang w:bidi="ar"/>
              </w:rPr>
            </w:pPr>
            <w:r>
              <w:rPr>
                <w:rFonts w:hint="eastAsia" w:cs="宋体"/>
                <w:color w:val="000000"/>
                <w:kern w:val="0"/>
                <w:sz w:val="24"/>
                <w:lang w:bidi="ar"/>
              </w:rPr>
              <w:t>（2）评委就供应商提供的软件页面设计效果演示，综合比较，分四档评审：</w:t>
            </w:r>
            <w:r>
              <w:rPr>
                <w:rFonts w:hint="eastAsia" w:cs="宋体"/>
                <w:color w:val="000000"/>
                <w:sz w:val="24"/>
                <w:lang w:val="en-US" w:eastAsia="zh-CN"/>
              </w:rPr>
              <w:t>综合评价优得:5分，综合评价良好得3分，综合评价一般得1分，综合评价较差得0分。该项最高得5分。</w:t>
            </w:r>
          </w:p>
          <w:p>
            <w:pPr>
              <w:widowControl/>
              <w:jc w:val="left"/>
              <w:textAlignment w:val="center"/>
              <w:rPr>
                <w:rFonts w:hint="eastAsia" w:cs="宋体"/>
                <w:color w:val="000000"/>
                <w:sz w:val="24"/>
                <w:lang w:val="en-US" w:eastAsia="zh-CN"/>
              </w:rPr>
            </w:pPr>
            <w:r>
              <w:rPr>
                <w:rFonts w:hint="eastAsia" w:cs="宋体"/>
                <w:color w:val="000000"/>
                <w:kern w:val="0"/>
                <w:sz w:val="24"/>
                <w:lang w:bidi="ar"/>
              </w:rPr>
              <w:t>（3）评委就供应商提供的软件系统整体构架的功能阐述，综合比较，分四档评审：</w:t>
            </w:r>
            <w:r>
              <w:rPr>
                <w:rFonts w:hint="eastAsia" w:cs="宋体"/>
                <w:color w:val="000000"/>
                <w:sz w:val="24"/>
                <w:lang w:val="en-US" w:eastAsia="zh-CN"/>
              </w:rPr>
              <w:t>综合评价优得:5分，综合评价良好得3分，综合评价一般得1分，综合评价较差得0分。该项最高得5分。</w:t>
            </w:r>
          </w:p>
          <w:p>
            <w:pPr>
              <w:widowControl/>
              <w:jc w:val="left"/>
              <w:textAlignment w:val="center"/>
              <w:rPr>
                <w:rFonts w:hint="default"/>
                <w:lang w:val="en-US"/>
              </w:rPr>
            </w:pPr>
            <w:r>
              <w:rPr>
                <w:rFonts w:hint="eastAsia" w:cs="宋体"/>
                <w:b/>
                <w:bCs/>
                <w:color w:val="000000"/>
                <w:sz w:val="24"/>
                <w:u w:val="single"/>
                <w:lang w:val="en-US" w:eastAsia="zh-CN"/>
              </w:rPr>
              <w:t>注：供应商须自带演示设备。</w:t>
            </w:r>
            <w:bookmarkStart w:id="3" w:name="_GoBack"/>
            <w:bookmarkEnd w:id="3"/>
          </w:p>
        </w:tc>
      </w:tr>
      <w:tr>
        <w:trPr>
          <w:trHeight w:val="2780" w:hRule="atLeast"/>
          <w:jc w:val="center"/>
        </w:trPr>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cs="宋体"/>
                <w:color w:val="000000"/>
                <w:sz w:val="24"/>
              </w:rPr>
            </w:pPr>
            <w:r>
              <w:rPr>
                <w:rFonts w:hint="eastAsia" w:cs="宋体"/>
                <w:color w:val="000000"/>
                <w:kern w:val="0"/>
                <w:sz w:val="24"/>
                <w:lang w:bidi="ar"/>
              </w:rPr>
              <w:t>1.5</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s="宋体"/>
                <w:color w:val="000000"/>
                <w:kern w:val="0"/>
                <w:sz w:val="24"/>
                <w:lang w:bidi="ar"/>
              </w:rPr>
            </w:pPr>
            <w:r>
              <w:rPr>
                <w:rFonts w:hint="eastAsia" w:hAnsi="宋体" w:cs="宋体"/>
                <w:color w:val="000000"/>
                <w:kern w:val="0"/>
                <w:sz w:val="24"/>
                <w:lang w:bidi="ar"/>
              </w:rPr>
              <w:t>实施和售后服务</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eastAsia="宋体" w:cs="宋体"/>
                <w:color w:val="000000"/>
                <w:sz w:val="24"/>
                <w:lang w:val="en-US" w:eastAsia="zh-CN"/>
              </w:rPr>
            </w:pPr>
            <w:r>
              <w:rPr>
                <w:rFonts w:hint="eastAsia" w:cs="宋体"/>
                <w:color w:val="000000"/>
                <w:sz w:val="24"/>
                <w:lang w:val="en-US" w:eastAsia="zh-CN"/>
              </w:rPr>
              <w:t>12</w:t>
            </w:r>
          </w:p>
        </w:tc>
        <w:tc>
          <w:tcPr>
            <w:tcW w:w="5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4"/>
              <w:spacing w:line="276" w:lineRule="auto"/>
              <w:rPr>
                <w:rFonts w:ascii="宋体" w:hAnsi="宋体" w:eastAsia="宋体" w:cs="Calibri"/>
                <w:color w:val="000000"/>
                <w:sz w:val="24"/>
                <w:szCs w:val="24"/>
              </w:rPr>
            </w:pPr>
            <w:r>
              <w:rPr>
                <w:rFonts w:hint="eastAsia" w:ascii="宋体" w:hAnsi="宋体" w:eastAsia="宋体" w:cs="Calibri"/>
                <w:color w:val="000000"/>
                <w:sz w:val="24"/>
                <w:szCs w:val="24"/>
              </w:rPr>
              <w:t>1.提供完整的项目实施方案，实施方案中包含项目实施计划、项目进度管理、项目实施管理</w:t>
            </w:r>
            <w:r>
              <w:rPr>
                <w:rFonts w:hint="eastAsia" w:ascii="宋体" w:hAnsi="宋体" w:cs="Calibri"/>
                <w:color w:val="000000"/>
                <w:sz w:val="24"/>
                <w:szCs w:val="24"/>
                <w:lang w:eastAsia="zh-CN"/>
              </w:rPr>
              <w:t>，</w:t>
            </w:r>
            <w:r>
              <w:rPr>
                <w:rFonts w:hint="eastAsia" w:ascii="宋体" w:hAnsi="宋体" w:cs="Calibri"/>
                <w:color w:val="000000"/>
                <w:sz w:val="24"/>
                <w:szCs w:val="24"/>
                <w:lang w:val="en-US" w:eastAsia="zh-CN"/>
              </w:rPr>
              <w:t>评委根据方案横向比较，综合评价优</w:t>
            </w:r>
            <w:r>
              <w:rPr>
                <w:rFonts w:hint="eastAsia" w:ascii="宋体" w:hAnsi="宋体" w:eastAsia="宋体" w:cs="Calibri"/>
                <w:color w:val="000000"/>
                <w:sz w:val="24"/>
                <w:szCs w:val="24"/>
              </w:rPr>
              <w:t>的得</w:t>
            </w:r>
            <w:r>
              <w:rPr>
                <w:rFonts w:hint="eastAsia" w:ascii="宋体" w:hAnsi="宋体" w:eastAsia="宋体" w:cs="Calibri"/>
                <w:color w:val="000000"/>
                <w:sz w:val="24"/>
                <w:szCs w:val="24"/>
                <w:lang w:val="en-US" w:eastAsia="zh-CN"/>
              </w:rPr>
              <w:t>4</w:t>
            </w:r>
            <w:r>
              <w:rPr>
                <w:rFonts w:hint="eastAsia" w:ascii="宋体" w:hAnsi="宋体" w:eastAsia="宋体" w:cs="Calibri"/>
                <w:color w:val="000000"/>
                <w:sz w:val="24"/>
                <w:szCs w:val="24"/>
              </w:rPr>
              <w:t>分，</w:t>
            </w:r>
            <w:r>
              <w:rPr>
                <w:rFonts w:hint="eastAsia" w:ascii="宋体" w:hAnsi="宋体" w:cs="Calibri"/>
                <w:color w:val="000000"/>
                <w:sz w:val="24"/>
                <w:szCs w:val="24"/>
                <w:lang w:val="en-US" w:eastAsia="zh-CN"/>
              </w:rPr>
              <w:t>综合评价一般的得2分，综合评价较差或</w:t>
            </w:r>
            <w:r>
              <w:rPr>
                <w:rFonts w:hint="eastAsia" w:ascii="宋体" w:hAnsi="宋体" w:eastAsia="宋体" w:cs="Calibri"/>
                <w:color w:val="000000"/>
                <w:sz w:val="24"/>
                <w:szCs w:val="24"/>
              </w:rPr>
              <w:t>未提供不得分。</w:t>
            </w:r>
          </w:p>
          <w:p>
            <w:pPr>
              <w:pStyle w:val="34"/>
              <w:spacing w:line="360" w:lineRule="exact"/>
              <w:rPr>
                <w:rFonts w:ascii="宋体" w:hAnsi="宋体" w:eastAsia="宋体" w:cs="Calibri"/>
                <w:color w:val="000000"/>
                <w:sz w:val="24"/>
                <w:szCs w:val="24"/>
              </w:rPr>
            </w:pPr>
            <w:r>
              <w:rPr>
                <w:rFonts w:hint="eastAsia" w:ascii="宋体" w:hAnsi="宋体" w:eastAsia="宋体" w:cs="Calibri"/>
                <w:color w:val="000000"/>
                <w:sz w:val="24"/>
                <w:szCs w:val="24"/>
              </w:rPr>
              <w:t>2.提供完整的项目培训方案，</w:t>
            </w:r>
            <w:r>
              <w:rPr>
                <w:rFonts w:hint="eastAsia" w:ascii="宋体" w:hAnsi="宋体" w:cs="Calibri"/>
                <w:color w:val="000000"/>
                <w:sz w:val="24"/>
                <w:szCs w:val="24"/>
                <w:lang w:val="en-US" w:eastAsia="zh-CN"/>
              </w:rPr>
              <w:t>评委根据方案横向比较，综合评价优</w:t>
            </w:r>
            <w:r>
              <w:rPr>
                <w:rFonts w:hint="eastAsia" w:ascii="宋体" w:hAnsi="宋体" w:eastAsia="宋体" w:cs="Calibri"/>
                <w:color w:val="000000"/>
                <w:sz w:val="24"/>
                <w:szCs w:val="24"/>
              </w:rPr>
              <w:t>得3分，</w:t>
            </w:r>
            <w:r>
              <w:rPr>
                <w:rFonts w:hint="eastAsia" w:ascii="宋体" w:hAnsi="宋体" w:cs="Calibri"/>
                <w:color w:val="000000"/>
                <w:sz w:val="24"/>
                <w:szCs w:val="24"/>
                <w:lang w:val="en-US" w:eastAsia="zh-CN"/>
              </w:rPr>
              <w:t>综合评价一般的得1分，</w:t>
            </w:r>
            <w:r>
              <w:rPr>
                <w:rFonts w:hint="eastAsia" w:ascii="宋体" w:hAnsi="宋体" w:eastAsia="宋体" w:cs="Calibri"/>
                <w:color w:val="000000"/>
                <w:sz w:val="24"/>
                <w:szCs w:val="24"/>
              </w:rPr>
              <w:t>未提供或</w:t>
            </w:r>
            <w:r>
              <w:rPr>
                <w:rFonts w:hint="eastAsia" w:ascii="宋体" w:hAnsi="宋体" w:cs="Calibri"/>
                <w:color w:val="000000"/>
                <w:sz w:val="24"/>
                <w:szCs w:val="24"/>
                <w:lang w:val="en-US" w:eastAsia="zh-CN"/>
              </w:rPr>
              <w:t>综合评价较差</w:t>
            </w:r>
            <w:r>
              <w:rPr>
                <w:rFonts w:hint="eastAsia" w:ascii="宋体" w:hAnsi="宋体" w:eastAsia="宋体" w:cs="Calibri"/>
                <w:color w:val="000000"/>
                <w:sz w:val="24"/>
                <w:szCs w:val="24"/>
              </w:rPr>
              <w:t>不得分。</w:t>
            </w:r>
          </w:p>
          <w:p>
            <w:pPr>
              <w:pStyle w:val="34"/>
              <w:spacing w:line="276" w:lineRule="auto"/>
              <w:rPr>
                <w:rFonts w:ascii="宋体" w:hAnsi="宋体" w:eastAsia="宋体" w:cs="Calibri"/>
                <w:color w:val="000000"/>
                <w:sz w:val="24"/>
                <w:szCs w:val="24"/>
              </w:rPr>
            </w:pPr>
            <w:r>
              <w:rPr>
                <w:rFonts w:hint="eastAsia" w:ascii="宋体" w:hAnsi="宋体" w:eastAsia="宋体" w:cs="Calibri"/>
                <w:color w:val="000000"/>
                <w:sz w:val="24"/>
                <w:szCs w:val="24"/>
              </w:rPr>
              <w:t>3.根据提供的服务方案的完整性、合理性酌情给分。按售后服务承诺、后续开发与功能扩展的措施综合评分。方案科学合理得</w:t>
            </w:r>
            <w:r>
              <w:rPr>
                <w:rFonts w:hint="eastAsia" w:ascii="宋体" w:hAnsi="宋体" w:eastAsia="宋体" w:cs="Calibri"/>
                <w:color w:val="000000"/>
                <w:sz w:val="24"/>
                <w:szCs w:val="24"/>
                <w:lang w:val="en-US" w:eastAsia="zh-CN"/>
              </w:rPr>
              <w:t>3</w:t>
            </w:r>
            <w:r>
              <w:rPr>
                <w:rFonts w:hint="eastAsia" w:ascii="宋体" w:hAnsi="宋体" w:eastAsia="宋体" w:cs="Calibri"/>
                <w:color w:val="000000"/>
                <w:sz w:val="24"/>
                <w:szCs w:val="24"/>
              </w:rPr>
              <w:t>分，</w:t>
            </w:r>
            <w:r>
              <w:rPr>
                <w:rFonts w:hint="eastAsia" w:ascii="宋体" w:hAnsi="宋体" w:cs="Calibri"/>
                <w:color w:val="000000"/>
                <w:sz w:val="24"/>
                <w:szCs w:val="24"/>
                <w:lang w:val="en-US" w:eastAsia="zh-CN"/>
              </w:rPr>
              <w:t>方案一般的得1分，方案较差或</w:t>
            </w:r>
            <w:r>
              <w:rPr>
                <w:rFonts w:hint="eastAsia" w:ascii="宋体" w:hAnsi="宋体" w:eastAsia="宋体" w:cs="Calibri"/>
                <w:color w:val="000000"/>
                <w:sz w:val="24"/>
                <w:szCs w:val="24"/>
              </w:rPr>
              <w:t>无方案不得分。</w:t>
            </w:r>
          </w:p>
          <w:p>
            <w:pPr>
              <w:widowControl/>
              <w:jc w:val="left"/>
              <w:textAlignment w:val="center"/>
              <w:rPr>
                <w:rFonts w:hint="eastAsia" w:cs="宋体"/>
                <w:color w:val="000000"/>
                <w:sz w:val="24"/>
              </w:rPr>
            </w:pPr>
            <w:r>
              <w:rPr>
                <w:rFonts w:hint="eastAsia" w:ascii="宋体" w:hAnsi="宋体" w:cs="Calibri"/>
                <w:color w:val="000000"/>
                <w:sz w:val="24"/>
              </w:rPr>
              <w:t>4.投标人提供本地化系统售后服务，具体的保障措施，并能提供在本地固定办公场所证明。有得2分，无不得分。</w:t>
            </w:r>
          </w:p>
        </w:tc>
      </w:tr>
      <w:tr>
        <w:trPr>
          <w:trHeight w:val="1280" w:hRule="atLeast"/>
          <w:jc w:val="center"/>
        </w:trPr>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cs="宋体"/>
                <w:color w:val="000000"/>
                <w:sz w:val="24"/>
              </w:rPr>
            </w:pPr>
            <w:r>
              <w:rPr>
                <w:rFonts w:hint="eastAsia" w:cs="宋体"/>
                <w:color w:val="000000"/>
                <w:kern w:val="0"/>
                <w:sz w:val="24"/>
                <w:lang w:bidi="ar"/>
              </w:rPr>
              <w:t>2.1</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cs="宋体"/>
                <w:color w:val="000000"/>
                <w:sz w:val="24"/>
              </w:rPr>
            </w:pPr>
            <w:r>
              <w:rPr>
                <w:rFonts w:hint="eastAsia" w:hAnsi="宋体" w:cs="宋体"/>
                <w:color w:val="000000"/>
                <w:kern w:val="0"/>
                <w:sz w:val="24"/>
                <w:lang w:bidi="ar"/>
              </w:rPr>
              <w:t>类似业绩</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eastAsia="宋体" w:cs="宋体"/>
                <w:color w:val="000000"/>
                <w:sz w:val="24"/>
                <w:lang w:val="en-US" w:eastAsia="zh-CN"/>
              </w:rPr>
            </w:pPr>
            <w:r>
              <w:rPr>
                <w:rFonts w:hint="eastAsia" w:cs="宋体"/>
                <w:color w:val="000000"/>
                <w:kern w:val="0"/>
                <w:sz w:val="24"/>
                <w:lang w:val="en-US" w:eastAsia="zh-CN" w:bidi="ar"/>
              </w:rPr>
              <w:t>10</w:t>
            </w:r>
          </w:p>
        </w:tc>
        <w:tc>
          <w:tcPr>
            <w:tcW w:w="5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cs="宋体"/>
                <w:color w:val="000000"/>
                <w:sz w:val="24"/>
              </w:rPr>
            </w:pPr>
            <w:r>
              <w:rPr>
                <w:rFonts w:hint="eastAsia" w:ascii="Times New Roman" w:hAnsi="Times New Roman" w:eastAsia="宋体" w:cs="Times New Roman"/>
                <w:color w:val="auto"/>
                <w:sz w:val="21"/>
                <w:szCs w:val="21"/>
                <w:highlight w:val="none"/>
                <w:lang w:val="en-US" w:eastAsia="zh-CN"/>
              </w:rPr>
              <w:t>投</w:t>
            </w:r>
            <w:r>
              <w:rPr>
                <w:rFonts w:hint="eastAsia" w:ascii="宋体" w:hAnsi="宋体" w:eastAsia="宋体" w:cs="Calibri"/>
                <w:color w:val="000000"/>
                <w:sz w:val="24"/>
                <w:lang w:val="en-US" w:eastAsia="zh-CN"/>
              </w:rPr>
              <w:t>标人提供2021年1月1日以来行业应用软件系统的成功案例，每提供一个得5分，最高得10分。</w:t>
            </w:r>
            <w:r>
              <w:rPr>
                <w:rFonts w:hint="eastAsia" w:cs="宋体"/>
                <w:color w:val="000000"/>
                <w:kern w:val="0"/>
                <w:sz w:val="24"/>
                <w:lang w:bidi="ar"/>
              </w:rPr>
              <w:t xml:space="preserve">                          </w:t>
            </w:r>
          </w:p>
        </w:tc>
      </w:tr>
      <w:tr>
        <w:trPr>
          <w:trHeight w:val="1530" w:hRule="atLeast"/>
          <w:jc w:val="center"/>
        </w:trPr>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cs="宋体"/>
                <w:color w:val="000000"/>
                <w:sz w:val="24"/>
              </w:rPr>
            </w:pPr>
            <w:r>
              <w:rPr>
                <w:rFonts w:hint="eastAsia" w:cs="宋体"/>
                <w:color w:val="000000"/>
                <w:kern w:val="0"/>
                <w:sz w:val="24"/>
                <w:lang w:bidi="ar"/>
              </w:rPr>
              <w:t>2.2</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cs="宋体"/>
                <w:color w:val="000000"/>
                <w:sz w:val="24"/>
              </w:rPr>
            </w:pPr>
            <w:r>
              <w:rPr>
                <w:rFonts w:hint="eastAsia" w:hAnsi="宋体" w:cs="宋体"/>
                <w:color w:val="000000"/>
                <w:kern w:val="0"/>
                <w:sz w:val="24"/>
                <w:lang w:bidi="ar"/>
              </w:rPr>
              <w:t>企业资质</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hAnsi="宋体" w:eastAsia="宋体" w:cs="宋体"/>
                <w:color w:val="000000"/>
                <w:kern w:val="0"/>
                <w:sz w:val="24"/>
                <w:lang w:eastAsia="zh-CN" w:bidi="ar"/>
              </w:rPr>
            </w:pPr>
            <w:r>
              <w:rPr>
                <w:rFonts w:hint="eastAsia" w:hAnsi="宋体" w:cs="宋体"/>
                <w:color w:val="000000"/>
                <w:kern w:val="0"/>
                <w:sz w:val="24"/>
                <w:lang w:val="en-US" w:eastAsia="zh-CN" w:bidi="ar"/>
              </w:rPr>
              <w:t>4</w:t>
            </w:r>
          </w:p>
        </w:tc>
        <w:tc>
          <w:tcPr>
            <w:tcW w:w="5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4"/>
              <w:spacing w:line="360" w:lineRule="exact"/>
              <w:rPr>
                <w:rFonts w:hint="eastAsia" w:ascii="宋体" w:hAnsi="宋体" w:eastAsia="宋体" w:cs="Calibri"/>
                <w:color w:val="000000"/>
                <w:sz w:val="24"/>
                <w:szCs w:val="24"/>
              </w:rPr>
            </w:pPr>
            <w:r>
              <w:rPr>
                <w:rFonts w:hint="eastAsia" w:ascii="宋体" w:hAnsi="宋体" w:eastAsia="宋体" w:cs="Calibri"/>
                <w:color w:val="000000"/>
                <w:sz w:val="24"/>
                <w:szCs w:val="24"/>
              </w:rPr>
              <w:t>提供有效期内软件企业证书</w:t>
            </w:r>
            <w:bookmarkStart w:id="1" w:name="OLE_LINK11"/>
            <w:bookmarkStart w:id="2" w:name="OLE_LINK10"/>
            <w:r>
              <w:rPr>
                <w:rFonts w:hint="eastAsia" w:ascii="宋体" w:hAnsi="宋体" w:eastAsia="宋体" w:cs="Calibri"/>
                <w:color w:val="000000"/>
                <w:sz w:val="24"/>
                <w:szCs w:val="24"/>
              </w:rPr>
              <w:t>得</w:t>
            </w:r>
            <w:r>
              <w:rPr>
                <w:rFonts w:hint="eastAsia" w:ascii="宋体" w:hAnsi="宋体" w:eastAsia="宋体" w:cs="Calibri"/>
                <w:color w:val="000000"/>
                <w:sz w:val="24"/>
                <w:szCs w:val="24"/>
                <w:lang w:val="en-US" w:eastAsia="zh-CN"/>
              </w:rPr>
              <w:t>4</w:t>
            </w:r>
            <w:r>
              <w:rPr>
                <w:rFonts w:hint="eastAsia" w:ascii="宋体" w:hAnsi="宋体" w:eastAsia="宋体" w:cs="Calibri"/>
                <w:color w:val="000000"/>
                <w:sz w:val="24"/>
                <w:szCs w:val="24"/>
              </w:rPr>
              <w:t>分</w:t>
            </w:r>
            <w:bookmarkEnd w:id="1"/>
            <w:bookmarkEnd w:id="2"/>
            <w:r>
              <w:rPr>
                <w:rFonts w:hint="eastAsia" w:ascii="宋体" w:hAnsi="宋体" w:eastAsia="宋体" w:cs="Calibri"/>
                <w:color w:val="000000"/>
                <w:sz w:val="24"/>
                <w:szCs w:val="24"/>
              </w:rPr>
              <w:t>；</w:t>
            </w:r>
          </w:p>
          <w:p>
            <w:pPr>
              <w:widowControl/>
              <w:jc w:val="left"/>
              <w:textAlignment w:val="center"/>
              <w:rPr>
                <w:rFonts w:hint="eastAsia" w:hAnsi="宋体" w:cs="宋体"/>
                <w:color w:val="000000"/>
                <w:kern w:val="0"/>
                <w:sz w:val="24"/>
                <w:lang w:bidi="ar"/>
              </w:rPr>
            </w:pPr>
            <w:r>
              <w:rPr>
                <w:rFonts w:hint="eastAsia" w:ascii="宋体" w:hAnsi="宋体" w:cs="Calibri"/>
                <w:color w:val="000000"/>
                <w:sz w:val="24"/>
              </w:rPr>
              <w:t>上述认证材料需提供复印件并加盖公章，原件备查。</w:t>
            </w:r>
          </w:p>
        </w:tc>
      </w:tr>
    </w:tbl>
    <w:p>
      <w:pPr>
        <w:autoSpaceDE w:val="0"/>
        <w:autoSpaceDN w:val="0"/>
        <w:adjustRightInd w:val="0"/>
        <w:snapToGrid w:val="0"/>
        <w:spacing w:line="480" w:lineRule="exact"/>
        <w:ind w:firstLine="480" w:firstLineChars="200"/>
        <w:rPr>
          <w:rFonts w:ascii="宋体" w:hAnsi="宋体"/>
          <w:sz w:val="24"/>
          <w:highlight w:val="none"/>
        </w:rPr>
      </w:pPr>
      <w:r>
        <w:rPr>
          <w:rFonts w:hint="eastAsia" w:ascii="宋体" w:hAnsi="宋体"/>
          <w:sz w:val="24"/>
          <w:highlight w:val="none"/>
        </w:rPr>
        <w:t xml:space="preserve"> </w:t>
      </w:r>
    </w:p>
    <w:p>
      <w:pPr>
        <w:snapToGrid w:val="0"/>
        <w:spacing w:line="480" w:lineRule="exact"/>
        <w:ind w:firstLine="570"/>
        <w:rPr>
          <w:b/>
          <w:kern w:val="0"/>
          <w:sz w:val="24"/>
          <w:highlight w:val="none"/>
        </w:rPr>
      </w:pPr>
      <w:r>
        <w:rPr>
          <w:rFonts w:hint="eastAsia"/>
          <w:b/>
          <w:kern w:val="0"/>
          <w:sz w:val="24"/>
          <w:highlight w:val="none"/>
        </w:rPr>
        <w:t>（</w:t>
      </w:r>
      <w:r>
        <w:rPr>
          <w:rFonts w:hint="eastAsia"/>
          <w:b/>
          <w:kern w:val="0"/>
          <w:sz w:val="24"/>
          <w:highlight w:val="none"/>
          <w:lang w:val="zh-CN"/>
        </w:rPr>
        <w:t>四</w:t>
      </w:r>
      <w:r>
        <w:rPr>
          <w:rFonts w:hint="eastAsia"/>
          <w:b/>
          <w:kern w:val="0"/>
          <w:sz w:val="24"/>
          <w:highlight w:val="none"/>
        </w:rPr>
        <w:t>）价格分</w:t>
      </w:r>
      <w:r>
        <w:rPr>
          <w:b/>
          <w:kern w:val="0"/>
          <w:sz w:val="24"/>
          <w:highlight w:val="none"/>
        </w:rPr>
        <w:t>30</w:t>
      </w:r>
      <w:r>
        <w:rPr>
          <w:rFonts w:hint="eastAsia"/>
          <w:b/>
          <w:kern w:val="0"/>
          <w:sz w:val="24"/>
          <w:highlight w:val="none"/>
          <w:lang w:val="zh-CN"/>
        </w:rPr>
        <w:t>分</w:t>
      </w:r>
    </w:p>
    <w:p>
      <w:pPr>
        <w:autoSpaceDE w:val="0"/>
        <w:autoSpaceDN w:val="0"/>
        <w:adjustRightInd w:val="0"/>
        <w:snapToGrid w:val="0"/>
        <w:spacing w:line="480" w:lineRule="exact"/>
        <w:ind w:firstLine="480" w:firstLineChars="200"/>
        <w:rPr>
          <w:sz w:val="24"/>
          <w:highlight w:val="none"/>
        </w:rPr>
      </w:pPr>
      <w:r>
        <w:rPr>
          <w:sz w:val="24"/>
          <w:highlight w:val="none"/>
        </w:rPr>
        <w:t>综合评分法中的价格分统一采用低价优先法计算，即满足磋商文件要求且最后报价最低的供应商的价格为磋商基准价，其价格分为满分。其他供应商的价格分统一按照下列公式计算：</w:t>
      </w:r>
    </w:p>
    <w:p>
      <w:pPr>
        <w:autoSpaceDE w:val="0"/>
        <w:autoSpaceDN w:val="0"/>
        <w:adjustRightInd w:val="0"/>
        <w:snapToGrid w:val="0"/>
        <w:spacing w:line="480" w:lineRule="exact"/>
        <w:ind w:firstLine="480" w:firstLineChars="200"/>
        <w:rPr>
          <w:sz w:val="24"/>
          <w:highlight w:val="none"/>
        </w:rPr>
      </w:pPr>
      <w:r>
        <w:rPr>
          <w:sz w:val="24"/>
          <w:highlight w:val="none"/>
        </w:rPr>
        <w:t>磋商报价得分=（磋商基准价/最后磋商报价）×价格权值×100</w:t>
      </w:r>
    </w:p>
    <w:p>
      <w:pPr>
        <w:autoSpaceDE w:val="0"/>
        <w:autoSpaceDN w:val="0"/>
        <w:adjustRightInd w:val="0"/>
        <w:snapToGrid w:val="0"/>
        <w:spacing w:line="480" w:lineRule="exact"/>
        <w:ind w:firstLine="480" w:firstLineChars="200"/>
        <w:rPr>
          <w:sz w:val="24"/>
          <w:highlight w:val="none"/>
        </w:rPr>
      </w:pPr>
      <w:r>
        <w:rPr>
          <w:sz w:val="24"/>
          <w:highlight w:val="none"/>
        </w:rPr>
        <w:t>项目评审过程中，不得去掉最后报价中的最高报价和最低报价。</w:t>
      </w:r>
    </w:p>
    <w:p>
      <w:pPr>
        <w:snapToGrid w:val="0"/>
        <w:spacing w:line="480" w:lineRule="exact"/>
        <w:ind w:firstLine="570"/>
        <w:rPr>
          <w:b/>
          <w:kern w:val="0"/>
          <w:sz w:val="24"/>
          <w:highlight w:val="none"/>
        </w:rPr>
      </w:pPr>
      <w:r>
        <w:rPr>
          <w:rFonts w:hint="eastAsia"/>
          <w:b/>
          <w:kern w:val="0"/>
          <w:sz w:val="24"/>
          <w:highlight w:val="none"/>
        </w:rPr>
        <w:t>（五）成交供应商的确定</w:t>
      </w:r>
    </w:p>
    <w:p>
      <w:pPr>
        <w:snapToGrid w:val="0"/>
        <w:spacing w:line="480" w:lineRule="exact"/>
        <w:ind w:firstLine="570"/>
        <w:rPr>
          <w:bCs/>
          <w:sz w:val="24"/>
          <w:highlight w:val="none"/>
        </w:rPr>
      </w:pPr>
      <w:r>
        <w:rPr>
          <w:rFonts w:hint="eastAsia"/>
          <w:bCs/>
          <w:sz w:val="24"/>
          <w:highlight w:val="none"/>
        </w:rPr>
        <w:t>磋商小组认为供应商的报价明显低于其他通过符合性审查供应商的报价，有可能影响产品质量或者不能诚信履约的，应当要求其在合理的时间内提供书面说明，必要时提交相关证明材料；供应商不能证明其报价合理性的，磋商小组应当将其作为无效响应处理。</w:t>
      </w:r>
    </w:p>
    <w:p>
      <w:pPr>
        <w:snapToGrid w:val="0"/>
        <w:spacing w:line="480" w:lineRule="exact"/>
        <w:ind w:firstLine="570"/>
        <w:rPr>
          <w:bCs/>
          <w:sz w:val="24"/>
          <w:highlight w:val="none"/>
        </w:rPr>
      </w:pPr>
      <w:r>
        <w:rPr>
          <w:rFonts w:hint="eastAsia"/>
          <w:bCs/>
          <w:sz w:val="24"/>
          <w:highlight w:val="none"/>
        </w:rPr>
        <w:t>磋商小组对成交候选人报价总表和分项报价明细表进行审核，应审核供应商报价是否前后一致、大小写金额是否一致、总价金额与单价汇总金额是否一致。对过高过低报价的并作为成交候选人的，应重点审核分项报价明细表是否有重大重复报价或漏项报价等情况，一经发现，现场请成交候选人予以澄清，明显过错或不能澄清的，经超半数以上评委认定，有权取消供应商成交候选人资格。</w:t>
      </w:r>
    </w:p>
    <w:p>
      <w:pPr>
        <w:adjustRightInd w:val="0"/>
        <w:snapToGrid w:val="0"/>
        <w:spacing w:line="500" w:lineRule="exact"/>
        <w:ind w:firstLine="570"/>
        <w:rPr>
          <w:rFonts w:hAnsi="宋体" w:cs="宋体"/>
          <w:bCs/>
          <w:sz w:val="24"/>
          <w:highlight w:val="none"/>
        </w:rPr>
      </w:pPr>
      <w:r>
        <w:rPr>
          <w:rFonts w:hint="eastAsia" w:hAnsi="宋体" w:cs="宋体"/>
          <w:bCs/>
          <w:sz w:val="24"/>
          <w:highlight w:val="none"/>
        </w:rPr>
        <w:t>磋商小组汇总各评委评分后，按照得分从高到低的顺序推荐三名成交候选人，并编写评审报告。</w:t>
      </w:r>
    </w:p>
    <w:p>
      <w:pPr>
        <w:adjustRightInd w:val="0"/>
        <w:snapToGrid w:val="0"/>
        <w:spacing w:line="500" w:lineRule="exact"/>
        <w:ind w:firstLine="570"/>
        <w:rPr>
          <w:rFonts w:ascii="宋体" w:hAnsi="宋体" w:cs="宋体"/>
          <w:bCs/>
          <w:sz w:val="24"/>
          <w:highlight w:val="none"/>
        </w:rPr>
      </w:pPr>
      <w:r>
        <w:rPr>
          <w:rFonts w:hint="eastAsia" w:ascii="宋体" w:hAnsi="宋体" w:cs="宋体"/>
          <w:b/>
          <w:sz w:val="24"/>
          <w:highlight w:val="none"/>
        </w:rPr>
        <w:t>采购人委托</w:t>
      </w:r>
      <w:r>
        <w:rPr>
          <w:rFonts w:hint="eastAsia" w:hAnsi="宋体" w:cs="宋体"/>
          <w:b/>
          <w:sz w:val="24"/>
          <w:highlight w:val="none"/>
        </w:rPr>
        <w:t>磋商小组</w:t>
      </w:r>
      <w:r>
        <w:rPr>
          <w:rFonts w:hint="eastAsia" w:hAnsi="宋体" w:cs="宋体"/>
          <w:bCs/>
          <w:sz w:val="24"/>
          <w:highlight w:val="none"/>
        </w:rPr>
        <w:t>直接确定排名第一的成交候选人为成交供应商。成交</w:t>
      </w:r>
      <w:r>
        <w:rPr>
          <w:rFonts w:hint="eastAsia" w:ascii="宋体" w:hAnsi="宋体" w:cs="宋体"/>
          <w:bCs/>
          <w:sz w:val="24"/>
          <w:highlight w:val="none"/>
        </w:rPr>
        <w:t>候选人并列的，由采购人委托磋商小组按照现场抽签方式确定</w:t>
      </w:r>
      <w:r>
        <w:rPr>
          <w:rFonts w:hint="eastAsia" w:hAnsi="宋体" w:cs="宋体"/>
          <w:bCs/>
          <w:sz w:val="24"/>
          <w:highlight w:val="none"/>
        </w:rPr>
        <w:t>成交</w:t>
      </w:r>
      <w:r>
        <w:rPr>
          <w:rFonts w:hint="eastAsia" w:ascii="宋体" w:hAnsi="宋体" w:cs="宋体"/>
          <w:bCs/>
          <w:sz w:val="24"/>
          <w:highlight w:val="none"/>
        </w:rPr>
        <w:t>人。</w:t>
      </w:r>
    </w:p>
    <w:p>
      <w:pPr>
        <w:snapToGrid w:val="0"/>
        <w:spacing w:line="480" w:lineRule="exact"/>
        <w:ind w:firstLine="570"/>
        <w:rPr>
          <w:b/>
          <w:kern w:val="0"/>
          <w:sz w:val="24"/>
          <w:highlight w:val="none"/>
        </w:rPr>
      </w:pPr>
      <w:r>
        <w:rPr>
          <w:rFonts w:hint="eastAsia"/>
          <w:b/>
          <w:kern w:val="0"/>
          <w:sz w:val="24"/>
          <w:highlight w:val="none"/>
        </w:rPr>
        <w:t>（</w:t>
      </w:r>
      <w:r>
        <w:rPr>
          <w:rFonts w:hint="eastAsia"/>
          <w:b/>
          <w:kern w:val="0"/>
          <w:sz w:val="24"/>
          <w:highlight w:val="none"/>
          <w:lang w:val="en-US" w:eastAsia="zh-CN"/>
        </w:rPr>
        <w:t>六</w:t>
      </w:r>
      <w:r>
        <w:rPr>
          <w:rFonts w:hint="eastAsia"/>
          <w:b/>
          <w:kern w:val="0"/>
          <w:sz w:val="24"/>
          <w:highlight w:val="none"/>
        </w:rPr>
        <w:t>）</w:t>
      </w:r>
      <w:r>
        <w:rPr>
          <w:b/>
          <w:kern w:val="0"/>
          <w:sz w:val="24"/>
          <w:highlight w:val="none"/>
        </w:rPr>
        <w:t>采购代理机构</w:t>
      </w:r>
      <w:r>
        <w:rPr>
          <w:rFonts w:hint="eastAsia"/>
          <w:b/>
          <w:kern w:val="0"/>
          <w:sz w:val="24"/>
          <w:highlight w:val="none"/>
        </w:rPr>
        <w:t>宣布评审结果。</w:t>
      </w:r>
    </w:p>
    <w:p>
      <w:pPr>
        <w:snapToGrid w:val="0"/>
        <w:spacing w:line="480" w:lineRule="exact"/>
        <w:ind w:firstLine="570"/>
        <w:rPr>
          <w:b/>
          <w:kern w:val="0"/>
          <w:sz w:val="24"/>
          <w:highlight w:val="none"/>
        </w:rPr>
      </w:pPr>
      <w:r>
        <w:rPr>
          <w:rFonts w:hint="eastAsia"/>
          <w:b/>
          <w:kern w:val="0"/>
          <w:sz w:val="24"/>
          <w:highlight w:val="none"/>
        </w:rPr>
        <w:t>（</w:t>
      </w:r>
      <w:r>
        <w:rPr>
          <w:rFonts w:hint="eastAsia"/>
          <w:b/>
          <w:kern w:val="0"/>
          <w:sz w:val="24"/>
          <w:highlight w:val="none"/>
          <w:lang w:val="en-US" w:eastAsia="zh-CN"/>
        </w:rPr>
        <w:t>七</w:t>
      </w:r>
      <w:r>
        <w:rPr>
          <w:rFonts w:hint="eastAsia"/>
          <w:b/>
          <w:kern w:val="0"/>
          <w:sz w:val="24"/>
          <w:highlight w:val="none"/>
        </w:rPr>
        <w:t>）公告成交结果</w:t>
      </w:r>
    </w:p>
    <w:p>
      <w:pPr>
        <w:adjustRightInd w:val="0"/>
        <w:snapToGrid w:val="0"/>
        <w:spacing w:line="500" w:lineRule="exact"/>
        <w:ind w:firstLine="570"/>
        <w:rPr>
          <w:rFonts w:eastAsia="方正仿宋_GBK"/>
          <w:sz w:val="28"/>
          <w:szCs w:val="28"/>
          <w:highlight w:val="none"/>
        </w:rPr>
      </w:pPr>
      <w:r>
        <w:rPr>
          <w:rFonts w:hint="eastAsia" w:hAnsi="宋体" w:cs="宋体"/>
          <w:bCs/>
          <w:sz w:val="24"/>
          <w:highlight w:val="none"/>
        </w:rPr>
        <w:t>自确定成交供应商之日起2个工作日内，在</w:t>
      </w:r>
      <w:r>
        <w:rPr>
          <w:rFonts w:hint="eastAsia" w:hAnsi="宋体" w:cs="宋体"/>
          <w:bCs/>
          <w:sz w:val="24"/>
          <w:highlight w:val="none"/>
          <w:lang w:val="en-US" w:eastAsia="zh-CN"/>
        </w:rPr>
        <w:t>南通开放大学官网、南通市教育局网</w:t>
      </w:r>
      <w:r>
        <w:rPr>
          <w:rFonts w:hint="eastAsia" w:hAnsi="宋体" w:cs="宋体"/>
          <w:bCs/>
          <w:sz w:val="24"/>
          <w:highlight w:val="none"/>
        </w:rPr>
        <w:t>公告成交结果，公告期限为1个工作日。</w:t>
      </w:r>
    </w:p>
    <w:p>
      <w:pPr>
        <w:snapToGrid w:val="0"/>
        <w:spacing w:line="480" w:lineRule="exact"/>
        <w:ind w:firstLine="570"/>
        <w:rPr>
          <w:b/>
          <w:kern w:val="0"/>
          <w:sz w:val="24"/>
          <w:highlight w:val="none"/>
        </w:rPr>
      </w:pPr>
      <w:r>
        <w:rPr>
          <w:rFonts w:hint="eastAsia"/>
          <w:b/>
          <w:kern w:val="0"/>
          <w:sz w:val="24"/>
          <w:highlight w:val="none"/>
        </w:rPr>
        <w:t>（</w:t>
      </w:r>
      <w:r>
        <w:rPr>
          <w:rFonts w:hint="eastAsia"/>
          <w:b/>
          <w:kern w:val="0"/>
          <w:sz w:val="24"/>
          <w:highlight w:val="none"/>
          <w:lang w:val="en-US" w:eastAsia="zh-CN"/>
        </w:rPr>
        <w:t>八</w:t>
      </w:r>
      <w:r>
        <w:rPr>
          <w:rFonts w:hint="eastAsia"/>
          <w:b/>
          <w:kern w:val="0"/>
          <w:sz w:val="24"/>
          <w:highlight w:val="none"/>
        </w:rPr>
        <w:t>）发放成交通知书</w:t>
      </w:r>
    </w:p>
    <w:p>
      <w:pPr>
        <w:snapToGrid w:val="0"/>
        <w:spacing w:line="480" w:lineRule="exact"/>
        <w:ind w:firstLine="480" w:firstLineChars="200"/>
        <w:contextualSpacing/>
        <w:rPr>
          <w:sz w:val="24"/>
          <w:highlight w:val="none"/>
          <w:u w:val="single"/>
        </w:rPr>
      </w:pPr>
      <w:r>
        <w:rPr>
          <w:rFonts w:hint="eastAsia"/>
          <w:sz w:val="24"/>
          <w:highlight w:val="none"/>
        </w:rPr>
        <w:t>成交</w:t>
      </w:r>
      <w:r>
        <w:rPr>
          <w:sz w:val="24"/>
          <w:highlight w:val="none"/>
        </w:rPr>
        <w:t>通知书发放条件和途径：</w:t>
      </w:r>
      <w:r>
        <w:rPr>
          <w:rFonts w:hint="eastAsia"/>
          <w:sz w:val="24"/>
          <w:highlight w:val="none"/>
        </w:rPr>
        <w:t>发布成交</w:t>
      </w:r>
      <w:r>
        <w:rPr>
          <w:sz w:val="24"/>
          <w:highlight w:val="none"/>
        </w:rPr>
        <w:t>结果公告</w:t>
      </w:r>
      <w:r>
        <w:rPr>
          <w:rFonts w:hint="eastAsia"/>
          <w:sz w:val="24"/>
          <w:highlight w:val="none"/>
        </w:rPr>
        <w:t>的同时，采购代理机构应当向成交人发放成交通知书。</w:t>
      </w:r>
      <w:r>
        <w:rPr>
          <w:sz w:val="24"/>
          <w:highlight w:val="none"/>
        </w:rPr>
        <w:t>领取地址：</w:t>
      </w:r>
      <w:r>
        <w:rPr>
          <w:rFonts w:hint="eastAsia"/>
          <w:sz w:val="24"/>
          <w:highlight w:val="none"/>
        </w:rPr>
        <w:t>南通市崇川区北大街108号金域商业中心T3楼24楼0</w:t>
      </w:r>
      <w:r>
        <w:rPr>
          <w:rFonts w:hint="eastAsia"/>
          <w:sz w:val="24"/>
          <w:highlight w:val="none"/>
          <w:lang w:val="en-US" w:eastAsia="zh-CN"/>
        </w:rPr>
        <w:t>2</w:t>
      </w:r>
      <w:r>
        <w:rPr>
          <w:rFonts w:hint="eastAsia"/>
          <w:sz w:val="24"/>
          <w:highlight w:val="none"/>
        </w:rPr>
        <w:t>室</w:t>
      </w:r>
      <w:r>
        <w:rPr>
          <w:sz w:val="24"/>
          <w:highlight w:val="none"/>
        </w:rPr>
        <w:t>，电话：</w:t>
      </w:r>
      <w:r>
        <w:rPr>
          <w:rFonts w:hint="eastAsia"/>
          <w:sz w:val="24"/>
          <w:highlight w:val="none"/>
        </w:rPr>
        <w:t>18962990275</w:t>
      </w:r>
      <w:r>
        <w:rPr>
          <w:sz w:val="24"/>
          <w:highlight w:val="none"/>
        </w:rPr>
        <w:t>。</w:t>
      </w:r>
    </w:p>
    <w:p>
      <w:pPr>
        <w:snapToGrid w:val="0"/>
        <w:spacing w:line="480" w:lineRule="exact"/>
        <w:ind w:firstLine="480" w:firstLineChars="200"/>
        <w:rPr>
          <w:sz w:val="24"/>
          <w:highlight w:val="none"/>
        </w:rPr>
      </w:pPr>
      <w:r>
        <w:rPr>
          <w:rFonts w:hint="eastAsia"/>
          <w:sz w:val="24"/>
          <w:highlight w:val="none"/>
        </w:rPr>
        <w:t>成交</w:t>
      </w:r>
      <w:r>
        <w:rPr>
          <w:sz w:val="24"/>
          <w:highlight w:val="none"/>
        </w:rPr>
        <w:t>通知书对采购人和</w:t>
      </w:r>
      <w:r>
        <w:rPr>
          <w:rFonts w:hint="eastAsia"/>
          <w:sz w:val="24"/>
          <w:highlight w:val="none"/>
        </w:rPr>
        <w:t>成交</w:t>
      </w:r>
      <w:r>
        <w:rPr>
          <w:sz w:val="24"/>
          <w:highlight w:val="none"/>
        </w:rPr>
        <w:t>供应商均具有法律效力。</w:t>
      </w:r>
      <w:r>
        <w:rPr>
          <w:rFonts w:hint="eastAsia"/>
          <w:sz w:val="24"/>
          <w:highlight w:val="none"/>
        </w:rPr>
        <w:t>成交</w:t>
      </w:r>
      <w:r>
        <w:rPr>
          <w:sz w:val="24"/>
          <w:highlight w:val="none"/>
        </w:rPr>
        <w:t>通知书发出后，采购人改变</w:t>
      </w:r>
      <w:r>
        <w:rPr>
          <w:rFonts w:hint="eastAsia"/>
          <w:sz w:val="24"/>
          <w:highlight w:val="none"/>
        </w:rPr>
        <w:t>成交</w:t>
      </w:r>
      <w:r>
        <w:rPr>
          <w:sz w:val="24"/>
          <w:highlight w:val="none"/>
        </w:rPr>
        <w:t>结果的，或者</w:t>
      </w:r>
      <w:r>
        <w:rPr>
          <w:rFonts w:hint="eastAsia"/>
          <w:sz w:val="24"/>
          <w:highlight w:val="none"/>
        </w:rPr>
        <w:t>成交</w:t>
      </w:r>
      <w:r>
        <w:rPr>
          <w:sz w:val="24"/>
          <w:highlight w:val="none"/>
        </w:rPr>
        <w:t>供应商放弃</w:t>
      </w:r>
      <w:r>
        <w:rPr>
          <w:rFonts w:hint="eastAsia"/>
          <w:sz w:val="24"/>
          <w:highlight w:val="none"/>
        </w:rPr>
        <w:t>成交</w:t>
      </w:r>
      <w:r>
        <w:rPr>
          <w:sz w:val="24"/>
          <w:highlight w:val="none"/>
        </w:rPr>
        <w:t>项目的，应当依法承担法律责任。</w:t>
      </w:r>
    </w:p>
    <w:p>
      <w:pPr>
        <w:snapToGrid w:val="0"/>
        <w:spacing w:line="480" w:lineRule="exact"/>
        <w:ind w:firstLine="570"/>
        <w:rPr>
          <w:b/>
          <w:kern w:val="0"/>
          <w:sz w:val="24"/>
          <w:highlight w:val="none"/>
        </w:rPr>
      </w:pPr>
      <w:r>
        <w:rPr>
          <w:rFonts w:hint="eastAsia"/>
          <w:b/>
          <w:kern w:val="0"/>
          <w:sz w:val="24"/>
          <w:highlight w:val="none"/>
        </w:rPr>
        <w:t>八、其他注意事项</w:t>
      </w:r>
    </w:p>
    <w:p>
      <w:pPr>
        <w:snapToGrid w:val="0"/>
        <w:spacing w:line="480" w:lineRule="exact"/>
        <w:ind w:firstLine="480" w:firstLineChars="200"/>
        <w:rPr>
          <w:sz w:val="24"/>
          <w:highlight w:val="none"/>
        </w:rPr>
      </w:pPr>
      <w:r>
        <w:rPr>
          <w:rFonts w:hint="eastAsia"/>
          <w:sz w:val="24"/>
          <w:highlight w:val="none"/>
        </w:rPr>
        <w:t>1、</w:t>
      </w:r>
      <w:r>
        <w:rPr>
          <w:sz w:val="24"/>
          <w:highlight w:val="none"/>
        </w:rPr>
        <w:t>在</w:t>
      </w:r>
      <w:r>
        <w:rPr>
          <w:rFonts w:hint="eastAsia"/>
          <w:sz w:val="24"/>
          <w:highlight w:val="none"/>
        </w:rPr>
        <w:t>磋商</w:t>
      </w:r>
      <w:r>
        <w:rPr>
          <w:sz w:val="24"/>
          <w:highlight w:val="none"/>
        </w:rPr>
        <w:t>响应、</w:t>
      </w:r>
      <w:r>
        <w:rPr>
          <w:rFonts w:hint="eastAsia"/>
          <w:sz w:val="24"/>
          <w:highlight w:val="none"/>
        </w:rPr>
        <w:t>评审</w:t>
      </w:r>
      <w:r>
        <w:rPr>
          <w:sz w:val="24"/>
          <w:highlight w:val="none"/>
        </w:rPr>
        <w:t>时间，供应商不得向</w:t>
      </w:r>
      <w:r>
        <w:rPr>
          <w:rFonts w:hint="eastAsia"/>
          <w:sz w:val="24"/>
          <w:highlight w:val="none"/>
        </w:rPr>
        <w:t>磋商小组</w:t>
      </w:r>
      <w:r>
        <w:rPr>
          <w:sz w:val="24"/>
          <w:highlight w:val="none"/>
        </w:rPr>
        <w:t>询问情况，不得进行旨在影响</w:t>
      </w:r>
      <w:r>
        <w:rPr>
          <w:rFonts w:hint="eastAsia"/>
          <w:sz w:val="24"/>
          <w:highlight w:val="none"/>
        </w:rPr>
        <w:t>评审</w:t>
      </w:r>
      <w:r>
        <w:rPr>
          <w:sz w:val="24"/>
          <w:highlight w:val="none"/>
        </w:rPr>
        <w:t>结果的活动。</w:t>
      </w:r>
    </w:p>
    <w:p>
      <w:pPr>
        <w:snapToGrid w:val="0"/>
        <w:spacing w:line="480" w:lineRule="exact"/>
        <w:ind w:firstLine="480" w:firstLineChars="200"/>
        <w:rPr>
          <w:sz w:val="24"/>
          <w:highlight w:val="none"/>
        </w:rPr>
      </w:pPr>
      <w:r>
        <w:rPr>
          <w:rFonts w:hint="eastAsia"/>
          <w:sz w:val="24"/>
          <w:highlight w:val="none"/>
        </w:rPr>
        <w:t>2、磋商小组不得向供应商解释落标原因。</w:t>
      </w:r>
    </w:p>
    <w:p>
      <w:pPr>
        <w:snapToGrid w:val="0"/>
        <w:spacing w:line="480" w:lineRule="exact"/>
        <w:ind w:firstLine="480" w:firstLineChars="200"/>
        <w:rPr>
          <w:sz w:val="24"/>
          <w:highlight w:val="none"/>
        </w:rPr>
      </w:pPr>
      <w:r>
        <w:rPr>
          <w:sz w:val="24"/>
          <w:highlight w:val="none"/>
        </w:rPr>
        <w:t>3、在</w:t>
      </w:r>
      <w:r>
        <w:rPr>
          <w:rFonts w:hint="eastAsia"/>
          <w:sz w:val="24"/>
          <w:highlight w:val="none"/>
        </w:rPr>
        <w:t>磋商</w:t>
      </w:r>
      <w:r>
        <w:rPr>
          <w:sz w:val="24"/>
          <w:highlight w:val="none"/>
        </w:rPr>
        <w:t>响应、</w:t>
      </w:r>
      <w:r>
        <w:rPr>
          <w:rFonts w:hint="eastAsia"/>
          <w:sz w:val="24"/>
          <w:highlight w:val="none"/>
        </w:rPr>
        <w:t>评审</w:t>
      </w:r>
      <w:r>
        <w:rPr>
          <w:sz w:val="24"/>
          <w:highlight w:val="none"/>
        </w:rPr>
        <w:t>过程中，如果供应商联合故意抬高报价或出现其他不正当行为，采购人有权中止</w:t>
      </w:r>
      <w:r>
        <w:rPr>
          <w:rFonts w:hint="eastAsia"/>
          <w:sz w:val="24"/>
          <w:highlight w:val="none"/>
        </w:rPr>
        <w:t>磋商</w:t>
      </w:r>
      <w:r>
        <w:rPr>
          <w:sz w:val="24"/>
          <w:highlight w:val="none"/>
        </w:rPr>
        <w:t>或评</w:t>
      </w:r>
      <w:r>
        <w:rPr>
          <w:rFonts w:hint="eastAsia"/>
          <w:sz w:val="24"/>
          <w:highlight w:val="none"/>
        </w:rPr>
        <w:t>审</w:t>
      </w:r>
      <w:r>
        <w:rPr>
          <w:sz w:val="24"/>
          <w:highlight w:val="none"/>
        </w:rPr>
        <w:t>。</w:t>
      </w:r>
    </w:p>
    <w:p>
      <w:pPr>
        <w:snapToGrid w:val="0"/>
        <w:spacing w:line="480" w:lineRule="exact"/>
        <w:ind w:firstLine="480" w:firstLineChars="200"/>
        <w:rPr>
          <w:sz w:val="24"/>
          <w:highlight w:val="none"/>
        </w:rPr>
      </w:pPr>
      <w:r>
        <w:rPr>
          <w:rFonts w:hint="eastAsia"/>
          <w:sz w:val="24"/>
          <w:highlight w:val="none"/>
        </w:rPr>
        <w:t>4</w:t>
      </w:r>
      <w:r>
        <w:rPr>
          <w:sz w:val="24"/>
          <w:highlight w:val="none"/>
        </w:rPr>
        <w:t>、凡在</w:t>
      </w:r>
      <w:r>
        <w:rPr>
          <w:rFonts w:hint="eastAsia"/>
          <w:sz w:val="24"/>
          <w:highlight w:val="none"/>
        </w:rPr>
        <w:t>磋商</w:t>
      </w:r>
      <w:r>
        <w:rPr>
          <w:sz w:val="24"/>
          <w:highlight w:val="none"/>
        </w:rPr>
        <w:t>响应、</w:t>
      </w:r>
      <w:r>
        <w:rPr>
          <w:rFonts w:hint="eastAsia"/>
          <w:sz w:val="24"/>
          <w:highlight w:val="none"/>
        </w:rPr>
        <w:t>评审</w:t>
      </w:r>
      <w:r>
        <w:rPr>
          <w:sz w:val="24"/>
          <w:highlight w:val="none"/>
        </w:rPr>
        <w:t>过程中，已提示是否异议的事项，供应商当时没有提出异议的，事后不得针对上述事项提出质疑。</w:t>
      </w:r>
    </w:p>
    <w:p>
      <w:pPr>
        <w:snapToGrid w:val="0"/>
        <w:spacing w:line="480" w:lineRule="exact"/>
        <w:ind w:firstLine="570"/>
        <w:rPr>
          <w:sz w:val="24"/>
          <w:highlight w:val="none"/>
        </w:rPr>
      </w:pPr>
    </w:p>
    <w:p>
      <w:pPr>
        <w:snapToGrid w:val="0"/>
        <w:spacing w:line="300" w:lineRule="auto"/>
        <w:jc w:val="center"/>
        <w:outlineLvl w:val="0"/>
        <w:rPr>
          <w:rFonts w:ascii="仿宋_GB2312" w:hAnsi="宋体" w:eastAsia="仿宋_GB2312"/>
          <w:b/>
          <w:sz w:val="36"/>
          <w:szCs w:val="36"/>
          <w:highlight w:val="none"/>
        </w:rPr>
        <w:sectPr>
          <w:footerReference r:id="rId3" w:type="default"/>
          <w:pgSz w:w="11907" w:h="16839"/>
          <w:pgMar w:top="1418" w:right="1588" w:bottom="1418" w:left="1588" w:header="851" w:footer="851" w:gutter="0"/>
          <w:cols w:space="720" w:num="1"/>
          <w:docGrid w:linePitch="286" w:charSpace="0"/>
        </w:sectPr>
      </w:pPr>
    </w:p>
    <w:p>
      <w:pPr>
        <w:snapToGrid w:val="0"/>
        <w:spacing w:line="300" w:lineRule="auto"/>
        <w:jc w:val="center"/>
        <w:outlineLvl w:val="0"/>
        <w:rPr>
          <w:rFonts w:ascii="仿宋_GB2312" w:hAnsi="宋体" w:eastAsia="仿宋_GB2312"/>
          <w:b/>
          <w:sz w:val="36"/>
          <w:szCs w:val="36"/>
          <w:highlight w:val="none"/>
        </w:rPr>
      </w:pPr>
      <w:r>
        <w:rPr>
          <w:rFonts w:hint="eastAsia" w:ascii="仿宋_GB2312" w:hAnsi="宋体" w:eastAsia="仿宋_GB2312"/>
          <w:b/>
          <w:sz w:val="36"/>
          <w:szCs w:val="36"/>
          <w:highlight w:val="none"/>
        </w:rPr>
        <w:t>第五部分  合同签订与验收付款</w:t>
      </w:r>
    </w:p>
    <w:p>
      <w:pPr>
        <w:snapToGrid w:val="0"/>
        <w:spacing w:line="480" w:lineRule="exact"/>
        <w:ind w:firstLine="471" w:firstLineChars="196"/>
        <w:jc w:val="left"/>
        <w:rPr>
          <w:b/>
          <w:sz w:val="24"/>
          <w:highlight w:val="none"/>
        </w:rPr>
      </w:pPr>
    </w:p>
    <w:p>
      <w:pPr>
        <w:snapToGrid w:val="0"/>
        <w:spacing w:line="480" w:lineRule="exact"/>
        <w:ind w:firstLine="480" w:firstLineChars="200"/>
        <w:rPr>
          <w:sz w:val="24"/>
          <w:highlight w:val="none"/>
          <w:lang w:val="zh-CN"/>
        </w:rPr>
      </w:pPr>
      <w:r>
        <w:rPr>
          <w:sz w:val="24"/>
          <w:highlight w:val="none"/>
          <w:lang w:val="zh-CN"/>
        </w:rPr>
        <w:t>一、</w:t>
      </w:r>
      <w:r>
        <w:rPr>
          <w:b/>
          <w:bCs/>
          <w:sz w:val="24"/>
          <w:highlight w:val="none"/>
          <w:lang w:val="zh-CN"/>
        </w:rPr>
        <w:t>成交供应商和采购单位</w:t>
      </w:r>
      <w:r>
        <w:rPr>
          <w:rFonts w:hint="eastAsia" w:ascii="宋体" w:hAnsi="宋体"/>
          <w:b/>
          <w:bCs/>
          <w:sz w:val="24"/>
          <w:highlight w:val="none"/>
        </w:rPr>
        <w:t>需在</w:t>
      </w:r>
      <w:r>
        <w:rPr>
          <w:b/>
          <w:bCs/>
          <w:sz w:val="24"/>
          <w:highlight w:val="none"/>
          <w:lang w:val="zh-CN"/>
        </w:rPr>
        <w:t>《成交通知书》</w:t>
      </w:r>
      <w:r>
        <w:rPr>
          <w:rFonts w:hint="eastAsia"/>
          <w:b/>
          <w:bCs/>
          <w:sz w:val="24"/>
          <w:highlight w:val="none"/>
        </w:rPr>
        <w:t>发出之日起</w:t>
      </w:r>
      <w:r>
        <w:rPr>
          <w:rFonts w:hint="eastAsia"/>
          <w:b/>
          <w:bCs/>
          <w:sz w:val="24"/>
          <w:highlight w:val="none"/>
          <w:lang w:val="en-US" w:eastAsia="zh-CN"/>
        </w:rPr>
        <w:t>30</w:t>
      </w:r>
      <w:r>
        <w:rPr>
          <w:rFonts w:hint="eastAsia"/>
          <w:b/>
          <w:bCs/>
          <w:sz w:val="24"/>
          <w:highlight w:val="none"/>
        </w:rPr>
        <w:t>日内</w:t>
      </w:r>
      <w:r>
        <w:rPr>
          <w:rFonts w:hint="eastAsia" w:ascii="宋体" w:hAnsi="宋体"/>
          <w:b/>
          <w:bCs/>
          <w:sz w:val="24"/>
          <w:highlight w:val="none"/>
        </w:rPr>
        <w:t>签订合同</w:t>
      </w:r>
      <w:r>
        <w:rPr>
          <w:b/>
          <w:bCs/>
          <w:sz w:val="24"/>
          <w:highlight w:val="none"/>
          <w:lang w:val="zh-CN"/>
        </w:rPr>
        <w:t>。</w:t>
      </w:r>
      <w:r>
        <w:rPr>
          <w:rFonts w:hint="eastAsia"/>
          <w:sz w:val="24"/>
          <w:highlight w:val="none"/>
          <w:lang w:val="zh-CN"/>
        </w:rPr>
        <w:t>合同签订后成交供应商方可履约，否则引起的一切后果由成交人自行承担。纸质合同一式肆份，采购人、供应商各两份。所签合同不得对采购文件作实质性修改。采购单位不得向成交供应商提出不合理的要求作为签订合同的条件，不得与成交供应商私下订立背离采购文件实质性内容的协议。</w:t>
      </w:r>
    </w:p>
    <w:p>
      <w:pPr>
        <w:snapToGrid w:val="0"/>
        <w:spacing w:line="480" w:lineRule="exact"/>
        <w:ind w:firstLine="480" w:firstLineChars="200"/>
        <w:rPr>
          <w:sz w:val="24"/>
          <w:highlight w:val="none"/>
        </w:rPr>
      </w:pPr>
      <w:r>
        <w:rPr>
          <w:b/>
          <w:sz w:val="24"/>
          <w:highlight w:val="none"/>
        </w:rPr>
        <w:t>二</w:t>
      </w:r>
      <w:r>
        <w:rPr>
          <w:sz w:val="24"/>
          <w:highlight w:val="none"/>
        </w:rPr>
        <w:t>、采购人按合同约定积极配合成交供应商履约，成交供应商履约到位后，请以书面形式向采购单位提出验收申请，采购人接到申请后及时组织相关专业技术人员，必要时邀请采购人、质检等部门共同参与验收，并出具验收报告，验收合格的支付相应款项。</w:t>
      </w:r>
    </w:p>
    <w:p>
      <w:pPr>
        <w:snapToGrid w:val="0"/>
        <w:spacing w:line="480" w:lineRule="exact"/>
        <w:ind w:firstLine="480" w:firstLineChars="200"/>
        <w:contextualSpacing/>
        <w:rPr>
          <w:sz w:val="24"/>
          <w:highlight w:val="none"/>
        </w:rPr>
      </w:pPr>
      <w:r>
        <w:rPr>
          <w:sz w:val="24"/>
          <w:highlight w:val="none"/>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480" w:lineRule="exact"/>
        <w:ind w:firstLine="480" w:firstLineChars="200"/>
        <w:contextualSpacing/>
        <w:rPr>
          <w:sz w:val="24"/>
          <w:highlight w:val="none"/>
        </w:rPr>
      </w:pPr>
      <w:r>
        <w:rPr>
          <w:sz w:val="24"/>
          <w:highlight w:val="none"/>
        </w:rPr>
        <w:t>四、成交供应商出现违约情形，应当及时纠正或补偿；造成损失的，按合同约定追究违约责任；发现有假冒、伪劣、走私产品、商业贿赂等违法情形的，应由采购人移交工商、质监、公安等行政执法部门依法查处。</w:t>
      </w:r>
    </w:p>
    <w:p>
      <w:pPr>
        <w:pStyle w:val="11"/>
        <w:kinsoku w:val="0"/>
        <w:topLinePunct/>
        <w:autoSpaceDE w:val="0"/>
        <w:autoSpaceDN w:val="0"/>
        <w:snapToGrid w:val="0"/>
        <w:spacing w:line="480" w:lineRule="exact"/>
        <w:ind w:right="210" w:firstLine="513" w:firstLineChars="214"/>
        <w:contextualSpacing/>
        <w:rPr>
          <w:b/>
          <w:sz w:val="24"/>
          <w:szCs w:val="24"/>
          <w:highlight w:val="none"/>
        </w:rPr>
      </w:pPr>
      <w:r>
        <w:rPr>
          <w:sz w:val="24"/>
          <w:szCs w:val="24"/>
          <w:highlight w:val="none"/>
          <w:lang w:val="zh-CN"/>
        </w:rPr>
        <w:t>五、</w:t>
      </w:r>
      <w:r>
        <w:rPr>
          <w:b/>
          <w:sz w:val="24"/>
          <w:szCs w:val="24"/>
          <w:highlight w:val="none"/>
        </w:rPr>
        <w:t>不响应付款方式的，视同响应文件无效处理。</w:t>
      </w:r>
      <w:r>
        <w:rPr>
          <w:rFonts w:hint="eastAsia"/>
          <w:b/>
          <w:sz w:val="24"/>
          <w:highlight w:val="none"/>
        </w:rPr>
        <w:t>实际付款方式以最终签订采购合同为准。</w:t>
      </w:r>
    </w:p>
    <w:p>
      <w:pPr>
        <w:pStyle w:val="11"/>
        <w:kinsoku w:val="0"/>
        <w:topLinePunct/>
        <w:autoSpaceDE w:val="0"/>
        <w:autoSpaceDN w:val="0"/>
        <w:snapToGrid w:val="0"/>
        <w:spacing w:line="480" w:lineRule="exact"/>
        <w:ind w:right="210" w:firstLine="480" w:firstLineChars="200"/>
        <w:contextualSpacing/>
        <w:rPr>
          <w:sz w:val="24"/>
          <w:szCs w:val="24"/>
          <w:highlight w:val="none"/>
          <w:lang w:val="zh-CN"/>
        </w:rPr>
      </w:pPr>
      <w:r>
        <w:rPr>
          <w:sz w:val="24"/>
          <w:szCs w:val="24"/>
          <w:highlight w:val="none"/>
        </w:rPr>
        <w:t>款项由采购人按相关财务支付规定办理支付手续。不得故意拖延支付时间。</w:t>
      </w:r>
    </w:p>
    <w:p>
      <w:pPr>
        <w:snapToGrid w:val="0"/>
        <w:spacing w:line="400" w:lineRule="atLeast"/>
        <w:ind w:firstLine="577" w:firstLineChars="200"/>
        <w:jc w:val="center"/>
        <w:outlineLvl w:val="0"/>
        <w:rPr>
          <w:rFonts w:cs="宋体"/>
          <w:b/>
          <w:bCs/>
          <w:w w:val="80"/>
          <w:sz w:val="36"/>
          <w:szCs w:val="36"/>
          <w:highlight w:val="none"/>
        </w:rPr>
      </w:pPr>
    </w:p>
    <w:p>
      <w:pPr>
        <w:snapToGrid w:val="0"/>
        <w:spacing w:line="400" w:lineRule="atLeast"/>
        <w:ind w:firstLine="723" w:firstLineChars="200"/>
        <w:jc w:val="center"/>
        <w:outlineLvl w:val="0"/>
        <w:rPr>
          <w:rFonts w:ascii="仿宋_GB2312" w:hAnsi="宋体" w:eastAsia="仿宋_GB2312"/>
          <w:b/>
          <w:sz w:val="36"/>
          <w:szCs w:val="36"/>
          <w:highlight w:val="none"/>
        </w:rPr>
        <w:sectPr>
          <w:pgSz w:w="11907" w:h="16839"/>
          <w:pgMar w:top="1418" w:right="1588" w:bottom="1418" w:left="1588" w:header="851" w:footer="851" w:gutter="0"/>
          <w:cols w:space="720" w:num="1"/>
          <w:docGrid w:linePitch="286" w:charSpace="0"/>
        </w:sectPr>
      </w:pPr>
    </w:p>
    <w:p>
      <w:pPr>
        <w:snapToGrid w:val="0"/>
        <w:spacing w:line="400" w:lineRule="atLeast"/>
        <w:ind w:firstLine="723" w:firstLineChars="200"/>
        <w:jc w:val="center"/>
        <w:outlineLvl w:val="0"/>
        <w:rPr>
          <w:rFonts w:ascii="仿宋_GB2312" w:hAnsi="宋体" w:eastAsia="仿宋_GB2312"/>
          <w:b/>
          <w:sz w:val="36"/>
          <w:szCs w:val="36"/>
          <w:highlight w:val="none"/>
        </w:rPr>
      </w:pPr>
      <w:r>
        <w:rPr>
          <w:rFonts w:hint="eastAsia" w:ascii="仿宋_GB2312" w:hAnsi="宋体" w:eastAsia="仿宋_GB2312"/>
          <w:b/>
          <w:sz w:val="36"/>
          <w:szCs w:val="36"/>
          <w:highlight w:val="none"/>
        </w:rPr>
        <w:t>第六部分  质疑提出和处理</w:t>
      </w:r>
    </w:p>
    <w:p>
      <w:pPr>
        <w:pStyle w:val="3"/>
        <w:snapToGrid w:val="0"/>
        <w:spacing w:line="400" w:lineRule="atLeast"/>
        <w:ind w:left="0" w:leftChars="0" w:firstLine="640" w:firstLineChars="200"/>
        <w:contextualSpacing/>
        <w:rPr>
          <w:rFonts w:ascii="仿宋_GB2312" w:hAnsi="宋体" w:eastAsia="仿宋_GB2312"/>
          <w:sz w:val="32"/>
          <w:szCs w:val="32"/>
          <w:highlight w:val="none"/>
        </w:rPr>
      </w:pPr>
    </w:p>
    <w:p>
      <w:pPr>
        <w:snapToGrid w:val="0"/>
        <w:spacing w:after="120" w:line="400" w:lineRule="atLeast"/>
        <w:ind w:firstLine="420" w:firstLineChars="200"/>
        <w:contextualSpacing/>
        <w:rPr>
          <w:rFonts w:eastAsia="仿宋_GB2312"/>
          <w:sz w:val="32"/>
          <w:szCs w:val="32"/>
          <w:highlight w:val="none"/>
        </w:rPr>
      </w:pPr>
      <w:r>
        <w:rPr>
          <w:b/>
          <w:bCs/>
          <w:highlight w:val="none"/>
          <w:u w:val="thick" w:color="FF0000"/>
        </w:rPr>
        <w:t>质疑函格式参见附件</w:t>
      </w:r>
      <w:r>
        <w:rPr>
          <w:b/>
          <w:bCs/>
          <w:highlight w:val="none"/>
        </w:rPr>
        <w:t>。</w:t>
      </w:r>
    </w:p>
    <w:p>
      <w:pPr>
        <w:pStyle w:val="3"/>
        <w:snapToGrid w:val="0"/>
        <w:spacing w:line="480" w:lineRule="exact"/>
        <w:ind w:firstLine="480" w:firstLineChars="200"/>
        <w:contextualSpacing/>
        <w:rPr>
          <w:sz w:val="24"/>
          <w:highlight w:val="none"/>
        </w:rPr>
      </w:pPr>
      <w:r>
        <w:rPr>
          <w:sz w:val="24"/>
          <w:highlight w:val="none"/>
        </w:rPr>
        <w:t>一、质疑的提出</w:t>
      </w:r>
    </w:p>
    <w:p>
      <w:pPr>
        <w:pStyle w:val="3"/>
        <w:snapToGrid w:val="0"/>
        <w:spacing w:line="480" w:lineRule="exact"/>
        <w:ind w:firstLine="480" w:firstLineChars="200"/>
        <w:contextualSpacing/>
        <w:rPr>
          <w:sz w:val="24"/>
          <w:highlight w:val="none"/>
        </w:rPr>
      </w:pPr>
      <w:r>
        <w:rPr>
          <w:sz w:val="24"/>
          <w:highlight w:val="none"/>
        </w:rPr>
        <w:t xml:space="preserve">(一)质疑人的身份要求      </w:t>
      </w:r>
    </w:p>
    <w:p>
      <w:pPr>
        <w:pStyle w:val="3"/>
        <w:snapToGrid w:val="0"/>
        <w:spacing w:line="480" w:lineRule="exact"/>
        <w:ind w:firstLine="480" w:firstLineChars="200"/>
        <w:contextualSpacing/>
        <w:rPr>
          <w:sz w:val="24"/>
          <w:highlight w:val="none"/>
        </w:rPr>
      </w:pPr>
      <w:r>
        <w:rPr>
          <w:sz w:val="24"/>
          <w:highlight w:val="none"/>
        </w:rPr>
        <w:t>1.提出质疑的供应商应当是参与所质疑项目采购活动的供应商。</w:t>
      </w:r>
    </w:p>
    <w:p>
      <w:pPr>
        <w:pStyle w:val="3"/>
        <w:snapToGrid w:val="0"/>
        <w:spacing w:line="480" w:lineRule="exact"/>
        <w:ind w:firstLine="480" w:firstLineChars="200"/>
        <w:contextualSpacing/>
        <w:rPr>
          <w:sz w:val="24"/>
          <w:highlight w:val="none"/>
        </w:rPr>
      </w:pPr>
      <w:r>
        <w:rPr>
          <w:sz w:val="24"/>
          <w:highlight w:val="none"/>
        </w:rPr>
        <w:t>2.潜在供应商已依法获取其可质疑的采购文件的，可以对该文件提出质疑。对采购文件提出质疑的，应当在获取采购文件或者采购文件公告期限届满之日起7个工作日内提出。</w:t>
      </w:r>
    </w:p>
    <w:p>
      <w:pPr>
        <w:pStyle w:val="3"/>
        <w:snapToGrid w:val="0"/>
        <w:spacing w:line="480" w:lineRule="exact"/>
        <w:ind w:firstLine="480" w:firstLineChars="200"/>
        <w:contextualSpacing/>
        <w:rPr>
          <w:sz w:val="24"/>
          <w:highlight w:val="none"/>
        </w:rPr>
      </w:pPr>
      <w:r>
        <w:rPr>
          <w:sz w:val="24"/>
          <w:highlight w:val="none"/>
        </w:rPr>
        <w:t xml:space="preserve">(二)质疑提出的格式要求   </w:t>
      </w:r>
    </w:p>
    <w:p>
      <w:pPr>
        <w:pStyle w:val="3"/>
        <w:snapToGrid w:val="0"/>
        <w:spacing w:line="480" w:lineRule="exact"/>
        <w:ind w:firstLine="480" w:firstLineChars="200"/>
        <w:contextualSpacing/>
        <w:rPr>
          <w:sz w:val="24"/>
          <w:highlight w:val="none"/>
        </w:rPr>
      </w:pPr>
      <w:r>
        <w:rPr>
          <w:sz w:val="24"/>
          <w:highlight w:val="none"/>
        </w:rPr>
        <w:t>1.质疑必须按《政府采购法》、《政府采购法实施条例》及《江苏省政府采购供应商监督管理暂行办法》的相关规定提交，质疑实行实名制，不得进行虚假、恶意质疑，未按上述要求提交的质疑函，采购人和采购代理机构有权不予受理。</w:t>
      </w:r>
    </w:p>
    <w:p>
      <w:pPr>
        <w:pStyle w:val="3"/>
        <w:snapToGrid w:val="0"/>
        <w:spacing w:line="480" w:lineRule="exact"/>
        <w:ind w:firstLine="480" w:firstLineChars="200"/>
        <w:contextualSpacing/>
        <w:rPr>
          <w:sz w:val="24"/>
          <w:highlight w:val="none"/>
        </w:rPr>
      </w:pPr>
      <w:r>
        <w:rPr>
          <w:sz w:val="24"/>
          <w:highlight w:val="none"/>
        </w:rPr>
        <w:t xml:space="preserve">2.质疑函应包括：    </w:t>
      </w:r>
    </w:p>
    <w:p>
      <w:pPr>
        <w:pStyle w:val="3"/>
        <w:snapToGrid w:val="0"/>
        <w:spacing w:line="480" w:lineRule="exact"/>
        <w:ind w:firstLine="480" w:firstLineChars="200"/>
        <w:contextualSpacing/>
        <w:rPr>
          <w:sz w:val="24"/>
          <w:highlight w:val="none"/>
        </w:rPr>
      </w:pPr>
      <w:r>
        <w:rPr>
          <w:sz w:val="24"/>
          <w:highlight w:val="none"/>
        </w:rPr>
        <w:t>（1）质疑</w:t>
      </w:r>
      <w:r>
        <w:rPr>
          <w:rFonts w:hint="eastAsia"/>
          <w:sz w:val="24"/>
          <w:highlight w:val="none"/>
        </w:rPr>
        <w:t>供应商</w:t>
      </w:r>
      <w:r>
        <w:rPr>
          <w:sz w:val="24"/>
          <w:highlight w:val="none"/>
        </w:rPr>
        <w:t>的名称、地址、邮编、联系人及联系电话；</w:t>
      </w:r>
    </w:p>
    <w:p>
      <w:pPr>
        <w:pStyle w:val="3"/>
        <w:snapToGrid w:val="0"/>
        <w:spacing w:line="480" w:lineRule="exact"/>
        <w:ind w:firstLine="480" w:firstLineChars="200"/>
        <w:contextualSpacing/>
        <w:rPr>
          <w:sz w:val="24"/>
          <w:highlight w:val="none"/>
        </w:rPr>
      </w:pPr>
      <w:r>
        <w:rPr>
          <w:sz w:val="24"/>
          <w:highlight w:val="none"/>
        </w:rPr>
        <w:t>（2）质疑项目的名称、编号；</w:t>
      </w:r>
    </w:p>
    <w:p>
      <w:pPr>
        <w:pStyle w:val="3"/>
        <w:snapToGrid w:val="0"/>
        <w:spacing w:line="480" w:lineRule="exact"/>
        <w:ind w:firstLine="480" w:firstLineChars="200"/>
        <w:contextualSpacing/>
        <w:rPr>
          <w:sz w:val="24"/>
          <w:highlight w:val="none"/>
        </w:rPr>
      </w:pPr>
      <w:r>
        <w:rPr>
          <w:sz w:val="24"/>
          <w:highlight w:val="none"/>
        </w:rPr>
        <w:t>（3）具体、明确的质疑事项和与质疑事项相关的请求；</w:t>
      </w:r>
    </w:p>
    <w:p>
      <w:pPr>
        <w:pStyle w:val="3"/>
        <w:snapToGrid w:val="0"/>
        <w:spacing w:line="480" w:lineRule="exact"/>
        <w:ind w:firstLine="480" w:firstLineChars="200"/>
        <w:contextualSpacing/>
        <w:rPr>
          <w:sz w:val="24"/>
          <w:highlight w:val="none"/>
        </w:rPr>
      </w:pPr>
      <w:r>
        <w:rPr>
          <w:sz w:val="24"/>
          <w:highlight w:val="none"/>
        </w:rPr>
        <w:t>（4）事实依据；</w:t>
      </w:r>
    </w:p>
    <w:p>
      <w:pPr>
        <w:pStyle w:val="3"/>
        <w:snapToGrid w:val="0"/>
        <w:spacing w:line="480" w:lineRule="exact"/>
        <w:ind w:firstLine="480" w:firstLineChars="200"/>
        <w:contextualSpacing/>
        <w:rPr>
          <w:sz w:val="24"/>
          <w:highlight w:val="none"/>
        </w:rPr>
      </w:pPr>
      <w:r>
        <w:rPr>
          <w:sz w:val="24"/>
          <w:highlight w:val="none"/>
        </w:rPr>
        <w:t xml:space="preserve">（5）必要的法律依据；                          </w:t>
      </w:r>
    </w:p>
    <w:p>
      <w:pPr>
        <w:pStyle w:val="3"/>
        <w:snapToGrid w:val="0"/>
        <w:spacing w:line="480" w:lineRule="exact"/>
        <w:ind w:firstLine="480" w:firstLineChars="200"/>
        <w:contextualSpacing/>
        <w:rPr>
          <w:sz w:val="24"/>
          <w:highlight w:val="none"/>
        </w:rPr>
      </w:pPr>
      <w:r>
        <w:rPr>
          <w:sz w:val="24"/>
          <w:highlight w:val="none"/>
        </w:rPr>
        <w:t>（6）提出质疑的日期。</w:t>
      </w:r>
    </w:p>
    <w:p>
      <w:pPr>
        <w:pStyle w:val="3"/>
        <w:snapToGrid w:val="0"/>
        <w:spacing w:line="480" w:lineRule="exact"/>
        <w:ind w:firstLine="480" w:firstLineChars="200"/>
        <w:contextualSpacing/>
        <w:rPr>
          <w:sz w:val="24"/>
          <w:highlight w:val="none"/>
        </w:rPr>
      </w:pPr>
      <w:r>
        <w:rPr>
          <w:sz w:val="24"/>
          <w:highlight w:val="none"/>
        </w:rPr>
        <w:t>（7）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采购代理机构将不予受理。质疑人委托代理质疑的，应当提交授权委托书，并载明委托代理的具体权限和事项。</w:t>
      </w:r>
    </w:p>
    <w:p>
      <w:pPr>
        <w:pStyle w:val="3"/>
        <w:snapToGrid w:val="0"/>
        <w:spacing w:line="480" w:lineRule="exact"/>
        <w:ind w:firstLine="480" w:firstLineChars="200"/>
        <w:contextualSpacing/>
        <w:rPr>
          <w:sz w:val="24"/>
          <w:highlight w:val="none"/>
        </w:rPr>
      </w:pPr>
      <w:r>
        <w:rPr>
          <w:sz w:val="24"/>
          <w:highlight w:val="none"/>
        </w:rPr>
        <w:t>3.质疑函需遵循的原则：</w:t>
      </w:r>
    </w:p>
    <w:p>
      <w:pPr>
        <w:pStyle w:val="3"/>
        <w:snapToGrid w:val="0"/>
        <w:spacing w:line="480" w:lineRule="exact"/>
        <w:ind w:firstLine="480" w:firstLineChars="200"/>
        <w:contextualSpacing/>
        <w:rPr>
          <w:sz w:val="24"/>
          <w:highlight w:val="none"/>
        </w:rPr>
      </w:pPr>
      <w:r>
        <w:rPr>
          <w:sz w:val="24"/>
          <w:highlight w:val="none"/>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pStyle w:val="3"/>
        <w:snapToGrid w:val="0"/>
        <w:spacing w:line="480" w:lineRule="exact"/>
        <w:ind w:firstLine="480" w:firstLineChars="200"/>
        <w:contextualSpacing/>
        <w:rPr>
          <w:sz w:val="24"/>
          <w:highlight w:val="none"/>
        </w:rPr>
      </w:pPr>
      <w:r>
        <w:rPr>
          <w:sz w:val="24"/>
          <w:highlight w:val="none"/>
        </w:rPr>
        <w:t>（三）质疑提出的时效要求</w:t>
      </w:r>
    </w:p>
    <w:p>
      <w:pPr>
        <w:pStyle w:val="3"/>
        <w:snapToGrid w:val="0"/>
        <w:spacing w:line="480" w:lineRule="exact"/>
        <w:ind w:firstLine="480" w:firstLineChars="200"/>
        <w:contextualSpacing/>
        <w:rPr>
          <w:sz w:val="24"/>
          <w:highlight w:val="none"/>
        </w:rPr>
      </w:pPr>
      <w:r>
        <w:rPr>
          <w:sz w:val="24"/>
          <w:highlight w:val="none"/>
        </w:rPr>
        <w:t>1.</w:t>
      </w:r>
      <w:r>
        <w:rPr>
          <w:rFonts w:hint="eastAsia"/>
          <w:sz w:val="24"/>
          <w:highlight w:val="none"/>
        </w:rPr>
        <w:t>供应商</w:t>
      </w:r>
      <w:r>
        <w:rPr>
          <w:sz w:val="24"/>
          <w:highlight w:val="none"/>
        </w:rPr>
        <w:t xml:space="preserve">认为采购文件、采购过程和采购结果使自己的权益受到损害的，可以在知道或应知其权益受到损害之日起七个工作日内，以书面形式向采购人、采购代理机构提出质疑。上述应知其权益受到损害之日，是指：                       </w:t>
      </w:r>
    </w:p>
    <w:p>
      <w:pPr>
        <w:pStyle w:val="3"/>
        <w:snapToGrid w:val="0"/>
        <w:spacing w:line="480" w:lineRule="exact"/>
        <w:ind w:firstLine="480" w:firstLineChars="200"/>
        <w:contextualSpacing/>
        <w:rPr>
          <w:sz w:val="24"/>
          <w:highlight w:val="none"/>
        </w:rPr>
      </w:pPr>
      <w:r>
        <w:rPr>
          <w:sz w:val="24"/>
          <w:highlight w:val="none"/>
        </w:rPr>
        <w:t>（1）对可以质疑的采购文件提出质疑的，为收到采购文件之日或者采购文件公告期限届满之日；</w:t>
      </w:r>
    </w:p>
    <w:p>
      <w:pPr>
        <w:pStyle w:val="3"/>
        <w:snapToGrid w:val="0"/>
        <w:spacing w:line="480" w:lineRule="exact"/>
        <w:ind w:firstLine="480" w:firstLineChars="200"/>
        <w:contextualSpacing/>
        <w:rPr>
          <w:sz w:val="24"/>
          <w:highlight w:val="none"/>
        </w:rPr>
      </w:pPr>
      <w:r>
        <w:rPr>
          <w:sz w:val="24"/>
          <w:highlight w:val="none"/>
        </w:rPr>
        <w:t>（2）对采购过程提出质疑的，为各采购程序环节结束之日；</w:t>
      </w:r>
    </w:p>
    <w:p>
      <w:pPr>
        <w:pStyle w:val="3"/>
        <w:snapToGrid w:val="0"/>
        <w:spacing w:line="480" w:lineRule="exact"/>
        <w:ind w:firstLine="480" w:firstLineChars="200"/>
        <w:contextualSpacing/>
        <w:rPr>
          <w:sz w:val="24"/>
          <w:highlight w:val="none"/>
        </w:rPr>
      </w:pPr>
      <w:r>
        <w:rPr>
          <w:sz w:val="24"/>
          <w:highlight w:val="none"/>
        </w:rPr>
        <w:t>（3）对中标或者成交结果提出质疑的，为中标或者成交结果公告期限届满之日。</w:t>
      </w:r>
    </w:p>
    <w:p>
      <w:pPr>
        <w:pStyle w:val="3"/>
        <w:snapToGrid w:val="0"/>
        <w:spacing w:line="480" w:lineRule="exact"/>
        <w:ind w:firstLine="480" w:firstLineChars="200"/>
        <w:contextualSpacing/>
        <w:rPr>
          <w:sz w:val="24"/>
          <w:highlight w:val="none"/>
        </w:rPr>
      </w:pPr>
      <w:r>
        <w:rPr>
          <w:rFonts w:hint="eastAsia"/>
          <w:sz w:val="24"/>
          <w:highlight w:val="none"/>
        </w:rPr>
        <w:t>供应商</w:t>
      </w:r>
      <w:r>
        <w:rPr>
          <w:sz w:val="24"/>
          <w:highlight w:val="none"/>
        </w:rPr>
        <w:t>认为采购文件使自己的权益受到损害的，可以向采购人、采购代理机构提出质疑；</w:t>
      </w:r>
      <w:r>
        <w:rPr>
          <w:rFonts w:hint="eastAsia"/>
          <w:sz w:val="24"/>
          <w:highlight w:val="none"/>
        </w:rPr>
        <w:t>供应商</w:t>
      </w:r>
      <w:r>
        <w:rPr>
          <w:sz w:val="24"/>
          <w:highlight w:val="none"/>
        </w:rPr>
        <w:t>认为采购过程和采购结果使自己的权益受到损害的，可以以书面形式向采购人、采购代理机构提出质疑。</w:t>
      </w:r>
    </w:p>
    <w:p>
      <w:pPr>
        <w:pStyle w:val="3"/>
        <w:snapToGrid w:val="0"/>
        <w:spacing w:line="480" w:lineRule="exact"/>
        <w:ind w:firstLine="480" w:firstLineChars="200"/>
        <w:contextualSpacing/>
        <w:rPr>
          <w:sz w:val="24"/>
          <w:highlight w:val="none"/>
        </w:rPr>
      </w:pPr>
      <w:r>
        <w:rPr>
          <w:sz w:val="24"/>
          <w:highlight w:val="none"/>
        </w:rPr>
        <w:t>2.</w:t>
      </w:r>
      <w:r>
        <w:rPr>
          <w:rFonts w:hint="eastAsia"/>
          <w:sz w:val="24"/>
          <w:highlight w:val="none"/>
        </w:rPr>
        <w:t>供应商</w:t>
      </w:r>
      <w:r>
        <w:rPr>
          <w:sz w:val="24"/>
          <w:highlight w:val="none"/>
        </w:rPr>
        <w:t xml:space="preserve">应在法定质疑期一次性提出针对同一采购程序环节的质疑。                         </w:t>
      </w:r>
    </w:p>
    <w:p>
      <w:pPr>
        <w:pStyle w:val="3"/>
        <w:snapToGrid w:val="0"/>
        <w:spacing w:line="480" w:lineRule="exact"/>
        <w:ind w:firstLine="480" w:firstLineChars="200"/>
        <w:contextualSpacing/>
        <w:rPr>
          <w:sz w:val="24"/>
          <w:highlight w:val="none"/>
        </w:rPr>
      </w:pPr>
      <w:r>
        <w:rPr>
          <w:sz w:val="24"/>
          <w:highlight w:val="none"/>
        </w:rPr>
        <w:t>二、《质疑函》的受理和答复</w:t>
      </w:r>
    </w:p>
    <w:p>
      <w:pPr>
        <w:pStyle w:val="3"/>
        <w:snapToGrid w:val="0"/>
        <w:spacing w:line="480" w:lineRule="exact"/>
        <w:ind w:firstLine="480" w:firstLineChars="200"/>
        <w:contextualSpacing/>
        <w:rPr>
          <w:sz w:val="24"/>
          <w:highlight w:val="none"/>
        </w:rPr>
      </w:pPr>
      <w:r>
        <w:rPr>
          <w:sz w:val="24"/>
          <w:highlight w:val="none"/>
        </w:rPr>
        <w:t>1.采购人、采购代理机构收到质疑函后，将对质疑的形式和内容进行审查，如质疑函内容、格式不符合规定，需告知质疑人进行补正。</w:t>
      </w:r>
    </w:p>
    <w:p>
      <w:pPr>
        <w:pStyle w:val="3"/>
        <w:snapToGrid w:val="0"/>
        <w:spacing w:line="480" w:lineRule="exact"/>
        <w:ind w:firstLine="480" w:firstLineChars="200"/>
        <w:contextualSpacing/>
        <w:rPr>
          <w:sz w:val="24"/>
          <w:highlight w:val="none"/>
        </w:rPr>
      </w:pPr>
      <w:r>
        <w:rPr>
          <w:sz w:val="24"/>
          <w:highlight w:val="none"/>
        </w:rPr>
        <w:t>2. 质疑人应当在法定质疑期限内进行补正并重新提交质疑函，拒不补正或者在法定期限内未重新提交质疑函的，为无效质疑，不予受理。</w:t>
      </w:r>
    </w:p>
    <w:p>
      <w:pPr>
        <w:pStyle w:val="3"/>
        <w:snapToGrid w:val="0"/>
        <w:spacing w:line="480" w:lineRule="exact"/>
        <w:ind w:firstLine="480" w:firstLineChars="200"/>
        <w:contextualSpacing/>
        <w:rPr>
          <w:sz w:val="24"/>
          <w:highlight w:val="none"/>
        </w:rPr>
      </w:pPr>
      <w:r>
        <w:rPr>
          <w:sz w:val="24"/>
          <w:highlight w:val="none"/>
        </w:rPr>
        <w:t>3.采购人、采购代理机构答复供应商质疑应当采用书面方式并依法送达，质疑供应商或其委托代理人拒绝签收的视为已经送达。</w:t>
      </w:r>
    </w:p>
    <w:p>
      <w:pPr>
        <w:pStyle w:val="3"/>
        <w:snapToGrid w:val="0"/>
        <w:spacing w:line="480" w:lineRule="exact"/>
        <w:ind w:firstLine="480" w:firstLineChars="200"/>
        <w:contextualSpacing/>
        <w:rPr>
          <w:sz w:val="24"/>
          <w:highlight w:val="none"/>
        </w:rPr>
      </w:pPr>
      <w:r>
        <w:rPr>
          <w:sz w:val="24"/>
          <w:highlight w:val="none"/>
        </w:rPr>
        <w:t>4.采购人负责供应商质疑答复。采购人委托采购代理机构采购的，采购代理机构在委托授权范围内作出答复。</w:t>
      </w:r>
    </w:p>
    <w:p>
      <w:pPr>
        <w:pStyle w:val="3"/>
        <w:snapToGrid w:val="0"/>
        <w:spacing w:line="480" w:lineRule="exact"/>
        <w:ind w:firstLine="480" w:firstLineChars="200"/>
        <w:contextualSpacing/>
        <w:rPr>
          <w:sz w:val="24"/>
          <w:highlight w:val="none"/>
        </w:rPr>
      </w:pPr>
      <w:r>
        <w:rPr>
          <w:sz w:val="24"/>
          <w:highlight w:val="none"/>
        </w:rPr>
        <w:t>三、质疑处理</w:t>
      </w:r>
    </w:p>
    <w:p>
      <w:pPr>
        <w:pStyle w:val="3"/>
        <w:snapToGrid w:val="0"/>
        <w:spacing w:line="480" w:lineRule="exact"/>
        <w:ind w:firstLine="480" w:firstLineChars="200"/>
        <w:contextualSpacing/>
        <w:rPr>
          <w:sz w:val="24"/>
          <w:highlight w:val="none"/>
        </w:rPr>
      </w:pPr>
      <w:r>
        <w:rPr>
          <w:sz w:val="24"/>
          <w:highlight w:val="none"/>
        </w:rPr>
        <w:t>1. 质疑成立的处理</w:t>
      </w:r>
    </w:p>
    <w:p>
      <w:pPr>
        <w:pStyle w:val="3"/>
        <w:snapToGrid w:val="0"/>
        <w:spacing w:line="480" w:lineRule="exact"/>
        <w:ind w:firstLine="480" w:firstLineChars="200"/>
        <w:contextualSpacing/>
        <w:rPr>
          <w:sz w:val="24"/>
          <w:highlight w:val="none"/>
        </w:rPr>
      </w:pPr>
      <w:r>
        <w:rPr>
          <w:sz w:val="24"/>
          <w:highlight w:val="none"/>
        </w:rPr>
        <w:t xml:space="preserve">（1）对于内容、格式符合规定的质疑函，采购人、采购代理机构在收到投标供应商的书面质疑后七个工作日内作出书面答复，但答复的内容不得涉及商业秘密。                       </w:t>
      </w:r>
    </w:p>
    <w:p>
      <w:pPr>
        <w:pStyle w:val="3"/>
        <w:snapToGrid w:val="0"/>
        <w:spacing w:line="480" w:lineRule="exact"/>
        <w:ind w:firstLine="480" w:firstLineChars="200"/>
        <w:contextualSpacing/>
        <w:rPr>
          <w:sz w:val="24"/>
          <w:highlight w:val="none"/>
        </w:rPr>
      </w:pPr>
      <w:r>
        <w:rPr>
          <w:sz w:val="24"/>
          <w:highlight w:val="none"/>
        </w:rPr>
        <w:t>（2）对采购文件提出的质疑，依法通过澄清或者修改可以继续开展采购活动的，澄清或者修改采购文件后继续开展采购活动；否则应当修改采购文件后重新开展采购活动。</w:t>
      </w:r>
    </w:p>
    <w:p>
      <w:pPr>
        <w:pStyle w:val="3"/>
        <w:snapToGrid w:val="0"/>
        <w:spacing w:line="480" w:lineRule="exact"/>
        <w:ind w:firstLine="480" w:firstLineChars="200"/>
        <w:contextualSpacing/>
        <w:rPr>
          <w:sz w:val="24"/>
          <w:highlight w:val="none"/>
        </w:rPr>
      </w:pPr>
      <w:r>
        <w:rPr>
          <w:sz w:val="24"/>
          <w:highlight w:val="none"/>
        </w:rPr>
        <w:t>（3）对采购过程、中标或者成交结果提出的质疑，合格供应商符合法定数量时，可以从合格的候选人中另行确定中标、成交供应商的，应当依法另行确定中标供应商；否则应当重新开展采购活动。</w:t>
      </w:r>
    </w:p>
    <w:p>
      <w:pPr>
        <w:pStyle w:val="3"/>
        <w:snapToGrid w:val="0"/>
        <w:spacing w:line="480" w:lineRule="exact"/>
        <w:ind w:firstLine="480" w:firstLineChars="200"/>
        <w:contextualSpacing/>
        <w:rPr>
          <w:sz w:val="24"/>
          <w:highlight w:val="none"/>
        </w:rPr>
      </w:pPr>
      <w:r>
        <w:rPr>
          <w:sz w:val="24"/>
          <w:highlight w:val="none"/>
        </w:rPr>
        <w:t>质疑答复导致中标、成交结果改变的，采购人或者采购代理机构应当将有关情况书面报告本级财政部门。</w:t>
      </w:r>
    </w:p>
    <w:p>
      <w:pPr>
        <w:pStyle w:val="3"/>
        <w:snapToGrid w:val="0"/>
        <w:spacing w:line="480" w:lineRule="exact"/>
        <w:ind w:firstLine="480" w:firstLineChars="200"/>
        <w:contextualSpacing/>
        <w:rPr>
          <w:sz w:val="24"/>
          <w:highlight w:val="none"/>
        </w:rPr>
      </w:pPr>
      <w:r>
        <w:rPr>
          <w:sz w:val="24"/>
          <w:highlight w:val="none"/>
        </w:rPr>
        <w:t>2.质疑不成立的处理</w:t>
      </w:r>
    </w:p>
    <w:p>
      <w:pPr>
        <w:pStyle w:val="3"/>
        <w:snapToGrid w:val="0"/>
        <w:spacing w:line="480" w:lineRule="exact"/>
        <w:ind w:firstLine="480" w:firstLineChars="200"/>
        <w:contextualSpacing/>
        <w:rPr>
          <w:sz w:val="24"/>
          <w:highlight w:val="none"/>
        </w:rPr>
      </w:pPr>
      <w:r>
        <w:rPr>
          <w:sz w:val="24"/>
          <w:highlight w:val="none"/>
        </w:rPr>
        <w:t xml:space="preserve">若质疑不成立，或者成立未对中标、成交结果构成影响的，继续开展采购活动。                  </w:t>
      </w:r>
    </w:p>
    <w:p>
      <w:pPr>
        <w:pStyle w:val="3"/>
        <w:snapToGrid w:val="0"/>
        <w:spacing w:line="480" w:lineRule="exact"/>
        <w:ind w:firstLine="480" w:firstLineChars="200"/>
        <w:contextualSpacing/>
        <w:rPr>
          <w:sz w:val="24"/>
          <w:highlight w:val="none"/>
        </w:rPr>
      </w:pPr>
      <w:r>
        <w:rPr>
          <w:sz w:val="24"/>
          <w:highlight w:val="none"/>
        </w:rPr>
        <w:t xml:space="preserve">3.虚假质疑的处理          </w:t>
      </w:r>
    </w:p>
    <w:p>
      <w:pPr>
        <w:pStyle w:val="3"/>
        <w:snapToGrid w:val="0"/>
        <w:spacing w:line="480" w:lineRule="exact"/>
        <w:ind w:firstLine="480" w:firstLineChars="200"/>
        <w:contextualSpacing/>
        <w:rPr>
          <w:sz w:val="24"/>
          <w:highlight w:val="none"/>
        </w:rPr>
      </w:pPr>
      <w:r>
        <w:rPr>
          <w:sz w:val="24"/>
          <w:highlight w:val="none"/>
        </w:rPr>
        <w:t>（1）</w:t>
      </w:r>
      <w:r>
        <w:rPr>
          <w:rFonts w:hint="eastAsia"/>
          <w:sz w:val="24"/>
          <w:highlight w:val="none"/>
        </w:rPr>
        <w:t>供应商</w:t>
      </w:r>
      <w:r>
        <w:rPr>
          <w:sz w:val="24"/>
          <w:highlight w:val="none"/>
        </w:rPr>
        <w:t>提出书面质疑必须有理、有据，不得恶意质疑或提交虚假质疑。否则，一经查实，采购人有权依据政府采购的有关规定，报请政府采购监管部门对该</w:t>
      </w:r>
      <w:r>
        <w:rPr>
          <w:rFonts w:hint="eastAsia"/>
          <w:sz w:val="24"/>
          <w:highlight w:val="none"/>
        </w:rPr>
        <w:t>供应商</w:t>
      </w:r>
      <w:r>
        <w:rPr>
          <w:sz w:val="24"/>
          <w:highlight w:val="none"/>
        </w:rPr>
        <w:t xml:space="preserve">进行相应的行政处罚。                          </w:t>
      </w:r>
    </w:p>
    <w:p>
      <w:pPr>
        <w:pStyle w:val="3"/>
        <w:snapToGrid w:val="0"/>
        <w:spacing w:line="480" w:lineRule="exact"/>
        <w:ind w:firstLine="480" w:firstLineChars="200"/>
        <w:contextualSpacing/>
        <w:rPr>
          <w:sz w:val="24"/>
          <w:highlight w:val="none"/>
        </w:rPr>
      </w:pPr>
      <w:r>
        <w:rPr>
          <w:sz w:val="24"/>
          <w:highlight w:val="none"/>
        </w:rPr>
        <w:t>（2）在江苏省范围内一年累计三次以上质疑，均查无实据的供应商将按失信行为记入该注册供应商诚信档案中。</w:t>
      </w:r>
    </w:p>
    <w:p>
      <w:pPr>
        <w:autoSpaceDE w:val="0"/>
        <w:autoSpaceDN w:val="0"/>
        <w:adjustRightInd w:val="0"/>
        <w:snapToGrid w:val="0"/>
        <w:spacing w:line="300" w:lineRule="auto"/>
        <w:ind w:left="4513" w:right="210" w:hanging="4513"/>
        <w:jc w:val="center"/>
        <w:rPr>
          <w:sz w:val="24"/>
          <w:highlight w:val="none"/>
        </w:rPr>
        <w:sectPr>
          <w:pgSz w:w="11907" w:h="16839"/>
          <w:pgMar w:top="1418" w:right="1588" w:bottom="1418" w:left="1588" w:header="851" w:footer="851" w:gutter="0"/>
          <w:cols w:space="720" w:num="1"/>
          <w:docGrid w:linePitch="286" w:charSpace="0"/>
        </w:sectPr>
      </w:pPr>
      <w:r>
        <w:rPr>
          <w:rFonts w:hint="eastAsia"/>
          <w:sz w:val="24"/>
          <w:highlight w:val="none"/>
        </w:rPr>
        <w:t xml:space="preserve"> </w:t>
      </w:r>
      <w:r>
        <w:rPr>
          <w:sz w:val="24"/>
          <w:highlight w:val="none"/>
        </w:rPr>
        <w:t>（3）采购人、采购代理机构受理质疑和答复相关咨询，联系电话详见</w:t>
      </w:r>
      <w:r>
        <w:rPr>
          <w:rFonts w:hint="eastAsia"/>
          <w:sz w:val="24"/>
          <w:highlight w:val="none"/>
        </w:rPr>
        <w:t>采购</w:t>
      </w:r>
      <w:r>
        <w:rPr>
          <w:sz w:val="24"/>
          <w:highlight w:val="none"/>
        </w:rPr>
        <w:t>公告。</w:t>
      </w:r>
    </w:p>
    <w:p>
      <w:pPr>
        <w:autoSpaceDE w:val="0"/>
        <w:autoSpaceDN w:val="0"/>
        <w:adjustRightInd w:val="0"/>
        <w:snapToGrid w:val="0"/>
        <w:spacing w:line="300" w:lineRule="auto"/>
        <w:ind w:left="4513" w:right="210" w:hanging="4513"/>
        <w:jc w:val="center"/>
        <w:rPr>
          <w:rFonts w:ascii="仿宋_GB2312" w:eastAsia="仿宋_GB2312"/>
          <w:b/>
          <w:bCs/>
          <w:sz w:val="36"/>
          <w:szCs w:val="36"/>
          <w:highlight w:val="none"/>
          <w:lang w:val="zh-CN"/>
        </w:rPr>
      </w:pPr>
      <w:r>
        <w:rPr>
          <w:rFonts w:hint="eastAsia" w:ascii="仿宋_GB2312" w:eastAsia="仿宋_GB2312"/>
          <w:b/>
          <w:bCs/>
          <w:sz w:val="36"/>
          <w:szCs w:val="36"/>
          <w:highlight w:val="none"/>
          <w:lang w:val="zh-CN"/>
        </w:rPr>
        <w:t>第七部分  响应文件组成</w:t>
      </w:r>
    </w:p>
    <w:p>
      <w:pPr>
        <w:snapToGrid w:val="0"/>
        <w:spacing w:line="480" w:lineRule="exact"/>
        <w:ind w:firstLine="480" w:firstLineChars="200"/>
        <w:jc w:val="left"/>
        <w:rPr>
          <w:b/>
          <w:sz w:val="24"/>
          <w:highlight w:val="none"/>
        </w:rPr>
      </w:pPr>
      <w:r>
        <w:rPr>
          <w:b/>
          <w:sz w:val="24"/>
          <w:highlight w:val="none"/>
        </w:rPr>
        <w:t>响应文件由资格审查</w:t>
      </w:r>
      <w:r>
        <w:rPr>
          <w:rFonts w:hint="eastAsia"/>
          <w:b/>
          <w:sz w:val="24"/>
          <w:highlight w:val="none"/>
        </w:rPr>
        <w:t>文件</w:t>
      </w:r>
      <w:r>
        <w:rPr>
          <w:b/>
          <w:sz w:val="24"/>
          <w:highlight w:val="none"/>
        </w:rPr>
        <w:t>、商务技术文件</w:t>
      </w:r>
      <w:r>
        <w:rPr>
          <w:rFonts w:hint="eastAsia"/>
          <w:b/>
          <w:sz w:val="24"/>
          <w:highlight w:val="none"/>
        </w:rPr>
        <w:t>、报价</w:t>
      </w:r>
      <w:r>
        <w:rPr>
          <w:b/>
          <w:sz w:val="24"/>
          <w:highlight w:val="none"/>
        </w:rPr>
        <w:t>文件三部分组成</w:t>
      </w:r>
      <w:r>
        <w:rPr>
          <w:rFonts w:hint="eastAsia" w:ascii="宋体" w:hAnsi="宋体"/>
          <w:b/>
          <w:sz w:val="24"/>
          <w:highlight w:val="none"/>
        </w:rPr>
        <w:t>，相关</w:t>
      </w:r>
      <w:r>
        <w:rPr>
          <w:rFonts w:hint="eastAsia" w:ascii="宋体" w:hAnsi="宋体"/>
          <w:b/>
          <w:sz w:val="24"/>
          <w:highlight w:val="none"/>
          <w:lang w:val="zh-CN"/>
        </w:rPr>
        <w:t>格式参见附件</w:t>
      </w:r>
      <w:r>
        <w:rPr>
          <w:rFonts w:hint="eastAsia" w:ascii="宋体" w:hAnsi="宋体"/>
          <w:b/>
          <w:sz w:val="24"/>
          <w:highlight w:val="none"/>
        </w:rPr>
        <w:t>。</w:t>
      </w:r>
    </w:p>
    <w:p>
      <w:pPr>
        <w:snapToGrid w:val="0"/>
        <w:spacing w:line="480" w:lineRule="exact"/>
        <w:ind w:firstLine="471" w:firstLineChars="196"/>
        <w:contextualSpacing/>
        <w:rPr>
          <w:b/>
          <w:sz w:val="24"/>
          <w:highlight w:val="none"/>
        </w:rPr>
      </w:pPr>
      <w:r>
        <w:rPr>
          <w:b/>
          <w:sz w:val="24"/>
          <w:highlight w:val="none"/>
        </w:rPr>
        <w:t>一、资格审查</w:t>
      </w:r>
      <w:r>
        <w:rPr>
          <w:rFonts w:hint="eastAsia"/>
          <w:b/>
          <w:sz w:val="24"/>
          <w:highlight w:val="none"/>
        </w:rPr>
        <w:t>文件</w:t>
      </w:r>
      <w:r>
        <w:rPr>
          <w:b/>
          <w:sz w:val="24"/>
          <w:highlight w:val="none"/>
        </w:rPr>
        <w:t>（不能出现报价、商务技术标）</w:t>
      </w:r>
    </w:p>
    <w:p>
      <w:pPr>
        <w:numPr>
          <w:ilvl w:val="0"/>
          <w:numId w:val="5"/>
        </w:numPr>
        <w:snapToGrid w:val="0"/>
        <w:spacing w:line="440" w:lineRule="exact"/>
        <w:ind w:firstLine="480" w:firstLineChars="200"/>
        <w:contextualSpacing/>
        <w:rPr>
          <w:kern w:val="0"/>
          <w:sz w:val="24"/>
          <w:szCs w:val="20"/>
          <w:highlight w:val="none"/>
          <w:lang w:val="zh-CN"/>
        </w:rPr>
      </w:pPr>
      <w:r>
        <w:rPr>
          <w:rFonts w:hint="eastAsia"/>
          <w:kern w:val="0"/>
          <w:sz w:val="24"/>
          <w:szCs w:val="20"/>
          <w:highlight w:val="none"/>
          <w:lang w:val="zh-CN"/>
        </w:rPr>
        <w:t>供应商</w:t>
      </w:r>
      <w:r>
        <w:rPr>
          <w:kern w:val="0"/>
          <w:sz w:val="24"/>
          <w:szCs w:val="20"/>
          <w:highlight w:val="none"/>
          <w:lang w:val="zh-CN"/>
        </w:rPr>
        <w:t>符合规定条件的</w:t>
      </w:r>
      <w:r>
        <w:rPr>
          <w:rFonts w:hint="eastAsia"/>
          <w:kern w:val="0"/>
          <w:sz w:val="24"/>
          <w:szCs w:val="20"/>
          <w:highlight w:val="none"/>
          <w:lang w:val="en-US" w:eastAsia="zh-CN"/>
        </w:rPr>
        <w:t>声明函</w:t>
      </w:r>
      <w:r>
        <w:rPr>
          <w:rFonts w:hint="eastAsia"/>
          <w:kern w:val="0"/>
          <w:sz w:val="24"/>
          <w:szCs w:val="20"/>
          <w:highlight w:val="none"/>
          <w:lang w:val="zh-CN"/>
        </w:rPr>
        <w:t>（格式见附件）</w:t>
      </w:r>
      <w:r>
        <w:rPr>
          <w:kern w:val="0"/>
          <w:sz w:val="24"/>
          <w:szCs w:val="20"/>
          <w:highlight w:val="none"/>
          <w:lang w:val="zh-CN"/>
        </w:rPr>
        <w:t>；</w:t>
      </w:r>
    </w:p>
    <w:p>
      <w:pPr>
        <w:numPr>
          <w:ilvl w:val="0"/>
          <w:numId w:val="5"/>
        </w:numPr>
        <w:snapToGrid w:val="0"/>
        <w:spacing w:line="440" w:lineRule="exact"/>
        <w:ind w:firstLine="480" w:firstLineChars="200"/>
        <w:contextualSpacing/>
        <w:rPr>
          <w:kern w:val="0"/>
          <w:sz w:val="24"/>
          <w:szCs w:val="20"/>
          <w:highlight w:val="none"/>
          <w:lang w:val="zh-CN"/>
        </w:rPr>
      </w:pPr>
      <w:r>
        <w:rPr>
          <w:rFonts w:hint="eastAsia"/>
          <w:kern w:val="0"/>
          <w:sz w:val="24"/>
          <w:szCs w:val="20"/>
          <w:highlight w:val="none"/>
          <w:lang w:val="zh-CN"/>
        </w:rPr>
        <w:t>法定代表人身份证明书（格式见附件）；</w:t>
      </w:r>
    </w:p>
    <w:p>
      <w:pPr>
        <w:numPr>
          <w:ilvl w:val="0"/>
          <w:numId w:val="5"/>
        </w:numPr>
        <w:snapToGrid w:val="0"/>
        <w:spacing w:line="440" w:lineRule="exact"/>
        <w:ind w:firstLine="480" w:firstLineChars="200"/>
        <w:contextualSpacing/>
        <w:rPr>
          <w:kern w:val="0"/>
          <w:sz w:val="24"/>
          <w:szCs w:val="20"/>
          <w:highlight w:val="none"/>
          <w:lang w:val="zh-CN"/>
        </w:rPr>
      </w:pPr>
      <w:r>
        <w:rPr>
          <w:rFonts w:hint="eastAsia"/>
          <w:kern w:val="0"/>
          <w:sz w:val="24"/>
          <w:szCs w:val="20"/>
          <w:highlight w:val="none"/>
          <w:lang w:val="zh-CN"/>
        </w:rPr>
        <w:t>法定代表人授权委托书（如授权委托人参加投标，则提供，格式见附件）；</w:t>
      </w:r>
    </w:p>
    <w:p>
      <w:pPr>
        <w:numPr>
          <w:ilvl w:val="0"/>
          <w:numId w:val="5"/>
        </w:numPr>
        <w:snapToGrid w:val="0"/>
        <w:spacing w:line="440" w:lineRule="exact"/>
        <w:ind w:firstLine="480" w:firstLineChars="200"/>
        <w:contextualSpacing/>
        <w:rPr>
          <w:kern w:val="0"/>
          <w:sz w:val="24"/>
          <w:szCs w:val="20"/>
          <w:highlight w:val="none"/>
          <w:lang w:val="zh-CN"/>
        </w:rPr>
      </w:pPr>
      <w:r>
        <w:rPr>
          <w:rFonts w:hint="eastAsia"/>
          <w:kern w:val="0"/>
          <w:sz w:val="24"/>
          <w:szCs w:val="20"/>
          <w:highlight w:val="none"/>
        </w:rPr>
        <w:t>有效的营业执照（提供复印件加盖公章）；</w:t>
      </w:r>
    </w:p>
    <w:p>
      <w:pPr>
        <w:snapToGrid w:val="0"/>
        <w:spacing w:line="440" w:lineRule="exact"/>
        <w:ind w:firstLine="480" w:firstLineChars="200"/>
        <w:contextualSpacing/>
        <w:rPr>
          <w:kern w:val="0"/>
          <w:sz w:val="24"/>
          <w:szCs w:val="20"/>
          <w:highlight w:val="none"/>
          <w:lang w:val="zh-CN"/>
        </w:rPr>
      </w:pPr>
      <w:r>
        <w:rPr>
          <w:rFonts w:hint="eastAsia"/>
          <w:kern w:val="0"/>
          <w:sz w:val="24"/>
          <w:szCs w:val="20"/>
          <w:highlight w:val="none"/>
          <w:lang w:val="en-US" w:eastAsia="zh-CN"/>
        </w:rPr>
        <w:t>5、</w:t>
      </w:r>
      <w:r>
        <w:rPr>
          <w:rFonts w:hint="eastAsia"/>
          <w:kern w:val="0"/>
          <w:sz w:val="24"/>
          <w:szCs w:val="20"/>
          <w:highlight w:val="none"/>
          <w:lang w:val="zh-CN"/>
        </w:rPr>
        <w:t>磋商</w:t>
      </w:r>
      <w:r>
        <w:rPr>
          <w:kern w:val="0"/>
          <w:sz w:val="24"/>
          <w:szCs w:val="20"/>
          <w:highlight w:val="none"/>
          <w:lang w:val="zh-CN"/>
        </w:rPr>
        <w:t>公告资格要求提供相应的佐证材料；</w:t>
      </w:r>
    </w:p>
    <w:p>
      <w:pPr>
        <w:snapToGrid w:val="0"/>
        <w:spacing w:line="440" w:lineRule="exact"/>
        <w:ind w:firstLine="480" w:firstLineChars="200"/>
        <w:contextualSpacing/>
        <w:rPr>
          <w:kern w:val="0"/>
          <w:sz w:val="24"/>
          <w:szCs w:val="20"/>
          <w:highlight w:val="none"/>
          <w:lang w:val="zh-CN"/>
        </w:rPr>
      </w:pPr>
      <w:r>
        <w:rPr>
          <w:rFonts w:hint="eastAsia"/>
          <w:kern w:val="0"/>
          <w:sz w:val="24"/>
          <w:szCs w:val="20"/>
          <w:highlight w:val="none"/>
          <w:lang w:val="en-US" w:eastAsia="zh-CN"/>
        </w:rPr>
        <w:t>6</w:t>
      </w:r>
      <w:r>
        <w:rPr>
          <w:kern w:val="0"/>
          <w:sz w:val="24"/>
          <w:szCs w:val="20"/>
          <w:highlight w:val="none"/>
        </w:rPr>
        <w:t>、</w:t>
      </w:r>
      <w:r>
        <w:rPr>
          <w:kern w:val="0"/>
          <w:sz w:val="24"/>
          <w:szCs w:val="20"/>
          <w:highlight w:val="none"/>
          <w:lang w:val="zh-CN"/>
        </w:rPr>
        <w:t>其它需要提交的资格审查证明材料。</w:t>
      </w:r>
    </w:p>
    <w:p>
      <w:pPr>
        <w:pStyle w:val="25"/>
        <w:snapToGrid w:val="0"/>
        <w:spacing w:line="480" w:lineRule="exact"/>
        <w:ind w:firstLine="480" w:firstLineChars="200"/>
        <w:rPr>
          <w:rFonts w:ascii="Times New Roman" w:hAnsi="Times New Roman" w:eastAsia="宋体"/>
          <w:b/>
          <w:bCs/>
          <w:kern w:val="0"/>
          <w:sz w:val="24"/>
          <w:szCs w:val="24"/>
          <w:highlight w:val="none"/>
          <w:lang w:val="zh-CN"/>
        </w:rPr>
      </w:pPr>
      <w:r>
        <w:rPr>
          <w:rFonts w:ascii="Times New Roman" w:hAnsi="Times New Roman" w:eastAsia="宋体"/>
          <w:b/>
          <w:sz w:val="24"/>
          <w:szCs w:val="24"/>
          <w:highlight w:val="none"/>
        </w:rPr>
        <w:t>二、商务技术文件</w:t>
      </w:r>
      <w:r>
        <w:rPr>
          <w:rFonts w:ascii="Times New Roman" w:hAnsi="Times New Roman" w:eastAsia="宋体"/>
          <w:b/>
          <w:bCs/>
          <w:kern w:val="0"/>
          <w:sz w:val="24"/>
          <w:szCs w:val="24"/>
          <w:highlight w:val="none"/>
          <w:lang w:val="zh-CN"/>
        </w:rPr>
        <w:t>（不能出现报价）</w:t>
      </w:r>
    </w:p>
    <w:p>
      <w:pPr>
        <w:numPr>
          <w:ilvl w:val="0"/>
          <w:numId w:val="6"/>
        </w:numPr>
        <w:snapToGrid w:val="0"/>
        <w:spacing w:line="440" w:lineRule="exact"/>
        <w:ind w:firstLine="480" w:firstLineChars="200"/>
        <w:contextualSpacing/>
        <w:rPr>
          <w:kern w:val="0"/>
          <w:sz w:val="24"/>
          <w:szCs w:val="20"/>
          <w:highlight w:val="none"/>
          <w:lang w:val="zh-CN"/>
        </w:rPr>
      </w:pPr>
      <w:r>
        <w:rPr>
          <w:kern w:val="0"/>
          <w:sz w:val="24"/>
          <w:szCs w:val="20"/>
          <w:highlight w:val="none"/>
          <w:lang w:val="zh-CN"/>
        </w:rPr>
        <w:t>商务部分正负偏离表</w:t>
      </w:r>
      <w:r>
        <w:rPr>
          <w:rFonts w:hint="eastAsia"/>
          <w:kern w:val="0"/>
          <w:sz w:val="24"/>
          <w:szCs w:val="20"/>
          <w:highlight w:val="none"/>
          <w:lang w:val="zh-CN"/>
        </w:rPr>
        <w:t>（格式见附件）</w:t>
      </w:r>
      <w:r>
        <w:rPr>
          <w:kern w:val="0"/>
          <w:sz w:val="24"/>
          <w:szCs w:val="20"/>
          <w:highlight w:val="none"/>
          <w:lang w:val="zh-CN"/>
        </w:rPr>
        <w:t>；</w:t>
      </w:r>
    </w:p>
    <w:p>
      <w:pPr>
        <w:numPr>
          <w:ilvl w:val="0"/>
          <w:numId w:val="6"/>
        </w:numPr>
        <w:snapToGrid w:val="0"/>
        <w:spacing w:line="440" w:lineRule="exact"/>
        <w:ind w:firstLine="480" w:firstLineChars="200"/>
        <w:contextualSpacing/>
        <w:rPr>
          <w:kern w:val="0"/>
          <w:sz w:val="24"/>
          <w:szCs w:val="20"/>
          <w:highlight w:val="none"/>
          <w:lang w:val="zh-CN"/>
        </w:rPr>
      </w:pPr>
      <w:r>
        <w:rPr>
          <w:kern w:val="0"/>
          <w:sz w:val="24"/>
          <w:szCs w:val="20"/>
          <w:highlight w:val="none"/>
          <w:lang w:val="zh-CN"/>
        </w:rPr>
        <w:t>技术部分正负偏离表</w:t>
      </w:r>
      <w:r>
        <w:rPr>
          <w:rFonts w:hint="eastAsia"/>
          <w:kern w:val="0"/>
          <w:sz w:val="24"/>
          <w:szCs w:val="20"/>
          <w:highlight w:val="none"/>
          <w:lang w:val="zh-CN"/>
        </w:rPr>
        <w:t>（格式见附件）</w:t>
      </w:r>
      <w:r>
        <w:rPr>
          <w:kern w:val="0"/>
          <w:sz w:val="24"/>
          <w:szCs w:val="20"/>
          <w:highlight w:val="none"/>
          <w:lang w:val="zh-CN"/>
        </w:rPr>
        <w:t>；</w:t>
      </w:r>
    </w:p>
    <w:p>
      <w:pPr>
        <w:numPr>
          <w:ilvl w:val="0"/>
          <w:numId w:val="6"/>
        </w:numPr>
        <w:snapToGrid w:val="0"/>
        <w:spacing w:line="440" w:lineRule="exact"/>
        <w:ind w:firstLine="480" w:firstLineChars="200"/>
        <w:contextualSpacing/>
        <w:rPr>
          <w:kern w:val="0"/>
          <w:sz w:val="24"/>
          <w:szCs w:val="20"/>
          <w:highlight w:val="none"/>
          <w:lang w:val="zh-CN"/>
        </w:rPr>
      </w:pPr>
      <w:r>
        <w:rPr>
          <w:kern w:val="0"/>
          <w:sz w:val="24"/>
          <w:szCs w:val="20"/>
          <w:highlight w:val="none"/>
          <w:lang w:val="zh-CN"/>
        </w:rPr>
        <w:t>商务技术评分标准中须提供的相关得分佐证材料；</w:t>
      </w:r>
    </w:p>
    <w:p>
      <w:pPr>
        <w:numPr>
          <w:ilvl w:val="0"/>
          <w:numId w:val="6"/>
        </w:numPr>
        <w:snapToGrid w:val="0"/>
        <w:spacing w:line="440" w:lineRule="exact"/>
        <w:ind w:firstLine="480" w:firstLineChars="200"/>
        <w:contextualSpacing/>
        <w:rPr>
          <w:kern w:val="0"/>
          <w:sz w:val="24"/>
          <w:szCs w:val="20"/>
          <w:highlight w:val="none"/>
          <w:lang w:val="zh-CN"/>
        </w:rPr>
      </w:pPr>
      <w:r>
        <w:rPr>
          <w:rFonts w:hint="eastAsia"/>
          <w:kern w:val="0"/>
          <w:sz w:val="24"/>
          <w:szCs w:val="20"/>
          <w:highlight w:val="none"/>
          <w:lang w:val="zh-CN"/>
        </w:rPr>
        <w:t>供应商</w:t>
      </w:r>
      <w:r>
        <w:rPr>
          <w:kern w:val="0"/>
          <w:sz w:val="24"/>
          <w:szCs w:val="20"/>
          <w:highlight w:val="none"/>
          <w:lang w:val="zh-CN"/>
        </w:rPr>
        <w:t>认为需要提交的其他商务技术材料。</w:t>
      </w:r>
    </w:p>
    <w:p>
      <w:pPr>
        <w:pStyle w:val="25"/>
        <w:snapToGrid w:val="0"/>
        <w:spacing w:line="480" w:lineRule="exact"/>
        <w:ind w:firstLine="480" w:firstLineChars="200"/>
        <w:rPr>
          <w:rFonts w:ascii="Times New Roman" w:hAnsi="Times New Roman" w:eastAsia="宋体"/>
          <w:b/>
          <w:sz w:val="24"/>
          <w:szCs w:val="24"/>
          <w:highlight w:val="none"/>
        </w:rPr>
      </w:pPr>
      <w:r>
        <w:rPr>
          <w:rFonts w:ascii="Times New Roman" w:hAnsi="Times New Roman" w:eastAsia="宋体"/>
          <w:b/>
          <w:sz w:val="24"/>
          <w:szCs w:val="24"/>
          <w:highlight w:val="none"/>
        </w:rPr>
        <w:t>三、</w:t>
      </w:r>
      <w:r>
        <w:rPr>
          <w:rFonts w:hint="eastAsia" w:ascii="Times New Roman" w:hAnsi="Times New Roman" w:eastAsia="宋体"/>
          <w:b/>
          <w:sz w:val="24"/>
          <w:szCs w:val="24"/>
          <w:highlight w:val="none"/>
        </w:rPr>
        <w:t>报价</w:t>
      </w:r>
      <w:r>
        <w:rPr>
          <w:rFonts w:ascii="Times New Roman" w:hAnsi="Times New Roman" w:eastAsia="宋体"/>
          <w:b/>
          <w:sz w:val="24"/>
          <w:szCs w:val="24"/>
          <w:highlight w:val="none"/>
        </w:rPr>
        <w:t>文件</w:t>
      </w:r>
    </w:p>
    <w:p>
      <w:pPr>
        <w:tabs>
          <w:tab w:val="left" w:pos="3375"/>
        </w:tabs>
        <w:autoSpaceDE w:val="0"/>
        <w:autoSpaceDN w:val="0"/>
        <w:adjustRightInd w:val="0"/>
        <w:snapToGrid w:val="0"/>
        <w:spacing w:line="480" w:lineRule="exact"/>
        <w:ind w:left="1" w:firstLine="480" w:firstLineChars="200"/>
        <w:rPr>
          <w:kern w:val="0"/>
          <w:sz w:val="24"/>
          <w:highlight w:val="none"/>
        </w:rPr>
      </w:pPr>
      <w:r>
        <w:rPr>
          <w:sz w:val="24"/>
          <w:highlight w:val="none"/>
        </w:rPr>
        <w:t>1、报价总表</w:t>
      </w:r>
      <w:r>
        <w:rPr>
          <w:rFonts w:hint="eastAsia"/>
          <w:kern w:val="0"/>
          <w:sz w:val="24"/>
          <w:szCs w:val="20"/>
          <w:highlight w:val="none"/>
          <w:lang w:val="zh-CN"/>
        </w:rPr>
        <w:t>（格式见附件）</w:t>
      </w:r>
      <w:r>
        <w:rPr>
          <w:rFonts w:hint="eastAsia"/>
          <w:sz w:val="24"/>
          <w:highlight w:val="none"/>
          <w:lang w:eastAsia="zh-CN"/>
        </w:rPr>
        <w:t>。</w:t>
      </w:r>
    </w:p>
    <w:p>
      <w:pPr>
        <w:tabs>
          <w:tab w:val="left" w:pos="3375"/>
        </w:tabs>
        <w:autoSpaceDE w:val="0"/>
        <w:autoSpaceDN w:val="0"/>
        <w:adjustRightInd w:val="0"/>
        <w:snapToGrid w:val="0"/>
        <w:spacing w:line="480" w:lineRule="exact"/>
        <w:ind w:left="1" w:firstLine="480" w:firstLineChars="200"/>
        <w:rPr>
          <w:rFonts w:hint="eastAsia" w:eastAsia="宋体"/>
          <w:sz w:val="24"/>
          <w:highlight w:val="none"/>
          <w:lang w:eastAsia="zh-CN"/>
        </w:rPr>
      </w:pPr>
    </w:p>
    <w:p>
      <w:pPr>
        <w:snapToGrid w:val="0"/>
        <w:spacing w:line="300" w:lineRule="auto"/>
        <w:ind w:firstLine="538" w:firstLineChars="192"/>
        <w:contextualSpacing/>
        <w:rPr>
          <w:rFonts w:ascii="宋体" w:hAnsi="宋体" w:cs="宋体"/>
          <w:b/>
          <w:kern w:val="0"/>
          <w:sz w:val="28"/>
          <w:szCs w:val="28"/>
          <w:highlight w:val="none"/>
          <w:lang w:val="zh-CN"/>
        </w:rPr>
      </w:pPr>
    </w:p>
    <w:p>
      <w:pPr>
        <w:snapToGrid w:val="0"/>
        <w:spacing w:line="400" w:lineRule="exact"/>
        <w:contextualSpacing/>
        <w:rPr>
          <w:rFonts w:eastAsia="方正黑体_GBK"/>
          <w:kern w:val="0"/>
          <w:sz w:val="32"/>
          <w:szCs w:val="32"/>
          <w:highlight w:val="none"/>
          <w:lang w:val="zh-CN"/>
        </w:rPr>
      </w:pPr>
      <w:r>
        <w:rPr>
          <w:rFonts w:ascii="Calibri" w:hAnsi="Calibri"/>
          <w:b/>
          <w:bCs/>
          <w:sz w:val="32"/>
          <w:szCs w:val="32"/>
          <w:highlight w:val="none"/>
        </w:rPr>
        <w:br w:type="page"/>
      </w:r>
      <w:r>
        <w:rPr>
          <w:rFonts w:eastAsia="方正黑体_GBK"/>
          <w:kern w:val="0"/>
          <w:sz w:val="32"/>
          <w:szCs w:val="32"/>
          <w:highlight w:val="none"/>
          <w:lang w:val="zh-CN"/>
        </w:rPr>
        <w:t>附件1</w:t>
      </w:r>
    </w:p>
    <w:p>
      <w:pPr>
        <w:jc w:val="center"/>
        <w:rPr>
          <w:rFonts w:ascii="宋体" w:hAnsi="宋体"/>
          <w:b/>
          <w:sz w:val="30"/>
          <w:szCs w:val="30"/>
          <w:highlight w:val="none"/>
        </w:rPr>
      </w:pPr>
      <w:r>
        <w:rPr>
          <w:rFonts w:hint="eastAsia" w:ascii="宋体" w:hAnsi="宋体"/>
          <w:b/>
          <w:sz w:val="30"/>
          <w:szCs w:val="30"/>
          <w:highlight w:val="none"/>
        </w:rPr>
        <w:t>供应商符合规定条件的声明函</w:t>
      </w:r>
    </w:p>
    <w:p>
      <w:pPr>
        <w:spacing w:line="460" w:lineRule="exact"/>
        <w:rPr>
          <w:rFonts w:ascii="宋体" w:hAnsi="宋体"/>
          <w:b/>
          <w:bCs/>
          <w:sz w:val="44"/>
          <w:szCs w:val="44"/>
          <w:highlight w:val="none"/>
        </w:rPr>
      </w:pPr>
      <w:r>
        <w:rPr>
          <w:rFonts w:hint="eastAsia" w:ascii="宋体" w:hAnsi="宋体"/>
          <w:b/>
          <w:bCs/>
          <w:sz w:val="24"/>
          <w:szCs w:val="21"/>
          <w:highlight w:val="none"/>
        </w:rPr>
        <w:t xml:space="preserve">                       </w:t>
      </w:r>
      <w:r>
        <w:rPr>
          <w:rFonts w:hint="eastAsia" w:ascii="宋体" w:hAnsi="宋体"/>
          <w:b/>
          <w:bCs/>
          <w:sz w:val="44"/>
          <w:szCs w:val="44"/>
          <w:highlight w:val="none"/>
        </w:rPr>
        <w:t xml:space="preserve">   </w:t>
      </w:r>
    </w:p>
    <w:p>
      <w:pPr>
        <w:spacing w:line="520" w:lineRule="exact"/>
        <w:ind w:firstLine="480" w:firstLineChars="200"/>
        <w:rPr>
          <w:rFonts w:ascii="宋体" w:hAnsi="宋体"/>
          <w:b/>
          <w:bCs/>
          <w:sz w:val="24"/>
          <w:highlight w:val="none"/>
        </w:rPr>
      </w:pPr>
      <w:r>
        <w:rPr>
          <w:rFonts w:hint="eastAsia" w:ascii="宋体" w:hAnsi="宋体"/>
          <w:bCs/>
          <w:sz w:val="24"/>
          <w:highlight w:val="none"/>
        </w:rPr>
        <w:t>我单位参加</w:t>
      </w:r>
      <w:r>
        <w:rPr>
          <w:rFonts w:ascii="宋体" w:hAnsi="宋体"/>
          <w:bCs/>
          <w:sz w:val="24"/>
          <w:highlight w:val="none"/>
          <w:u w:val="single"/>
        </w:rPr>
        <w:t xml:space="preserve">         </w:t>
      </w:r>
      <w:r>
        <w:rPr>
          <w:rFonts w:hint="eastAsia" w:ascii="宋体" w:hAnsi="宋体"/>
          <w:bCs/>
          <w:sz w:val="24"/>
          <w:szCs w:val="21"/>
          <w:highlight w:val="none"/>
        </w:rPr>
        <w:t>（项目名称），</w:t>
      </w:r>
      <w:r>
        <w:rPr>
          <w:rFonts w:ascii="宋体" w:hAnsi="宋体"/>
          <w:bCs/>
          <w:sz w:val="24"/>
          <w:szCs w:val="21"/>
          <w:highlight w:val="none"/>
          <w:u w:val="single"/>
        </w:rPr>
        <w:t xml:space="preserve">       </w:t>
      </w:r>
      <w:r>
        <w:rPr>
          <w:rFonts w:hint="eastAsia" w:ascii="宋体" w:hAnsi="宋体"/>
          <w:bCs/>
          <w:sz w:val="24"/>
          <w:szCs w:val="21"/>
          <w:highlight w:val="none"/>
        </w:rPr>
        <w:t>（项目编号）活动。针对《中华人民共和国政府采购法》第二十二条规定做出如下声明：</w:t>
      </w:r>
    </w:p>
    <w:p>
      <w:pPr>
        <w:spacing w:line="520" w:lineRule="exact"/>
        <w:ind w:firstLine="482"/>
        <w:rPr>
          <w:rFonts w:ascii="宋体" w:hAnsi="宋体"/>
          <w:sz w:val="24"/>
          <w:highlight w:val="none"/>
        </w:rPr>
      </w:pPr>
      <w:r>
        <w:rPr>
          <w:rFonts w:hint="eastAsia" w:ascii="宋体" w:hAnsi="宋体"/>
          <w:bCs/>
          <w:sz w:val="24"/>
          <w:szCs w:val="21"/>
          <w:highlight w:val="none"/>
        </w:rPr>
        <w:t>1.我单位具有独立承担民事责任的能力；</w:t>
      </w:r>
    </w:p>
    <w:p>
      <w:pPr>
        <w:spacing w:line="520" w:lineRule="exact"/>
        <w:ind w:firstLine="482"/>
        <w:rPr>
          <w:rFonts w:ascii="宋体" w:hAnsi="宋体"/>
          <w:sz w:val="24"/>
          <w:highlight w:val="none"/>
        </w:rPr>
      </w:pPr>
      <w:r>
        <w:rPr>
          <w:rFonts w:hint="eastAsia" w:ascii="宋体" w:hAnsi="宋体"/>
          <w:sz w:val="24"/>
          <w:highlight w:val="none"/>
        </w:rPr>
        <w:t>2.我单位具有良好的商业信誉和健全的财务会计制度；</w:t>
      </w:r>
    </w:p>
    <w:p>
      <w:pPr>
        <w:spacing w:line="520" w:lineRule="exact"/>
        <w:ind w:firstLine="482"/>
        <w:rPr>
          <w:rFonts w:ascii="宋体" w:hAnsi="宋体"/>
          <w:sz w:val="24"/>
          <w:highlight w:val="none"/>
        </w:rPr>
      </w:pPr>
      <w:r>
        <w:rPr>
          <w:rFonts w:hint="eastAsia" w:ascii="宋体" w:hAnsi="宋体"/>
          <w:sz w:val="24"/>
          <w:highlight w:val="none"/>
        </w:rPr>
        <w:t>3.我单位具有履行合同所必需的设备和专业技术能力；</w:t>
      </w:r>
    </w:p>
    <w:p>
      <w:pPr>
        <w:spacing w:line="520" w:lineRule="exact"/>
        <w:ind w:firstLine="482"/>
        <w:rPr>
          <w:rFonts w:ascii="宋体" w:hAnsi="宋体"/>
          <w:sz w:val="24"/>
          <w:highlight w:val="none"/>
        </w:rPr>
      </w:pPr>
      <w:r>
        <w:rPr>
          <w:rFonts w:hint="eastAsia" w:ascii="宋体" w:hAnsi="宋体"/>
          <w:sz w:val="24"/>
          <w:highlight w:val="none"/>
        </w:rPr>
        <w:t>4.我单位有依法缴纳税收和社会保障资金的良好记录；</w:t>
      </w:r>
    </w:p>
    <w:p>
      <w:pPr>
        <w:spacing w:line="520" w:lineRule="exact"/>
        <w:ind w:firstLine="482"/>
        <w:rPr>
          <w:rFonts w:ascii="宋体" w:hAnsi="宋体"/>
          <w:sz w:val="24"/>
          <w:highlight w:val="none"/>
        </w:rPr>
      </w:pPr>
      <w:r>
        <w:rPr>
          <w:rFonts w:hint="eastAsia" w:ascii="宋体" w:hAnsi="宋体"/>
          <w:sz w:val="24"/>
          <w:highlight w:val="none"/>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numPr>
          <w:ilvl w:val="0"/>
          <w:numId w:val="0"/>
        </w:numPr>
        <w:snapToGrid w:val="0"/>
        <w:spacing w:line="440" w:lineRule="exact"/>
        <w:ind w:firstLine="480" w:firstLineChars="200"/>
        <w:contextualSpacing/>
        <w:rPr>
          <w:rFonts w:hint="eastAsia" w:eastAsia="宋体"/>
          <w:kern w:val="0"/>
          <w:sz w:val="24"/>
          <w:szCs w:val="20"/>
          <w:highlight w:val="none"/>
          <w:lang w:val="zh-CN" w:eastAsia="zh-CN"/>
        </w:rPr>
      </w:pPr>
      <w:r>
        <w:rPr>
          <w:rFonts w:hint="eastAsia" w:ascii="宋体" w:hAnsi="宋体"/>
          <w:sz w:val="24"/>
          <w:highlight w:val="none"/>
        </w:rPr>
        <w:t>6.我单位满足法律、行政法规规定的其他条件</w:t>
      </w:r>
      <w:r>
        <w:rPr>
          <w:rFonts w:hint="eastAsia" w:ascii="宋体" w:hAnsi="宋体"/>
          <w:sz w:val="24"/>
          <w:highlight w:val="none"/>
          <w:lang w:eastAsia="zh-CN"/>
        </w:rPr>
        <w:t>；</w:t>
      </w:r>
    </w:p>
    <w:p>
      <w:pPr>
        <w:numPr>
          <w:ilvl w:val="0"/>
          <w:numId w:val="0"/>
        </w:numPr>
        <w:snapToGrid w:val="0"/>
        <w:spacing w:line="440" w:lineRule="exact"/>
        <w:ind w:firstLine="480" w:firstLineChars="200"/>
        <w:contextualSpacing/>
        <w:rPr>
          <w:rFonts w:hint="eastAsia" w:eastAsia="宋体"/>
          <w:kern w:val="0"/>
          <w:sz w:val="24"/>
          <w:szCs w:val="20"/>
          <w:highlight w:val="none"/>
          <w:lang w:val="zh-CN" w:eastAsia="zh-CN"/>
        </w:rPr>
      </w:pPr>
      <w:r>
        <w:rPr>
          <w:rFonts w:hint="eastAsia" w:ascii="宋体" w:hAnsi="宋体"/>
          <w:sz w:val="24"/>
          <w:highlight w:val="none"/>
          <w:lang w:val="en-US" w:eastAsia="zh-CN"/>
        </w:rPr>
        <w:t>7.我单位</w:t>
      </w:r>
      <w:r>
        <w:rPr>
          <w:rFonts w:hint="eastAsia"/>
          <w:sz w:val="24"/>
          <w:highlight w:val="none"/>
        </w:rPr>
        <w:t>未被“信用中国”网站（www.creditchina.gov.cn）、“中国政府采购网”（www.ccgp.gov.cn）列入失信被执行人、重大税收违法案件当事人名单、政府采购严重违法失信行为记录名单</w:t>
      </w:r>
      <w:r>
        <w:rPr>
          <w:rFonts w:hint="eastAsia"/>
          <w:kern w:val="0"/>
          <w:sz w:val="24"/>
          <w:szCs w:val="20"/>
          <w:highlight w:val="none"/>
          <w:lang w:eastAsia="zh-CN"/>
        </w:rPr>
        <w:t>。</w:t>
      </w:r>
    </w:p>
    <w:p>
      <w:pPr>
        <w:spacing w:line="520" w:lineRule="exact"/>
        <w:ind w:firstLine="482"/>
        <w:rPr>
          <w:rFonts w:hint="default" w:ascii="宋体" w:hAnsi="宋体" w:eastAsia="宋体"/>
          <w:sz w:val="24"/>
          <w:highlight w:val="none"/>
          <w:lang w:val="en-US" w:eastAsia="zh-CN"/>
        </w:rPr>
      </w:pPr>
    </w:p>
    <w:p>
      <w:pPr>
        <w:spacing w:line="500" w:lineRule="exact"/>
        <w:ind w:firstLine="482"/>
        <w:rPr>
          <w:rFonts w:ascii="宋体" w:hAnsi="宋体"/>
          <w:sz w:val="24"/>
          <w:highlight w:val="none"/>
        </w:rPr>
      </w:pPr>
    </w:p>
    <w:p>
      <w:pPr>
        <w:spacing w:line="500" w:lineRule="exact"/>
        <w:rPr>
          <w:rFonts w:ascii="宋体" w:hAnsi="宋体"/>
          <w:sz w:val="24"/>
          <w:highlight w:val="none"/>
        </w:rPr>
      </w:pPr>
    </w:p>
    <w:p>
      <w:pPr>
        <w:spacing w:line="460" w:lineRule="exact"/>
        <w:jc w:val="center"/>
        <w:rPr>
          <w:rFonts w:ascii="宋体" w:hAnsi="宋体"/>
          <w:bCs/>
          <w:sz w:val="24"/>
          <w:szCs w:val="21"/>
          <w:highlight w:val="none"/>
        </w:rPr>
      </w:pPr>
      <w:r>
        <w:rPr>
          <w:rFonts w:hint="eastAsia" w:ascii="宋体" w:hAnsi="宋体"/>
          <w:bCs/>
          <w:sz w:val="24"/>
          <w:szCs w:val="21"/>
          <w:highlight w:val="none"/>
          <w:lang w:val="en-US" w:eastAsia="zh-CN"/>
        </w:rPr>
        <w:t xml:space="preserve">                     </w:t>
      </w:r>
      <w:r>
        <w:rPr>
          <w:rFonts w:hint="eastAsia" w:ascii="宋体" w:hAnsi="宋体"/>
          <w:bCs/>
          <w:sz w:val="24"/>
          <w:szCs w:val="21"/>
          <w:highlight w:val="none"/>
        </w:rPr>
        <w:t xml:space="preserve">  承诺人名称（公章）：</w:t>
      </w:r>
    </w:p>
    <w:p>
      <w:pPr>
        <w:spacing w:line="460" w:lineRule="exact"/>
        <w:jc w:val="right"/>
        <w:rPr>
          <w:rFonts w:ascii="宋体" w:hAnsi="宋体"/>
          <w:bCs/>
          <w:sz w:val="24"/>
          <w:szCs w:val="21"/>
          <w:highlight w:val="none"/>
        </w:rPr>
      </w:pPr>
      <w:r>
        <w:rPr>
          <w:rFonts w:hint="eastAsia" w:ascii="宋体" w:hAnsi="宋体"/>
          <w:bCs/>
          <w:sz w:val="24"/>
          <w:szCs w:val="21"/>
          <w:highlight w:val="none"/>
        </w:rPr>
        <w:t xml:space="preserve">    </w:t>
      </w:r>
    </w:p>
    <w:p>
      <w:pPr>
        <w:spacing w:line="460" w:lineRule="exact"/>
        <w:jc w:val="right"/>
        <w:rPr>
          <w:rFonts w:ascii="宋体" w:hAnsi="宋体"/>
          <w:bCs/>
          <w:sz w:val="24"/>
          <w:szCs w:val="21"/>
          <w:highlight w:val="none"/>
        </w:rPr>
      </w:pPr>
      <w:r>
        <w:rPr>
          <w:rFonts w:hint="eastAsia" w:ascii="宋体" w:hAnsi="宋体"/>
          <w:bCs/>
          <w:sz w:val="24"/>
          <w:szCs w:val="21"/>
          <w:highlight w:val="none"/>
        </w:rPr>
        <w:t xml:space="preserve">                                 日期：______年</w:t>
      </w:r>
      <w:r>
        <w:rPr>
          <w:rFonts w:hint="eastAsia" w:ascii="宋体" w:hAnsi="宋体"/>
          <w:bCs/>
          <w:sz w:val="24"/>
          <w:szCs w:val="21"/>
          <w:highlight w:val="none"/>
          <w:u w:val="single"/>
        </w:rPr>
        <w:t xml:space="preserve">    </w:t>
      </w:r>
      <w:r>
        <w:rPr>
          <w:rFonts w:hint="eastAsia" w:ascii="宋体" w:hAnsi="宋体"/>
          <w:bCs/>
          <w:sz w:val="24"/>
          <w:szCs w:val="21"/>
          <w:highlight w:val="none"/>
        </w:rPr>
        <w:t>月</w:t>
      </w:r>
      <w:r>
        <w:rPr>
          <w:rFonts w:hint="eastAsia" w:ascii="宋体" w:hAnsi="宋体"/>
          <w:bCs/>
          <w:sz w:val="24"/>
          <w:szCs w:val="21"/>
          <w:highlight w:val="none"/>
          <w:u w:val="single"/>
        </w:rPr>
        <w:t xml:space="preserve">    </w:t>
      </w:r>
      <w:r>
        <w:rPr>
          <w:rFonts w:hint="eastAsia" w:ascii="宋体" w:hAnsi="宋体"/>
          <w:bCs/>
          <w:sz w:val="24"/>
          <w:szCs w:val="21"/>
          <w:highlight w:val="none"/>
        </w:rPr>
        <w:t>日</w:t>
      </w:r>
    </w:p>
    <w:p>
      <w:pPr>
        <w:snapToGrid w:val="0"/>
        <w:spacing w:line="400" w:lineRule="exact"/>
        <w:contextualSpacing/>
        <w:rPr>
          <w:rFonts w:eastAsia="方正黑体_GBK"/>
          <w:kern w:val="0"/>
          <w:sz w:val="32"/>
          <w:szCs w:val="32"/>
          <w:highlight w:val="none"/>
          <w:lang w:val="zh-CN"/>
        </w:rPr>
      </w:pPr>
      <w:r>
        <w:rPr>
          <w:rFonts w:eastAsia="方正黑体_GBK"/>
          <w:kern w:val="0"/>
          <w:sz w:val="32"/>
          <w:szCs w:val="32"/>
          <w:highlight w:val="none"/>
          <w:lang w:val="zh-CN"/>
        </w:rPr>
        <w:br w:type="page"/>
      </w:r>
      <w:r>
        <w:rPr>
          <w:rFonts w:eastAsia="方正黑体_GBK"/>
          <w:kern w:val="0"/>
          <w:sz w:val="32"/>
          <w:szCs w:val="32"/>
          <w:highlight w:val="none"/>
          <w:lang w:val="zh-CN"/>
        </w:rPr>
        <w:t>附件2</w:t>
      </w:r>
    </w:p>
    <w:p>
      <w:pPr>
        <w:spacing w:line="560" w:lineRule="exact"/>
        <w:jc w:val="center"/>
        <w:rPr>
          <w:rFonts w:ascii="宋体" w:hAnsi="宋体"/>
          <w:b/>
          <w:bCs/>
          <w:sz w:val="32"/>
          <w:szCs w:val="32"/>
          <w:highlight w:val="none"/>
        </w:rPr>
      </w:pPr>
      <w:r>
        <w:rPr>
          <w:rFonts w:hint="eastAsia" w:ascii="宋体" w:hAnsi="宋体"/>
          <w:b/>
          <w:bCs/>
          <w:sz w:val="32"/>
          <w:szCs w:val="32"/>
          <w:highlight w:val="none"/>
        </w:rPr>
        <w:t>法定代表人身份证明</w:t>
      </w:r>
    </w:p>
    <w:p>
      <w:pPr>
        <w:spacing w:line="480" w:lineRule="exact"/>
        <w:rPr>
          <w:rFonts w:ascii="宋体" w:hAnsi="宋体"/>
          <w:sz w:val="24"/>
          <w:highlight w:val="none"/>
        </w:rPr>
      </w:pPr>
    </w:p>
    <w:p>
      <w:pPr>
        <w:spacing w:line="480" w:lineRule="exact"/>
        <w:ind w:firstLine="480" w:firstLineChars="200"/>
        <w:rPr>
          <w:rFonts w:ascii="宋体" w:hAnsi="宋体"/>
          <w:sz w:val="24"/>
          <w:highlight w:val="none"/>
        </w:rPr>
      </w:pPr>
      <w:r>
        <w:rPr>
          <w:rFonts w:ascii="宋体" w:hAnsi="宋体"/>
          <w:sz w:val="24"/>
          <w:highlight w:val="none"/>
          <w:u w:val="single"/>
        </w:rPr>
        <w:t xml:space="preserve">        </w:t>
      </w:r>
      <w:r>
        <w:rPr>
          <w:rFonts w:hint="eastAsia" w:ascii="宋体" w:hAnsi="宋体"/>
          <w:sz w:val="24"/>
          <w:highlight w:val="none"/>
        </w:rPr>
        <w:t>先生/女士：</w:t>
      </w:r>
      <w:r>
        <w:rPr>
          <w:rFonts w:ascii="宋体" w:hAnsi="宋体"/>
          <w:sz w:val="24"/>
          <w:highlight w:val="none"/>
        </w:rPr>
        <w:t xml:space="preserve"> </w:t>
      </w:r>
      <w:r>
        <w:rPr>
          <w:rFonts w:hint="eastAsia" w:ascii="宋体" w:hAnsi="宋体"/>
          <w:sz w:val="24"/>
          <w:highlight w:val="none"/>
        </w:rPr>
        <w:t>现任我单位</w:t>
      </w:r>
      <w:r>
        <w:rPr>
          <w:rFonts w:ascii="宋体" w:hAnsi="宋体"/>
          <w:sz w:val="24"/>
          <w:highlight w:val="none"/>
          <w:u w:val="single"/>
        </w:rPr>
        <w:t xml:space="preserve">        </w:t>
      </w:r>
      <w:r>
        <w:rPr>
          <w:rFonts w:hint="eastAsia" w:ascii="宋体" w:hAnsi="宋体"/>
          <w:sz w:val="24"/>
          <w:highlight w:val="none"/>
        </w:rPr>
        <w:t>职务，为法定代表人，特此证明。</w:t>
      </w:r>
    </w:p>
    <w:p>
      <w:pPr>
        <w:spacing w:line="480" w:lineRule="exact"/>
        <w:ind w:firstLine="480"/>
        <w:rPr>
          <w:rFonts w:ascii="宋体" w:hAnsi="宋体"/>
          <w:sz w:val="24"/>
          <w:highlight w:val="none"/>
          <w:u w:val="single"/>
        </w:rPr>
      </w:pPr>
      <w:r>
        <w:rPr>
          <w:rFonts w:hint="eastAsia" w:ascii="宋体" w:hAnsi="宋体"/>
          <w:sz w:val="24"/>
          <w:highlight w:val="none"/>
        </w:rPr>
        <w:t>身份证号码：</w:t>
      </w:r>
      <w:r>
        <w:rPr>
          <w:rFonts w:ascii="宋体" w:hAnsi="宋体"/>
          <w:sz w:val="24"/>
          <w:highlight w:val="none"/>
          <w:u w:val="single"/>
        </w:rPr>
        <w:t xml:space="preserve">                                               </w:t>
      </w:r>
    </w:p>
    <w:p>
      <w:pPr>
        <w:spacing w:line="480" w:lineRule="exact"/>
        <w:ind w:firstLine="480"/>
        <w:rPr>
          <w:rFonts w:ascii="宋体" w:hAnsi="宋体"/>
          <w:sz w:val="24"/>
          <w:highlight w:val="none"/>
        </w:rPr>
      </w:pPr>
    </w:p>
    <w:p>
      <w:pPr>
        <w:spacing w:line="600" w:lineRule="exact"/>
        <w:rPr>
          <w:rFonts w:ascii="宋体" w:hAnsi="宋体"/>
          <w:b/>
          <w:sz w:val="24"/>
          <w:highlight w:val="none"/>
        </w:rPr>
      </w:pPr>
      <w:r>
        <w:rPr>
          <w:rFonts w:hint="eastAsia" w:ascii="宋体" w:hAnsi="宋体"/>
          <w:b/>
          <w:sz w:val="24"/>
          <w:highlight w:val="none"/>
        </w:rPr>
        <w:t>注：提供法定代表人的身份证复印件</w:t>
      </w:r>
    </w:p>
    <w:p>
      <w:pPr>
        <w:snapToGrid w:val="0"/>
        <w:spacing w:line="400" w:lineRule="exact"/>
        <w:contextualSpacing/>
        <w:rPr>
          <w:rFonts w:eastAsia="方正黑体_GBK"/>
          <w:kern w:val="0"/>
          <w:sz w:val="32"/>
          <w:szCs w:val="32"/>
          <w:highlight w:val="none"/>
          <w:lang w:val="zh-CN"/>
        </w:rPr>
      </w:pPr>
      <w:r>
        <w:rPr>
          <w:rFonts w:eastAsia="方正黑体_GBK"/>
          <w:kern w:val="0"/>
          <w:sz w:val="32"/>
          <w:szCs w:val="32"/>
          <w:highlight w:val="none"/>
          <w:lang w:val="zh-CN"/>
        </w:rPr>
        <w:br w:type="page"/>
      </w:r>
      <w:r>
        <w:rPr>
          <w:rFonts w:eastAsia="方正黑体_GBK"/>
          <w:kern w:val="0"/>
          <w:sz w:val="32"/>
          <w:szCs w:val="32"/>
          <w:highlight w:val="none"/>
          <w:lang w:val="zh-CN"/>
        </w:rPr>
        <w:t>附件3</w:t>
      </w:r>
    </w:p>
    <w:p>
      <w:pPr>
        <w:jc w:val="center"/>
        <w:rPr>
          <w:rFonts w:ascii="Calibri" w:hAnsi="Calibri"/>
          <w:sz w:val="32"/>
          <w:szCs w:val="32"/>
          <w:highlight w:val="none"/>
        </w:rPr>
      </w:pPr>
      <w:r>
        <w:rPr>
          <w:rFonts w:hint="eastAsia" w:ascii="Calibri" w:hAnsi="Calibri"/>
          <w:b/>
          <w:bCs/>
          <w:sz w:val="32"/>
          <w:szCs w:val="32"/>
          <w:highlight w:val="none"/>
        </w:rPr>
        <w:t>法定代表人授权委托书</w:t>
      </w:r>
    </w:p>
    <w:p>
      <w:pPr>
        <w:rPr>
          <w:rFonts w:ascii="Calibri" w:hAnsi="Calibri"/>
          <w:sz w:val="32"/>
          <w:szCs w:val="32"/>
          <w:highlight w:val="none"/>
        </w:rPr>
      </w:pP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本人</w:t>
      </w:r>
      <w:r>
        <w:rPr>
          <w:rFonts w:ascii="宋体" w:hAnsi="宋体"/>
          <w:sz w:val="24"/>
          <w:highlight w:val="none"/>
          <w:u w:val="single"/>
        </w:rPr>
        <w:t xml:space="preserve">        </w:t>
      </w:r>
      <w:r>
        <w:rPr>
          <w:rFonts w:hint="eastAsia" w:ascii="宋体" w:hAnsi="宋体"/>
          <w:sz w:val="28"/>
          <w:szCs w:val="28"/>
          <w:highlight w:val="none"/>
        </w:rPr>
        <w:t>（姓名）系</w:t>
      </w:r>
      <w:r>
        <w:rPr>
          <w:rFonts w:ascii="宋体" w:hAnsi="宋体"/>
          <w:sz w:val="24"/>
          <w:highlight w:val="none"/>
          <w:u w:val="single"/>
        </w:rPr>
        <w:t xml:space="preserve">        （</w:t>
      </w:r>
      <w:r>
        <w:rPr>
          <w:rFonts w:hint="eastAsia" w:ascii="宋体" w:hAnsi="宋体"/>
          <w:sz w:val="28"/>
          <w:szCs w:val="28"/>
          <w:highlight w:val="none"/>
        </w:rPr>
        <w:t>授权单位名称）的法定代表人，现委托</w:t>
      </w:r>
      <w:r>
        <w:rPr>
          <w:rFonts w:ascii="宋体" w:hAnsi="宋体"/>
          <w:sz w:val="24"/>
          <w:highlight w:val="none"/>
          <w:u w:val="single"/>
        </w:rPr>
        <w:t xml:space="preserve">        </w:t>
      </w:r>
      <w:r>
        <w:rPr>
          <w:rFonts w:hint="eastAsia" w:ascii="宋体" w:hAnsi="宋体"/>
          <w:sz w:val="28"/>
          <w:szCs w:val="28"/>
          <w:highlight w:val="none"/>
        </w:rPr>
        <w:t>（姓名）（身份证号</w:t>
      </w:r>
      <w:r>
        <w:rPr>
          <w:rFonts w:ascii="宋体" w:hAnsi="宋体"/>
          <w:sz w:val="24"/>
          <w:highlight w:val="none"/>
          <w:u w:val="single"/>
        </w:rPr>
        <w:t xml:space="preserve">        </w:t>
      </w:r>
      <w:r>
        <w:rPr>
          <w:rFonts w:hint="eastAsia" w:ascii="宋体" w:hAnsi="宋体"/>
          <w:sz w:val="28"/>
          <w:szCs w:val="28"/>
          <w:highlight w:val="none"/>
        </w:rPr>
        <w:t>）为我方代理人，以我方名义全权处理与本次采购项目（编号：</w:t>
      </w:r>
      <w:r>
        <w:rPr>
          <w:rFonts w:ascii="宋体" w:hAnsi="宋体"/>
          <w:sz w:val="24"/>
          <w:highlight w:val="none"/>
          <w:u w:val="single"/>
        </w:rPr>
        <w:t xml:space="preserve">        </w:t>
      </w:r>
      <w:r>
        <w:rPr>
          <w:rFonts w:hint="eastAsia" w:ascii="宋体" w:hAnsi="宋体"/>
          <w:sz w:val="28"/>
          <w:szCs w:val="28"/>
          <w:highlight w:val="none"/>
        </w:rPr>
        <w:t>）有关的一切事务，其法律后果由我方承担。</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本授权书于</w:t>
      </w:r>
      <w:r>
        <w:rPr>
          <w:rFonts w:ascii="宋体" w:hAnsi="宋体"/>
          <w:sz w:val="24"/>
          <w:highlight w:val="none"/>
          <w:u w:val="single"/>
        </w:rPr>
        <w:t xml:space="preserve">    </w:t>
      </w:r>
      <w:r>
        <w:rPr>
          <w:rFonts w:hint="eastAsia" w:ascii="宋体" w:hAnsi="宋体"/>
          <w:sz w:val="28"/>
          <w:szCs w:val="28"/>
          <w:highlight w:val="none"/>
        </w:rPr>
        <w:t>年</w:t>
      </w:r>
      <w:r>
        <w:rPr>
          <w:rFonts w:ascii="宋体" w:hAnsi="宋体"/>
          <w:sz w:val="24"/>
          <w:highlight w:val="none"/>
          <w:u w:val="single"/>
        </w:rPr>
        <w:t xml:space="preserve">   </w:t>
      </w:r>
      <w:r>
        <w:rPr>
          <w:rFonts w:hint="eastAsia" w:ascii="宋体" w:hAnsi="宋体"/>
          <w:sz w:val="28"/>
          <w:szCs w:val="28"/>
          <w:highlight w:val="none"/>
        </w:rPr>
        <w:t>月</w:t>
      </w:r>
      <w:r>
        <w:rPr>
          <w:rFonts w:ascii="宋体" w:hAnsi="宋体"/>
          <w:sz w:val="24"/>
          <w:highlight w:val="none"/>
          <w:u w:val="single"/>
        </w:rPr>
        <w:t xml:space="preserve">    </w:t>
      </w:r>
      <w:r>
        <w:rPr>
          <w:rFonts w:hint="eastAsia" w:ascii="宋体" w:hAnsi="宋体"/>
          <w:sz w:val="28"/>
          <w:szCs w:val="28"/>
          <w:highlight w:val="none"/>
        </w:rPr>
        <w:t>日起生效。代理人无转委托权。</w:t>
      </w:r>
    </w:p>
    <w:p>
      <w:pPr>
        <w:spacing w:line="360" w:lineRule="auto"/>
        <w:ind w:firstLine="420" w:firstLineChars="150"/>
        <w:rPr>
          <w:rFonts w:ascii="宋体" w:hAnsi="宋体"/>
          <w:sz w:val="28"/>
          <w:szCs w:val="28"/>
          <w:highlight w:val="none"/>
        </w:rPr>
      </w:pPr>
      <w:r>
        <w:rPr>
          <w:rFonts w:hint="eastAsia" w:ascii="宋体" w:hAnsi="宋体"/>
          <w:sz w:val="28"/>
          <w:szCs w:val="28"/>
          <w:highlight w:val="none"/>
        </w:rPr>
        <w:t>代理人(被授权人):</w:t>
      </w:r>
      <w:r>
        <w:rPr>
          <w:rFonts w:ascii="宋体" w:hAnsi="宋体"/>
          <w:sz w:val="24"/>
          <w:highlight w:val="none"/>
          <w:u w:val="single"/>
        </w:rPr>
        <w:t xml:space="preserve">        </w:t>
      </w:r>
    </w:p>
    <w:p>
      <w:pPr>
        <w:spacing w:line="360" w:lineRule="auto"/>
        <w:ind w:firstLine="420" w:firstLineChars="150"/>
        <w:rPr>
          <w:rFonts w:ascii="宋体" w:hAnsi="宋体"/>
          <w:sz w:val="28"/>
          <w:szCs w:val="28"/>
          <w:highlight w:val="none"/>
        </w:rPr>
      </w:pPr>
      <w:r>
        <w:rPr>
          <w:rFonts w:hint="eastAsia" w:ascii="宋体" w:hAnsi="宋体"/>
          <w:sz w:val="28"/>
          <w:szCs w:val="28"/>
          <w:highlight w:val="none"/>
        </w:rPr>
        <w:t>授权单位名称（盖章）：</w:t>
      </w:r>
      <w:r>
        <w:rPr>
          <w:rFonts w:ascii="宋体" w:hAnsi="宋体"/>
          <w:sz w:val="24"/>
          <w:highlight w:val="none"/>
          <w:u w:val="single"/>
        </w:rPr>
        <w:t xml:space="preserve">        </w:t>
      </w:r>
    </w:p>
    <w:p>
      <w:pPr>
        <w:spacing w:line="360" w:lineRule="auto"/>
        <w:ind w:firstLine="420" w:firstLineChars="150"/>
        <w:rPr>
          <w:rFonts w:ascii="宋体" w:hAnsi="宋体"/>
          <w:sz w:val="28"/>
          <w:szCs w:val="28"/>
          <w:highlight w:val="none"/>
        </w:rPr>
      </w:pPr>
      <w:r>
        <w:rPr>
          <w:rFonts w:hint="eastAsia" w:ascii="宋体" w:hAnsi="宋体"/>
          <w:sz w:val="28"/>
          <w:szCs w:val="28"/>
          <w:highlight w:val="none"/>
        </w:rPr>
        <w:t>授权单位法定代表人（签字或盖章）：</w:t>
      </w:r>
      <w:r>
        <w:rPr>
          <w:rFonts w:ascii="宋体" w:hAnsi="宋体"/>
          <w:sz w:val="24"/>
          <w:highlight w:val="none"/>
          <w:u w:val="single"/>
        </w:rPr>
        <w:t xml:space="preserve">        </w:t>
      </w:r>
    </w:p>
    <w:p>
      <w:pPr>
        <w:spacing w:line="360" w:lineRule="auto"/>
        <w:jc w:val="right"/>
        <w:rPr>
          <w:rFonts w:ascii="宋体" w:hAnsi="宋体"/>
          <w:sz w:val="28"/>
          <w:szCs w:val="28"/>
          <w:highlight w:val="none"/>
        </w:rPr>
      </w:pPr>
    </w:p>
    <w:p>
      <w:pPr>
        <w:spacing w:line="360" w:lineRule="auto"/>
        <w:jc w:val="right"/>
        <w:rPr>
          <w:rFonts w:ascii="宋体" w:hAnsi="宋体"/>
          <w:sz w:val="28"/>
          <w:szCs w:val="28"/>
          <w:highlight w:val="none"/>
        </w:rPr>
      </w:pPr>
      <w:r>
        <w:rPr>
          <w:rFonts w:ascii="宋体" w:hAnsi="宋体"/>
          <w:sz w:val="24"/>
          <w:highlight w:val="none"/>
          <w:u w:val="single"/>
        </w:rPr>
        <w:t xml:space="preserve">      </w:t>
      </w:r>
      <w:r>
        <w:rPr>
          <w:rFonts w:hint="eastAsia" w:ascii="宋体" w:hAnsi="宋体"/>
          <w:sz w:val="28"/>
          <w:szCs w:val="28"/>
          <w:highlight w:val="none"/>
        </w:rPr>
        <w:t>年</w:t>
      </w:r>
      <w:r>
        <w:rPr>
          <w:rFonts w:ascii="宋体" w:hAnsi="宋体"/>
          <w:sz w:val="24"/>
          <w:highlight w:val="none"/>
          <w:u w:val="single"/>
        </w:rPr>
        <w:t xml:space="preserve">    </w:t>
      </w:r>
      <w:r>
        <w:rPr>
          <w:rFonts w:hint="eastAsia" w:ascii="宋体" w:hAnsi="宋体"/>
          <w:sz w:val="28"/>
          <w:szCs w:val="28"/>
          <w:highlight w:val="none"/>
        </w:rPr>
        <w:t>月</w:t>
      </w:r>
      <w:r>
        <w:rPr>
          <w:rFonts w:ascii="宋体" w:hAnsi="宋体"/>
          <w:sz w:val="24"/>
          <w:highlight w:val="none"/>
          <w:u w:val="single"/>
        </w:rPr>
        <w:t xml:space="preserve">    </w:t>
      </w:r>
      <w:r>
        <w:rPr>
          <w:rFonts w:hint="eastAsia" w:ascii="宋体" w:hAnsi="宋体"/>
          <w:sz w:val="28"/>
          <w:szCs w:val="28"/>
          <w:highlight w:val="none"/>
        </w:rPr>
        <w:t>日</w:t>
      </w:r>
    </w:p>
    <w:p>
      <w:pPr>
        <w:snapToGrid w:val="0"/>
        <w:spacing w:line="400" w:lineRule="exact"/>
        <w:ind w:firstLine="538" w:firstLineChars="192"/>
        <w:contextualSpacing/>
        <w:rPr>
          <w:rFonts w:ascii="宋体" w:hAnsi="宋体" w:cs="宋体"/>
          <w:b/>
          <w:kern w:val="0"/>
          <w:sz w:val="28"/>
          <w:szCs w:val="28"/>
          <w:highlight w:val="none"/>
        </w:rPr>
      </w:pPr>
    </w:p>
    <w:p>
      <w:pPr>
        <w:snapToGrid w:val="0"/>
        <w:spacing w:line="400" w:lineRule="exact"/>
        <w:ind w:firstLine="538" w:firstLineChars="192"/>
        <w:contextualSpacing/>
        <w:rPr>
          <w:rFonts w:hint="eastAsia" w:ascii="宋体" w:hAnsi="宋体" w:cs="宋体"/>
          <w:b/>
          <w:kern w:val="0"/>
          <w:sz w:val="28"/>
          <w:szCs w:val="28"/>
          <w:highlight w:val="none"/>
        </w:rPr>
      </w:pPr>
      <w:r>
        <w:rPr>
          <w:rFonts w:hint="eastAsia" w:ascii="宋体" w:hAnsi="宋体" w:cs="宋体"/>
          <w:b/>
          <w:kern w:val="0"/>
          <w:sz w:val="28"/>
          <w:szCs w:val="28"/>
          <w:highlight w:val="none"/>
        </w:rPr>
        <w:t>注：提供法定代表人的身份证复印件</w:t>
      </w:r>
    </w:p>
    <w:p>
      <w:pPr>
        <w:snapToGrid w:val="0"/>
        <w:spacing w:line="400" w:lineRule="exact"/>
        <w:ind w:firstLine="538" w:firstLineChars="192"/>
        <w:contextualSpacing/>
        <w:rPr>
          <w:rFonts w:hint="eastAsia" w:ascii="宋体" w:hAnsi="宋体" w:cs="宋体"/>
          <w:b/>
          <w:kern w:val="0"/>
          <w:sz w:val="28"/>
          <w:szCs w:val="28"/>
          <w:highlight w:val="none"/>
        </w:rPr>
      </w:pPr>
    </w:p>
    <w:p>
      <w:pPr>
        <w:snapToGrid w:val="0"/>
        <w:spacing w:line="400" w:lineRule="exact"/>
        <w:ind w:firstLine="538" w:firstLineChars="192"/>
        <w:contextualSpacing/>
        <w:rPr>
          <w:rFonts w:hint="eastAsia" w:ascii="宋体" w:hAnsi="宋体" w:cs="宋体"/>
          <w:b/>
          <w:kern w:val="0"/>
          <w:sz w:val="28"/>
          <w:szCs w:val="28"/>
          <w:highlight w:val="none"/>
        </w:rPr>
      </w:pPr>
    </w:p>
    <w:p>
      <w:pPr>
        <w:snapToGrid w:val="0"/>
        <w:spacing w:line="400" w:lineRule="exact"/>
        <w:ind w:firstLine="1099" w:firstLineChars="392"/>
        <w:contextualSpacing/>
        <w:rPr>
          <w:rFonts w:hint="eastAsia" w:ascii="宋体" w:hAnsi="宋体" w:cs="宋体"/>
          <w:b/>
          <w:kern w:val="0"/>
          <w:sz w:val="28"/>
          <w:szCs w:val="28"/>
          <w:highlight w:val="none"/>
        </w:rPr>
      </w:pPr>
    </w:p>
    <w:p>
      <w:pPr>
        <w:snapToGrid w:val="0"/>
        <w:spacing w:line="400" w:lineRule="exact"/>
        <w:ind w:firstLine="1099" w:firstLineChars="392"/>
        <w:contextualSpacing/>
        <w:rPr>
          <w:rFonts w:hint="eastAsia" w:ascii="宋体" w:hAnsi="宋体" w:cs="宋体"/>
          <w:b/>
          <w:kern w:val="0"/>
          <w:sz w:val="28"/>
          <w:szCs w:val="28"/>
          <w:highlight w:val="none"/>
        </w:rPr>
      </w:pPr>
    </w:p>
    <w:p>
      <w:pPr>
        <w:snapToGrid w:val="0"/>
        <w:spacing w:line="400" w:lineRule="exact"/>
        <w:ind w:firstLine="1099" w:firstLineChars="392"/>
        <w:contextualSpacing/>
        <w:rPr>
          <w:rFonts w:hint="eastAsia" w:ascii="宋体" w:hAnsi="宋体" w:cs="宋体"/>
          <w:b/>
          <w:kern w:val="0"/>
          <w:sz w:val="28"/>
          <w:szCs w:val="28"/>
          <w:highlight w:val="none"/>
        </w:rPr>
      </w:pPr>
    </w:p>
    <w:p>
      <w:pPr>
        <w:snapToGrid w:val="0"/>
        <w:spacing w:line="400" w:lineRule="exact"/>
        <w:ind w:firstLine="1099" w:firstLineChars="392"/>
        <w:contextualSpacing/>
        <w:rPr>
          <w:rFonts w:ascii="宋体" w:hAnsi="宋体" w:cs="宋体"/>
          <w:b/>
          <w:kern w:val="0"/>
          <w:sz w:val="28"/>
          <w:szCs w:val="28"/>
          <w:highlight w:val="none"/>
        </w:rPr>
      </w:pPr>
      <w:r>
        <w:rPr>
          <w:rFonts w:hint="eastAsia" w:ascii="宋体" w:hAnsi="宋体" w:cs="宋体"/>
          <w:b/>
          <w:kern w:val="0"/>
          <w:sz w:val="28"/>
          <w:szCs w:val="28"/>
          <w:highlight w:val="none"/>
        </w:rPr>
        <w:t>磋商</w:t>
      </w:r>
      <w:r>
        <w:rPr>
          <w:rFonts w:ascii="宋体" w:hAnsi="宋体" w:cs="宋体"/>
          <w:b/>
          <w:kern w:val="0"/>
          <w:sz w:val="28"/>
          <w:szCs w:val="28"/>
          <w:highlight w:val="none"/>
        </w:rPr>
        <w:t>代表本人身份证复印件</w:t>
      </w:r>
    </w:p>
    <w:p>
      <w:pPr>
        <w:pStyle w:val="27"/>
        <w:spacing w:line="560" w:lineRule="exact"/>
        <w:rPr>
          <w:b/>
          <w:bCs/>
          <w:sz w:val="32"/>
          <w:szCs w:val="32"/>
          <w:highlight w:val="none"/>
        </w:rPr>
      </w:pPr>
      <w:r>
        <w:rPr>
          <w:b/>
          <w:bCs/>
          <w:sz w:val="32"/>
          <w:szCs w:val="32"/>
          <w:highlight w:val="none"/>
        </w:rPr>
        <w:br w:type="page"/>
      </w:r>
      <w:r>
        <w:rPr>
          <w:b/>
          <w:bCs/>
          <w:sz w:val="32"/>
          <w:szCs w:val="32"/>
          <w:highlight w:val="none"/>
        </w:rPr>
        <w:t xml:space="preserve">附件4 </w:t>
      </w:r>
    </w:p>
    <w:p>
      <w:pPr>
        <w:snapToGrid w:val="0"/>
        <w:spacing w:line="300" w:lineRule="auto"/>
        <w:contextualSpacing/>
        <w:jc w:val="center"/>
        <w:rPr>
          <w:rFonts w:ascii="宋体" w:hAnsi="宋体"/>
          <w:b/>
          <w:sz w:val="32"/>
          <w:szCs w:val="32"/>
          <w:highlight w:val="none"/>
        </w:rPr>
      </w:pPr>
      <w:r>
        <w:rPr>
          <w:rFonts w:hint="eastAsia" w:ascii="宋体" w:hAnsi="宋体"/>
          <w:b/>
          <w:sz w:val="32"/>
          <w:szCs w:val="32"/>
          <w:highlight w:val="none"/>
        </w:rPr>
        <w:t>商务部分正负偏离表</w:t>
      </w:r>
    </w:p>
    <w:p>
      <w:pPr>
        <w:ind w:firstLine="560" w:firstLineChars="200"/>
        <w:jc w:val="center"/>
        <w:rPr>
          <w:rFonts w:ascii="宋体" w:hAnsi="宋体"/>
          <w:sz w:val="28"/>
          <w:szCs w:val="28"/>
          <w:highlight w:val="none"/>
        </w:rPr>
      </w:pPr>
      <w:r>
        <w:rPr>
          <w:rFonts w:hint="eastAsia" w:ascii="宋体" w:hAnsi="宋体"/>
          <w:sz w:val="28"/>
          <w:szCs w:val="28"/>
          <w:highlight w:val="none"/>
        </w:rPr>
        <w:t>（由供应商据实填写，表格不够自行添加）</w:t>
      </w:r>
    </w:p>
    <w:tbl>
      <w:tblPr>
        <w:tblStyle w:val="19"/>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83"/>
        <w:gridCol w:w="2138"/>
        <w:gridCol w:w="1867"/>
        <w:gridCol w:w="2409"/>
        <w:gridCol w:w="13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94" w:hRule="atLeast"/>
        </w:trPr>
        <w:tc>
          <w:tcPr>
            <w:tcW w:w="460" w:type="pct"/>
            <w:tcBorders>
              <w:top w:val="single" w:color="auto" w:sz="12" w:space="0"/>
              <w:left w:val="single" w:color="auto" w:sz="12" w:space="0"/>
              <w:bottom w:val="single" w:color="auto" w:sz="6" w:space="0"/>
              <w:right w:val="single" w:color="auto" w:sz="6" w:space="0"/>
            </w:tcBorders>
            <w:vAlign w:val="center"/>
          </w:tcPr>
          <w:p>
            <w:pPr>
              <w:spacing w:line="340" w:lineRule="exact"/>
              <w:jc w:val="center"/>
              <w:rPr>
                <w:rFonts w:ascii="宋体" w:hAnsi="宋体"/>
                <w:sz w:val="24"/>
                <w:highlight w:val="none"/>
              </w:rPr>
            </w:pPr>
            <w:r>
              <w:rPr>
                <w:rFonts w:hint="eastAsia" w:ascii="宋体" w:hAnsi="宋体"/>
                <w:sz w:val="24"/>
                <w:highlight w:val="none"/>
              </w:rPr>
              <w:t>序号</w:t>
            </w:r>
          </w:p>
        </w:tc>
        <w:tc>
          <w:tcPr>
            <w:tcW w:w="1254"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sz w:val="24"/>
                <w:highlight w:val="none"/>
              </w:rPr>
            </w:pPr>
            <w:r>
              <w:rPr>
                <w:rFonts w:hint="eastAsia" w:ascii="宋体" w:hAnsi="宋体"/>
                <w:sz w:val="24"/>
                <w:highlight w:val="none"/>
              </w:rPr>
              <w:t>货物或服务名称</w:t>
            </w:r>
          </w:p>
        </w:tc>
        <w:tc>
          <w:tcPr>
            <w:tcW w:w="1095"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sz w:val="24"/>
                <w:highlight w:val="none"/>
              </w:rPr>
            </w:pPr>
            <w:r>
              <w:rPr>
                <w:rFonts w:hint="eastAsia" w:ascii="宋体" w:hAnsi="宋体"/>
                <w:sz w:val="24"/>
                <w:highlight w:val="none"/>
              </w:rPr>
              <w:t>磋商文件要求的商务条款</w:t>
            </w:r>
          </w:p>
        </w:tc>
        <w:tc>
          <w:tcPr>
            <w:tcW w:w="1413"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sz w:val="24"/>
                <w:highlight w:val="none"/>
              </w:rPr>
            </w:pPr>
            <w:r>
              <w:rPr>
                <w:rFonts w:hint="eastAsia" w:ascii="宋体" w:hAnsi="宋体"/>
                <w:sz w:val="24"/>
                <w:highlight w:val="none"/>
              </w:rPr>
              <w:t>响应文件响应情况</w:t>
            </w:r>
          </w:p>
        </w:tc>
        <w:tc>
          <w:tcPr>
            <w:tcW w:w="778" w:type="pct"/>
            <w:tcBorders>
              <w:top w:val="single" w:color="auto" w:sz="12" w:space="0"/>
              <w:left w:val="single" w:color="auto" w:sz="6" w:space="0"/>
              <w:bottom w:val="single" w:color="auto" w:sz="6" w:space="0"/>
              <w:right w:val="single" w:color="auto" w:sz="12" w:space="0"/>
            </w:tcBorders>
          </w:tcPr>
          <w:p>
            <w:pPr>
              <w:spacing w:line="340" w:lineRule="exact"/>
              <w:jc w:val="center"/>
              <w:rPr>
                <w:rFonts w:ascii="宋体" w:hAnsi="宋体"/>
                <w:sz w:val="24"/>
                <w:highlight w:val="none"/>
              </w:rPr>
            </w:pPr>
          </w:p>
          <w:p>
            <w:pPr>
              <w:spacing w:line="340" w:lineRule="exact"/>
              <w:jc w:val="center"/>
              <w:rPr>
                <w:rFonts w:ascii="宋体" w:hAnsi="宋体"/>
                <w:sz w:val="24"/>
                <w:highlight w:val="none"/>
              </w:rPr>
            </w:pPr>
            <w:r>
              <w:rPr>
                <w:rFonts w:hint="eastAsia" w:ascii="宋体" w:hAnsi="宋体"/>
                <w:sz w:val="24"/>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4" w:hRule="atLeast"/>
        </w:trPr>
        <w:tc>
          <w:tcPr>
            <w:tcW w:w="460"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sz w:val="24"/>
                <w:highlight w:val="none"/>
              </w:rPr>
            </w:pPr>
            <w:r>
              <w:rPr>
                <w:rFonts w:hint="eastAsia" w:ascii="宋体" w:hAnsi="宋体"/>
                <w:sz w:val="24"/>
                <w:highlight w:val="none"/>
              </w:rPr>
              <w:t>1</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sz w:val="24"/>
                <w:highlight w:val="none"/>
              </w:rPr>
            </w:pPr>
          </w:p>
        </w:tc>
        <w:tc>
          <w:tcPr>
            <w:tcW w:w="1095"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sz w:val="24"/>
                <w:highlight w:val="none"/>
              </w:rPr>
            </w:pPr>
          </w:p>
        </w:tc>
        <w:tc>
          <w:tcPr>
            <w:tcW w:w="1413"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sz w:val="24"/>
                <w:highlight w:val="none"/>
              </w:rPr>
            </w:pPr>
          </w:p>
        </w:tc>
        <w:tc>
          <w:tcPr>
            <w:tcW w:w="778" w:type="pct"/>
            <w:tcBorders>
              <w:top w:val="single" w:color="auto" w:sz="6" w:space="0"/>
              <w:left w:val="single" w:color="auto" w:sz="6" w:space="0"/>
              <w:bottom w:val="single" w:color="auto" w:sz="6" w:space="0"/>
              <w:right w:val="single" w:color="auto" w:sz="12" w:space="0"/>
            </w:tcBorders>
          </w:tcPr>
          <w:p>
            <w:pPr>
              <w:spacing w:line="340" w:lineRule="exact"/>
              <w:jc w:val="left"/>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48" w:hRule="atLeast"/>
        </w:trPr>
        <w:tc>
          <w:tcPr>
            <w:tcW w:w="460"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sz w:val="24"/>
                <w:highlight w:val="none"/>
              </w:rPr>
            </w:pPr>
            <w:r>
              <w:rPr>
                <w:rFonts w:hint="eastAsia" w:ascii="宋体" w:hAnsi="宋体"/>
                <w:sz w:val="24"/>
                <w:highlight w:val="none"/>
              </w:rPr>
              <w:t>2</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sz w:val="24"/>
                <w:highlight w:val="none"/>
              </w:rPr>
            </w:pPr>
          </w:p>
        </w:tc>
        <w:tc>
          <w:tcPr>
            <w:tcW w:w="1095"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sz w:val="24"/>
                <w:highlight w:val="none"/>
              </w:rPr>
            </w:pPr>
          </w:p>
        </w:tc>
        <w:tc>
          <w:tcPr>
            <w:tcW w:w="1413"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sz w:val="24"/>
                <w:highlight w:val="none"/>
              </w:rPr>
            </w:pPr>
          </w:p>
        </w:tc>
        <w:tc>
          <w:tcPr>
            <w:tcW w:w="778" w:type="pct"/>
            <w:tcBorders>
              <w:top w:val="single" w:color="auto" w:sz="6" w:space="0"/>
              <w:left w:val="single" w:color="auto" w:sz="6" w:space="0"/>
              <w:bottom w:val="single" w:color="auto" w:sz="6" w:space="0"/>
              <w:right w:val="single" w:color="auto" w:sz="12" w:space="0"/>
            </w:tcBorders>
          </w:tcPr>
          <w:p>
            <w:pPr>
              <w:spacing w:line="340" w:lineRule="exact"/>
              <w:jc w:val="left"/>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00" w:hRule="atLeast"/>
        </w:trPr>
        <w:tc>
          <w:tcPr>
            <w:tcW w:w="460"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sz w:val="24"/>
                <w:highlight w:val="none"/>
              </w:rPr>
            </w:pPr>
            <w:r>
              <w:rPr>
                <w:rFonts w:hint="eastAsia" w:ascii="宋体" w:hAnsi="宋体"/>
                <w:sz w:val="24"/>
                <w:highlight w:val="none"/>
              </w:rPr>
              <w:t>3</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sz w:val="24"/>
                <w:highlight w:val="none"/>
              </w:rPr>
            </w:pPr>
          </w:p>
        </w:tc>
        <w:tc>
          <w:tcPr>
            <w:tcW w:w="1095"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sz w:val="24"/>
                <w:highlight w:val="none"/>
              </w:rPr>
            </w:pPr>
          </w:p>
        </w:tc>
        <w:tc>
          <w:tcPr>
            <w:tcW w:w="1413"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sz w:val="24"/>
                <w:highlight w:val="none"/>
              </w:rPr>
            </w:pPr>
          </w:p>
        </w:tc>
        <w:tc>
          <w:tcPr>
            <w:tcW w:w="778" w:type="pct"/>
            <w:tcBorders>
              <w:top w:val="single" w:color="auto" w:sz="6" w:space="0"/>
              <w:left w:val="single" w:color="auto" w:sz="6" w:space="0"/>
              <w:bottom w:val="single" w:color="auto" w:sz="6" w:space="0"/>
              <w:right w:val="single" w:color="auto" w:sz="12" w:space="0"/>
            </w:tcBorders>
          </w:tcPr>
          <w:p>
            <w:pPr>
              <w:spacing w:line="340" w:lineRule="exact"/>
              <w:jc w:val="left"/>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9" w:hRule="atLeast"/>
        </w:trPr>
        <w:tc>
          <w:tcPr>
            <w:tcW w:w="460"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sz w:val="24"/>
                <w:highlight w:val="none"/>
              </w:rPr>
            </w:pPr>
            <w:r>
              <w:rPr>
                <w:rFonts w:hint="eastAsia" w:ascii="宋体" w:hAnsi="宋体"/>
                <w:sz w:val="24"/>
                <w:highlight w:val="none"/>
              </w:rPr>
              <w:t>4</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sz w:val="24"/>
                <w:highlight w:val="none"/>
              </w:rPr>
            </w:pPr>
          </w:p>
        </w:tc>
        <w:tc>
          <w:tcPr>
            <w:tcW w:w="1095"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sz w:val="24"/>
                <w:highlight w:val="none"/>
              </w:rPr>
            </w:pPr>
          </w:p>
        </w:tc>
        <w:tc>
          <w:tcPr>
            <w:tcW w:w="1413"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sz w:val="24"/>
                <w:highlight w:val="none"/>
              </w:rPr>
            </w:pPr>
          </w:p>
        </w:tc>
        <w:tc>
          <w:tcPr>
            <w:tcW w:w="778" w:type="pct"/>
            <w:tcBorders>
              <w:top w:val="single" w:color="auto" w:sz="6" w:space="0"/>
              <w:left w:val="single" w:color="auto" w:sz="6" w:space="0"/>
              <w:bottom w:val="single" w:color="auto" w:sz="6" w:space="0"/>
              <w:right w:val="single" w:color="auto" w:sz="12" w:space="0"/>
            </w:tcBorders>
          </w:tcPr>
          <w:p>
            <w:pPr>
              <w:spacing w:line="340" w:lineRule="exact"/>
              <w:jc w:val="left"/>
              <w:rPr>
                <w:sz w:val="24"/>
                <w:highlight w:val="none"/>
              </w:rPr>
            </w:pPr>
          </w:p>
        </w:tc>
      </w:tr>
    </w:tbl>
    <w:p>
      <w:pPr>
        <w:snapToGrid w:val="0"/>
        <w:spacing w:line="300" w:lineRule="auto"/>
        <w:contextualSpacing/>
        <w:rPr>
          <w:rFonts w:ascii="宋体" w:hAnsi="宋体"/>
          <w:b/>
          <w:sz w:val="24"/>
          <w:highlight w:val="none"/>
        </w:rPr>
      </w:pPr>
      <w:r>
        <w:rPr>
          <w:rFonts w:hint="eastAsia" w:ascii="宋体" w:hAnsi="宋体"/>
          <w:b/>
          <w:sz w:val="24"/>
          <w:highlight w:val="none"/>
        </w:rPr>
        <w:t>注：</w:t>
      </w:r>
    </w:p>
    <w:p>
      <w:pPr>
        <w:snapToGrid w:val="0"/>
        <w:spacing w:line="300" w:lineRule="auto"/>
        <w:ind w:firstLine="480" w:firstLineChars="200"/>
        <w:contextualSpacing/>
        <w:rPr>
          <w:rFonts w:hint="default" w:ascii="宋体" w:hAnsi="宋体" w:eastAsia="宋体"/>
          <w:sz w:val="24"/>
          <w:highlight w:val="none"/>
          <w:lang w:val="en-US" w:eastAsia="zh-CN"/>
        </w:rPr>
      </w:pPr>
      <w:r>
        <w:rPr>
          <w:rFonts w:hint="eastAsia" w:ascii="宋体" w:hAnsi="宋体"/>
          <w:sz w:val="24"/>
          <w:highlight w:val="none"/>
        </w:rPr>
        <w:t>1.供应商提交的响应文件中与磋商文件第三部分“项目需求”中的商务部分的要求，应逐条填列在偏离表中。</w:t>
      </w:r>
      <w:r>
        <w:rPr>
          <w:rFonts w:hint="eastAsia" w:ascii="宋体" w:hAnsi="宋体"/>
          <w:b/>
          <w:bCs/>
          <w:sz w:val="24"/>
          <w:highlight w:val="none"/>
          <w:lang w:val="en-US" w:eastAsia="zh-CN"/>
        </w:rPr>
        <w:t>如完全响应，可空表列示。</w:t>
      </w:r>
    </w:p>
    <w:p>
      <w:pPr>
        <w:snapToGrid w:val="0"/>
        <w:spacing w:line="300" w:lineRule="auto"/>
        <w:ind w:firstLine="480" w:firstLineChars="200"/>
        <w:contextualSpacing/>
        <w:rPr>
          <w:rFonts w:ascii="宋体" w:hAnsi="宋体"/>
          <w:sz w:val="24"/>
          <w:highlight w:val="none"/>
        </w:rPr>
      </w:pPr>
      <w:r>
        <w:rPr>
          <w:rFonts w:hint="eastAsia" w:ascii="宋体" w:hAnsi="宋体"/>
          <w:sz w:val="24"/>
          <w:highlight w:val="none"/>
        </w:rPr>
        <w:t>2. “偏离说明”一栏选择“正偏离”、“无偏离”、“负偏离”进行填写。正偏离、无偏离的确认和负偏离的是否响应采购文件，由评委认定。</w:t>
      </w:r>
    </w:p>
    <w:p>
      <w:pPr>
        <w:snapToGrid w:val="0"/>
        <w:spacing w:line="300" w:lineRule="auto"/>
        <w:ind w:firstLine="480" w:firstLineChars="200"/>
        <w:contextualSpacing/>
        <w:rPr>
          <w:rFonts w:ascii="宋体" w:hAnsi="宋体"/>
          <w:bCs/>
          <w:sz w:val="24"/>
          <w:highlight w:val="none"/>
        </w:rPr>
      </w:pPr>
      <w:r>
        <w:rPr>
          <w:rFonts w:hint="eastAsia" w:ascii="宋体" w:hAnsi="宋体"/>
          <w:bCs/>
          <w:sz w:val="24"/>
          <w:highlight w:val="none"/>
        </w:rPr>
        <w:t>3.供应商若提供其他增值服务，可以在表中自行据实填写。</w:t>
      </w:r>
    </w:p>
    <w:p>
      <w:pPr>
        <w:snapToGrid w:val="0"/>
        <w:spacing w:line="400" w:lineRule="exact"/>
        <w:contextualSpacing/>
        <w:rPr>
          <w:rFonts w:eastAsia="方正黑体_GBK"/>
          <w:kern w:val="0"/>
          <w:sz w:val="32"/>
          <w:szCs w:val="32"/>
          <w:highlight w:val="none"/>
        </w:rPr>
        <w:sectPr>
          <w:headerReference r:id="rId4" w:type="default"/>
          <w:pgSz w:w="11907" w:h="16839"/>
          <w:pgMar w:top="1440" w:right="1800" w:bottom="1440" w:left="1800" w:header="720" w:footer="720" w:gutter="0"/>
          <w:cols w:space="720" w:num="1"/>
          <w:docGrid w:linePitch="286" w:charSpace="0"/>
        </w:sectPr>
      </w:pPr>
    </w:p>
    <w:p>
      <w:pPr>
        <w:snapToGrid w:val="0"/>
        <w:spacing w:line="400" w:lineRule="exact"/>
        <w:contextualSpacing/>
        <w:rPr>
          <w:rFonts w:hint="eastAsia" w:eastAsia="方正黑体_GBK"/>
          <w:kern w:val="0"/>
          <w:sz w:val="32"/>
          <w:szCs w:val="32"/>
          <w:highlight w:val="none"/>
          <w:lang w:eastAsia="zh-CN"/>
        </w:rPr>
      </w:pPr>
      <w:r>
        <w:rPr>
          <w:rFonts w:eastAsia="方正黑体_GBK"/>
          <w:kern w:val="0"/>
          <w:sz w:val="32"/>
          <w:szCs w:val="32"/>
          <w:highlight w:val="none"/>
        </w:rPr>
        <w:t>附件</w:t>
      </w:r>
      <w:r>
        <w:rPr>
          <w:rFonts w:hint="eastAsia" w:eastAsia="方正黑体_GBK"/>
          <w:kern w:val="0"/>
          <w:sz w:val="32"/>
          <w:szCs w:val="32"/>
          <w:highlight w:val="none"/>
          <w:lang w:val="en-US" w:eastAsia="zh-CN"/>
        </w:rPr>
        <w:t>5</w:t>
      </w:r>
    </w:p>
    <w:p>
      <w:pPr>
        <w:snapToGrid w:val="0"/>
        <w:spacing w:line="300" w:lineRule="auto"/>
        <w:contextualSpacing/>
        <w:jc w:val="center"/>
        <w:rPr>
          <w:rFonts w:ascii="宋体" w:hAnsi="宋体"/>
          <w:b/>
          <w:sz w:val="32"/>
          <w:szCs w:val="32"/>
          <w:highlight w:val="none"/>
        </w:rPr>
      </w:pPr>
      <w:r>
        <w:rPr>
          <w:rFonts w:hint="eastAsia" w:ascii="宋体" w:hAnsi="宋体"/>
          <w:b/>
          <w:sz w:val="32"/>
          <w:szCs w:val="32"/>
          <w:highlight w:val="none"/>
        </w:rPr>
        <w:t>技术部分正负偏离表</w:t>
      </w:r>
    </w:p>
    <w:p>
      <w:pPr>
        <w:ind w:firstLine="560" w:firstLineChars="200"/>
        <w:jc w:val="center"/>
        <w:rPr>
          <w:rFonts w:ascii="宋体" w:hAnsi="宋体"/>
          <w:sz w:val="28"/>
          <w:szCs w:val="28"/>
          <w:highlight w:val="none"/>
        </w:rPr>
      </w:pPr>
      <w:r>
        <w:rPr>
          <w:rFonts w:hint="eastAsia" w:ascii="宋体" w:hAnsi="宋体"/>
          <w:sz w:val="28"/>
          <w:szCs w:val="28"/>
          <w:highlight w:val="none"/>
        </w:rPr>
        <w:t>（由供应商据实填写，表格不够自行添加）</w:t>
      </w:r>
    </w:p>
    <w:tbl>
      <w:tblPr>
        <w:tblStyle w:val="19"/>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83"/>
        <w:gridCol w:w="2138"/>
        <w:gridCol w:w="1867"/>
        <w:gridCol w:w="2409"/>
        <w:gridCol w:w="13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94" w:hRule="atLeast"/>
        </w:trPr>
        <w:tc>
          <w:tcPr>
            <w:tcW w:w="460" w:type="pct"/>
            <w:tcBorders>
              <w:top w:val="single" w:color="auto" w:sz="12" w:space="0"/>
              <w:left w:val="single" w:color="auto" w:sz="12" w:space="0"/>
              <w:bottom w:val="single" w:color="auto" w:sz="6" w:space="0"/>
              <w:right w:val="single" w:color="auto" w:sz="6" w:space="0"/>
            </w:tcBorders>
            <w:vAlign w:val="center"/>
          </w:tcPr>
          <w:p>
            <w:pPr>
              <w:spacing w:line="340" w:lineRule="exact"/>
              <w:jc w:val="center"/>
              <w:rPr>
                <w:rFonts w:ascii="宋体" w:hAnsi="宋体"/>
                <w:sz w:val="24"/>
                <w:highlight w:val="none"/>
              </w:rPr>
            </w:pPr>
            <w:r>
              <w:rPr>
                <w:rFonts w:hint="eastAsia" w:ascii="宋体" w:hAnsi="宋体"/>
                <w:sz w:val="24"/>
                <w:highlight w:val="none"/>
              </w:rPr>
              <w:t>序号</w:t>
            </w:r>
          </w:p>
        </w:tc>
        <w:tc>
          <w:tcPr>
            <w:tcW w:w="1254"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sz w:val="24"/>
                <w:highlight w:val="none"/>
              </w:rPr>
            </w:pPr>
            <w:r>
              <w:rPr>
                <w:rFonts w:hint="eastAsia" w:ascii="宋体" w:hAnsi="宋体"/>
                <w:sz w:val="24"/>
                <w:highlight w:val="none"/>
              </w:rPr>
              <w:t>货物或服务名称</w:t>
            </w:r>
          </w:p>
        </w:tc>
        <w:tc>
          <w:tcPr>
            <w:tcW w:w="1095"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sz w:val="24"/>
                <w:highlight w:val="none"/>
              </w:rPr>
            </w:pPr>
            <w:r>
              <w:rPr>
                <w:rFonts w:hint="eastAsia" w:ascii="宋体" w:hAnsi="宋体"/>
                <w:sz w:val="24"/>
                <w:highlight w:val="none"/>
              </w:rPr>
              <w:t>磋商文件要求的技术要求</w:t>
            </w:r>
          </w:p>
        </w:tc>
        <w:tc>
          <w:tcPr>
            <w:tcW w:w="1413"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sz w:val="24"/>
                <w:highlight w:val="none"/>
              </w:rPr>
            </w:pPr>
            <w:r>
              <w:rPr>
                <w:rFonts w:hint="eastAsia" w:ascii="宋体" w:hAnsi="宋体"/>
                <w:sz w:val="24"/>
                <w:highlight w:val="none"/>
              </w:rPr>
              <w:t>响应文件响应情况</w:t>
            </w:r>
          </w:p>
        </w:tc>
        <w:tc>
          <w:tcPr>
            <w:tcW w:w="778" w:type="pct"/>
            <w:tcBorders>
              <w:top w:val="single" w:color="auto" w:sz="12" w:space="0"/>
              <w:left w:val="single" w:color="auto" w:sz="6" w:space="0"/>
              <w:bottom w:val="single" w:color="auto" w:sz="6" w:space="0"/>
              <w:right w:val="single" w:color="auto" w:sz="12" w:space="0"/>
            </w:tcBorders>
          </w:tcPr>
          <w:p>
            <w:pPr>
              <w:spacing w:line="340" w:lineRule="exact"/>
              <w:jc w:val="center"/>
              <w:rPr>
                <w:rFonts w:ascii="宋体" w:hAnsi="宋体"/>
                <w:sz w:val="24"/>
                <w:highlight w:val="none"/>
              </w:rPr>
            </w:pPr>
          </w:p>
          <w:p>
            <w:pPr>
              <w:spacing w:line="340" w:lineRule="exact"/>
              <w:jc w:val="center"/>
              <w:rPr>
                <w:rFonts w:ascii="宋体" w:hAnsi="宋体"/>
                <w:sz w:val="24"/>
                <w:highlight w:val="none"/>
              </w:rPr>
            </w:pPr>
            <w:r>
              <w:rPr>
                <w:rFonts w:hint="eastAsia" w:ascii="宋体" w:hAnsi="宋体"/>
                <w:sz w:val="24"/>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4" w:hRule="atLeast"/>
        </w:trPr>
        <w:tc>
          <w:tcPr>
            <w:tcW w:w="460"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sz w:val="24"/>
                <w:highlight w:val="none"/>
              </w:rPr>
            </w:pPr>
            <w:r>
              <w:rPr>
                <w:rFonts w:hint="eastAsia" w:ascii="宋体" w:hAnsi="宋体"/>
                <w:sz w:val="24"/>
                <w:highlight w:val="none"/>
              </w:rPr>
              <w:t>1</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sz w:val="24"/>
                <w:highlight w:val="none"/>
              </w:rPr>
            </w:pPr>
          </w:p>
        </w:tc>
        <w:tc>
          <w:tcPr>
            <w:tcW w:w="1095"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sz w:val="24"/>
                <w:highlight w:val="none"/>
              </w:rPr>
            </w:pPr>
          </w:p>
        </w:tc>
        <w:tc>
          <w:tcPr>
            <w:tcW w:w="1413"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sz w:val="24"/>
                <w:highlight w:val="none"/>
              </w:rPr>
            </w:pPr>
          </w:p>
        </w:tc>
        <w:tc>
          <w:tcPr>
            <w:tcW w:w="778" w:type="pct"/>
            <w:tcBorders>
              <w:top w:val="single" w:color="auto" w:sz="6" w:space="0"/>
              <w:left w:val="single" w:color="auto" w:sz="6" w:space="0"/>
              <w:bottom w:val="single" w:color="auto" w:sz="6" w:space="0"/>
              <w:right w:val="single" w:color="auto" w:sz="12" w:space="0"/>
            </w:tcBorders>
          </w:tcPr>
          <w:p>
            <w:pPr>
              <w:spacing w:line="340" w:lineRule="exact"/>
              <w:jc w:val="left"/>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48" w:hRule="atLeast"/>
        </w:trPr>
        <w:tc>
          <w:tcPr>
            <w:tcW w:w="460"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sz w:val="24"/>
                <w:highlight w:val="none"/>
              </w:rPr>
            </w:pPr>
            <w:r>
              <w:rPr>
                <w:rFonts w:hint="eastAsia" w:ascii="宋体" w:hAnsi="宋体"/>
                <w:sz w:val="24"/>
                <w:highlight w:val="none"/>
              </w:rPr>
              <w:t>2</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sz w:val="24"/>
                <w:highlight w:val="none"/>
              </w:rPr>
            </w:pPr>
          </w:p>
        </w:tc>
        <w:tc>
          <w:tcPr>
            <w:tcW w:w="1095"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sz w:val="24"/>
                <w:highlight w:val="none"/>
              </w:rPr>
            </w:pPr>
          </w:p>
        </w:tc>
        <w:tc>
          <w:tcPr>
            <w:tcW w:w="1413"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sz w:val="24"/>
                <w:highlight w:val="none"/>
              </w:rPr>
            </w:pPr>
          </w:p>
        </w:tc>
        <w:tc>
          <w:tcPr>
            <w:tcW w:w="778" w:type="pct"/>
            <w:tcBorders>
              <w:top w:val="single" w:color="auto" w:sz="6" w:space="0"/>
              <w:left w:val="single" w:color="auto" w:sz="6" w:space="0"/>
              <w:bottom w:val="single" w:color="auto" w:sz="6" w:space="0"/>
              <w:right w:val="single" w:color="auto" w:sz="12" w:space="0"/>
            </w:tcBorders>
          </w:tcPr>
          <w:p>
            <w:pPr>
              <w:spacing w:line="340" w:lineRule="exact"/>
              <w:jc w:val="left"/>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00" w:hRule="atLeast"/>
        </w:trPr>
        <w:tc>
          <w:tcPr>
            <w:tcW w:w="460"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sz w:val="24"/>
                <w:highlight w:val="none"/>
              </w:rPr>
            </w:pPr>
            <w:r>
              <w:rPr>
                <w:rFonts w:hint="eastAsia" w:ascii="宋体" w:hAnsi="宋体"/>
                <w:sz w:val="24"/>
                <w:highlight w:val="none"/>
              </w:rPr>
              <w:t>3</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sz w:val="24"/>
                <w:highlight w:val="none"/>
              </w:rPr>
            </w:pPr>
          </w:p>
        </w:tc>
        <w:tc>
          <w:tcPr>
            <w:tcW w:w="1095"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sz w:val="24"/>
                <w:highlight w:val="none"/>
              </w:rPr>
            </w:pPr>
          </w:p>
        </w:tc>
        <w:tc>
          <w:tcPr>
            <w:tcW w:w="1413"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sz w:val="24"/>
                <w:highlight w:val="none"/>
              </w:rPr>
            </w:pPr>
          </w:p>
        </w:tc>
        <w:tc>
          <w:tcPr>
            <w:tcW w:w="778" w:type="pct"/>
            <w:tcBorders>
              <w:top w:val="single" w:color="auto" w:sz="6" w:space="0"/>
              <w:left w:val="single" w:color="auto" w:sz="6" w:space="0"/>
              <w:bottom w:val="single" w:color="auto" w:sz="6" w:space="0"/>
              <w:right w:val="single" w:color="auto" w:sz="12" w:space="0"/>
            </w:tcBorders>
          </w:tcPr>
          <w:p>
            <w:pPr>
              <w:spacing w:line="340" w:lineRule="exact"/>
              <w:jc w:val="left"/>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9" w:hRule="atLeast"/>
        </w:trPr>
        <w:tc>
          <w:tcPr>
            <w:tcW w:w="460"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sz w:val="24"/>
                <w:highlight w:val="none"/>
              </w:rPr>
            </w:pPr>
            <w:r>
              <w:rPr>
                <w:rFonts w:hint="eastAsia" w:ascii="宋体" w:hAnsi="宋体"/>
                <w:sz w:val="24"/>
                <w:highlight w:val="none"/>
              </w:rPr>
              <w:t>4</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sz w:val="24"/>
                <w:highlight w:val="none"/>
              </w:rPr>
            </w:pPr>
          </w:p>
        </w:tc>
        <w:tc>
          <w:tcPr>
            <w:tcW w:w="1095"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sz w:val="24"/>
                <w:highlight w:val="none"/>
              </w:rPr>
            </w:pPr>
          </w:p>
        </w:tc>
        <w:tc>
          <w:tcPr>
            <w:tcW w:w="1413"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sz w:val="24"/>
                <w:highlight w:val="none"/>
              </w:rPr>
            </w:pPr>
          </w:p>
        </w:tc>
        <w:tc>
          <w:tcPr>
            <w:tcW w:w="778" w:type="pct"/>
            <w:tcBorders>
              <w:top w:val="single" w:color="auto" w:sz="6" w:space="0"/>
              <w:left w:val="single" w:color="auto" w:sz="6" w:space="0"/>
              <w:bottom w:val="single" w:color="auto" w:sz="6" w:space="0"/>
              <w:right w:val="single" w:color="auto" w:sz="12" w:space="0"/>
            </w:tcBorders>
          </w:tcPr>
          <w:p>
            <w:pPr>
              <w:spacing w:line="340" w:lineRule="exact"/>
              <w:jc w:val="left"/>
              <w:rPr>
                <w:sz w:val="24"/>
                <w:highlight w:val="none"/>
              </w:rPr>
            </w:pPr>
          </w:p>
        </w:tc>
      </w:tr>
    </w:tbl>
    <w:p>
      <w:pPr>
        <w:snapToGrid w:val="0"/>
        <w:spacing w:line="300" w:lineRule="auto"/>
        <w:contextualSpacing/>
        <w:rPr>
          <w:rFonts w:ascii="宋体" w:hAnsi="宋体"/>
          <w:b/>
          <w:sz w:val="24"/>
          <w:highlight w:val="none"/>
        </w:rPr>
      </w:pPr>
      <w:r>
        <w:rPr>
          <w:rFonts w:hint="eastAsia" w:ascii="宋体" w:hAnsi="宋体"/>
          <w:b/>
          <w:sz w:val="24"/>
          <w:highlight w:val="none"/>
        </w:rPr>
        <w:t>注：</w:t>
      </w:r>
    </w:p>
    <w:p>
      <w:pPr>
        <w:snapToGrid w:val="0"/>
        <w:spacing w:line="300" w:lineRule="auto"/>
        <w:ind w:firstLine="480" w:firstLineChars="200"/>
        <w:contextualSpacing/>
        <w:rPr>
          <w:rFonts w:ascii="宋体" w:hAnsi="宋体"/>
          <w:sz w:val="24"/>
          <w:highlight w:val="none"/>
        </w:rPr>
      </w:pPr>
      <w:r>
        <w:rPr>
          <w:rFonts w:hint="eastAsia" w:ascii="宋体" w:hAnsi="宋体"/>
          <w:sz w:val="24"/>
          <w:highlight w:val="none"/>
        </w:rPr>
        <w:t>1.供应商提交的响应文件中与磋商文件第三部分“项目需求”中的技术部分的要求，应逐条填列在偏离表中。</w:t>
      </w:r>
      <w:r>
        <w:rPr>
          <w:rFonts w:hint="eastAsia" w:ascii="宋体" w:hAnsi="宋体"/>
          <w:b/>
          <w:bCs/>
          <w:sz w:val="24"/>
          <w:highlight w:val="none"/>
          <w:lang w:val="en-US" w:eastAsia="zh-CN"/>
        </w:rPr>
        <w:t>如完全响应，可空表列示。</w:t>
      </w:r>
    </w:p>
    <w:p>
      <w:pPr>
        <w:snapToGrid w:val="0"/>
        <w:spacing w:line="300" w:lineRule="auto"/>
        <w:ind w:firstLine="480" w:firstLineChars="200"/>
        <w:contextualSpacing/>
        <w:rPr>
          <w:rFonts w:ascii="宋体" w:hAnsi="宋体"/>
          <w:sz w:val="24"/>
          <w:highlight w:val="none"/>
        </w:rPr>
      </w:pPr>
      <w:r>
        <w:rPr>
          <w:rFonts w:hint="eastAsia" w:ascii="宋体" w:hAnsi="宋体"/>
          <w:sz w:val="24"/>
          <w:highlight w:val="none"/>
        </w:rPr>
        <w:t>2. “偏离说明”一栏选择“正偏离”、“无偏离”、“负偏离”进行填写。正偏离、无偏离的确认和负偏离的是否响应采购文件，由评委认定。</w:t>
      </w:r>
    </w:p>
    <w:p>
      <w:pPr>
        <w:snapToGrid w:val="0"/>
        <w:spacing w:line="300" w:lineRule="auto"/>
        <w:ind w:firstLine="480" w:firstLineChars="200"/>
        <w:contextualSpacing/>
        <w:rPr>
          <w:rFonts w:ascii="宋体" w:hAnsi="宋体"/>
          <w:bCs/>
          <w:sz w:val="24"/>
          <w:highlight w:val="none"/>
        </w:rPr>
      </w:pPr>
      <w:r>
        <w:rPr>
          <w:rFonts w:hint="eastAsia" w:ascii="宋体" w:hAnsi="宋体"/>
          <w:sz w:val="24"/>
          <w:highlight w:val="none"/>
        </w:rPr>
        <w:t>3.</w:t>
      </w:r>
      <w:r>
        <w:rPr>
          <w:rFonts w:hint="eastAsia" w:ascii="宋体" w:hAnsi="宋体"/>
          <w:bCs/>
          <w:sz w:val="24"/>
          <w:highlight w:val="none"/>
        </w:rPr>
        <w:t>供应商若提供其他增值服务，可以在表中自行据实填写。</w:t>
      </w:r>
    </w:p>
    <w:p>
      <w:pPr>
        <w:snapToGrid w:val="0"/>
        <w:spacing w:line="400" w:lineRule="exact"/>
        <w:contextualSpacing/>
        <w:rPr>
          <w:rFonts w:eastAsia="方正黑体_GBK"/>
          <w:kern w:val="0"/>
          <w:sz w:val="32"/>
          <w:szCs w:val="32"/>
          <w:highlight w:val="none"/>
        </w:rPr>
        <w:sectPr>
          <w:pgSz w:w="11907" w:h="16839"/>
          <w:pgMar w:top="1440" w:right="1800" w:bottom="1440" w:left="1800" w:header="720" w:footer="720" w:gutter="0"/>
          <w:cols w:space="720" w:num="1"/>
          <w:docGrid w:linePitch="286" w:charSpace="0"/>
        </w:sectPr>
      </w:pPr>
    </w:p>
    <w:p>
      <w:pPr>
        <w:snapToGrid w:val="0"/>
        <w:spacing w:line="400" w:lineRule="exact"/>
        <w:contextualSpacing/>
        <w:rPr>
          <w:rFonts w:hint="eastAsia" w:eastAsia="方正黑体_GBK"/>
          <w:sz w:val="32"/>
          <w:szCs w:val="32"/>
          <w:highlight w:val="none"/>
          <w:lang w:eastAsia="zh-CN"/>
        </w:rPr>
      </w:pPr>
      <w:r>
        <w:rPr>
          <w:rFonts w:eastAsia="方正黑体_GBK"/>
          <w:sz w:val="32"/>
          <w:szCs w:val="32"/>
          <w:highlight w:val="none"/>
        </w:rPr>
        <w:t>附件</w:t>
      </w:r>
      <w:r>
        <w:rPr>
          <w:rFonts w:hint="eastAsia" w:eastAsia="方正黑体_GBK"/>
          <w:sz w:val="32"/>
          <w:szCs w:val="32"/>
          <w:highlight w:val="none"/>
          <w:lang w:val="en-US" w:eastAsia="zh-CN"/>
        </w:rPr>
        <w:t>6</w:t>
      </w:r>
    </w:p>
    <w:p>
      <w:pPr>
        <w:widowControl/>
        <w:spacing w:before="100" w:beforeAutospacing="1" w:after="100" w:afterAutospacing="1" w:line="500" w:lineRule="atLeast"/>
        <w:jc w:val="center"/>
        <w:rPr>
          <w:rFonts w:ascii="宋体" w:hAnsi="宋体" w:cs="宋体"/>
          <w:kern w:val="0"/>
          <w:sz w:val="32"/>
          <w:szCs w:val="32"/>
          <w:highlight w:val="none"/>
        </w:rPr>
      </w:pPr>
      <w:r>
        <w:rPr>
          <w:rFonts w:hint="eastAsia" w:ascii="宋体" w:hAnsi="宋体" w:cs="宋体"/>
          <w:b/>
          <w:bCs/>
          <w:kern w:val="0"/>
          <w:sz w:val="32"/>
          <w:szCs w:val="32"/>
          <w:highlight w:val="none"/>
        </w:rPr>
        <w:t>报价总表</w:t>
      </w:r>
    </w:p>
    <w:p>
      <w:pPr>
        <w:rPr>
          <w:rFonts w:ascii="宋体" w:hAnsi="宋体" w:cs="宋体"/>
          <w:kern w:val="0"/>
          <w:sz w:val="28"/>
          <w:szCs w:val="28"/>
          <w:highlight w:val="none"/>
          <w:u w:val="single"/>
        </w:rPr>
      </w:pPr>
      <w:r>
        <w:rPr>
          <w:rFonts w:ascii="宋体" w:hAnsi="宋体" w:cs="宋体"/>
          <w:kern w:val="0"/>
          <w:sz w:val="28"/>
          <w:szCs w:val="28"/>
          <w:highlight w:val="none"/>
        </w:rPr>
        <w:t>供应商全称（加盖公章）：</w:t>
      </w:r>
    </w:p>
    <w:p>
      <w:pPr>
        <w:rPr>
          <w:rFonts w:ascii="宋体" w:hAnsi="宋体" w:cs="宋体"/>
          <w:kern w:val="0"/>
          <w:sz w:val="28"/>
          <w:szCs w:val="28"/>
          <w:highlight w:val="none"/>
          <w:u w:val="single"/>
        </w:rPr>
      </w:pPr>
      <w:r>
        <w:rPr>
          <w:rFonts w:ascii="宋体" w:hAnsi="宋体" w:cs="宋体"/>
          <w:kern w:val="0"/>
          <w:sz w:val="28"/>
          <w:szCs w:val="28"/>
          <w:highlight w:val="none"/>
        </w:rPr>
        <w:t>项目名称：</w:t>
      </w:r>
    </w:p>
    <w:p>
      <w:pPr>
        <w:rPr>
          <w:rFonts w:ascii="宋体" w:hAnsi="宋体" w:cs="宋体"/>
          <w:kern w:val="0"/>
          <w:sz w:val="28"/>
          <w:szCs w:val="28"/>
          <w:highlight w:val="none"/>
        </w:rPr>
      </w:pPr>
      <w:r>
        <w:rPr>
          <w:rFonts w:ascii="宋体" w:hAnsi="宋体" w:cs="宋体"/>
          <w:kern w:val="0"/>
          <w:sz w:val="28"/>
          <w:szCs w:val="28"/>
          <w:highlight w:val="none"/>
        </w:rPr>
        <w:t>项目编号：</w:t>
      </w:r>
    </w:p>
    <w:tbl>
      <w:tblPr>
        <w:tblStyle w:val="1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48" w:type="dxa"/>
          </w:tcPr>
          <w:p>
            <w:pPr>
              <w:jc w:val="center"/>
              <w:rPr>
                <w:rFonts w:hint="eastAsia" w:ascii="等线" w:hAnsi="等线" w:eastAsia="宋体"/>
                <w:szCs w:val="22"/>
                <w:highlight w:val="none"/>
                <w:lang w:eastAsia="zh-CN"/>
              </w:rPr>
            </w:pPr>
            <w:r>
              <w:rPr>
                <w:rFonts w:hint="eastAsia" w:ascii="宋体" w:hAnsi="宋体" w:cs="宋体"/>
                <w:kern w:val="0"/>
                <w:sz w:val="28"/>
                <w:szCs w:val="28"/>
                <w:highlight w:val="none"/>
              </w:rPr>
              <w:t>磋商</w:t>
            </w:r>
            <w:r>
              <w:rPr>
                <w:rFonts w:hint="eastAsia" w:ascii="宋体" w:hAnsi="宋体" w:cs="宋体"/>
                <w:kern w:val="0"/>
                <w:sz w:val="28"/>
                <w:szCs w:val="28"/>
                <w:highlight w:val="none"/>
                <w:lang w:val="en-US" w:eastAsia="zh-CN"/>
              </w:rPr>
              <w:t>项目名称</w:t>
            </w:r>
          </w:p>
        </w:tc>
        <w:tc>
          <w:tcPr>
            <w:tcW w:w="4607" w:type="dxa"/>
          </w:tcPr>
          <w:p>
            <w:pPr>
              <w:jc w:val="center"/>
              <w:rPr>
                <w:rFonts w:ascii="等线" w:hAnsi="等线" w:eastAsia="等线"/>
                <w:szCs w:val="22"/>
                <w:highlight w:val="none"/>
              </w:rPr>
            </w:pPr>
            <w:r>
              <w:rPr>
                <w:rFonts w:hint="eastAsia" w:ascii="宋体" w:hAnsi="宋体" w:cs="宋体"/>
                <w:kern w:val="0"/>
                <w:sz w:val="28"/>
                <w:szCs w:val="28"/>
                <w:highlight w:val="none"/>
              </w:rPr>
              <w:t>磋商</w:t>
            </w:r>
            <w:r>
              <w:rPr>
                <w:rFonts w:ascii="宋体" w:hAnsi="宋体" w:cs="宋体"/>
                <w:kern w:val="0"/>
                <w:sz w:val="28"/>
                <w:szCs w:val="28"/>
                <w:highlight w:val="none"/>
              </w:rPr>
              <w:t>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1" w:hRule="atLeast"/>
        </w:trPr>
        <w:tc>
          <w:tcPr>
            <w:tcW w:w="4148" w:type="dxa"/>
          </w:tcPr>
          <w:p>
            <w:pPr>
              <w:rPr>
                <w:rFonts w:ascii="等线" w:hAnsi="等线" w:eastAsia="等线"/>
                <w:szCs w:val="22"/>
                <w:highlight w:val="none"/>
                <w:u w:val="single"/>
              </w:rPr>
            </w:pPr>
          </w:p>
          <w:p>
            <w:pPr>
              <w:rPr>
                <w:rFonts w:ascii="等线" w:hAnsi="等线" w:eastAsia="等线"/>
                <w:szCs w:val="22"/>
                <w:highlight w:val="none"/>
                <w:u w:val="single"/>
              </w:rPr>
            </w:pPr>
            <w:r>
              <w:rPr>
                <w:rFonts w:hint="eastAsia" w:ascii="等线" w:hAnsi="等线" w:eastAsia="等线"/>
                <w:szCs w:val="22"/>
                <w:highlight w:val="none"/>
                <w:u w:val="single"/>
              </w:rPr>
              <w:t xml:space="preserve">                          </w:t>
            </w:r>
          </w:p>
        </w:tc>
        <w:tc>
          <w:tcPr>
            <w:tcW w:w="4607" w:type="dxa"/>
          </w:tcPr>
          <w:p>
            <w:pPr>
              <w:rPr>
                <w:rFonts w:ascii="等线" w:hAnsi="等线" w:eastAsia="等线"/>
                <w:szCs w:val="22"/>
                <w:highlight w:val="none"/>
                <w:u w:val="single"/>
              </w:rPr>
            </w:pPr>
            <w:r>
              <w:rPr>
                <w:rFonts w:ascii="宋体" w:hAnsi="宋体" w:cs="宋体"/>
                <w:kern w:val="0"/>
                <w:sz w:val="28"/>
                <w:szCs w:val="28"/>
                <w:highlight w:val="none"/>
              </w:rPr>
              <w:t>大写：</w:t>
            </w:r>
            <w:r>
              <w:rPr>
                <w:rFonts w:ascii="宋体" w:hAnsi="宋体" w:cs="宋体"/>
                <w:kern w:val="0"/>
                <w:sz w:val="28"/>
                <w:szCs w:val="28"/>
                <w:highlight w:val="none"/>
                <w:u w:val="single"/>
              </w:rPr>
              <w:t xml:space="preserve">                  </w:t>
            </w:r>
            <w:r>
              <w:rPr>
                <w:rFonts w:ascii="宋体" w:hAnsi="宋体" w:cs="宋体"/>
                <w:kern w:val="0"/>
                <w:sz w:val="28"/>
                <w:szCs w:val="28"/>
                <w:highlight w:val="none"/>
              </w:rPr>
              <w:br w:type="textWrapping"/>
            </w:r>
            <w:r>
              <w:rPr>
                <w:rFonts w:ascii="宋体" w:hAnsi="宋体" w:cs="宋体"/>
                <w:kern w:val="0"/>
                <w:sz w:val="28"/>
                <w:szCs w:val="28"/>
                <w:highlight w:val="none"/>
              </w:rPr>
              <w:t>小写：</w:t>
            </w:r>
            <w:r>
              <w:rPr>
                <w:rFonts w:ascii="宋体" w:hAnsi="宋体" w:cs="宋体"/>
                <w:kern w:val="0"/>
                <w:sz w:val="28"/>
                <w:szCs w:val="28"/>
                <w:highlight w:val="none"/>
                <w:u w:val="single"/>
              </w:rPr>
              <w:t xml:space="preserve">           </w:t>
            </w:r>
            <w:r>
              <w:rPr>
                <w:rFonts w:ascii="宋体" w:hAnsi="宋体" w:cs="宋体"/>
                <w:kern w:val="0"/>
                <w:sz w:val="28"/>
                <w:szCs w:val="28"/>
                <w:highlight w:val="none"/>
              </w:rPr>
              <w:t>元（人民币）</w:t>
            </w:r>
          </w:p>
        </w:tc>
      </w:tr>
    </w:tbl>
    <w:p>
      <w:pPr>
        <w:rPr>
          <w:rFonts w:ascii="宋体" w:hAnsi="宋体" w:cs="宋体"/>
          <w:kern w:val="0"/>
          <w:sz w:val="28"/>
          <w:szCs w:val="28"/>
          <w:highlight w:val="none"/>
        </w:rPr>
      </w:pPr>
      <w:r>
        <w:rPr>
          <w:rFonts w:ascii="宋体" w:hAnsi="宋体" w:cs="宋体"/>
          <w:kern w:val="0"/>
          <w:sz w:val="28"/>
          <w:szCs w:val="28"/>
          <w:highlight w:val="none"/>
        </w:rPr>
        <w:t>日期：</w:t>
      </w:r>
    </w:p>
    <w:p>
      <w:pPr>
        <w:rPr>
          <w:rFonts w:ascii="宋体" w:hAnsi="宋体" w:cs="宋体"/>
          <w:kern w:val="0"/>
          <w:sz w:val="28"/>
          <w:szCs w:val="28"/>
          <w:highlight w:val="none"/>
        </w:rPr>
      </w:pPr>
      <w:r>
        <w:rPr>
          <w:rFonts w:ascii="宋体" w:hAnsi="宋体" w:cs="宋体"/>
          <w:kern w:val="0"/>
          <w:sz w:val="28"/>
          <w:szCs w:val="28"/>
          <w:highlight w:val="none"/>
        </w:rPr>
        <w:t>填写说明：</w:t>
      </w:r>
    </w:p>
    <w:p>
      <w:pPr>
        <w:rPr>
          <w:rFonts w:ascii="宋体" w:hAnsi="宋体" w:cs="宋体"/>
          <w:kern w:val="0"/>
          <w:sz w:val="28"/>
          <w:szCs w:val="28"/>
          <w:highlight w:val="none"/>
        </w:rPr>
      </w:pPr>
      <w:r>
        <w:rPr>
          <w:rFonts w:hint="eastAsia" w:ascii="宋体" w:hAnsi="宋体" w:cs="宋体"/>
          <w:kern w:val="0"/>
          <w:sz w:val="28"/>
          <w:szCs w:val="28"/>
          <w:highlight w:val="none"/>
        </w:rPr>
        <w:t>1</w:t>
      </w:r>
      <w:r>
        <w:rPr>
          <w:rFonts w:ascii="宋体" w:hAnsi="宋体" w:cs="宋体"/>
          <w:kern w:val="0"/>
          <w:sz w:val="28"/>
          <w:szCs w:val="28"/>
          <w:highlight w:val="none"/>
        </w:rPr>
        <w:t>、</w:t>
      </w:r>
      <w:r>
        <w:rPr>
          <w:rFonts w:hint="eastAsia" w:ascii="宋体" w:hAnsi="宋体" w:cs="宋体"/>
          <w:kern w:val="0"/>
          <w:sz w:val="28"/>
          <w:szCs w:val="28"/>
          <w:highlight w:val="none"/>
        </w:rPr>
        <w:t>报价总表</w:t>
      </w:r>
      <w:r>
        <w:rPr>
          <w:rFonts w:ascii="宋体" w:hAnsi="宋体" w:cs="宋体"/>
          <w:kern w:val="0"/>
          <w:sz w:val="28"/>
          <w:szCs w:val="28"/>
          <w:highlight w:val="none"/>
        </w:rPr>
        <w:t>必须加盖</w:t>
      </w:r>
      <w:r>
        <w:rPr>
          <w:rFonts w:hint="eastAsia" w:ascii="宋体" w:hAnsi="宋体" w:cs="宋体"/>
          <w:kern w:val="0"/>
          <w:sz w:val="28"/>
          <w:szCs w:val="28"/>
          <w:highlight w:val="none"/>
        </w:rPr>
        <w:t>供应商</w:t>
      </w:r>
      <w:r>
        <w:rPr>
          <w:rFonts w:ascii="宋体" w:hAnsi="宋体" w:cs="宋体"/>
          <w:kern w:val="0"/>
          <w:sz w:val="28"/>
          <w:szCs w:val="28"/>
          <w:highlight w:val="none"/>
        </w:rPr>
        <w:t>公章（复印件无效）。</w:t>
      </w:r>
    </w:p>
    <w:p>
      <w:pPr>
        <w:snapToGrid w:val="0"/>
        <w:spacing w:line="300" w:lineRule="auto"/>
        <w:outlineLvl w:val="0"/>
        <w:rPr>
          <w:rFonts w:hint="default" w:eastAsia="方正黑体_GBK"/>
          <w:sz w:val="32"/>
          <w:szCs w:val="32"/>
          <w:highlight w:val="none"/>
          <w:lang w:val="en-US" w:eastAsia="zh-CN"/>
        </w:rPr>
        <w:sectPr>
          <w:pgSz w:w="11907" w:h="16839"/>
          <w:pgMar w:top="1440" w:right="1800" w:bottom="1440" w:left="1800" w:header="720" w:footer="720" w:gutter="0"/>
          <w:cols w:space="720" w:num="1"/>
          <w:docGrid w:linePitch="286" w:charSpace="0"/>
        </w:sectPr>
      </w:pPr>
    </w:p>
    <w:p>
      <w:pPr>
        <w:snapToGrid w:val="0"/>
        <w:spacing w:line="300" w:lineRule="auto"/>
        <w:outlineLvl w:val="0"/>
        <w:rPr>
          <w:rFonts w:hint="eastAsia" w:eastAsia="方正黑体_GBK"/>
          <w:sz w:val="32"/>
          <w:szCs w:val="32"/>
          <w:highlight w:val="none"/>
          <w:lang w:eastAsia="zh-CN"/>
        </w:rPr>
      </w:pPr>
      <w:r>
        <w:rPr>
          <w:rFonts w:eastAsia="方正黑体_GBK"/>
          <w:sz w:val="32"/>
          <w:szCs w:val="32"/>
          <w:highlight w:val="none"/>
        </w:rPr>
        <w:t>附件</w:t>
      </w:r>
      <w:r>
        <w:rPr>
          <w:rFonts w:hint="eastAsia" w:eastAsia="方正黑体_GBK"/>
          <w:sz w:val="32"/>
          <w:szCs w:val="32"/>
          <w:highlight w:val="none"/>
          <w:lang w:val="en-US" w:eastAsia="zh-CN"/>
        </w:rPr>
        <w:t>7</w:t>
      </w:r>
    </w:p>
    <w:p>
      <w:pPr>
        <w:jc w:val="center"/>
        <w:rPr>
          <w:rFonts w:ascii="黑体" w:hAnsi="黑体" w:eastAsia="黑体" w:cs="仿宋"/>
          <w:bCs/>
          <w:sz w:val="44"/>
          <w:szCs w:val="44"/>
          <w:highlight w:val="none"/>
        </w:rPr>
      </w:pPr>
      <w:r>
        <w:rPr>
          <w:rFonts w:hint="eastAsia" w:ascii="黑体" w:hAnsi="黑体" w:eastAsia="黑体" w:cs="仿宋"/>
          <w:bCs/>
          <w:sz w:val="44"/>
          <w:szCs w:val="44"/>
          <w:highlight w:val="none"/>
        </w:rPr>
        <w:t>质疑函范本</w:t>
      </w:r>
    </w:p>
    <w:p>
      <w:pPr>
        <w:adjustRightInd w:val="0"/>
        <w:snapToGrid w:val="0"/>
        <w:spacing w:before="240" w:beforeLines="100" w:line="360" w:lineRule="auto"/>
        <w:rPr>
          <w:rFonts w:ascii="宋体" w:hAnsi="宋体" w:cs="仿宋"/>
          <w:bCs/>
          <w:sz w:val="32"/>
          <w:szCs w:val="32"/>
          <w:highlight w:val="none"/>
        </w:rPr>
      </w:pPr>
      <w:r>
        <w:rPr>
          <w:rFonts w:hint="eastAsia" w:ascii="宋体" w:hAnsi="宋体" w:cs="仿宋"/>
          <w:bCs/>
          <w:sz w:val="32"/>
          <w:szCs w:val="32"/>
          <w:highlight w:val="none"/>
        </w:rPr>
        <w:t>一、质疑供应商基本信息</w:t>
      </w:r>
    </w:p>
    <w:p>
      <w:pPr>
        <w:adjustRightInd w:val="0"/>
        <w:snapToGrid w:val="0"/>
        <w:spacing w:line="360" w:lineRule="auto"/>
        <w:rPr>
          <w:rFonts w:ascii="宋体" w:hAnsi="宋体" w:cs="仿宋"/>
          <w:sz w:val="32"/>
          <w:szCs w:val="32"/>
          <w:highlight w:val="none"/>
          <w:u w:val="dotted"/>
        </w:rPr>
      </w:pPr>
      <w:r>
        <w:rPr>
          <w:rFonts w:hint="eastAsia" w:ascii="宋体" w:hAnsi="宋体" w:cs="仿宋"/>
          <w:sz w:val="32"/>
          <w:szCs w:val="32"/>
          <w:highlight w:val="none"/>
        </w:rPr>
        <w:t>质疑供应商：</w:t>
      </w:r>
    </w:p>
    <w:p>
      <w:pPr>
        <w:adjustRightInd w:val="0"/>
        <w:snapToGrid w:val="0"/>
        <w:spacing w:line="360" w:lineRule="auto"/>
        <w:rPr>
          <w:rFonts w:ascii="宋体" w:hAnsi="宋体" w:cs="仿宋"/>
          <w:sz w:val="32"/>
          <w:szCs w:val="32"/>
          <w:highlight w:val="none"/>
        </w:rPr>
      </w:pPr>
      <w:r>
        <w:rPr>
          <w:rFonts w:hint="eastAsia" w:ascii="宋体" w:hAnsi="宋体" w:cs="仿宋"/>
          <w:sz w:val="32"/>
          <w:szCs w:val="32"/>
          <w:highlight w:val="none"/>
        </w:rPr>
        <w:t>地址：邮编：</w:t>
      </w:r>
    </w:p>
    <w:p>
      <w:pPr>
        <w:adjustRightInd w:val="0"/>
        <w:snapToGrid w:val="0"/>
        <w:spacing w:line="360" w:lineRule="auto"/>
        <w:rPr>
          <w:rFonts w:ascii="宋体" w:hAnsi="宋体" w:cs="仿宋"/>
          <w:sz w:val="32"/>
          <w:szCs w:val="32"/>
          <w:highlight w:val="none"/>
        </w:rPr>
      </w:pPr>
      <w:r>
        <w:rPr>
          <w:rFonts w:hint="eastAsia" w:ascii="宋体" w:hAnsi="宋体" w:cs="仿宋"/>
          <w:sz w:val="32"/>
          <w:szCs w:val="32"/>
          <w:highlight w:val="none"/>
        </w:rPr>
        <w:t>联系人：联系电话：</w:t>
      </w:r>
    </w:p>
    <w:p>
      <w:pPr>
        <w:adjustRightInd w:val="0"/>
        <w:snapToGrid w:val="0"/>
        <w:spacing w:line="360" w:lineRule="auto"/>
        <w:rPr>
          <w:rFonts w:ascii="宋体" w:hAnsi="宋体" w:cs="仿宋"/>
          <w:sz w:val="32"/>
          <w:szCs w:val="32"/>
          <w:highlight w:val="none"/>
          <w:u w:val="dotted"/>
        </w:rPr>
      </w:pPr>
      <w:r>
        <w:rPr>
          <w:rFonts w:hint="eastAsia" w:ascii="宋体" w:hAnsi="宋体" w:cs="仿宋"/>
          <w:sz w:val="32"/>
          <w:szCs w:val="32"/>
          <w:highlight w:val="none"/>
        </w:rPr>
        <w:t>授权代表：</w:t>
      </w:r>
    </w:p>
    <w:p>
      <w:pPr>
        <w:adjustRightInd w:val="0"/>
        <w:snapToGrid w:val="0"/>
        <w:spacing w:line="360" w:lineRule="auto"/>
        <w:rPr>
          <w:rFonts w:ascii="宋体" w:hAnsi="宋体" w:cs="仿宋"/>
          <w:sz w:val="32"/>
          <w:szCs w:val="32"/>
          <w:highlight w:val="none"/>
        </w:rPr>
      </w:pPr>
      <w:r>
        <w:rPr>
          <w:rFonts w:hint="eastAsia" w:ascii="宋体" w:hAnsi="宋体" w:cs="仿宋"/>
          <w:sz w:val="32"/>
          <w:szCs w:val="32"/>
          <w:highlight w:val="none"/>
        </w:rPr>
        <w:t>联系电话：</w:t>
      </w:r>
    </w:p>
    <w:p>
      <w:pPr>
        <w:adjustRightInd w:val="0"/>
        <w:snapToGrid w:val="0"/>
        <w:spacing w:line="360" w:lineRule="auto"/>
        <w:rPr>
          <w:rFonts w:eastAsia="仿宋"/>
          <w:sz w:val="32"/>
          <w:szCs w:val="32"/>
          <w:highlight w:val="none"/>
        </w:rPr>
      </w:pPr>
      <w:r>
        <w:rPr>
          <w:rFonts w:hint="eastAsia" w:ascii="宋体" w:hAnsi="宋体" w:cs="仿宋"/>
          <w:sz w:val="32"/>
          <w:szCs w:val="32"/>
          <w:highlight w:val="none"/>
        </w:rPr>
        <w:t>地址：              邮编：</w:t>
      </w:r>
      <w:r>
        <w:rPr>
          <w:rFonts w:eastAsia="仿宋"/>
          <w:sz w:val="32"/>
          <w:szCs w:val="32"/>
          <w:highlight w:val="none"/>
        </w:rPr>
        <w:t xml:space="preserve"> </w:t>
      </w:r>
      <w:r>
        <w:rPr>
          <w:rFonts w:hint="eastAsia" w:eastAsia="仿宋"/>
          <w:sz w:val="32"/>
          <w:szCs w:val="32"/>
          <w:highlight w:val="none"/>
        </w:rPr>
        <w:t xml:space="preserve">    </w:t>
      </w:r>
      <w:r>
        <w:rPr>
          <w:rFonts w:eastAsia="仿宋"/>
          <w:sz w:val="32"/>
          <w:szCs w:val="32"/>
          <w:highlight w:val="none"/>
        </w:rPr>
        <w:t xml:space="preserve"> </w:t>
      </w:r>
      <w:r>
        <w:rPr>
          <w:rFonts w:hint="eastAsia" w:ascii="宋体" w:hAnsi="宋体" w:cs="仿宋"/>
          <w:sz w:val="32"/>
          <w:szCs w:val="32"/>
          <w:highlight w:val="none"/>
        </w:rPr>
        <w:t>邮箱：</w:t>
      </w:r>
    </w:p>
    <w:p>
      <w:pPr>
        <w:adjustRightInd w:val="0"/>
        <w:snapToGrid w:val="0"/>
        <w:spacing w:line="360" w:lineRule="auto"/>
        <w:rPr>
          <w:rFonts w:ascii="宋体" w:hAnsi="宋体" w:cs="仿宋"/>
          <w:bCs/>
          <w:sz w:val="32"/>
          <w:szCs w:val="32"/>
          <w:highlight w:val="none"/>
        </w:rPr>
      </w:pPr>
      <w:r>
        <w:rPr>
          <w:rFonts w:hint="eastAsia" w:ascii="宋体" w:hAnsi="宋体" w:cs="仿宋"/>
          <w:bCs/>
          <w:sz w:val="32"/>
          <w:szCs w:val="32"/>
          <w:highlight w:val="none"/>
        </w:rPr>
        <w:t>二、质疑项目基本情况</w:t>
      </w:r>
    </w:p>
    <w:p>
      <w:pPr>
        <w:adjustRightInd w:val="0"/>
        <w:snapToGrid w:val="0"/>
        <w:spacing w:line="360" w:lineRule="auto"/>
        <w:rPr>
          <w:rFonts w:ascii="宋体" w:hAnsi="宋体" w:cs="仿宋"/>
          <w:sz w:val="32"/>
          <w:szCs w:val="32"/>
          <w:highlight w:val="none"/>
        </w:rPr>
      </w:pPr>
      <w:r>
        <w:rPr>
          <w:rFonts w:hint="eastAsia" w:ascii="宋体" w:hAnsi="宋体" w:cs="仿宋"/>
          <w:sz w:val="32"/>
          <w:szCs w:val="32"/>
          <w:highlight w:val="none"/>
        </w:rPr>
        <w:t>质疑项目的名称：</w:t>
      </w:r>
    </w:p>
    <w:p>
      <w:pPr>
        <w:adjustRightInd w:val="0"/>
        <w:snapToGrid w:val="0"/>
        <w:spacing w:line="360" w:lineRule="auto"/>
        <w:rPr>
          <w:rFonts w:ascii="宋体" w:hAnsi="宋体" w:cs="仿宋"/>
          <w:sz w:val="32"/>
          <w:szCs w:val="32"/>
          <w:highlight w:val="none"/>
        </w:rPr>
      </w:pPr>
      <w:r>
        <w:rPr>
          <w:rFonts w:hint="eastAsia" w:ascii="宋体" w:hAnsi="宋体" w:cs="仿宋"/>
          <w:sz w:val="32"/>
          <w:szCs w:val="32"/>
          <w:highlight w:val="none"/>
        </w:rPr>
        <w:t>质疑项目的编号：包号：</w:t>
      </w:r>
    </w:p>
    <w:p>
      <w:pPr>
        <w:adjustRightInd w:val="0"/>
        <w:snapToGrid w:val="0"/>
        <w:spacing w:line="360" w:lineRule="auto"/>
        <w:rPr>
          <w:rFonts w:ascii="宋体" w:hAnsi="宋体" w:cs="仿宋"/>
          <w:sz w:val="32"/>
          <w:szCs w:val="32"/>
          <w:highlight w:val="none"/>
          <w:u w:val="dotted"/>
        </w:rPr>
      </w:pPr>
      <w:r>
        <w:rPr>
          <w:rFonts w:hint="eastAsia" w:ascii="宋体" w:hAnsi="宋体" w:cs="仿宋"/>
          <w:sz w:val="32"/>
          <w:szCs w:val="32"/>
          <w:highlight w:val="none"/>
        </w:rPr>
        <w:t>采购人名称：</w:t>
      </w:r>
    </w:p>
    <w:p>
      <w:pPr>
        <w:adjustRightInd w:val="0"/>
        <w:snapToGrid w:val="0"/>
        <w:spacing w:line="360" w:lineRule="auto"/>
        <w:rPr>
          <w:rFonts w:ascii="宋体" w:hAnsi="宋体" w:cs="仿宋"/>
          <w:sz w:val="32"/>
          <w:szCs w:val="32"/>
          <w:highlight w:val="none"/>
        </w:rPr>
      </w:pPr>
      <w:r>
        <w:rPr>
          <w:rFonts w:hint="eastAsia" w:ascii="宋体" w:hAnsi="宋体" w:cs="仿宋"/>
          <w:sz w:val="32"/>
          <w:szCs w:val="32"/>
          <w:highlight w:val="none"/>
        </w:rPr>
        <w:t>采购文件获取日期：</w:t>
      </w:r>
    </w:p>
    <w:p>
      <w:pPr>
        <w:adjustRightInd w:val="0"/>
        <w:snapToGrid w:val="0"/>
        <w:spacing w:line="360" w:lineRule="auto"/>
        <w:rPr>
          <w:rFonts w:ascii="宋体" w:hAnsi="宋体" w:cs="仿宋"/>
          <w:bCs/>
          <w:sz w:val="32"/>
          <w:szCs w:val="32"/>
          <w:highlight w:val="none"/>
        </w:rPr>
      </w:pPr>
      <w:r>
        <w:rPr>
          <w:rFonts w:hint="eastAsia" w:ascii="宋体" w:hAnsi="宋体" w:cs="仿宋"/>
          <w:bCs/>
          <w:sz w:val="32"/>
          <w:szCs w:val="32"/>
          <w:highlight w:val="none"/>
        </w:rPr>
        <w:t>三、质疑事项具体内容</w:t>
      </w:r>
    </w:p>
    <w:p>
      <w:pPr>
        <w:adjustRightInd w:val="0"/>
        <w:snapToGrid w:val="0"/>
        <w:spacing w:line="360" w:lineRule="auto"/>
        <w:rPr>
          <w:rFonts w:ascii="宋体" w:hAnsi="宋体" w:cs="仿宋"/>
          <w:sz w:val="32"/>
          <w:szCs w:val="32"/>
          <w:highlight w:val="none"/>
          <w:u w:val="dotted"/>
        </w:rPr>
      </w:pPr>
      <w:r>
        <w:rPr>
          <w:rFonts w:hint="eastAsia" w:ascii="宋体" w:hAnsi="宋体" w:cs="仿宋"/>
          <w:sz w:val="32"/>
          <w:szCs w:val="32"/>
          <w:highlight w:val="none"/>
        </w:rPr>
        <w:t>质疑事项1：</w:t>
      </w:r>
    </w:p>
    <w:p>
      <w:pPr>
        <w:adjustRightInd w:val="0"/>
        <w:snapToGrid w:val="0"/>
        <w:spacing w:line="360" w:lineRule="auto"/>
        <w:rPr>
          <w:rFonts w:ascii="宋体" w:hAnsi="宋体" w:cs="仿宋"/>
          <w:sz w:val="32"/>
          <w:szCs w:val="32"/>
          <w:highlight w:val="none"/>
          <w:u w:val="dotted"/>
        </w:rPr>
      </w:pPr>
      <w:r>
        <w:rPr>
          <w:rFonts w:hint="eastAsia" w:ascii="宋体" w:hAnsi="宋体" w:cs="仿宋"/>
          <w:sz w:val="32"/>
          <w:szCs w:val="32"/>
          <w:highlight w:val="none"/>
        </w:rPr>
        <w:t>事实依据：</w:t>
      </w:r>
    </w:p>
    <w:p>
      <w:pPr>
        <w:adjustRightInd w:val="0"/>
        <w:snapToGrid w:val="0"/>
        <w:spacing w:line="360" w:lineRule="auto"/>
        <w:rPr>
          <w:rFonts w:ascii="宋体" w:hAnsi="宋体" w:cs="仿宋"/>
          <w:sz w:val="32"/>
          <w:szCs w:val="32"/>
          <w:highlight w:val="none"/>
        </w:rPr>
      </w:pPr>
    </w:p>
    <w:p>
      <w:pPr>
        <w:adjustRightInd w:val="0"/>
        <w:snapToGrid w:val="0"/>
        <w:spacing w:line="360" w:lineRule="auto"/>
        <w:rPr>
          <w:rFonts w:ascii="宋体" w:hAnsi="宋体" w:cs="仿宋"/>
          <w:sz w:val="32"/>
          <w:szCs w:val="32"/>
          <w:highlight w:val="none"/>
          <w:u w:val="dotted"/>
        </w:rPr>
      </w:pPr>
      <w:r>
        <w:rPr>
          <w:rFonts w:hint="eastAsia" w:ascii="宋体" w:hAnsi="宋体" w:cs="仿宋"/>
          <w:sz w:val="32"/>
          <w:szCs w:val="32"/>
          <w:highlight w:val="none"/>
        </w:rPr>
        <w:t>法律依据：</w:t>
      </w:r>
    </w:p>
    <w:p>
      <w:pPr>
        <w:adjustRightInd w:val="0"/>
        <w:snapToGrid w:val="0"/>
        <w:spacing w:line="360" w:lineRule="auto"/>
        <w:rPr>
          <w:rFonts w:ascii="宋体" w:hAnsi="宋体" w:cs="仿宋"/>
          <w:sz w:val="32"/>
          <w:szCs w:val="32"/>
          <w:highlight w:val="none"/>
          <w:u w:val="dotted"/>
        </w:rPr>
      </w:pPr>
    </w:p>
    <w:p>
      <w:pPr>
        <w:adjustRightInd w:val="0"/>
        <w:snapToGrid w:val="0"/>
        <w:spacing w:line="360" w:lineRule="auto"/>
        <w:rPr>
          <w:rFonts w:ascii="宋体" w:hAnsi="宋体" w:cs="仿宋"/>
          <w:sz w:val="32"/>
          <w:szCs w:val="32"/>
          <w:highlight w:val="none"/>
          <w:u w:val="dotted"/>
        </w:rPr>
      </w:pPr>
      <w:r>
        <w:rPr>
          <w:rFonts w:hint="eastAsia" w:ascii="宋体" w:hAnsi="宋体" w:cs="仿宋"/>
          <w:sz w:val="32"/>
          <w:szCs w:val="32"/>
          <w:highlight w:val="none"/>
        </w:rPr>
        <w:t>质疑事项2</w:t>
      </w:r>
    </w:p>
    <w:p>
      <w:pPr>
        <w:adjustRightInd w:val="0"/>
        <w:snapToGrid w:val="0"/>
        <w:spacing w:line="360" w:lineRule="auto"/>
        <w:rPr>
          <w:rFonts w:ascii="宋体" w:hAnsi="宋体" w:cs="仿宋"/>
          <w:sz w:val="32"/>
          <w:szCs w:val="32"/>
          <w:highlight w:val="none"/>
        </w:rPr>
      </w:pPr>
      <w:r>
        <w:rPr>
          <w:rFonts w:hint="eastAsia" w:ascii="宋体" w:hAnsi="宋体" w:cs="仿宋"/>
          <w:sz w:val="32"/>
          <w:szCs w:val="32"/>
          <w:highlight w:val="none"/>
        </w:rPr>
        <w:t>……</w:t>
      </w:r>
    </w:p>
    <w:p>
      <w:pPr>
        <w:adjustRightInd w:val="0"/>
        <w:snapToGrid w:val="0"/>
        <w:spacing w:line="360" w:lineRule="auto"/>
        <w:rPr>
          <w:rFonts w:ascii="宋体" w:hAnsi="宋体" w:cs="仿宋"/>
          <w:bCs/>
          <w:sz w:val="32"/>
          <w:szCs w:val="32"/>
          <w:highlight w:val="none"/>
        </w:rPr>
      </w:pPr>
      <w:r>
        <w:rPr>
          <w:rFonts w:hint="eastAsia" w:ascii="宋体" w:hAnsi="宋体" w:cs="仿宋"/>
          <w:bCs/>
          <w:sz w:val="32"/>
          <w:szCs w:val="32"/>
          <w:highlight w:val="none"/>
        </w:rPr>
        <w:t>四、与质疑事项相关的质疑请求</w:t>
      </w:r>
    </w:p>
    <w:p>
      <w:pPr>
        <w:adjustRightInd w:val="0"/>
        <w:snapToGrid w:val="0"/>
        <w:spacing w:line="360" w:lineRule="auto"/>
        <w:rPr>
          <w:rFonts w:ascii="宋体" w:hAnsi="宋体" w:cs="仿宋"/>
          <w:sz w:val="32"/>
          <w:szCs w:val="32"/>
          <w:highlight w:val="none"/>
          <w:u w:val="dotted"/>
        </w:rPr>
      </w:pPr>
      <w:r>
        <w:rPr>
          <w:rFonts w:hint="eastAsia" w:ascii="宋体" w:hAnsi="宋体" w:cs="仿宋"/>
          <w:sz w:val="32"/>
          <w:szCs w:val="32"/>
          <w:highlight w:val="none"/>
        </w:rPr>
        <w:t>请求：</w:t>
      </w:r>
    </w:p>
    <w:p>
      <w:pPr>
        <w:rPr>
          <w:rFonts w:ascii="宋体" w:hAnsi="宋体"/>
          <w:sz w:val="30"/>
          <w:szCs w:val="30"/>
          <w:highlight w:val="none"/>
        </w:rPr>
      </w:pPr>
      <w:r>
        <w:rPr>
          <w:rFonts w:hint="eastAsia" w:ascii="宋体" w:hAnsi="宋体"/>
          <w:sz w:val="30"/>
          <w:szCs w:val="30"/>
          <w:highlight w:val="none"/>
        </w:rPr>
        <w:t xml:space="preserve">签字(签章)：                   公章：                      </w:t>
      </w:r>
    </w:p>
    <w:p>
      <w:pPr>
        <w:rPr>
          <w:rFonts w:ascii="宋体" w:hAnsi="宋体"/>
          <w:sz w:val="30"/>
          <w:szCs w:val="30"/>
          <w:highlight w:val="none"/>
        </w:rPr>
      </w:pPr>
      <w:r>
        <w:rPr>
          <w:rFonts w:hint="eastAsia" w:ascii="宋体" w:hAnsi="宋体"/>
          <w:sz w:val="30"/>
          <w:szCs w:val="30"/>
          <w:highlight w:val="none"/>
        </w:rPr>
        <w:t xml:space="preserve">日期：    </w:t>
      </w:r>
    </w:p>
    <w:p>
      <w:pPr>
        <w:adjustRightInd w:val="0"/>
        <w:snapToGrid w:val="0"/>
        <w:spacing w:line="360" w:lineRule="auto"/>
        <w:rPr>
          <w:rFonts w:ascii="宋体" w:hAnsi="宋体" w:cs="仿宋"/>
          <w:sz w:val="32"/>
          <w:szCs w:val="32"/>
          <w:highlight w:val="none"/>
        </w:rPr>
      </w:pPr>
    </w:p>
    <w:p>
      <w:pPr>
        <w:rPr>
          <w:rFonts w:ascii="宋体" w:hAnsi="宋体"/>
          <w:b/>
          <w:sz w:val="32"/>
          <w:szCs w:val="32"/>
          <w:highlight w:val="none"/>
        </w:rPr>
      </w:pPr>
    </w:p>
    <w:p>
      <w:pPr>
        <w:rPr>
          <w:rFonts w:ascii="宋体" w:hAnsi="宋体"/>
          <w:b/>
          <w:sz w:val="32"/>
          <w:szCs w:val="32"/>
          <w:highlight w:val="none"/>
        </w:rPr>
      </w:pPr>
      <w:r>
        <w:rPr>
          <w:rFonts w:hint="eastAsia" w:ascii="宋体" w:hAnsi="宋体"/>
          <w:b/>
          <w:sz w:val="32"/>
          <w:szCs w:val="32"/>
          <w:highlight w:val="none"/>
        </w:rPr>
        <w:t>质疑函制作说明：</w:t>
      </w:r>
    </w:p>
    <w:p>
      <w:pPr>
        <w:widowControl/>
        <w:ind w:firstLine="640" w:firstLineChars="200"/>
        <w:jc w:val="left"/>
        <w:rPr>
          <w:rFonts w:ascii="宋体" w:hAnsi="宋体"/>
          <w:sz w:val="32"/>
          <w:szCs w:val="32"/>
          <w:highlight w:val="none"/>
        </w:rPr>
      </w:pPr>
      <w:r>
        <w:rPr>
          <w:rFonts w:hint="eastAsia" w:ascii="宋体" w:hAnsi="宋体"/>
          <w:sz w:val="32"/>
          <w:szCs w:val="32"/>
          <w:highlight w:val="none"/>
        </w:rPr>
        <w:t>1.供应商提出质疑时，应提交质疑函和必要的证明材料。</w:t>
      </w:r>
    </w:p>
    <w:p>
      <w:pPr>
        <w:widowControl/>
        <w:ind w:firstLine="640" w:firstLineChars="200"/>
        <w:jc w:val="left"/>
        <w:rPr>
          <w:rFonts w:ascii="宋体" w:hAnsi="宋体"/>
          <w:sz w:val="32"/>
          <w:szCs w:val="32"/>
          <w:highlight w:val="none"/>
        </w:rPr>
      </w:pPr>
      <w:r>
        <w:rPr>
          <w:rFonts w:hint="eastAsia" w:ascii="宋体" w:hAnsi="宋体"/>
          <w:sz w:val="32"/>
          <w:szCs w:val="32"/>
          <w:highlight w:val="none"/>
        </w:rPr>
        <w:t>2.质疑供应商若委托代理人进行质疑的，质疑函应按要求列明“授权代表”的有关内容，并在附件中提交由质疑</w:t>
      </w:r>
      <w:r>
        <w:rPr>
          <w:rFonts w:hint="eastAsia" w:ascii="宋体" w:hAnsi="宋体" w:cs="宋体"/>
          <w:kern w:val="0"/>
          <w:sz w:val="32"/>
          <w:szCs w:val="32"/>
          <w:highlight w:val="none"/>
        </w:rPr>
        <w:t>供应商签署的授权委托书。授权委托书应载明代理人的姓名或者名称、代理事项、具体权限、期限和相关事项。</w:t>
      </w:r>
    </w:p>
    <w:p>
      <w:pPr>
        <w:widowControl/>
        <w:ind w:firstLine="640" w:firstLineChars="200"/>
        <w:jc w:val="left"/>
        <w:rPr>
          <w:rFonts w:ascii="宋体" w:hAnsi="宋体"/>
          <w:sz w:val="32"/>
          <w:szCs w:val="32"/>
          <w:highlight w:val="none"/>
        </w:rPr>
      </w:pPr>
      <w:r>
        <w:rPr>
          <w:rFonts w:hint="eastAsia" w:ascii="宋体" w:hAnsi="宋体"/>
          <w:sz w:val="32"/>
          <w:szCs w:val="32"/>
          <w:highlight w:val="none"/>
        </w:rPr>
        <w:t>3.质疑供应商若对项目的某一分包进行质疑，质疑函中应列明具体分包号。</w:t>
      </w:r>
    </w:p>
    <w:p>
      <w:pPr>
        <w:widowControl/>
        <w:ind w:firstLine="640" w:firstLineChars="200"/>
        <w:jc w:val="left"/>
        <w:rPr>
          <w:rFonts w:ascii="宋体" w:hAnsi="宋体"/>
          <w:sz w:val="32"/>
          <w:szCs w:val="32"/>
          <w:highlight w:val="none"/>
        </w:rPr>
      </w:pPr>
      <w:r>
        <w:rPr>
          <w:rFonts w:hint="eastAsia" w:ascii="宋体" w:hAnsi="宋体"/>
          <w:sz w:val="32"/>
          <w:szCs w:val="32"/>
          <w:highlight w:val="none"/>
        </w:rPr>
        <w:t>4.质疑函的质疑事项应具体、明确，并有必要的事实依据和法律依据。</w:t>
      </w:r>
    </w:p>
    <w:p>
      <w:pPr>
        <w:widowControl/>
        <w:ind w:firstLine="640" w:firstLineChars="200"/>
        <w:jc w:val="left"/>
        <w:rPr>
          <w:rFonts w:ascii="宋体" w:hAnsi="宋体"/>
          <w:sz w:val="32"/>
          <w:szCs w:val="32"/>
          <w:highlight w:val="none"/>
        </w:rPr>
      </w:pPr>
      <w:r>
        <w:rPr>
          <w:rFonts w:hint="eastAsia" w:ascii="宋体" w:hAnsi="宋体"/>
          <w:sz w:val="32"/>
          <w:szCs w:val="32"/>
          <w:highlight w:val="none"/>
        </w:rPr>
        <w:t>5.质疑函的质疑请求应与质疑事项相关。</w:t>
      </w:r>
    </w:p>
    <w:p>
      <w:pPr>
        <w:widowControl/>
        <w:ind w:firstLine="640" w:firstLineChars="200"/>
        <w:jc w:val="left"/>
        <w:rPr>
          <w:rFonts w:hint="eastAsia" w:ascii="宋体" w:hAnsi="宋体"/>
          <w:sz w:val="32"/>
          <w:szCs w:val="32"/>
          <w:highlight w:val="none"/>
        </w:rPr>
      </w:pPr>
      <w:r>
        <w:rPr>
          <w:rFonts w:hint="eastAsia" w:ascii="宋体" w:hAnsi="宋体"/>
          <w:sz w:val="32"/>
          <w:szCs w:val="32"/>
          <w:highlight w:val="none"/>
        </w:rPr>
        <w:t>6.质疑供应商为自然人的，质疑函应由本人签字；质疑供应商为法人或者其他组织的，质疑函应由法定代表人、主要负责人，或者其授权代表签字或者盖章，并加盖公章。</w:t>
      </w:r>
    </w:p>
    <w:p>
      <w:pPr>
        <w:snapToGrid w:val="0"/>
        <w:spacing w:line="300" w:lineRule="auto"/>
        <w:jc w:val="both"/>
        <w:outlineLvl w:val="0"/>
        <w:rPr>
          <w:rFonts w:hint="eastAsia" w:ascii="宋体" w:hAnsi="宋体" w:eastAsia="宋体" w:cs="宋体"/>
          <w:sz w:val="24"/>
          <w:szCs w:val="24"/>
        </w:rPr>
      </w:pPr>
    </w:p>
    <w:sectPr>
      <w:pgSz w:w="11907" w:h="16839"/>
      <w:pgMar w:top="1418" w:right="1588" w:bottom="1418" w:left="1588" w:header="851" w:footer="851"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新宋体">
    <w:altName w:val="方正书宋_GBK"/>
    <w:panose1 w:val="02010609030101010101"/>
    <w:charset w:val="86"/>
    <w:family w:val="modern"/>
    <w:pitch w:val="default"/>
    <w:sig w:usb0="00000000" w:usb1="00000000" w:usb2="00000006" w:usb3="00000000" w:csb0="00040001" w:csb1="00000000"/>
  </w:font>
  <w:font w:name="仿宋_GB2312">
    <w:altName w:val="方正仿宋_GBK"/>
    <w:panose1 w:val="00000000000000000000"/>
    <w:charset w:val="00"/>
    <w:family w:val="modern"/>
    <w:pitch w:val="default"/>
    <w:sig w:usb0="00000000" w:usb1="00000000" w:usb2="00000000" w:usb3="00000000" w:csb0="00040000" w:csb1="00000000"/>
  </w:font>
  <w:font w:name="MS Mincho">
    <w:altName w:val="Hiragino Sans"/>
    <w:panose1 w:val="02020609040205080304"/>
    <w:charset w:val="80"/>
    <w:family w:val="modern"/>
    <w:pitch w:val="default"/>
    <w:sig w:usb0="00000000" w:usb1="00000000" w:usb2="08000012" w:usb3="00000000" w:csb0="0002009F" w:csb1="00000000"/>
  </w:font>
  <w:font w:name="楷体_GB2312">
    <w:altName w:val="汉仪楷体简"/>
    <w:panose1 w:val="00000000000000000000"/>
    <w:charset w:val="00"/>
    <w:family w:val="modern"/>
    <w:pitch w:val="default"/>
    <w:sig w:usb0="00000000" w:usb1="00000000" w:usb2="00000010" w:usb3="00000000" w:csb0="00040000" w:csb1="00000000"/>
  </w:font>
  <w:font w:name="华文新魏">
    <w:altName w:val="宋体-简"/>
    <w:panose1 w:val="02010800040101010101"/>
    <w:charset w:val="86"/>
    <w:family w:val="auto"/>
    <w:pitch w:val="default"/>
    <w:sig w:usb0="00000000" w:usb1="00000000" w:usb2="00000000" w:usb3="00000000" w:csb0="00040000" w:csb1="00000000"/>
  </w:font>
  <w:font w:name="Arial Narrow">
    <w:panose1 w:val="020B07060202020A0204"/>
    <w:charset w:val="00"/>
    <w:family w:val="swiss"/>
    <w:pitch w:val="default"/>
    <w:sig w:usb0="00000287" w:usb1="00000800" w:usb2="00000000" w:usb3="00000000" w:csb0="2000009F" w:csb1="DFD70000"/>
  </w:font>
  <w:font w:name="Microsoft YaHei UI">
    <w:altName w:val="苹方-简"/>
    <w:panose1 w:val="020B0503020204020204"/>
    <w:charset w:val="86"/>
    <w:family w:val="swiss"/>
    <w:pitch w:val="default"/>
    <w:sig w:usb0="00000000" w:usb1="00000000"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方正黑体_GBK">
    <w:altName w:val="汉仪中黑KW"/>
    <w:panose1 w:val="02000000000000000000"/>
    <w:charset w:val="86"/>
    <w:family w:val="script"/>
    <w:pitch w:val="default"/>
    <w:sig w:usb0="00000000" w:usb1="00000000" w:usb2="00082016"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汉仪楷体简">
    <w:panose1 w:val="02010600000101010101"/>
    <w:charset w:val="86"/>
    <w:family w:val="auto"/>
    <w:pitch w:val="default"/>
    <w:sig w:usb0="00000001" w:usb1="080E0800" w:usb2="00000002" w:usb3="00000000" w:csb0="00040000" w:csb1="00000000"/>
  </w:font>
  <w:font w:name="汉仪中黑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汉仪中等线KW">
    <w:panose1 w:val="01010104010101010101"/>
    <w:charset w:val="86"/>
    <w:family w:val="auto"/>
    <w:pitch w:val="default"/>
    <w:sig w:usb0="800002BF" w:usb1="004F7CFA" w:usb2="00000000" w:usb3="00000000" w:csb0="00040001" w:csb1="00000000"/>
  </w:font>
  <w:font w:name="Kingsoft Sign">
    <w:panose1 w:val="05050102010706020507"/>
    <w:charset w:val="00"/>
    <w:family w:val="auto"/>
    <w:pitch w:val="default"/>
    <w:sig w:usb0="00000000" w:usb1="10000000" w:usb2="00000000" w:usb3="00000000" w:csb0="00000001" w:csb1="00000000"/>
  </w:font>
  <w:font w:name="方正书宋_GBK">
    <w:panose1 w:val="02000000000000000000"/>
    <w:charset w:val="86"/>
    <w:family w:val="auto"/>
    <w:pitch w:val="default"/>
    <w:sig w:usb0="A00002BF" w:usb1="38CF7CFA" w:usb2="00082016" w:usb3="00000000" w:csb0="00040001" w:csb1="00000000"/>
  </w:font>
  <w:font w:name="Hiragino Sans">
    <w:panose1 w:val="020B0300000000000000"/>
    <w:charset w:val="80"/>
    <w:family w:val="auto"/>
    <w:pitch w:val="default"/>
    <w:sig w:usb0="E00002FF" w:usb1="7AE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29601"/>
    <w:multiLevelType w:val="singleLevel"/>
    <w:tmpl w:val="B0229601"/>
    <w:lvl w:ilvl="0" w:tentative="0">
      <w:start w:val="2"/>
      <w:numFmt w:val="decimal"/>
      <w:suff w:val="nothing"/>
      <w:lvlText w:val="%1、"/>
      <w:lvlJc w:val="left"/>
    </w:lvl>
  </w:abstractNum>
  <w:abstractNum w:abstractNumId="1">
    <w:nsid w:val="B9DA69A2"/>
    <w:multiLevelType w:val="singleLevel"/>
    <w:tmpl w:val="B9DA69A2"/>
    <w:lvl w:ilvl="0" w:tentative="0">
      <w:start w:val="1"/>
      <w:numFmt w:val="decimal"/>
      <w:suff w:val="nothing"/>
      <w:lvlText w:val="（%1）"/>
      <w:lvlJc w:val="left"/>
    </w:lvl>
  </w:abstractNum>
  <w:abstractNum w:abstractNumId="2">
    <w:nsid w:val="BEA8AED4"/>
    <w:multiLevelType w:val="singleLevel"/>
    <w:tmpl w:val="BEA8AED4"/>
    <w:lvl w:ilvl="0" w:tentative="0">
      <w:start w:val="1"/>
      <w:numFmt w:val="decimal"/>
      <w:suff w:val="nothing"/>
      <w:lvlText w:val="%1."/>
      <w:lvlJc w:val="left"/>
      <w:pPr>
        <w:ind w:left="454" w:hanging="454"/>
      </w:pPr>
      <w:rPr>
        <w:rFonts w:hint="default"/>
      </w:rPr>
    </w:lvl>
  </w:abstractNum>
  <w:abstractNum w:abstractNumId="3">
    <w:nsid w:val="00AAE6AC"/>
    <w:multiLevelType w:val="multilevel"/>
    <w:tmpl w:val="00AAE6AC"/>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01856BF"/>
    <w:multiLevelType w:val="singleLevel"/>
    <w:tmpl w:val="101856BF"/>
    <w:lvl w:ilvl="0" w:tentative="0">
      <w:start w:val="1"/>
      <w:numFmt w:val="decimal"/>
      <w:suff w:val="nothing"/>
      <w:lvlText w:val="%1、"/>
      <w:lvlJc w:val="left"/>
    </w:lvl>
  </w:abstractNum>
  <w:abstractNum w:abstractNumId="5">
    <w:nsid w:val="1BE43624"/>
    <w:multiLevelType w:val="singleLevel"/>
    <w:tmpl w:val="1BE43624"/>
    <w:lvl w:ilvl="0" w:tentative="0">
      <w:start w:val="1"/>
      <w:numFmt w:val="decimal"/>
      <w:suff w:val="nothing"/>
      <w:lvlText w:val="%1、"/>
      <w:lvlJc w:val="left"/>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NlMzM2ZTAzMzlmNmY3MzA4ZGQwZjc5MGNiMzU1NGYifQ=="/>
  </w:docVars>
  <w:rsids>
    <w:rsidRoot w:val="FBBDDD7A"/>
    <w:rsid w:val="0000667E"/>
    <w:rsid w:val="00357A75"/>
    <w:rsid w:val="003D7EEC"/>
    <w:rsid w:val="004E21BA"/>
    <w:rsid w:val="00B973A3"/>
    <w:rsid w:val="00D3216C"/>
    <w:rsid w:val="16FF0578"/>
    <w:rsid w:val="27FED707"/>
    <w:rsid w:val="2E847BC9"/>
    <w:rsid w:val="3CDDAD28"/>
    <w:rsid w:val="3DBE8A33"/>
    <w:rsid w:val="3F63B470"/>
    <w:rsid w:val="3FFE542C"/>
    <w:rsid w:val="3FFFA645"/>
    <w:rsid w:val="4EB41CD5"/>
    <w:rsid w:val="5E7FDB28"/>
    <w:rsid w:val="5EBB1DFE"/>
    <w:rsid w:val="67DB42B0"/>
    <w:rsid w:val="6B452B0C"/>
    <w:rsid w:val="6B7F83E8"/>
    <w:rsid w:val="6D48A907"/>
    <w:rsid w:val="6EF782A4"/>
    <w:rsid w:val="73FCAA9D"/>
    <w:rsid w:val="757F7B70"/>
    <w:rsid w:val="7BDDA700"/>
    <w:rsid w:val="7EF7B8BC"/>
    <w:rsid w:val="7F3CF544"/>
    <w:rsid w:val="7F478877"/>
    <w:rsid w:val="7F9A2454"/>
    <w:rsid w:val="7FEFCFF2"/>
    <w:rsid w:val="7FFDEBAF"/>
    <w:rsid w:val="94EBCBEE"/>
    <w:rsid w:val="B3B2E1AB"/>
    <w:rsid w:val="BCFFF28F"/>
    <w:rsid w:val="BF673279"/>
    <w:rsid w:val="DC7F919B"/>
    <w:rsid w:val="EF9FA715"/>
    <w:rsid w:val="EFF587E4"/>
    <w:rsid w:val="EFFFD6C4"/>
    <w:rsid w:val="F1D7C56E"/>
    <w:rsid w:val="F5EECA39"/>
    <w:rsid w:val="F6FFD61B"/>
    <w:rsid w:val="F73102E3"/>
    <w:rsid w:val="F7ED98F4"/>
    <w:rsid w:val="F87FE14E"/>
    <w:rsid w:val="FBB512BB"/>
    <w:rsid w:val="FBBDDD7A"/>
    <w:rsid w:val="FDF727EC"/>
    <w:rsid w:val="FE9C1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6">
    <w:name w:val="heading 2"/>
    <w:basedOn w:val="1"/>
    <w:next w:val="7"/>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8">
    <w:name w:val="heading 3"/>
    <w:basedOn w:val="1"/>
    <w:next w:val="1"/>
    <w:qFormat/>
    <w:uiPriority w:val="0"/>
    <w:pPr>
      <w:keepNext/>
      <w:keepLines/>
      <w:spacing w:before="260" w:after="260" w:line="416" w:lineRule="auto"/>
      <w:outlineLvl w:val="2"/>
    </w:pPr>
    <w:rPr>
      <w:b/>
      <w:sz w:val="32"/>
      <w:szCs w:val="32"/>
    </w:rPr>
  </w:style>
  <w:style w:type="paragraph" w:styleId="9">
    <w:name w:val="heading 4"/>
    <w:basedOn w:val="1"/>
    <w:next w:val="1"/>
    <w:qFormat/>
    <w:uiPriority w:val="9"/>
    <w:pPr>
      <w:keepNext/>
      <w:jc w:val="center"/>
      <w:outlineLvl w:val="3"/>
    </w:pPr>
    <w:rPr>
      <w:rFonts w:eastAsia="新宋体"/>
      <w:sz w:val="30"/>
      <w:szCs w:val="21"/>
    </w:rPr>
  </w:style>
  <w:style w:type="paragraph" w:styleId="10">
    <w:name w:val="heading 5"/>
    <w:basedOn w:val="1"/>
    <w:next w:val="1"/>
    <w:qFormat/>
    <w:uiPriority w:val="9"/>
    <w:pPr>
      <w:widowControl/>
      <w:spacing w:before="100" w:beforeAutospacing="1" w:after="100" w:afterAutospacing="1"/>
      <w:jc w:val="left"/>
      <w:outlineLvl w:val="4"/>
    </w:pPr>
    <w:rPr>
      <w:rFonts w:ascii="宋体" w:hAnsi="宋体"/>
      <w:b/>
      <w:kern w:val="0"/>
      <w:sz w:val="20"/>
      <w:szCs w:val="20"/>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semiHidden/>
    <w:unhideWhenUsed/>
    <w:qFormat/>
    <w:uiPriority w:val="99"/>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7">
    <w:name w:val="Body Text"/>
    <w:basedOn w:val="1"/>
    <w:qFormat/>
    <w:uiPriority w:val="1"/>
    <w:rPr>
      <w:rFonts w:ascii="宋体" w:hAnsi="宋体" w:cs="宋体"/>
      <w:sz w:val="24"/>
      <w:lang w:val="zh-CN" w:bidi="zh-CN"/>
    </w:rPr>
  </w:style>
  <w:style w:type="paragraph" w:styleId="11">
    <w:name w:val="Normal Indent"/>
    <w:basedOn w:val="1"/>
    <w:qFormat/>
    <w:uiPriority w:val="0"/>
    <w:pPr>
      <w:ind w:firstLine="420"/>
    </w:pPr>
    <w:rPr>
      <w:szCs w:val="20"/>
    </w:rPr>
  </w:style>
  <w:style w:type="paragraph" w:styleId="12">
    <w:name w:val="annotation text"/>
    <w:basedOn w:val="1"/>
    <w:qFormat/>
    <w:uiPriority w:val="0"/>
    <w:pPr>
      <w:jc w:val="left"/>
    </w:pPr>
  </w:style>
  <w:style w:type="paragraph" w:styleId="13">
    <w:name w:val="Plain Text"/>
    <w:basedOn w:val="1"/>
    <w:qFormat/>
    <w:uiPriority w:val="0"/>
    <w:rPr>
      <w:rFonts w:ascii="宋体" w:hAnsi="Courier New"/>
      <w:kern w:val="0"/>
      <w:sz w:val="20"/>
      <w:szCs w:val="21"/>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0"/>
    <w:pPr>
      <w:spacing w:beforeAutospacing="1" w:afterAutospacing="1"/>
      <w:jc w:val="left"/>
    </w:pPr>
    <w:rPr>
      <w:kern w:val="0"/>
      <w:sz w:val="24"/>
    </w:rPr>
  </w:style>
  <w:style w:type="paragraph" w:styleId="17">
    <w:name w:val="Title"/>
    <w:basedOn w:val="1"/>
    <w:qFormat/>
    <w:uiPriority w:val="0"/>
    <w:pPr>
      <w:jc w:val="center"/>
    </w:pPr>
    <w:rPr>
      <w:b/>
      <w:bCs/>
      <w:sz w:val="36"/>
      <w:szCs w:val="20"/>
    </w:rPr>
  </w:style>
  <w:style w:type="paragraph" w:styleId="18">
    <w:name w:val="Body Text First Indent"/>
    <w:basedOn w:val="7"/>
    <w:qFormat/>
    <w:uiPriority w:val="0"/>
    <w:pPr>
      <w:tabs>
        <w:tab w:val="left" w:pos="567"/>
      </w:tabs>
      <w:ind w:firstLine="420" w:firstLineChars="100"/>
    </w:pPr>
  </w:style>
  <w:style w:type="character" w:styleId="21">
    <w:name w:val="annotation reference"/>
    <w:basedOn w:val="20"/>
    <w:qFormat/>
    <w:uiPriority w:val="0"/>
    <w:rPr>
      <w:sz w:val="21"/>
      <w:szCs w:val="21"/>
    </w:rPr>
  </w:style>
  <w:style w:type="paragraph" w:customStyle="1" w:styleId="22">
    <w:name w:val="style4"/>
    <w:basedOn w:val="1"/>
    <w:next w:val="23"/>
    <w:qFormat/>
    <w:uiPriority w:val="0"/>
    <w:pPr>
      <w:widowControl/>
      <w:spacing w:before="280" w:after="280"/>
    </w:pPr>
    <w:rPr>
      <w:rFonts w:ascii="宋体"/>
      <w:sz w:val="18"/>
    </w:rPr>
  </w:style>
  <w:style w:type="paragraph" w:customStyle="1" w:styleId="23">
    <w:name w:val="2"/>
    <w:next w:val="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4">
    <w:name w:val="段"/>
    <w:next w:val="1"/>
    <w:qFormat/>
    <w:uiPriority w:val="0"/>
    <w:pPr>
      <w:autoSpaceDE w:val="0"/>
      <w:autoSpaceDN w:val="0"/>
      <w:ind w:firstLine="200" w:firstLineChars="200"/>
      <w:jc w:val="both"/>
    </w:pPr>
    <w:rPr>
      <w:rFonts w:hint="eastAsia" w:ascii="宋体" w:hAnsi="Times New Roman" w:eastAsia="宋体" w:cs="Times New Roman"/>
      <w:sz w:val="21"/>
      <w:lang w:val="en-US" w:eastAsia="zh-CN" w:bidi="ar-SA"/>
    </w:rPr>
  </w:style>
  <w:style w:type="paragraph" w:customStyle="1" w:styleId="25">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6">
    <w:name w:val="普通正文"/>
    <w:basedOn w:val="1"/>
    <w:qFormat/>
    <w:uiPriority w:val="0"/>
    <w:pPr>
      <w:adjustRightInd w:val="0"/>
      <w:spacing w:before="120" w:after="120" w:line="360" w:lineRule="auto"/>
      <w:ind w:left="-2" w:right="120" w:firstLine="480"/>
      <w:jc w:val="center"/>
      <w:textAlignment w:val="baseline"/>
    </w:pPr>
    <w:rPr>
      <w:rFonts w:ascii="Arial" w:hAnsi="Arial"/>
      <w:kern w:val="0"/>
      <w:sz w:val="24"/>
    </w:rPr>
  </w:style>
  <w:style w:type="paragraph" w:customStyle="1" w:styleId="2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qFormat/>
    <w:uiPriority w:val="99"/>
    <w:pPr>
      <w:widowControl w:val="0"/>
      <w:autoSpaceDE w:val="0"/>
      <w:autoSpaceDN w:val="0"/>
      <w:adjustRightInd w:val="0"/>
    </w:pPr>
    <w:rPr>
      <w:rFonts w:ascii="MS Mincho" w:hAnsi="Calibri" w:eastAsia="宋体" w:cs="Times New Roman"/>
      <w:color w:val="000000"/>
      <w:kern w:val="2"/>
      <w:sz w:val="21"/>
      <w:szCs w:val="24"/>
      <w:lang w:val="en-US" w:eastAsia="zh-CN" w:bidi="ar-SA"/>
    </w:rPr>
  </w:style>
  <w:style w:type="character" w:customStyle="1" w:styleId="29">
    <w:name w:val="15"/>
    <w:basedOn w:val="20"/>
    <w:qFormat/>
    <w:uiPriority w:val="0"/>
    <w:rPr>
      <w:rFonts w:hint="default" w:ascii="Times New Roman" w:hAnsi="Times New Roman" w:cs="Times New Roman"/>
    </w:rPr>
  </w:style>
  <w:style w:type="paragraph" w:customStyle="1" w:styleId="30">
    <w:name w:val="列出段落1"/>
    <w:basedOn w:val="1"/>
    <w:qFormat/>
    <w:uiPriority w:val="99"/>
    <w:pPr>
      <w:ind w:firstLine="420" w:firstLineChars="200"/>
    </w:pPr>
  </w:style>
  <w:style w:type="paragraph" w:styleId="31">
    <w:name w:val="List Paragraph"/>
    <w:basedOn w:val="1"/>
    <w:qFormat/>
    <w:uiPriority w:val="34"/>
    <w:pPr>
      <w:ind w:firstLine="420" w:firstLineChars="200"/>
    </w:pPr>
  </w:style>
  <w:style w:type="paragraph" w:customStyle="1" w:styleId="32">
    <w:name w:val="正文首行缩进 21"/>
    <w:basedOn w:val="3"/>
    <w:unhideWhenUsed/>
    <w:qFormat/>
    <w:uiPriority w:val="99"/>
    <w:pPr>
      <w:ind w:firstLine="200" w:firstLineChars="200"/>
    </w:pPr>
  </w:style>
  <w:style w:type="character" w:customStyle="1" w:styleId="33">
    <w:name w:val="apple-style-span"/>
    <w:basedOn w:val="20"/>
    <w:qFormat/>
    <w:uiPriority w:val="99"/>
    <w:rPr>
      <w:rFonts w:cs="Times New Roman"/>
    </w:rPr>
  </w:style>
  <w:style w:type="paragraph" w:customStyle="1" w:styleId="34">
    <w:name w:val="p0"/>
    <w:basedOn w:val="1"/>
    <w:qFormat/>
    <w:uiPriority w:val="0"/>
    <w:pPr>
      <w:widowControl/>
    </w:pPr>
    <w:rPr>
      <w:rFonts w:ascii="Calibri" w:hAnsi="Calibri"/>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33</Pages>
  <Words>14923</Words>
  <Characters>15357</Characters>
  <Lines>139</Lines>
  <Paragraphs>39</Paragraphs>
  <TotalTime>12</TotalTime>
  <ScaleCrop>false</ScaleCrop>
  <LinksUpToDate>false</LinksUpToDate>
  <CharactersWithSpaces>16006</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2023-12-14T01:22:00Z</dcterms:created>
  <dc:creator>玲玲</dc:creator>
  <cp:lastModifiedBy>玲玲</cp:lastModifiedBy>
  <dcterms:modified xsi:type="dcterms:W3CDTF">2024-07-15T13:49:15Z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2052-6.2.0.8299</vt:lpwstr>
  </property>
  <property fmtid="{D5CDD505-2E9C-101B-9397-08002B2CF9AE}" pid="3" name="ICV">
    <vt:lpwstr>6AADA9E754974277B6C5704684C585FC_13</vt:lpwstr>
  </property>
</Properties>
</file>