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814201">
      <w:pPr>
        <w:jc w:val="center"/>
        <w:rPr>
          <w:rFonts w:hint="eastAsia" w:ascii="仿宋" w:hAnsi="仿宋" w:eastAsia="仿宋" w:cs="仿宋"/>
          <w:bCs/>
          <w:color w:val="auto"/>
          <w:sz w:val="72"/>
          <w:szCs w:val="72"/>
          <w:highlight w:val="none"/>
          <w:lang w:val="en-US"/>
        </w:rPr>
      </w:pPr>
      <w:r>
        <w:rPr>
          <w:rFonts w:hint="eastAsia" w:ascii="仿宋" w:hAnsi="仿宋" w:eastAsia="仿宋" w:cs="仿宋"/>
          <w:bCs/>
          <w:color w:val="auto"/>
          <w:spacing w:val="20"/>
          <w:sz w:val="48"/>
          <w:szCs w:val="28"/>
          <w:highlight w:val="none"/>
          <w:lang w:val="en-US" w:eastAsia="zh-CN"/>
        </w:rPr>
        <w:t>江苏省南通第一中学净水器滤芯采购与安装项目</w:t>
      </w:r>
    </w:p>
    <w:p w14:paraId="0D9547D7">
      <w:pPr>
        <w:jc w:val="center"/>
        <w:rPr>
          <w:rFonts w:hint="eastAsia" w:ascii="仿宋" w:hAnsi="仿宋" w:eastAsia="仿宋" w:cs="仿宋"/>
          <w:bCs/>
          <w:color w:val="auto"/>
          <w:sz w:val="72"/>
          <w:szCs w:val="72"/>
          <w:highlight w:val="none"/>
        </w:rPr>
      </w:pPr>
    </w:p>
    <w:p w14:paraId="707B2B70">
      <w:pPr>
        <w:jc w:val="center"/>
        <w:rPr>
          <w:rFonts w:hint="eastAsia" w:ascii="仿宋" w:hAnsi="仿宋" w:eastAsia="仿宋" w:cs="仿宋"/>
          <w:bCs/>
          <w:color w:val="auto"/>
          <w:sz w:val="72"/>
          <w:szCs w:val="72"/>
          <w:highlight w:val="none"/>
        </w:rPr>
      </w:pPr>
    </w:p>
    <w:p w14:paraId="51DF923C">
      <w:pPr>
        <w:jc w:val="center"/>
        <w:rPr>
          <w:rFonts w:hint="eastAsia" w:ascii="仿宋" w:hAnsi="仿宋" w:eastAsia="仿宋" w:cs="仿宋"/>
          <w:bCs/>
          <w:color w:val="auto"/>
          <w:sz w:val="100"/>
          <w:szCs w:val="100"/>
          <w:highlight w:val="none"/>
        </w:rPr>
      </w:pPr>
      <w:r>
        <w:rPr>
          <w:rFonts w:hint="eastAsia" w:ascii="仿宋" w:hAnsi="仿宋" w:eastAsia="仿宋" w:cs="仿宋"/>
          <w:bCs/>
          <w:color w:val="auto"/>
          <w:sz w:val="72"/>
          <w:szCs w:val="72"/>
          <w:highlight w:val="none"/>
          <w:lang w:val="en-US" w:eastAsia="zh-CN"/>
        </w:rPr>
        <w:t>比价</w:t>
      </w:r>
      <w:r>
        <w:rPr>
          <w:rFonts w:hint="eastAsia" w:ascii="仿宋" w:hAnsi="仿宋" w:eastAsia="仿宋" w:cs="仿宋"/>
          <w:bCs/>
          <w:color w:val="auto"/>
          <w:sz w:val="72"/>
          <w:szCs w:val="72"/>
          <w:highlight w:val="none"/>
        </w:rPr>
        <w:t>文件</w:t>
      </w:r>
    </w:p>
    <w:p w14:paraId="46DF04D0">
      <w:pPr>
        <w:jc w:val="center"/>
        <w:rPr>
          <w:rFonts w:hint="eastAsia" w:ascii="仿宋" w:hAnsi="仿宋" w:eastAsia="仿宋" w:cs="仿宋"/>
          <w:bCs/>
          <w:color w:val="0000FF"/>
          <w:sz w:val="36"/>
          <w:szCs w:val="36"/>
          <w:highlight w:val="none"/>
          <w:lang w:val="en-US" w:eastAsia="zh-CN"/>
        </w:rPr>
      </w:pPr>
      <w:r>
        <w:rPr>
          <w:rFonts w:hint="eastAsia" w:ascii="仿宋" w:hAnsi="仿宋" w:eastAsia="仿宋" w:cs="仿宋"/>
          <w:bCs/>
          <w:color w:val="auto"/>
          <w:sz w:val="36"/>
          <w:szCs w:val="36"/>
          <w:highlight w:val="none"/>
        </w:rPr>
        <w:t>采购文件编号：</w:t>
      </w:r>
      <w:r>
        <w:rPr>
          <w:rFonts w:hint="eastAsia" w:ascii="仿宋" w:hAnsi="仿宋" w:eastAsia="仿宋" w:cs="仿宋"/>
          <w:bCs/>
          <w:color w:val="auto"/>
          <w:sz w:val="36"/>
          <w:szCs w:val="36"/>
          <w:highlight w:val="none"/>
          <w:lang w:val="en-US" w:eastAsia="zh-CN"/>
        </w:rPr>
        <w:t>NTYZ202502</w:t>
      </w:r>
    </w:p>
    <w:p w14:paraId="796B347C">
      <w:pPr>
        <w:spacing w:line="500" w:lineRule="exact"/>
        <w:jc w:val="center"/>
        <w:rPr>
          <w:rFonts w:hint="eastAsia" w:ascii="仿宋" w:hAnsi="仿宋" w:eastAsia="仿宋" w:cs="仿宋"/>
          <w:b/>
          <w:color w:val="auto"/>
          <w:sz w:val="36"/>
          <w:highlight w:val="none"/>
        </w:rPr>
      </w:pPr>
    </w:p>
    <w:p w14:paraId="2F0FE747">
      <w:pPr>
        <w:spacing w:line="500" w:lineRule="exact"/>
        <w:jc w:val="center"/>
        <w:rPr>
          <w:rFonts w:hint="eastAsia" w:ascii="仿宋" w:hAnsi="仿宋" w:eastAsia="仿宋" w:cs="仿宋"/>
          <w:b/>
          <w:color w:val="auto"/>
          <w:sz w:val="36"/>
          <w:highlight w:val="none"/>
        </w:rPr>
      </w:pPr>
    </w:p>
    <w:p w14:paraId="3CFA31FE">
      <w:pPr>
        <w:spacing w:line="500" w:lineRule="exact"/>
        <w:jc w:val="center"/>
        <w:rPr>
          <w:rFonts w:hint="eastAsia" w:ascii="仿宋" w:hAnsi="仿宋" w:eastAsia="仿宋" w:cs="仿宋"/>
          <w:b/>
          <w:color w:val="auto"/>
          <w:sz w:val="36"/>
          <w:highlight w:val="none"/>
        </w:rPr>
      </w:pPr>
    </w:p>
    <w:p w14:paraId="0651CA48">
      <w:pPr>
        <w:pStyle w:val="2"/>
        <w:rPr>
          <w:rFonts w:hint="eastAsia" w:ascii="仿宋" w:hAnsi="仿宋" w:eastAsia="仿宋" w:cs="仿宋"/>
          <w:b/>
          <w:color w:val="auto"/>
          <w:sz w:val="36"/>
          <w:highlight w:val="none"/>
        </w:rPr>
      </w:pPr>
    </w:p>
    <w:p w14:paraId="37200295">
      <w:pPr>
        <w:pStyle w:val="50"/>
        <w:rPr>
          <w:rFonts w:hint="eastAsia" w:ascii="仿宋" w:hAnsi="仿宋" w:eastAsia="仿宋" w:cs="仿宋"/>
          <w:highlight w:val="none"/>
        </w:rPr>
      </w:pPr>
    </w:p>
    <w:p w14:paraId="1B3CD00F">
      <w:pPr>
        <w:spacing w:line="500" w:lineRule="exact"/>
        <w:rPr>
          <w:rFonts w:hint="eastAsia" w:ascii="仿宋" w:hAnsi="仿宋" w:eastAsia="仿宋" w:cs="仿宋"/>
          <w:color w:val="auto"/>
          <w:highlight w:val="none"/>
        </w:rPr>
      </w:pPr>
    </w:p>
    <w:p w14:paraId="5A1C5CB4">
      <w:pPr>
        <w:pStyle w:val="15"/>
        <w:ind w:firstLine="320"/>
        <w:rPr>
          <w:rFonts w:hint="eastAsia" w:ascii="仿宋" w:hAnsi="仿宋" w:eastAsia="仿宋" w:cs="仿宋"/>
          <w:color w:val="auto"/>
          <w:sz w:val="32"/>
          <w:highlight w:val="none"/>
          <w:lang w:eastAsia="zh-CN"/>
        </w:rPr>
      </w:pPr>
    </w:p>
    <w:p w14:paraId="1A63AB91">
      <w:pPr>
        <w:pStyle w:val="15"/>
        <w:ind w:firstLine="320"/>
        <w:rPr>
          <w:rFonts w:hint="eastAsia" w:ascii="仿宋" w:hAnsi="仿宋" w:eastAsia="仿宋" w:cs="仿宋"/>
          <w:color w:val="auto"/>
          <w:sz w:val="32"/>
          <w:highlight w:val="none"/>
          <w:lang w:eastAsia="zh-CN"/>
        </w:rPr>
      </w:pPr>
    </w:p>
    <w:p w14:paraId="22203E1C">
      <w:pPr>
        <w:rPr>
          <w:rFonts w:hint="eastAsia" w:ascii="仿宋" w:hAnsi="仿宋" w:eastAsia="仿宋" w:cs="仿宋"/>
          <w:color w:val="auto"/>
          <w:highlight w:val="none"/>
        </w:rPr>
      </w:pPr>
    </w:p>
    <w:p w14:paraId="775284C7">
      <w:pPr>
        <w:snapToGrid w:val="0"/>
        <w:spacing w:after="0" w:line="360" w:lineRule="auto"/>
        <w:jc w:val="center"/>
        <w:rPr>
          <w:rFonts w:hint="eastAsia" w:ascii="仿宋" w:hAnsi="仿宋" w:eastAsia="仿宋" w:cs="仿宋"/>
          <w:b/>
          <w:bCs w:val="0"/>
          <w:spacing w:val="20"/>
          <w:sz w:val="36"/>
          <w:szCs w:val="36"/>
          <w:highlight w:val="none"/>
        </w:rPr>
      </w:pPr>
      <w:r>
        <w:rPr>
          <w:rFonts w:hint="eastAsia" w:ascii="仿宋" w:hAnsi="仿宋" w:eastAsia="仿宋" w:cs="仿宋"/>
          <w:b/>
          <w:bCs w:val="0"/>
          <w:spacing w:val="20"/>
          <w:sz w:val="36"/>
          <w:szCs w:val="36"/>
          <w:highlight w:val="none"/>
          <w:lang w:val="en-US" w:eastAsia="zh-CN"/>
        </w:rPr>
        <w:t>江苏省南通第一中学</w:t>
      </w:r>
    </w:p>
    <w:p w14:paraId="0D4DDC86">
      <w:pPr>
        <w:snapToGrid w:val="0"/>
        <w:spacing w:after="0" w:line="360" w:lineRule="auto"/>
        <w:jc w:val="center"/>
        <w:rPr>
          <w:rFonts w:hint="eastAsia" w:ascii="仿宋" w:hAnsi="仿宋" w:eastAsia="仿宋" w:cs="仿宋"/>
          <w:color w:val="auto"/>
          <w:sz w:val="32"/>
          <w:szCs w:val="32"/>
          <w:highlight w:val="none"/>
        </w:rPr>
      </w:pPr>
      <w:r>
        <w:rPr>
          <w:rFonts w:hint="eastAsia" w:ascii="仿宋" w:hAnsi="仿宋" w:eastAsia="仿宋" w:cs="仿宋"/>
          <w:b/>
          <w:bCs w:val="0"/>
          <w:sz w:val="36"/>
          <w:szCs w:val="36"/>
          <w:highlight w:val="none"/>
        </w:rPr>
        <w:t>二○二</w:t>
      </w:r>
      <w:r>
        <w:rPr>
          <w:rFonts w:hint="eastAsia" w:ascii="仿宋" w:hAnsi="仿宋" w:eastAsia="仿宋" w:cs="仿宋"/>
          <w:b/>
          <w:bCs w:val="0"/>
          <w:sz w:val="36"/>
          <w:szCs w:val="36"/>
          <w:highlight w:val="none"/>
          <w:lang w:val="en-US" w:eastAsia="zh-CN"/>
        </w:rPr>
        <w:t>五</w:t>
      </w:r>
      <w:r>
        <w:rPr>
          <w:rFonts w:hint="eastAsia" w:ascii="仿宋" w:hAnsi="仿宋" w:eastAsia="仿宋" w:cs="仿宋"/>
          <w:b/>
          <w:bCs w:val="0"/>
          <w:sz w:val="36"/>
          <w:szCs w:val="36"/>
          <w:highlight w:val="none"/>
        </w:rPr>
        <w:t>年</w:t>
      </w:r>
      <w:r>
        <w:rPr>
          <w:rFonts w:hint="eastAsia" w:ascii="仿宋" w:hAnsi="仿宋" w:eastAsia="仿宋" w:cs="仿宋"/>
          <w:b/>
          <w:bCs w:val="0"/>
          <w:sz w:val="36"/>
          <w:szCs w:val="36"/>
          <w:highlight w:val="none"/>
          <w:lang w:val="en-US" w:eastAsia="zh-CN"/>
        </w:rPr>
        <w:t>一</w:t>
      </w:r>
      <w:r>
        <w:rPr>
          <w:rFonts w:hint="eastAsia" w:ascii="仿宋" w:hAnsi="仿宋" w:eastAsia="仿宋" w:cs="仿宋"/>
          <w:b/>
          <w:bCs w:val="0"/>
          <w:sz w:val="36"/>
          <w:szCs w:val="36"/>
          <w:highlight w:val="none"/>
        </w:rPr>
        <w:t>月</w:t>
      </w:r>
      <w:r>
        <w:rPr>
          <w:rFonts w:hint="eastAsia" w:ascii="仿宋" w:hAnsi="仿宋" w:eastAsia="仿宋" w:cs="仿宋"/>
          <w:snapToGrid w:val="0"/>
          <w:color w:val="auto"/>
          <w:sz w:val="30"/>
          <w:szCs w:val="30"/>
          <w:highlight w:val="none"/>
        </w:rPr>
        <w:t xml:space="preserve">     </w:t>
      </w:r>
      <w:r>
        <w:rPr>
          <w:rFonts w:hint="eastAsia" w:ascii="仿宋" w:hAnsi="仿宋" w:eastAsia="仿宋" w:cs="仿宋"/>
          <w:color w:val="auto"/>
          <w:sz w:val="44"/>
          <w:szCs w:val="44"/>
          <w:highlight w:val="none"/>
        </w:rPr>
        <w:br w:type="page"/>
      </w:r>
      <w:r>
        <w:rPr>
          <w:rFonts w:hint="eastAsia" w:ascii="仿宋" w:hAnsi="仿宋" w:eastAsia="仿宋" w:cs="仿宋"/>
          <w:color w:val="auto"/>
          <w:sz w:val="44"/>
          <w:szCs w:val="44"/>
          <w:highlight w:val="none"/>
        </w:rPr>
        <w:t>目 录</w:t>
      </w:r>
    </w:p>
    <w:p w14:paraId="6AC72A4A">
      <w:pPr>
        <w:tabs>
          <w:tab w:val="left" w:pos="7740"/>
        </w:tabs>
        <w:adjustRightInd w:val="0"/>
        <w:snapToGrid w:val="0"/>
        <w:spacing w:line="360" w:lineRule="auto"/>
        <w:ind w:firstLine="640" w:firstLineChars="200"/>
        <w:rPr>
          <w:rFonts w:hint="eastAsia" w:ascii="仿宋" w:hAnsi="仿宋" w:eastAsia="仿宋" w:cs="仿宋"/>
          <w:color w:val="auto"/>
          <w:spacing w:val="2"/>
          <w:sz w:val="32"/>
          <w:szCs w:val="32"/>
          <w:highlight w:val="none"/>
          <w:lang w:val="en-US" w:eastAsia="zh-CN"/>
        </w:rPr>
      </w:pPr>
      <w:r>
        <w:rPr>
          <w:rFonts w:hint="eastAsia" w:ascii="仿宋" w:hAnsi="仿宋" w:eastAsia="仿宋" w:cs="仿宋"/>
          <w:bCs/>
          <w:color w:val="auto"/>
          <w:sz w:val="32"/>
          <w:szCs w:val="32"/>
          <w:highlight w:val="none"/>
        </w:rPr>
        <w:t xml:space="preserve">第一部分  </w:t>
      </w:r>
      <w:r>
        <w:rPr>
          <w:rFonts w:hint="eastAsia" w:ascii="仿宋" w:hAnsi="仿宋" w:eastAsia="仿宋" w:cs="仿宋"/>
          <w:bCs/>
          <w:color w:val="auto"/>
          <w:sz w:val="32"/>
          <w:szCs w:val="32"/>
          <w:highlight w:val="none"/>
          <w:lang w:val="en-US" w:eastAsia="zh-CN"/>
        </w:rPr>
        <w:t>比价公告</w:t>
      </w:r>
    </w:p>
    <w:p w14:paraId="1A7823EE">
      <w:pPr>
        <w:tabs>
          <w:tab w:val="left" w:pos="7740"/>
        </w:tabs>
        <w:adjustRightInd w:val="0"/>
        <w:snapToGrid w:val="0"/>
        <w:spacing w:line="360" w:lineRule="auto"/>
        <w:ind w:firstLine="640" w:firstLineChars="200"/>
        <w:rPr>
          <w:rFonts w:hint="eastAsia" w:ascii="仿宋" w:hAnsi="仿宋" w:eastAsia="仿宋" w:cs="仿宋"/>
          <w:color w:val="auto"/>
          <w:spacing w:val="2"/>
          <w:sz w:val="32"/>
          <w:szCs w:val="32"/>
          <w:highlight w:val="none"/>
        </w:rPr>
      </w:pPr>
      <w:r>
        <w:rPr>
          <w:rFonts w:hint="eastAsia" w:ascii="仿宋" w:hAnsi="仿宋" w:eastAsia="仿宋" w:cs="仿宋"/>
          <w:bCs/>
          <w:color w:val="auto"/>
          <w:sz w:val="32"/>
          <w:szCs w:val="32"/>
          <w:highlight w:val="none"/>
        </w:rPr>
        <w:t>第二部分  投标须知</w:t>
      </w:r>
    </w:p>
    <w:p w14:paraId="2F0A93AE">
      <w:pPr>
        <w:tabs>
          <w:tab w:val="left" w:pos="7740"/>
        </w:tabs>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bCs/>
          <w:color w:val="auto"/>
          <w:sz w:val="32"/>
          <w:szCs w:val="32"/>
          <w:highlight w:val="none"/>
        </w:rPr>
        <w:t>第三部分  项目需求</w:t>
      </w:r>
    </w:p>
    <w:p w14:paraId="28163EE0">
      <w:pPr>
        <w:tabs>
          <w:tab w:val="left" w:pos="7740"/>
        </w:tabs>
        <w:adjustRightInd w:val="0"/>
        <w:snapToGrid w:val="0"/>
        <w:spacing w:line="360" w:lineRule="auto"/>
        <w:ind w:firstLine="640"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z w:val="32"/>
          <w:szCs w:val="32"/>
          <w:highlight w:val="none"/>
        </w:rPr>
        <w:t xml:space="preserve">第四部分  </w:t>
      </w:r>
      <w:r>
        <w:rPr>
          <w:rFonts w:hint="eastAsia" w:ascii="仿宋" w:hAnsi="仿宋" w:eastAsia="仿宋" w:cs="仿宋"/>
          <w:bCs/>
          <w:color w:val="auto"/>
          <w:sz w:val="32"/>
          <w:szCs w:val="32"/>
          <w:highlight w:val="none"/>
        </w:rPr>
        <w:t>开标和评标</w:t>
      </w:r>
    </w:p>
    <w:p w14:paraId="5FE45C1B">
      <w:pPr>
        <w:tabs>
          <w:tab w:val="left" w:pos="7740"/>
        </w:tabs>
        <w:adjustRightInd w:val="0"/>
        <w:snapToGrid w:val="0"/>
        <w:spacing w:line="360" w:lineRule="auto"/>
        <w:ind w:firstLine="640" w:firstLineChars="200"/>
        <w:rPr>
          <w:rFonts w:hint="eastAsia" w:ascii="仿宋" w:hAnsi="仿宋" w:eastAsia="仿宋" w:cs="仿宋"/>
          <w:color w:val="auto"/>
          <w:spacing w:val="2"/>
          <w:sz w:val="32"/>
          <w:szCs w:val="32"/>
          <w:highlight w:val="none"/>
        </w:rPr>
      </w:pPr>
      <w:r>
        <w:rPr>
          <w:rFonts w:hint="eastAsia" w:ascii="仿宋" w:hAnsi="仿宋" w:eastAsia="仿宋" w:cs="仿宋"/>
          <w:bCs/>
          <w:color w:val="auto"/>
          <w:sz w:val="32"/>
          <w:szCs w:val="32"/>
          <w:highlight w:val="none"/>
        </w:rPr>
        <w:t>第五部分  投标文件组成</w:t>
      </w:r>
    </w:p>
    <w:p w14:paraId="14457515">
      <w:pPr>
        <w:rPr>
          <w:rFonts w:hint="eastAsia" w:ascii="仿宋" w:hAnsi="仿宋" w:eastAsia="仿宋" w:cs="仿宋"/>
          <w:b/>
          <w:bCs/>
          <w:sz w:val="36"/>
          <w:szCs w:val="36"/>
          <w:highlight w:val="none"/>
          <w:shd w:val="clear" w:color="auto" w:fill="FFFFFF"/>
          <w:lang w:eastAsia="zh-CN"/>
        </w:rPr>
      </w:pPr>
      <w:r>
        <w:rPr>
          <w:rFonts w:hint="eastAsia" w:ascii="仿宋" w:hAnsi="仿宋" w:eastAsia="仿宋" w:cs="仿宋"/>
          <w:b/>
          <w:bCs/>
          <w:sz w:val="36"/>
          <w:szCs w:val="36"/>
          <w:highlight w:val="none"/>
          <w:shd w:val="clear" w:color="auto" w:fill="FFFFFF"/>
          <w:lang w:eastAsia="zh-CN"/>
        </w:rPr>
        <w:br w:type="page"/>
      </w:r>
    </w:p>
    <w:p w14:paraId="070E8316">
      <w:pPr>
        <w:shd w:val="clear" w:color="auto" w:fill="FFFFFF"/>
        <w:spacing w:after="0" w:line="560" w:lineRule="exact"/>
        <w:jc w:val="center"/>
        <w:rPr>
          <w:rFonts w:hint="eastAsia" w:ascii="仿宋" w:hAnsi="仿宋" w:eastAsia="仿宋" w:cs="仿宋"/>
          <w:b/>
          <w:bCs/>
          <w:sz w:val="36"/>
          <w:szCs w:val="36"/>
          <w:highlight w:val="none"/>
          <w:shd w:val="clear" w:color="auto" w:fill="FFFFFF"/>
        </w:rPr>
      </w:pPr>
      <w:r>
        <w:rPr>
          <w:rFonts w:hint="eastAsia" w:ascii="仿宋" w:hAnsi="仿宋" w:eastAsia="仿宋" w:cs="仿宋"/>
          <w:b/>
          <w:bCs/>
          <w:sz w:val="36"/>
          <w:szCs w:val="36"/>
          <w:highlight w:val="none"/>
          <w:shd w:val="clear" w:color="auto" w:fill="FFFFFF"/>
          <w:lang w:eastAsia="zh-CN"/>
        </w:rPr>
        <w:t>江苏省南通第一中学净水器滤芯采购与安装</w:t>
      </w:r>
      <w:r>
        <w:rPr>
          <w:rFonts w:hint="eastAsia" w:ascii="仿宋" w:hAnsi="仿宋" w:eastAsia="仿宋" w:cs="仿宋"/>
          <w:b/>
          <w:bCs/>
          <w:sz w:val="36"/>
          <w:szCs w:val="36"/>
          <w:highlight w:val="none"/>
          <w:shd w:val="clear" w:color="auto" w:fill="FFFFFF"/>
        </w:rPr>
        <w:t>项目</w:t>
      </w:r>
    </w:p>
    <w:p w14:paraId="3BF86E26">
      <w:pPr>
        <w:shd w:val="clear" w:color="auto" w:fill="FFFFFF"/>
        <w:spacing w:after="0" w:line="560" w:lineRule="exact"/>
        <w:jc w:val="center"/>
        <w:rPr>
          <w:rFonts w:hint="eastAsia" w:ascii="仿宋" w:hAnsi="仿宋" w:eastAsia="仿宋" w:cs="仿宋"/>
          <w:b/>
          <w:bCs/>
          <w:sz w:val="36"/>
          <w:szCs w:val="36"/>
          <w:highlight w:val="none"/>
          <w:shd w:val="clear" w:color="auto" w:fill="FFFFFF"/>
        </w:rPr>
      </w:pPr>
      <w:r>
        <w:rPr>
          <w:rFonts w:hint="eastAsia" w:ascii="仿宋" w:hAnsi="仿宋" w:eastAsia="仿宋" w:cs="仿宋"/>
          <w:b/>
          <w:bCs/>
          <w:sz w:val="36"/>
          <w:szCs w:val="36"/>
          <w:highlight w:val="none"/>
          <w:shd w:val="clear" w:color="auto" w:fill="FFFFFF"/>
          <w:lang w:eastAsia="zh-CN"/>
        </w:rPr>
        <w:t>比价</w:t>
      </w:r>
      <w:r>
        <w:rPr>
          <w:rFonts w:hint="eastAsia" w:ascii="仿宋" w:hAnsi="仿宋" w:eastAsia="仿宋" w:cs="仿宋"/>
          <w:b/>
          <w:bCs/>
          <w:sz w:val="36"/>
          <w:szCs w:val="36"/>
          <w:highlight w:val="none"/>
          <w:shd w:val="clear" w:color="auto" w:fill="FFFFFF"/>
        </w:rPr>
        <w:t>文件</w:t>
      </w:r>
    </w:p>
    <w:p w14:paraId="19C5FA27">
      <w:pPr>
        <w:shd w:val="clear" w:color="auto" w:fill="FFFFFF"/>
        <w:spacing w:after="0" w:line="400" w:lineRule="exact"/>
        <w:ind w:firstLine="480" w:firstLineChars="200"/>
        <w:jc w:val="center"/>
        <w:rPr>
          <w:rFonts w:hint="eastAsia" w:ascii="仿宋" w:hAnsi="仿宋" w:eastAsia="仿宋" w:cs="仿宋"/>
          <w:sz w:val="24"/>
          <w:szCs w:val="24"/>
          <w:highlight w:val="none"/>
          <w:lang w:val="en-US" w:eastAsia="zh-CN"/>
        </w:rPr>
      </w:pPr>
    </w:p>
    <w:p w14:paraId="2EB8D8A5">
      <w:pPr>
        <w:shd w:val="clear" w:color="auto" w:fill="FFFFFF"/>
        <w:spacing w:after="0" w:line="400" w:lineRule="exact"/>
        <w:ind w:firstLine="640" w:firstLineChars="200"/>
        <w:jc w:val="cente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第一部分  比价公告</w:t>
      </w:r>
    </w:p>
    <w:p w14:paraId="5B5048D0">
      <w:pPr>
        <w:shd w:val="clear" w:color="auto" w:fill="FFFFFF"/>
        <w:spacing w:after="0" w:line="400" w:lineRule="exact"/>
        <w:ind w:firstLine="480" w:firstLineChars="200"/>
        <w:rPr>
          <w:rFonts w:hint="eastAsia" w:ascii="仿宋" w:hAnsi="仿宋" w:eastAsia="仿宋" w:cs="仿宋"/>
          <w:sz w:val="24"/>
          <w:szCs w:val="24"/>
          <w:highlight w:val="none"/>
          <w:lang w:eastAsia="zh-CN"/>
        </w:rPr>
      </w:pPr>
    </w:p>
    <w:p w14:paraId="4DA42701">
      <w:pPr>
        <w:shd w:val="clear" w:color="auto" w:fill="FFFFFF"/>
        <w:spacing w:after="0" w:line="400" w:lineRule="exact"/>
        <w:ind w:firstLine="480" w:firstLineChars="200"/>
        <w:rPr>
          <w:rFonts w:hint="eastAsia" w:ascii="仿宋" w:hAnsi="仿宋" w:eastAsia="仿宋" w:cs="仿宋"/>
          <w:b/>
          <w:bCs/>
          <w:sz w:val="24"/>
          <w:szCs w:val="24"/>
          <w:highlight w:val="none"/>
          <w:shd w:val="clear" w:color="auto" w:fill="FFFFFF"/>
        </w:rPr>
      </w:pPr>
      <w:r>
        <w:rPr>
          <w:rFonts w:hint="eastAsia" w:ascii="仿宋" w:hAnsi="仿宋" w:eastAsia="仿宋" w:cs="仿宋"/>
          <w:sz w:val="24"/>
          <w:szCs w:val="24"/>
          <w:highlight w:val="none"/>
          <w:lang w:eastAsia="zh-CN"/>
        </w:rPr>
        <w:t>江苏省南通第一中学净水器滤芯采购与安装</w:t>
      </w:r>
      <w:r>
        <w:rPr>
          <w:rFonts w:hint="eastAsia" w:ascii="仿宋" w:hAnsi="仿宋" w:eastAsia="仿宋" w:cs="仿宋"/>
          <w:sz w:val="24"/>
          <w:szCs w:val="24"/>
          <w:highlight w:val="none"/>
        </w:rPr>
        <w:t>项目投标响应的潜在供应商应在南通市教育局网站或</w:t>
      </w:r>
      <w:r>
        <w:rPr>
          <w:rFonts w:hint="eastAsia" w:ascii="仿宋" w:hAnsi="仿宋" w:eastAsia="仿宋" w:cs="仿宋"/>
          <w:sz w:val="24"/>
          <w:szCs w:val="24"/>
          <w:highlight w:val="none"/>
          <w:lang w:eastAsia="zh-CN"/>
        </w:rPr>
        <w:t>江苏省南通第一中学</w:t>
      </w:r>
      <w:r>
        <w:rPr>
          <w:rFonts w:hint="eastAsia" w:ascii="仿宋" w:hAnsi="仿宋" w:eastAsia="仿宋" w:cs="仿宋"/>
          <w:sz w:val="24"/>
          <w:szCs w:val="24"/>
          <w:highlight w:val="none"/>
        </w:rPr>
        <w:t>网站本项目采购公告附件中下载获取采购文件，并于202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24</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时</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分（北京时间）前提交响应文件。</w:t>
      </w:r>
    </w:p>
    <w:p w14:paraId="38650BE6">
      <w:pPr>
        <w:adjustRightInd/>
        <w:snapToGrid/>
        <w:spacing w:after="0" w:line="400" w:lineRule="exact"/>
        <w:ind w:firstLine="48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一、项目基本情况</w:t>
      </w:r>
    </w:p>
    <w:p w14:paraId="1D22D111">
      <w:pPr>
        <w:adjustRightInd/>
        <w:snapToGrid/>
        <w:spacing w:after="0" w:line="400" w:lineRule="exact"/>
        <w:ind w:firstLine="48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项目编号：</w:t>
      </w:r>
      <w:r>
        <w:rPr>
          <w:rFonts w:hint="eastAsia" w:ascii="仿宋" w:hAnsi="仿宋" w:eastAsia="仿宋" w:cs="仿宋"/>
          <w:sz w:val="24"/>
          <w:szCs w:val="24"/>
          <w:highlight w:val="none"/>
          <w:lang w:val="en-US" w:eastAsia="zh-CN"/>
        </w:rPr>
        <w:t>NTYZ</w:t>
      </w:r>
      <w:r>
        <w:rPr>
          <w:rFonts w:hint="eastAsia" w:ascii="仿宋" w:hAnsi="仿宋" w:eastAsia="仿宋" w:cs="仿宋"/>
          <w:sz w:val="24"/>
          <w:szCs w:val="24"/>
          <w:highlight w:val="none"/>
        </w:rPr>
        <w:t>202</w:t>
      </w:r>
      <w:r>
        <w:rPr>
          <w:rFonts w:hint="eastAsia" w:ascii="仿宋" w:hAnsi="仿宋" w:eastAsia="仿宋" w:cs="仿宋"/>
          <w:sz w:val="24"/>
          <w:szCs w:val="24"/>
          <w:highlight w:val="none"/>
          <w:lang w:val="en-US" w:eastAsia="zh-CN"/>
        </w:rPr>
        <w:t>502</w:t>
      </w:r>
    </w:p>
    <w:p w14:paraId="50169DF3">
      <w:pPr>
        <w:adjustRightInd/>
        <w:snapToGrid/>
        <w:spacing w:after="0" w:line="40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lang w:eastAsia="zh-CN"/>
        </w:rPr>
        <w:t>江苏省南通第一中学净水器滤芯采购与安装</w:t>
      </w:r>
      <w:r>
        <w:rPr>
          <w:rFonts w:hint="eastAsia" w:ascii="仿宋" w:hAnsi="仿宋" w:eastAsia="仿宋" w:cs="仿宋"/>
          <w:sz w:val="24"/>
          <w:szCs w:val="24"/>
          <w:highlight w:val="none"/>
        </w:rPr>
        <w:t>项目</w:t>
      </w:r>
    </w:p>
    <w:p w14:paraId="2D59C45A">
      <w:pPr>
        <w:pStyle w:val="2"/>
        <w:spacing w:after="0"/>
        <w:rPr>
          <w:rFonts w:hint="eastAsia" w:ascii="仿宋" w:hAnsi="仿宋" w:eastAsia="仿宋" w:cs="仿宋"/>
          <w:highlight w:val="none"/>
        </w:rPr>
      </w:pPr>
      <w:r>
        <w:rPr>
          <w:rFonts w:hint="eastAsia" w:ascii="仿宋" w:hAnsi="仿宋" w:eastAsia="仿宋" w:cs="仿宋"/>
          <w:highlight w:val="none"/>
        </w:rPr>
        <w:t xml:space="preserve">   </w:t>
      </w:r>
      <w:r>
        <w:rPr>
          <w:rFonts w:hint="eastAsia" w:ascii="仿宋" w:hAnsi="仿宋" w:eastAsia="仿宋" w:cs="仿宋"/>
          <w:sz w:val="24"/>
          <w:szCs w:val="24"/>
          <w:highlight w:val="none"/>
        </w:rPr>
        <w:t>采购预算：项目中的滤芯更换预算</w:t>
      </w:r>
      <w:r>
        <w:rPr>
          <w:rFonts w:hint="eastAsia" w:ascii="仿宋" w:hAnsi="仿宋" w:eastAsia="仿宋" w:cs="仿宋"/>
          <w:sz w:val="24"/>
          <w:szCs w:val="24"/>
          <w:highlight w:val="none"/>
          <w:lang w:val="en-US" w:eastAsia="zh-CN"/>
        </w:rPr>
        <w:t>4.6</w:t>
      </w:r>
      <w:r>
        <w:rPr>
          <w:rFonts w:hint="eastAsia" w:ascii="仿宋" w:hAnsi="仿宋" w:eastAsia="仿宋" w:cs="仿宋"/>
          <w:sz w:val="24"/>
          <w:szCs w:val="24"/>
          <w:highlight w:val="none"/>
        </w:rPr>
        <w:t>万</w:t>
      </w:r>
    </w:p>
    <w:p w14:paraId="781E7BD0">
      <w:pPr>
        <w:widowControl w:val="0"/>
        <w:adjustRightInd/>
        <w:spacing w:after="0" w:line="400" w:lineRule="exact"/>
        <w:ind w:firstLine="480" w:firstLineChars="200"/>
        <w:contextualSpacing/>
        <w:jc w:val="both"/>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服务期限：一年（</w:t>
      </w:r>
      <w:r>
        <w:rPr>
          <w:rFonts w:hint="eastAsia" w:ascii="仿宋" w:hAnsi="仿宋" w:eastAsia="仿宋" w:cs="仿宋"/>
          <w:kern w:val="2"/>
          <w:sz w:val="24"/>
          <w:szCs w:val="24"/>
          <w:highlight w:val="none"/>
          <w:lang w:val="en-US" w:eastAsia="zh-CN"/>
        </w:rPr>
        <w:t>以签订合同时间为准</w:t>
      </w:r>
      <w:r>
        <w:rPr>
          <w:rFonts w:hint="eastAsia" w:ascii="仿宋" w:hAnsi="仿宋" w:eastAsia="仿宋" w:cs="仿宋"/>
          <w:kern w:val="2"/>
          <w:sz w:val="24"/>
          <w:szCs w:val="24"/>
          <w:highlight w:val="none"/>
        </w:rPr>
        <w:t>）。如成交供应商服务质量高，采购人满意，可以采取1+N年［N≤2］方式续签合同。</w:t>
      </w:r>
    </w:p>
    <w:p w14:paraId="68E0161A">
      <w:pPr>
        <w:adjustRightInd/>
        <w:snapToGrid/>
        <w:spacing w:after="0" w:line="400" w:lineRule="exact"/>
        <w:ind w:firstLine="48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二、供应商的资格要求</w:t>
      </w:r>
    </w:p>
    <w:p w14:paraId="2BE87E17">
      <w:pPr>
        <w:pStyle w:val="14"/>
        <w:adjustRightInd/>
        <w:snapToGrid/>
        <w:spacing w:before="0" w:beforeAutospacing="0" w:after="0" w:afterAutospacing="0" w:line="400" w:lineRule="exact"/>
        <w:ind w:right="720" w:firstLine="420"/>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rPr>
        <w:t>1.</w:t>
      </w:r>
      <w:r>
        <w:rPr>
          <w:rFonts w:hint="eastAsia" w:ascii="仿宋" w:hAnsi="仿宋" w:eastAsia="仿宋" w:cs="仿宋"/>
          <w:highlight w:val="none"/>
          <w:shd w:val="clear" w:color="auto" w:fill="FFFFFF"/>
          <w:lang w:val="zh-CN"/>
        </w:rPr>
        <w:t>符合政府采购法22条规定：</w:t>
      </w:r>
      <w:r>
        <w:rPr>
          <w:rFonts w:hint="eastAsia" w:ascii="仿宋" w:hAnsi="仿宋" w:eastAsia="仿宋" w:cs="仿宋"/>
          <w:highlight w:val="none"/>
          <w:shd w:val="clear" w:color="auto" w:fill="FFFFFF"/>
        </w:rPr>
        <w:t>具有独立承担民事责任的能力；具有良好的商业信誉和健全的财务会计制度；具有履行合同所必需的设备和专业</w:t>
      </w:r>
      <w:r>
        <w:rPr>
          <w:rFonts w:hint="eastAsia" w:ascii="仿宋" w:hAnsi="仿宋" w:eastAsia="仿宋" w:cs="仿宋"/>
          <w:highlight w:val="none"/>
          <w:shd w:val="clear" w:color="auto" w:fill="FFFFFF"/>
          <w:lang w:val="zh-CN"/>
        </w:rPr>
        <w:t>技术能力；有依法缴纳税收和社会保障资金的良好记录；参加本次政府采购活动前三年内，在经营活动中没有重大违法记录。</w:t>
      </w:r>
    </w:p>
    <w:p w14:paraId="12184829">
      <w:pPr>
        <w:pStyle w:val="14"/>
        <w:adjustRightInd/>
        <w:snapToGrid/>
        <w:spacing w:before="0" w:beforeAutospacing="0" w:after="0" w:afterAutospacing="0" w:line="400" w:lineRule="exact"/>
        <w:ind w:right="720" w:firstLine="420"/>
        <w:rPr>
          <w:rFonts w:hint="eastAsia" w:ascii="仿宋" w:hAnsi="仿宋" w:eastAsia="仿宋" w:cs="仿宋"/>
          <w:highlight w:val="none"/>
          <w:shd w:val="clear" w:color="auto" w:fill="FFFFFF"/>
        </w:rPr>
      </w:pPr>
      <w:r>
        <w:rPr>
          <w:rFonts w:hint="eastAsia" w:ascii="仿宋" w:hAnsi="仿宋" w:eastAsia="仿宋" w:cs="仿宋"/>
          <w:highlight w:val="none"/>
          <w:shd w:val="clear" w:color="auto" w:fill="FFFFFF"/>
        </w:rPr>
        <w:t>2.其他资格要求：</w:t>
      </w:r>
    </w:p>
    <w:p w14:paraId="6D7563AD">
      <w:pPr>
        <w:pStyle w:val="14"/>
        <w:adjustRightInd/>
        <w:snapToGrid/>
        <w:spacing w:before="0" w:beforeAutospacing="0" w:after="0" w:afterAutospacing="0" w:line="400" w:lineRule="exact"/>
        <w:ind w:right="720" w:firstLine="420"/>
        <w:rPr>
          <w:rFonts w:hint="eastAsia" w:ascii="仿宋" w:hAnsi="仿宋" w:eastAsia="仿宋" w:cs="仿宋"/>
          <w:highlight w:val="none"/>
          <w:shd w:val="clear" w:color="auto" w:fill="FFFFFF"/>
        </w:rPr>
      </w:pPr>
      <w:r>
        <w:rPr>
          <w:rFonts w:hint="eastAsia" w:ascii="仿宋" w:hAnsi="仿宋" w:eastAsia="仿宋" w:cs="仿宋"/>
          <w:highlight w:val="none"/>
          <w:shd w:val="clear" w:color="auto" w:fill="FFFFFF"/>
        </w:rPr>
        <w:t>（1）具有独立承担民事责任的能力（提供有效的营业执照复印件）；</w:t>
      </w:r>
    </w:p>
    <w:p w14:paraId="0B307ACF">
      <w:pPr>
        <w:pStyle w:val="14"/>
        <w:adjustRightInd/>
        <w:snapToGrid/>
        <w:spacing w:before="0" w:beforeAutospacing="0" w:after="0" w:afterAutospacing="0" w:line="400" w:lineRule="exact"/>
        <w:ind w:right="720" w:firstLine="420"/>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（2）法定代表人为同一个人的两个及两个以上法人，母公司、全资子公司及其控股公司，都不得在同一采购项目相同标段中同时投标，一经发现，将视同围标处理；</w:t>
      </w:r>
    </w:p>
    <w:p w14:paraId="1DFB8F4B">
      <w:pPr>
        <w:pStyle w:val="14"/>
        <w:adjustRightInd/>
        <w:snapToGrid/>
        <w:spacing w:before="0" w:beforeAutospacing="0" w:after="0" w:afterAutospacing="0" w:line="400" w:lineRule="exact"/>
        <w:ind w:right="720" w:firstLine="420"/>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w:t>
      </w:r>
      <w:r>
        <w:rPr>
          <w:rFonts w:hint="eastAsia" w:ascii="仿宋" w:hAnsi="仿宋" w:eastAsia="仿宋" w:cs="仿宋"/>
          <w:highlight w:val="none"/>
          <w:shd w:val="clear" w:color="auto" w:fill="FFFFFF"/>
        </w:rPr>
        <w:t>3</w:t>
      </w:r>
      <w:r>
        <w:rPr>
          <w:rFonts w:hint="eastAsia" w:ascii="仿宋" w:hAnsi="仿宋" w:eastAsia="仿宋" w:cs="仿宋"/>
          <w:highlight w:val="none"/>
          <w:shd w:val="clear" w:color="auto" w:fill="FFFFFF"/>
          <w:lang w:val="zh-CN"/>
        </w:rPr>
        <w:t>）本项目不接受联合体投标。</w:t>
      </w:r>
    </w:p>
    <w:p w14:paraId="676320A4">
      <w:pPr>
        <w:pStyle w:val="14"/>
        <w:adjustRightInd/>
        <w:snapToGrid/>
        <w:spacing w:before="0" w:beforeAutospacing="0" w:after="0" w:afterAutospacing="0" w:line="400" w:lineRule="exact"/>
        <w:ind w:right="720" w:firstLine="420"/>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rPr>
        <w:t>3.</w:t>
      </w:r>
      <w:r>
        <w:rPr>
          <w:rFonts w:hint="eastAsia" w:ascii="仿宋" w:hAnsi="仿宋" w:eastAsia="仿宋" w:cs="仿宋"/>
          <w:highlight w:val="none"/>
          <w:shd w:val="clear" w:color="auto" w:fill="FFFFFF"/>
          <w:lang w:val="zh-CN"/>
        </w:rPr>
        <w:t>未被“信用中国”网站列入失信被执行人、重大税收违法案件当事人名单、政府采购严重失信行为记录名单。</w:t>
      </w:r>
    </w:p>
    <w:p w14:paraId="1C2FEF9E">
      <w:pPr>
        <w:adjustRightInd/>
        <w:snapToGrid/>
        <w:spacing w:after="0" w:line="400" w:lineRule="exact"/>
        <w:ind w:firstLine="48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三、获取采购文件</w:t>
      </w:r>
    </w:p>
    <w:p w14:paraId="45527E5E">
      <w:pPr>
        <w:adjustRightInd/>
        <w:snapToGrid/>
        <w:spacing w:after="0" w:line="400" w:lineRule="exact"/>
        <w:ind w:firstLine="480"/>
        <w:rPr>
          <w:rFonts w:hint="eastAsia" w:ascii="仿宋" w:hAnsi="仿宋" w:eastAsia="仿宋" w:cs="仿宋"/>
          <w:sz w:val="24"/>
          <w:szCs w:val="24"/>
          <w:highlight w:val="none"/>
        </w:rPr>
      </w:pPr>
      <w:r>
        <w:rPr>
          <w:rFonts w:hint="eastAsia" w:ascii="仿宋" w:hAnsi="仿宋" w:eastAsia="仿宋" w:cs="仿宋"/>
          <w:b/>
          <w:bCs/>
          <w:sz w:val="24"/>
          <w:szCs w:val="24"/>
          <w:highlight w:val="none"/>
        </w:rPr>
        <w:t>1．获取地点：</w:t>
      </w:r>
      <w:r>
        <w:rPr>
          <w:rFonts w:hint="eastAsia" w:ascii="仿宋" w:hAnsi="仿宋" w:eastAsia="仿宋" w:cs="仿宋"/>
          <w:sz w:val="24"/>
          <w:szCs w:val="24"/>
          <w:highlight w:val="none"/>
        </w:rPr>
        <w:t>在投标截止时间202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24</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时</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分（北京时间）前，应通过“南通市教育局网”或“江苏省南通第一中学网站”随时查阅、下载本项目采购文件。</w:t>
      </w:r>
    </w:p>
    <w:p w14:paraId="7FA93426">
      <w:pPr>
        <w:adjustRightInd/>
        <w:snapToGrid/>
        <w:spacing w:after="0" w:line="400" w:lineRule="exact"/>
        <w:ind w:firstLine="480"/>
        <w:rPr>
          <w:rFonts w:hint="eastAsia" w:ascii="仿宋" w:hAnsi="仿宋" w:eastAsia="仿宋" w:cs="仿宋"/>
          <w:sz w:val="24"/>
          <w:szCs w:val="24"/>
          <w:highlight w:val="none"/>
        </w:rPr>
      </w:pPr>
      <w:r>
        <w:rPr>
          <w:rFonts w:hint="eastAsia" w:ascii="仿宋" w:hAnsi="仿宋" w:eastAsia="仿宋" w:cs="仿宋"/>
          <w:b/>
          <w:bCs/>
          <w:sz w:val="24"/>
          <w:szCs w:val="24"/>
          <w:highlight w:val="none"/>
        </w:rPr>
        <w:t>2．方式：</w:t>
      </w:r>
      <w:r>
        <w:rPr>
          <w:rFonts w:hint="eastAsia" w:ascii="仿宋" w:hAnsi="仿宋" w:eastAsia="仿宋" w:cs="仿宋"/>
          <w:sz w:val="24"/>
          <w:szCs w:val="24"/>
          <w:highlight w:val="none"/>
        </w:rPr>
        <w:t>自行下载</w:t>
      </w:r>
    </w:p>
    <w:p w14:paraId="1C85CB98">
      <w:pPr>
        <w:adjustRightInd/>
        <w:snapToGrid/>
        <w:spacing w:after="0" w:line="400" w:lineRule="exact"/>
        <w:ind w:firstLine="48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四、响应文件提交</w:t>
      </w:r>
    </w:p>
    <w:p w14:paraId="39F76046">
      <w:pPr>
        <w:adjustRightInd/>
        <w:snapToGrid/>
        <w:spacing w:after="0" w:line="400" w:lineRule="exact"/>
        <w:ind w:firstLine="480"/>
        <w:rPr>
          <w:rFonts w:hint="eastAsia" w:ascii="仿宋" w:hAnsi="仿宋" w:eastAsia="仿宋" w:cs="仿宋"/>
          <w:sz w:val="24"/>
          <w:szCs w:val="24"/>
          <w:highlight w:val="none"/>
        </w:rPr>
      </w:pPr>
      <w:r>
        <w:rPr>
          <w:rFonts w:hint="eastAsia" w:ascii="仿宋" w:hAnsi="仿宋" w:eastAsia="仿宋" w:cs="仿宋"/>
          <w:b/>
          <w:bCs/>
          <w:sz w:val="24"/>
          <w:szCs w:val="24"/>
          <w:highlight w:val="none"/>
        </w:rPr>
        <w:t>截止时间：</w:t>
      </w:r>
      <w:r>
        <w:rPr>
          <w:rFonts w:hint="eastAsia" w:ascii="仿宋" w:hAnsi="仿宋" w:eastAsia="仿宋" w:cs="仿宋"/>
          <w:sz w:val="24"/>
          <w:szCs w:val="24"/>
          <w:highlight w:val="none"/>
        </w:rPr>
        <w:t>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24</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时</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分（北京时间）</w:t>
      </w:r>
    </w:p>
    <w:p w14:paraId="00710183">
      <w:pPr>
        <w:adjustRightInd/>
        <w:snapToGrid/>
        <w:spacing w:after="0" w:line="400" w:lineRule="exact"/>
        <w:ind w:firstLine="480"/>
        <w:rPr>
          <w:rFonts w:hint="eastAsia" w:ascii="仿宋" w:hAnsi="仿宋" w:eastAsia="仿宋" w:cs="仿宋"/>
          <w:sz w:val="24"/>
          <w:szCs w:val="24"/>
          <w:highlight w:val="none"/>
        </w:rPr>
      </w:pPr>
      <w:r>
        <w:rPr>
          <w:rFonts w:hint="eastAsia" w:ascii="仿宋" w:hAnsi="仿宋" w:eastAsia="仿宋" w:cs="仿宋"/>
          <w:b/>
          <w:bCs/>
          <w:sz w:val="24"/>
          <w:szCs w:val="24"/>
          <w:highlight w:val="none"/>
        </w:rPr>
        <w:t>地点：</w:t>
      </w:r>
      <w:r>
        <w:rPr>
          <w:rFonts w:hint="eastAsia" w:ascii="仿宋" w:hAnsi="仿宋" w:eastAsia="仿宋" w:cs="仿宋"/>
          <w:b w:val="0"/>
          <w:bCs w:val="0"/>
          <w:sz w:val="24"/>
          <w:szCs w:val="24"/>
          <w:highlight w:val="none"/>
          <w:u w:val="single"/>
          <w:lang w:val="zh-CN"/>
        </w:rPr>
        <w:t>南通市崇川区</w:t>
      </w:r>
      <w:r>
        <w:rPr>
          <w:rFonts w:hint="eastAsia" w:ascii="仿宋" w:hAnsi="仿宋" w:eastAsia="仿宋" w:cs="仿宋"/>
          <w:b w:val="0"/>
          <w:bCs w:val="0"/>
          <w:sz w:val="24"/>
          <w:szCs w:val="24"/>
          <w:highlight w:val="none"/>
          <w:u w:val="single"/>
          <w:lang w:val="en-US" w:eastAsia="zh-CN"/>
        </w:rPr>
        <w:t>人民西路38号，江苏省南通第一中学俯仰楼120会议室</w:t>
      </w:r>
      <w:r>
        <w:rPr>
          <w:rFonts w:hint="eastAsia" w:ascii="仿宋" w:hAnsi="仿宋" w:eastAsia="仿宋" w:cs="仿宋"/>
          <w:b w:val="0"/>
          <w:bCs w:val="0"/>
          <w:sz w:val="24"/>
          <w:szCs w:val="24"/>
          <w:highlight w:val="none"/>
          <w:u w:val="single"/>
          <w:lang w:val="zh-CN"/>
        </w:rPr>
        <w:t>，如有变动另行通知</w:t>
      </w:r>
      <w:r>
        <w:rPr>
          <w:rFonts w:hint="eastAsia" w:ascii="仿宋" w:hAnsi="仿宋" w:eastAsia="仿宋" w:cs="仿宋"/>
          <w:sz w:val="24"/>
          <w:szCs w:val="24"/>
          <w:highlight w:val="none"/>
          <w:u w:val="single"/>
          <w:lang w:val="zh-CN"/>
        </w:rPr>
        <w:t>。</w:t>
      </w:r>
    </w:p>
    <w:p w14:paraId="6F75B6D0">
      <w:pPr>
        <w:adjustRightInd/>
        <w:snapToGrid/>
        <w:spacing w:after="0" w:line="400" w:lineRule="exact"/>
        <w:ind w:firstLine="48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五、开启</w:t>
      </w:r>
    </w:p>
    <w:p w14:paraId="11BE3C21">
      <w:pPr>
        <w:adjustRightInd/>
        <w:snapToGrid/>
        <w:spacing w:after="0" w:line="400" w:lineRule="exact"/>
        <w:ind w:firstLine="480"/>
        <w:rPr>
          <w:rFonts w:hint="eastAsia" w:ascii="仿宋" w:hAnsi="仿宋" w:eastAsia="仿宋" w:cs="仿宋"/>
          <w:sz w:val="24"/>
          <w:szCs w:val="24"/>
          <w:highlight w:val="none"/>
        </w:rPr>
      </w:pPr>
      <w:r>
        <w:rPr>
          <w:rFonts w:hint="eastAsia" w:ascii="仿宋" w:hAnsi="仿宋" w:eastAsia="仿宋" w:cs="仿宋"/>
          <w:b/>
          <w:bCs/>
          <w:sz w:val="24"/>
          <w:szCs w:val="24"/>
          <w:highlight w:val="none"/>
        </w:rPr>
        <w:t>时间：</w:t>
      </w:r>
      <w:r>
        <w:rPr>
          <w:rFonts w:hint="eastAsia" w:ascii="仿宋" w:hAnsi="仿宋" w:eastAsia="仿宋" w:cs="仿宋"/>
          <w:sz w:val="24"/>
          <w:szCs w:val="24"/>
          <w:highlight w:val="none"/>
        </w:rPr>
        <w:t>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24</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时</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分（北京时间）</w:t>
      </w:r>
    </w:p>
    <w:p w14:paraId="60DBB586">
      <w:pPr>
        <w:adjustRightInd/>
        <w:snapToGrid/>
        <w:spacing w:after="0" w:line="400" w:lineRule="exact"/>
        <w:ind w:firstLine="480"/>
        <w:rPr>
          <w:rFonts w:hint="eastAsia" w:ascii="仿宋" w:hAnsi="仿宋" w:eastAsia="仿宋" w:cs="仿宋"/>
          <w:sz w:val="24"/>
          <w:szCs w:val="24"/>
          <w:highlight w:val="none"/>
        </w:rPr>
      </w:pPr>
      <w:r>
        <w:rPr>
          <w:rFonts w:hint="eastAsia" w:ascii="仿宋" w:hAnsi="仿宋" w:eastAsia="仿宋" w:cs="仿宋"/>
          <w:b/>
          <w:bCs/>
          <w:sz w:val="24"/>
          <w:szCs w:val="24"/>
          <w:highlight w:val="none"/>
        </w:rPr>
        <w:t>地点：</w:t>
      </w:r>
      <w:r>
        <w:rPr>
          <w:rFonts w:hint="eastAsia" w:ascii="仿宋" w:hAnsi="仿宋" w:eastAsia="仿宋" w:cs="仿宋"/>
          <w:b w:val="0"/>
          <w:bCs w:val="0"/>
          <w:sz w:val="24"/>
          <w:szCs w:val="24"/>
          <w:highlight w:val="none"/>
          <w:u w:val="single"/>
          <w:lang w:val="zh-CN"/>
        </w:rPr>
        <w:t>南通市崇川区</w:t>
      </w:r>
      <w:r>
        <w:rPr>
          <w:rFonts w:hint="eastAsia" w:ascii="仿宋" w:hAnsi="仿宋" w:eastAsia="仿宋" w:cs="仿宋"/>
          <w:b w:val="0"/>
          <w:bCs w:val="0"/>
          <w:sz w:val="24"/>
          <w:szCs w:val="24"/>
          <w:highlight w:val="none"/>
          <w:u w:val="single"/>
          <w:lang w:val="en-US" w:eastAsia="zh-CN"/>
        </w:rPr>
        <w:t>人民西路38号，江苏省南通第一中学俯仰楼120会议室</w:t>
      </w:r>
      <w:r>
        <w:rPr>
          <w:rFonts w:hint="eastAsia" w:ascii="仿宋" w:hAnsi="仿宋" w:eastAsia="仿宋" w:cs="仿宋"/>
          <w:b w:val="0"/>
          <w:bCs w:val="0"/>
          <w:sz w:val="24"/>
          <w:szCs w:val="24"/>
          <w:highlight w:val="none"/>
          <w:u w:val="single"/>
          <w:lang w:val="zh-CN"/>
        </w:rPr>
        <w:t>，如有变动另行通知</w:t>
      </w:r>
      <w:r>
        <w:rPr>
          <w:rFonts w:hint="eastAsia" w:ascii="仿宋" w:hAnsi="仿宋" w:eastAsia="仿宋" w:cs="仿宋"/>
          <w:sz w:val="24"/>
          <w:szCs w:val="24"/>
          <w:highlight w:val="none"/>
          <w:u w:val="single"/>
          <w:lang w:val="zh-CN"/>
        </w:rPr>
        <w:t>。</w:t>
      </w:r>
    </w:p>
    <w:p w14:paraId="17A2B075">
      <w:pPr>
        <w:adjustRightInd/>
        <w:snapToGrid/>
        <w:spacing w:after="0" w:line="400" w:lineRule="exact"/>
        <w:ind w:firstLine="48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六、公告期限</w:t>
      </w:r>
    </w:p>
    <w:p w14:paraId="0B9851F3">
      <w:pPr>
        <w:adjustRightInd/>
        <w:snapToGrid/>
        <w:spacing w:after="0" w:line="40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自本公告发布之日起3个工作日。</w:t>
      </w:r>
    </w:p>
    <w:p w14:paraId="112746A8">
      <w:pPr>
        <w:adjustRightInd/>
        <w:snapToGrid/>
        <w:spacing w:after="0" w:line="400" w:lineRule="exact"/>
        <w:ind w:firstLine="48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七、其他补充事宜</w:t>
      </w:r>
    </w:p>
    <w:p w14:paraId="04BEA78E">
      <w:pPr>
        <w:adjustRightInd/>
        <w:snapToGrid/>
        <w:spacing w:after="0" w:line="400" w:lineRule="exact"/>
        <w:ind w:firstLine="530" w:firstLineChars="221"/>
        <w:contextualSpacing/>
        <w:rPr>
          <w:rFonts w:hint="eastAsia" w:ascii="仿宋" w:hAnsi="仿宋" w:eastAsia="仿宋" w:cs="仿宋"/>
          <w:sz w:val="24"/>
          <w:szCs w:val="24"/>
          <w:highlight w:val="none"/>
        </w:rPr>
      </w:pPr>
      <w:r>
        <w:rPr>
          <w:rFonts w:hint="eastAsia" w:ascii="仿宋" w:hAnsi="仿宋" w:eastAsia="仿宋" w:cs="仿宋"/>
          <w:sz w:val="24"/>
          <w:szCs w:val="24"/>
          <w:highlight w:val="none"/>
        </w:rPr>
        <w:t>1、对项目询问、质疑请向采购人提出，由采购人负责答复。</w:t>
      </w:r>
    </w:p>
    <w:p w14:paraId="2AFCE159">
      <w:pPr>
        <w:adjustRightInd/>
        <w:snapToGrid/>
        <w:spacing w:after="0" w:line="400" w:lineRule="exact"/>
        <w:ind w:firstLine="530" w:firstLineChars="221"/>
        <w:contextualSpacing/>
        <w:rPr>
          <w:rFonts w:hint="eastAsia" w:ascii="仿宋" w:hAnsi="仿宋" w:eastAsia="仿宋" w:cs="仿宋"/>
          <w:sz w:val="24"/>
          <w:szCs w:val="24"/>
          <w:highlight w:val="none"/>
        </w:rPr>
      </w:pPr>
      <w:r>
        <w:rPr>
          <w:rFonts w:hint="eastAsia" w:ascii="仿宋" w:hAnsi="仿宋" w:eastAsia="仿宋" w:cs="仿宋"/>
          <w:sz w:val="24"/>
          <w:szCs w:val="24"/>
          <w:highlight w:val="none"/>
        </w:rPr>
        <w:t>2、本项目采取最低折扣率中标原则。</w:t>
      </w:r>
    </w:p>
    <w:p w14:paraId="2A807E9F">
      <w:pPr>
        <w:adjustRightInd/>
        <w:snapToGrid/>
        <w:spacing w:after="0" w:line="400" w:lineRule="exact"/>
        <w:ind w:firstLine="530" w:firstLineChars="221"/>
        <w:contextualSpacing/>
        <w:rPr>
          <w:rFonts w:hint="eastAsia" w:ascii="仿宋" w:hAnsi="仿宋" w:eastAsia="仿宋" w:cs="仿宋"/>
          <w:sz w:val="24"/>
          <w:szCs w:val="24"/>
          <w:highlight w:val="none"/>
        </w:rPr>
      </w:pPr>
      <w:r>
        <w:rPr>
          <w:rFonts w:hint="eastAsia" w:ascii="仿宋" w:hAnsi="仿宋" w:eastAsia="仿宋" w:cs="仿宋"/>
          <w:sz w:val="24"/>
          <w:szCs w:val="24"/>
          <w:highlight w:val="none"/>
        </w:rPr>
        <w:t>3、潜在供应商于202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月2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日每天上午8:00-11:00或下午14:00-17:00至</w:t>
      </w:r>
      <w:r>
        <w:rPr>
          <w:rFonts w:hint="eastAsia" w:ascii="仿宋" w:hAnsi="仿宋" w:eastAsia="仿宋" w:cs="仿宋"/>
          <w:sz w:val="24"/>
          <w:szCs w:val="24"/>
          <w:highlight w:val="none"/>
          <w:lang w:val="en-US" w:eastAsia="zh-CN"/>
        </w:rPr>
        <w:t>江苏省南通第一中学</w:t>
      </w:r>
      <w:r>
        <w:rPr>
          <w:rFonts w:hint="eastAsia" w:ascii="仿宋" w:hAnsi="仿宋" w:eastAsia="仿宋" w:cs="仿宋"/>
          <w:sz w:val="24"/>
          <w:szCs w:val="24"/>
          <w:highlight w:val="none"/>
        </w:rPr>
        <w:t>查勘现场。现场联系人：</w:t>
      </w:r>
      <w:r>
        <w:rPr>
          <w:rFonts w:hint="eastAsia" w:ascii="仿宋" w:hAnsi="仿宋" w:eastAsia="仿宋" w:cs="仿宋"/>
          <w:sz w:val="24"/>
          <w:szCs w:val="24"/>
          <w:highlight w:val="none"/>
          <w:lang w:val="en-US" w:eastAsia="zh-CN"/>
        </w:rPr>
        <w:t>唐</w:t>
      </w:r>
      <w:r>
        <w:rPr>
          <w:rFonts w:hint="eastAsia" w:ascii="仿宋" w:hAnsi="仿宋" w:eastAsia="仿宋" w:cs="仿宋"/>
          <w:sz w:val="24"/>
          <w:szCs w:val="24"/>
          <w:highlight w:val="none"/>
        </w:rPr>
        <w:t>老师，联系方式：0513-</w:t>
      </w:r>
      <w:r>
        <w:rPr>
          <w:rFonts w:hint="eastAsia" w:ascii="仿宋" w:hAnsi="仿宋" w:eastAsia="仿宋" w:cs="仿宋"/>
          <w:sz w:val="24"/>
          <w:szCs w:val="24"/>
          <w:highlight w:val="none"/>
          <w:lang w:val="en-US" w:eastAsia="zh-CN"/>
        </w:rPr>
        <w:t>85058241、13515206019</w:t>
      </w:r>
      <w:r>
        <w:rPr>
          <w:rFonts w:hint="eastAsia" w:ascii="仿宋" w:hAnsi="仿宋" w:eastAsia="仿宋" w:cs="仿宋"/>
          <w:sz w:val="24"/>
          <w:szCs w:val="24"/>
          <w:highlight w:val="none"/>
        </w:rPr>
        <w:t>。如不查勘现场而投标，后果自负。</w:t>
      </w:r>
    </w:p>
    <w:p w14:paraId="30934E97">
      <w:pPr>
        <w:adjustRightInd/>
        <w:snapToGrid/>
        <w:spacing w:after="0" w:line="400" w:lineRule="exact"/>
        <w:ind w:firstLine="48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八、凡对本次采购提出询问，请按以下方式联系。</w:t>
      </w:r>
    </w:p>
    <w:p w14:paraId="6F7B6F62">
      <w:pPr>
        <w:adjustRightInd/>
        <w:snapToGrid/>
        <w:spacing w:after="0" w:line="400" w:lineRule="exact"/>
        <w:ind w:firstLine="48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1.采购人信息</w:t>
      </w:r>
    </w:p>
    <w:p w14:paraId="6A08DF66">
      <w:pPr>
        <w:adjustRightInd/>
        <w:snapToGrid/>
        <w:spacing w:after="0" w:line="400" w:lineRule="exact"/>
        <w:ind w:firstLine="48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名称：</w:t>
      </w:r>
      <w:r>
        <w:rPr>
          <w:rFonts w:hint="eastAsia" w:ascii="仿宋" w:hAnsi="仿宋" w:eastAsia="仿宋" w:cs="仿宋"/>
          <w:sz w:val="24"/>
          <w:szCs w:val="24"/>
          <w:highlight w:val="none"/>
          <w:lang w:val="en-US" w:eastAsia="zh-CN"/>
        </w:rPr>
        <w:t>江苏省南通第一中学</w:t>
      </w:r>
    </w:p>
    <w:p w14:paraId="271E7CDD">
      <w:pPr>
        <w:adjustRightInd/>
        <w:snapToGrid/>
        <w:spacing w:after="0" w:line="400" w:lineRule="exact"/>
        <w:ind w:firstLine="48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lang w:val="en-US" w:eastAsia="zh-CN"/>
        </w:rPr>
        <w:t>唐</w:t>
      </w:r>
      <w:r>
        <w:rPr>
          <w:rFonts w:hint="eastAsia" w:ascii="仿宋" w:hAnsi="仿宋" w:eastAsia="仿宋" w:cs="仿宋"/>
          <w:sz w:val="24"/>
          <w:szCs w:val="24"/>
          <w:highlight w:val="none"/>
        </w:rPr>
        <w:t>老师 ；联系方式：0513-</w:t>
      </w:r>
      <w:r>
        <w:rPr>
          <w:rFonts w:hint="eastAsia" w:ascii="仿宋" w:hAnsi="仿宋" w:eastAsia="仿宋" w:cs="仿宋"/>
          <w:sz w:val="24"/>
          <w:szCs w:val="24"/>
          <w:highlight w:val="none"/>
          <w:lang w:val="en-US" w:eastAsia="zh-CN"/>
        </w:rPr>
        <w:t>85058241</w:t>
      </w:r>
    </w:p>
    <w:p w14:paraId="22035096">
      <w:pPr>
        <w:adjustRightInd/>
        <w:snapToGrid/>
        <w:spacing w:after="0" w:line="400" w:lineRule="exact"/>
        <w:ind w:firstLine="480"/>
        <w:rPr>
          <w:rFonts w:hint="eastAsia" w:ascii="仿宋" w:hAnsi="仿宋" w:eastAsia="仿宋" w:cs="仿宋"/>
          <w:sz w:val="28"/>
          <w:szCs w:val="28"/>
          <w:highlight w:val="none"/>
        </w:rPr>
      </w:pPr>
    </w:p>
    <w:p w14:paraId="00EC6494">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46718000">
      <w:pPr>
        <w:adjustRightInd w:val="0"/>
        <w:snapToGrid w:val="0"/>
        <w:spacing w:line="500" w:lineRule="exact"/>
        <w:jc w:val="center"/>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投标须知</w:t>
      </w:r>
    </w:p>
    <w:p w14:paraId="043AF3E0">
      <w:pPr>
        <w:tabs>
          <w:tab w:val="left" w:pos="360"/>
        </w:tabs>
        <w:spacing w:after="60" w:line="460" w:lineRule="exact"/>
        <w:ind w:firstLine="482" w:firstLineChars="200"/>
        <w:rPr>
          <w:rFonts w:hint="eastAsia" w:ascii="仿宋" w:hAnsi="仿宋" w:eastAsia="仿宋" w:cs="仿宋"/>
          <w:b/>
          <w:bCs/>
          <w:color w:val="auto"/>
          <w:sz w:val="24"/>
          <w:highlight w:val="none"/>
        </w:rPr>
      </w:pPr>
      <w:bookmarkStart w:id="0" w:name="_Toc120614214"/>
      <w:bookmarkStart w:id="1" w:name="_Toc20823275"/>
      <w:bookmarkStart w:id="2" w:name="_Toc513029203"/>
      <w:bookmarkStart w:id="3" w:name="_Toc16938519"/>
      <w:r>
        <w:rPr>
          <w:rFonts w:hint="eastAsia" w:ascii="仿宋" w:hAnsi="仿宋" w:eastAsia="仿宋" w:cs="仿宋"/>
          <w:b/>
          <w:bCs/>
          <w:color w:val="auto"/>
          <w:sz w:val="24"/>
          <w:highlight w:val="none"/>
        </w:rPr>
        <w:t>一、总则</w:t>
      </w:r>
      <w:bookmarkEnd w:id="0"/>
      <w:bookmarkEnd w:id="1"/>
      <w:bookmarkEnd w:id="2"/>
      <w:bookmarkEnd w:id="3"/>
    </w:p>
    <w:p w14:paraId="5190E34D">
      <w:pPr>
        <w:tabs>
          <w:tab w:val="left" w:pos="360"/>
        </w:tabs>
        <w:spacing w:after="60" w:line="460" w:lineRule="exact"/>
        <w:ind w:firstLine="480" w:firstLineChars="200"/>
        <w:rPr>
          <w:rFonts w:hint="eastAsia" w:ascii="仿宋" w:hAnsi="仿宋" w:eastAsia="仿宋" w:cs="仿宋"/>
          <w:color w:val="auto"/>
          <w:sz w:val="24"/>
          <w:highlight w:val="none"/>
        </w:rPr>
      </w:pPr>
      <w:bookmarkStart w:id="4" w:name="_Hlt16619475"/>
      <w:bookmarkEnd w:id="4"/>
      <w:bookmarkStart w:id="5" w:name="_Toc458694821"/>
      <w:bookmarkStart w:id="6" w:name="_Toc20823276"/>
      <w:bookmarkStart w:id="7" w:name="_Toc16938520"/>
      <w:bookmarkStart w:id="8" w:name="_Toc513029204"/>
      <w:r>
        <w:rPr>
          <w:rFonts w:hint="eastAsia" w:ascii="仿宋" w:hAnsi="仿宋" w:eastAsia="仿宋" w:cs="仿宋"/>
          <w:color w:val="auto"/>
          <w:sz w:val="24"/>
          <w:highlight w:val="none"/>
        </w:rPr>
        <w:t>1</w:t>
      </w:r>
      <w:bookmarkEnd w:id="5"/>
      <w:r>
        <w:rPr>
          <w:rFonts w:hint="eastAsia" w:ascii="仿宋" w:hAnsi="仿宋" w:eastAsia="仿宋" w:cs="仿宋"/>
          <w:color w:val="auto"/>
          <w:sz w:val="24"/>
          <w:highlight w:val="none"/>
        </w:rPr>
        <w:t>.招标方式</w:t>
      </w:r>
      <w:bookmarkEnd w:id="6"/>
      <w:bookmarkEnd w:id="7"/>
      <w:bookmarkEnd w:id="8"/>
    </w:p>
    <w:p w14:paraId="23D1B8B1">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 本次招标采取</w:t>
      </w:r>
      <w:r>
        <w:rPr>
          <w:rFonts w:hint="eastAsia" w:ascii="仿宋" w:hAnsi="仿宋" w:eastAsia="仿宋" w:cs="仿宋"/>
          <w:color w:val="auto"/>
          <w:sz w:val="24"/>
          <w:highlight w:val="none"/>
          <w:lang w:eastAsia="zh-CN"/>
        </w:rPr>
        <w:t>比价</w:t>
      </w:r>
      <w:r>
        <w:rPr>
          <w:rFonts w:hint="eastAsia" w:ascii="仿宋" w:hAnsi="仿宋" w:eastAsia="仿宋" w:cs="仿宋"/>
          <w:color w:val="auto"/>
          <w:sz w:val="24"/>
          <w:highlight w:val="none"/>
        </w:rPr>
        <w:t>方式，本</w:t>
      </w:r>
      <w:r>
        <w:rPr>
          <w:rFonts w:hint="eastAsia" w:ascii="仿宋" w:hAnsi="仿宋" w:eastAsia="仿宋" w:cs="仿宋"/>
          <w:color w:val="auto"/>
          <w:sz w:val="24"/>
          <w:highlight w:val="none"/>
          <w:lang w:eastAsia="zh-CN"/>
        </w:rPr>
        <w:t>比价文件</w:t>
      </w:r>
      <w:r>
        <w:rPr>
          <w:rFonts w:hint="eastAsia" w:ascii="仿宋" w:hAnsi="仿宋" w:eastAsia="仿宋" w:cs="仿宋"/>
          <w:color w:val="auto"/>
          <w:sz w:val="24"/>
          <w:highlight w:val="none"/>
        </w:rPr>
        <w:t>仅适用于</w:t>
      </w:r>
      <w:r>
        <w:rPr>
          <w:rFonts w:hint="eastAsia" w:ascii="仿宋" w:hAnsi="仿宋" w:eastAsia="仿宋" w:cs="仿宋"/>
          <w:color w:val="auto"/>
          <w:sz w:val="24"/>
          <w:highlight w:val="none"/>
          <w:lang w:eastAsia="zh-CN"/>
        </w:rPr>
        <w:t>比价公告</w:t>
      </w:r>
      <w:r>
        <w:rPr>
          <w:rFonts w:hint="eastAsia" w:ascii="仿宋" w:hAnsi="仿宋" w:eastAsia="仿宋" w:cs="仿宋"/>
          <w:color w:val="auto"/>
          <w:sz w:val="24"/>
          <w:highlight w:val="none"/>
        </w:rPr>
        <w:t>中所述项目。</w:t>
      </w:r>
    </w:p>
    <w:p w14:paraId="6E8E50DC">
      <w:pPr>
        <w:tabs>
          <w:tab w:val="left" w:pos="360"/>
        </w:tabs>
        <w:spacing w:after="60" w:line="460" w:lineRule="exact"/>
        <w:ind w:firstLine="480" w:firstLineChars="200"/>
        <w:rPr>
          <w:rFonts w:hint="eastAsia" w:ascii="仿宋" w:hAnsi="仿宋" w:eastAsia="仿宋" w:cs="仿宋"/>
          <w:color w:val="auto"/>
          <w:sz w:val="24"/>
          <w:highlight w:val="none"/>
          <w:lang w:eastAsia="zh-CN"/>
        </w:rPr>
      </w:pPr>
      <w:bookmarkStart w:id="9" w:name="_Toc513029205"/>
      <w:bookmarkStart w:id="10" w:name="_Toc16938521"/>
      <w:bookmarkStart w:id="11" w:name="_Toc20823277"/>
      <w:r>
        <w:rPr>
          <w:rFonts w:hint="eastAsia" w:ascii="仿宋" w:hAnsi="仿宋" w:eastAsia="仿宋" w:cs="仿宋"/>
          <w:color w:val="auto"/>
          <w:sz w:val="24"/>
          <w:highlight w:val="none"/>
        </w:rPr>
        <w:t>2.合格的</w:t>
      </w:r>
      <w:bookmarkEnd w:id="9"/>
      <w:bookmarkEnd w:id="10"/>
      <w:bookmarkEnd w:id="11"/>
      <w:r>
        <w:rPr>
          <w:rFonts w:hint="eastAsia" w:ascii="仿宋" w:hAnsi="仿宋" w:eastAsia="仿宋" w:cs="仿宋"/>
          <w:color w:val="auto"/>
          <w:sz w:val="24"/>
          <w:highlight w:val="none"/>
          <w:lang w:eastAsia="zh-CN"/>
        </w:rPr>
        <w:t>供应商</w:t>
      </w:r>
    </w:p>
    <w:p w14:paraId="65FBF14A">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2.1满足</w:t>
      </w:r>
      <w:r>
        <w:rPr>
          <w:rFonts w:hint="eastAsia" w:ascii="仿宋" w:hAnsi="仿宋" w:eastAsia="仿宋" w:cs="仿宋"/>
          <w:color w:val="auto"/>
          <w:sz w:val="24"/>
          <w:highlight w:val="none"/>
          <w:lang w:eastAsia="zh-CN"/>
        </w:rPr>
        <w:t>比价公告</w:t>
      </w:r>
      <w:r>
        <w:rPr>
          <w:rFonts w:hint="eastAsia" w:ascii="仿宋" w:hAnsi="仿宋" w:eastAsia="仿宋" w:cs="仿宋"/>
          <w:color w:val="auto"/>
          <w:sz w:val="24"/>
          <w:highlight w:val="none"/>
        </w:rPr>
        <w:t>中供应商的资格要求的规定。</w:t>
      </w:r>
    </w:p>
    <w:p w14:paraId="027B3534">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满足本文件实质性条款的规定。</w:t>
      </w:r>
    </w:p>
    <w:p w14:paraId="5D8FCB3E">
      <w:pPr>
        <w:tabs>
          <w:tab w:val="left" w:pos="360"/>
        </w:tabs>
        <w:spacing w:after="60" w:line="460" w:lineRule="exact"/>
        <w:ind w:firstLine="480" w:firstLineChars="200"/>
        <w:rPr>
          <w:rFonts w:hint="eastAsia" w:ascii="仿宋" w:hAnsi="仿宋" w:eastAsia="仿宋" w:cs="仿宋"/>
          <w:color w:val="auto"/>
          <w:sz w:val="24"/>
          <w:highlight w:val="none"/>
        </w:rPr>
      </w:pPr>
      <w:bookmarkStart w:id="12" w:name="_Toc513029206"/>
      <w:bookmarkStart w:id="13" w:name="_Toc16938522"/>
      <w:bookmarkStart w:id="14" w:name="_Toc20823278"/>
      <w:r>
        <w:rPr>
          <w:rFonts w:hint="eastAsia" w:ascii="仿宋" w:hAnsi="仿宋" w:eastAsia="仿宋" w:cs="仿宋"/>
          <w:color w:val="auto"/>
          <w:sz w:val="24"/>
          <w:highlight w:val="none"/>
        </w:rPr>
        <w:t>3.适用法律</w:t>
      </w:r>
      <w:bookmarkEnd w:id="12"/>
      <w:bookmarkEnd w:id="13"/>
      <w:bookmarkEnd w:id="14"/>
    </w:p>
    <w:p w14:paraId="6624DB6A">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3.1本次招标及由此产生的合同受中华人民共和国有关的法律法规制约和保护。</w:t>
      </w:r>
    </w:p>
    <w:p w14:paraId="79CF737E">
      <w:pPr>
        <w:tabs>
          <w:tab w:val="left" w:pos="360"/>
        </w:tabs>
        <w:spacing w:after="60" w:line="460" w:lineRule="exact"/>
        <w:ind w:firstLine="480" w:firstLineChars="200"/>
        <w:rPr>
          <w:rFonts w:hint="eastAsia" w:ascii="仿宋" w:hAnsi="仿宋" w:eastAsia="仿宋" w:cs="仿宋"/>
          <w:color w:val="auto"/>
          <w:sz w:val="24"/>
          <w:highlight w:val="none"/>
        </w:rPr>
      </w:pPr>
      <w:bookmarkStart w:id="15" w:name="_Toc16938523"/>
      <w:bookmarkStart w:id="16" w:name="_Toc513029207"/>
      <w:bookmarkStart w:id="17" w:name="_Toc20823279"/>
      <w:bookmarkStart w:id="18" w:name="_Toc462564067"/>
      <w:r>
        <w:rPr>
          <w:rFonts w:hint="eastAsia" w:ascii="仿宋" w:hAnsi="仿宋" w:eastAsia="仿宋" w:cs="仿宋"/>
          <w:color w:val="auto"/>
          <w:sz w:val="24"/>
          <w:highlight w:val="none"/>
        </w:rPr>
        <w:t>4.投标费用</w:t>
      </w:r>
      <w:bookmarkEnd w:id="15"/>
      <w:bookmarkEnd w:id="16"/>
      <w:bookmarkEnd w:id="17"/>
      <w:bookmarkEnd w:id="18"/>
    </w:p>
    <w:p w14:paraId="717E72E9">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应自行承担所有与参加投标有关的费用，无论投标过程中的做法和结果如何，</w:t>
      </w:r>
      <w:r>
        <w:rPr>
          <w:rFonts w:hint="eastAsia" w:ascii="仿宋" w:hAnsi="仿宋" w:eastAsia="仿宋" w:cs="仿宋"/>
          <w:color w:val="auto"/>
          <w:sz w:val="24"/>
          <w:highlight w:val="none"/>
          <w:lang w:eastAsia="zh-CN"/>
        </w:rPr>
        <w:t>东方华星建设管理（江苏）有限公司</w:t>
      </w:r>
      <w:r>
        <w:rPr>
          <w:rFonts w:hint="eastAsia" w:ascii="仿宋" w:hAnsi="仿宋" w:eastAsia="仿宋" w:cs="仿宋"/>
          <w:color w:val="auto"/>
          <w:sz w:val="24"/>
          <w:highlight w:val="none"/>
        </w:rPr>
        <w:t>（以下简称招标代理机构）在任何情况下均无义务和责任承担这些费用。</w:t>
      </w:r>
    </w:p>
    <w:p w14:paraId="03BC54E8">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4.2本项目招标代理费1400元由</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供应商付给代理机构，供应商报价时应综合考虑（不单列）。</w:t>
      </w:r>
    </w:p>
    <w:p w14:paraId="6CDD84F9">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eastAsia="zh-CN"/>
        </w:rPr>
        <w:t>比价文件</w:t>
      </w:r>
      <w:r>
        <w:rPr>
          <w:rFonts w:hint="eastAsia" w:ascii="仿宋" w:hAnsi="仿宋" w:eastAsia="仿宋" w:cs="仿宋"/>
          <w:color w:val="auto"/>
          <w:sz w:val="24"/>
          <w:highlight w:val="none"/>
        </w:rPr>
        <w:t>的约束力</w:t>
      </w:r>
    </w:p>
    <w:p w14:paraId="5A9FE6D0">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5.1 </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一旦参加本项目采购活动，即被认为接受了本</w:t>
      </w:r>
      <w:r>
        <w:rPr>
          <w:rFonts w:hint="eastAsia" w:ascii="仿宋" w:hAnsi="仿宋" w:eastAsia="仿宋" w:cs="仿宋"/>
          <w:color w:val="auto"/>
          <w:sz w:val="24"/>
          <w:highlight w:val="none"/>
          <w:lang w:eastAsia="zh-CN"/>
        </w:rPr>
        <w:t>比价文件</w:t>
      </w:r>
      <w:r>
        <w:rPr>
          <w:rFonts w:hint="eastAsia" w:ascii="仿宋" w:hAnsi="仿宋" w:eastAsia="仿宋" w:cs="仿宋"/>
          <w:color w:val="auto"/>
          <w:sz w:val="24"/>
          <w:highlight w:val="none"/>
        </w:rPr>
        <w:t>的规定和约束。</w:t>
      </w:r>
    </w:p>
    <w:p w14:paraId="1E630788">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eastAsia="zh-CN"/>
        </w:rPr>
        <w:t>比价文件</w:t>
      </w:r>
      <w:r>
        <w:rPr>
          <w:rFonts w:hint="eastAsia" w:ascii="仿宋" w:hAnsi="仿宋" w:eastAsia="仿宋" w:cs="仿宋"/>
          <w:color w:val="auto"/>
          <w:sz w:val="24"/>
          <w:highlight w:val="none"/>
        </w:rPr>
        <w:t>的解释</w:t>
      </w:r>
    </w:p>
    <w:p w14:paraId="2CB329C9">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w:t>
      </w:r>
      <w:r>
        <w:rPr>
          <w:rFonts w:hint="eastAsia" w:ascii="仿宋" w:hAnsi="仿宋" w:eastAsia="仿宋" w:cs="仿宋"/>
          <w:color w:val="auto"/>
          <w:sz w:val="24"/>
          <w:highlight w:val="none"/>
          <w:lang w:eastAsia="zh-CN"/>
        </w:rPr>
        <w:t>比价文件</w:t>
      </w:r>
      <w:r>
        <w:rPr>
          <w:rFonts w:hint="eastAsia" w:ascii="仿宋" w:hAnsi="仿宋" w:eastAsia="仿宋" w:cs="仿宋"/>
          <w:color w:val="auto"/>
          <w:sz w:val="24"/>
          <w:highlight w:val="none"/>
        </w:rPr>
        <w:t>需求部分（供应商资格要求、项目需求、商务技术评分标准）由</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解释，其它部分由代理机构解释。</w:t>
      </w:r>
    </w:p>
    <w:p w14:paraId="62CB366B">
      <w:pPr>
        <w:tabs>
          <w:tab w:val="left" w:pos="360"/>
        </w:tabs>
        <w:spacing w:after="60" w:line="460" w:lineRule="exact"/>
        <w:ind w:firstLine="482" w:firstLineChars="200"/>
        <w:rPr>
          <w:rFonts w:hint="eastAsia" w:ascii="仿宋" w:hAnsi="仿宋" w:eastAsia="仿宋" w:cs="仿宋"/>
          <w:b/>
          <w:bCs/>
          <w:color w:val="auto"/>
          <w:sz w:val="24"/>
          <w:highlight w:val="none"/>
          <w:lang w:eastAsia="zh-CN"/>
        </w:rPr>
      </w:pPr>
      <w:bookmarkStart w:id="19" w:name="_Toc20823281"/>
      <w:bookmarkStart w:id="20" w:name="_Toc16938525"/>
      <w:bookmarkStart w:id="21" w:name="_Toc513029209"/>
      <w:bookmarkStart w:id="22" w:name="_Toc120614215"/>
      <w:r>
        <w:rPr>
          <w:rFonts w:hint="eastAsia" w:ascii="仿宋" w:hAnsi="仿宋" w:eastAsia="仿宋" w:cs="仿宋"/>
          <w:b/>
          <w:bCs/>
          <w:color w:val="auto"/>
          <w:sz w:val="24"/>
          <w:highlight w:val="none"/>
        </w:rPr>
        <w:t>二、</w:t>
      </w:r>
      <w:bookmarkEnd w:id="19"/>
      <w:bookmarkEnd w:id="20"/>
      <w:bookmarkEnd w:id="21"/>
      <w:bookmarkEnd w:id="22"/>
      <w:r>
        <w:rPr>
          <w:rFonts w:hint="eastAsia" w:ascii="仿宋" w:hAnsi="仿宋" w:eastAsia="仿宋" w:cs="仿宋"/>
          <w:b/>
          <w:bCs/>
          <w:color w:val="auto"/>
          <w:sz w:val="24"/>
          <w:highlight w:val="none"/>
          <w:lang w:eastAsia="zh-CN"/>
        </w:rPr>
        <w:t>比价文件</w:t>
      </w:r>
    </w:p>
    <w:p w14:paraId="574C700D">
      <w:pPr>
        <w:tabs>
          <w:tab w:val="left" w:pos="360"/>
        </w:tabs>
        <w:spacing w:after="60" w:line="460" w:lineRule="exact"/>
        <w:ind w:firstLine="480" w:firstLineChars="200"/>
        <w:rPr>
          <w:rFonts w:hint="eastAsia" w:ascii="仿宋" w:hAnsi="仿宋" w:eastAsia="仿宋" w:cs="仿宋"/>
          <w:color w:val="auto"/>
          <w:sz w:val="24"/>
          <w:highlight w:val="none"/>
        </w:rPr>
      </w:pPr>
      <w:bookmarkStart w:id="23" w:name="_Toc20823282"/>
      <w:bookmarkStart w:id="24" w:name="_Toc513029210"/>
      <w:bookmarkStart w:id="25" w:name="_Toc16938526"/>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比价文件</w:t>
      </w:r>
      <w:r>
        <w:rPr>
          <w:rFonts w:hint="eastAsia" w:ascii="仿宋" w:hAnsi="仿宋" w:eastAsia="仿宋" w:cs="仿宋"/>
          <w:color w:val="auto"/>
          <w:sz w:val="24"/>
          <w:highlight w:val="none"/>
        </w:rPr>
        <w:t>构成</w:t>
      </w:r>
      <w:bookmarkEnd w:id="23"/>
      <w:bookmarkEnd w:id="24"/>
      <w:bookmarkEnd w:id="25"/>
    </w:p>
    <w:p w14:paraId="5FF38357">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1.1 </w:t>
      </w:r>
      <w:r>
        <w:rPr>
          <w:rFonts w:hint="eastAsia" w:ascii="仿宋" w:hAnsi="仿宋" w:eastAsia="仿宋" w:cs="仿宋"/>
          <w:color w:val="auto"/>
          <w:sz w:val="24"/>
          <w:highlight w:val="none"/>
          <w:lang w:eastAsia="zh-CN"/>
        </w:rPr>
        <w:t>比价文件</w:t>
      </w:r>
      <w:r>
        <w:rPr>
          <w:rFonts w:hint="eastAsia" w:ascii="仿宋" w:hAnsi="仿宋" w:eastAsia="仿宋" w:cs="仿宋"/>
          <w:color w:val="auto"/>
          <w:sz w:val="24"/>
          <w:highlight w:val="none"/>
        </w:rPr>
        <w:t>由以下部分组成：</w:t>
      </w:r>
    </w:p>
    <w:p w14:paraId="1668BD0A">
      <w:pPr>
        <w:tabs>
          <w:tab w:val="left" w:pos="360"/>
        </w:tabs>
        <w:spacing w:after="60" w:line="4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比价公告</w:t>
      </w:r>
    </w:p>
    <w:p w14:paraId="7FD25F2D">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（2）投标须知</w:t>
      </w:r>
    </w:p>
    <w:p w14:paraId="332F2568">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（3）项目需求</w:t>
      </w:r>
    </w:p>
    <w:p w14:paraId="513B8E48">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（4）开标和评标</w:t>
      </w:r>
    </w:p>
    <w:p w14:paraId="68867419">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（5）投标文件组成</w:t>
      </w:r>
    </w:p>
    <w:p w14:paraId="557466C5">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（6）附件（如有）</w:t>
      </w:r>
    </w:p>
    <w:p w14:paraId="54D1AB01">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请仔细检查</w:t>
      </w:r>
      <w:r>
        <w:rPr>
          <w:rFonts w:hint="eastAsia" w:ascii="仿宋" w:hAnsi="仿宋" w:eastAsia="仿宋" w:cs="仿宋"/>
          <w:color w:val="auto"/>
          <w:sz w:val="24"/>
          <w:highlight w:val="none"/>
          <w:lang w:eastAsia="zh-CN"/>
        </w:rPr>
        <w:t>比价文件</w:t>
      </w:r>
      <w:r>
        <w:rPr>
          <w:rFonts w:hint="eastAsia" w:ascii="仿宋" w:hAnsi="仿宋" w:eastAsia="仿宋" w:cs="仿宋"/>
          <w:color w:val="auto"/>
          <w:sz w:val="24"/>
          <w:highlight w:val="none"/>
        </w:rPr>
        <w:t>是否齐全，如有缺漏请立即与代理机构联系解决。</w:t>
      </w:r>
    </w:p>
    <w:p w14:paraId="07387BC2">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1.2 </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应认真阅读</w:t>
      </w:r>
      <w:r>
        <w:rPr>
          <w:rFonts w:hint="eastAsia" w:ascii="仿宋" w:hAnsi="仿宋" w:eastAsia="仿宋" w:cs="仿宋"/>
          <w:color w:val="auto"/>
          <w:sz w:val="24"/>
          <w:highlight w:val="none"/>
          <w:lang w:eastAsia="zh-CN"/>
        </w:rPr>
        <w:t>比价文件</w:t>
      </w:r>
      <w:r>
        <w:rPr>
          <w:rFonts w:hint="eastAsia" w:ascii="仿宋" w:hAnsi="仿宋" w:eastAsia="仿宋" w:cs="仿宋"/>
          <w:color w:val="auto"/>
          <w:sz w:val="24"/>
          <w:highlight w:val="none"/>
        </w:rPr>
        <w:t>中所有的事项、格式、条款和规范等要求。按</w:t>
      </w:r>
      <w:r>
        <w:rPr>
          <w:rFonts w:hint="eastAsia" w:ascii="仿宋" w:hAnsi="仿宋" w:eastAsia="仿宋" w:cs="仿宋"/>
          <w:color w:val="auto"/>
          <w:sz w:val="24"/>
          <w:highlight w:val="none"/>
          <w:lang w:eastAsia="zh-CN"/>
        </w:rPr>
        <w:t>比价文件</w:t>
      </w:r>
      <w:r>
        <w:rPr>
          <w:rFonts w:hint="eastAsia" w:ascii="仿宋" w:hAnsi="仿宋" w:eastAsia="仿宋" w:cs="仿宋"/>
          <w:color w:val="auto"/>
          <w:sz w:val="24"/>
          <w:highlight w:val="none"/>
        </w:rPr>
        <w:t>要求和规定编制投标文件，并保证所提供的全部资料的真实性，以使其投标文件对</w:t>
      </w:r>
      <w:r>
        <w:rPr>
          <w:rFonts w:hint="eastAsia" w:ascii="仿宋" w:hAnsi="仿宋" w:eastAsia="仿宋" w:cs="仿宋"/>
          <w:color w:val="auto"/>
          <w:sz w:val="24"/>
          <w:highlight w:val="none"/>
          <w:lang w:eastAsia="zh-CN"/>
        </w:rPr>
        <w:t>比价文件</w:t>
      </w:r>
      <w:r>
        <w:rPr>
          <w:rFonts w:hint="eastAsia" w:ascii="仿宋" w:hAnsi="仿宋" w:eastAsia="仿宋" w:cs="仿宋"/>
          <w:color w:val="auto"/>
          <w:sz w:val="24"/>
          <w:highlight w:val="none"/>
        </w:rPr>
        <w:t>作出实质性响应，否则其风险由</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自行承担。</w:t>
      </w:r>
    </w:p>
    <w:p w14:paraId="305C7E39">
      <w:pPr>
        <w:tabs>
          <w:tab w:val="left" w:pos="360"/>
        </w:tabs>
        <w:spacing w:after="60" w:line="460" w:lineRule="exact"/>
        <w:ind w:firstLine="480" w:firstLineChars="200"/>
        <w:rPr>
          <w:rFonts w:hint="eastAsia" w:ascii="仿宋" w:hAnsi="仿宋" w:eastAsia="仿宋" w:cs="仿宋"/>
          <w:color w:val="auto"/>
          <w:sz w:val="24"/>
          <w:highlight w:val="none"/>
        </w:rPr>
      </w:pPr>
      <w:bookmarkStart w:id="26" w:name="_Toc20823283"/>
      <w:bookmarkStart w:id="27" w:name="_Toc16938527"/>
      <w:bookmarkStart w:id="28" w:name="_Toc513029211"/>
      <w:bookmarkStart w:id="29" w:name="_Toc462564070"/>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比价文件</w:t>
      </w:r>
      <w:r>
        <w:rPr>
          <w:rFonts w:hint="eastAsia" w:ascii="仿宋" w:hAnsi="仿宋" w:eastAsia="仿宋" w:cs="仿宋"/>
          <w:color w:val="auto"/>
          <w:sz w:val="24"/>
          <w:highlight w:val="none"/>
        </w:rPr>
        <w:t>的澄清</w:t>
      </w:r>
      <w:bookmarkEnd w:id="26"/>
      <w:bookmarkEnd w:id="27"/>
      <w:bookmarkEnd w:id="28"/>
      <w:bookmarkEnd w:id="29"/>
    </w:p>
    <w:p w14:paraId="48C0BEEB">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任何要求对</w:t>
      </w:r>
      <w:r>
        <w:rPr>
          <w:rFonts w:hint="eastAsia" w:ascii="仿宋" w:hAnsi="仿宋" w:eastAsia="仿宋" w:cs="仿宋"/>
          <w:color w:val="auto"/>
          <w:sz w:val="24"/>
          <w:highlight w:val="none"/>
          <w:lang w:eastAsia="zh-CN"/>
        </w:rPr>
        <w:t>比价文件</w:t>
      </w:r>
      <w:r>
        <w:rPr>
          <w:rFonts w:hint="eastAsia" w:ascii="仿宋" w:hAnsi="仿宋" w:eastAsia="仿宋" w:cs="仿宋"/>
          <w:color w:val="auto"/>
          <w:sz w:val="24"/>
          <w:highlight w:val="none"/>
        </w:rPr>
        <w:t>进行澄清的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，应在投标截止期</w:t>
      </w:r>
      <w:r>
        <w:rPr>
          <w:rFonts w:hint="eastAsia" w:ascii="仿宋" w:hAnsi="仿宋" w:eastAsia="仿宋" w:cs="仿宋"/>
          <w:color w:val="auto"/>
          <w:sz w:val="24"/>
          <w:highlight w:val="none"/>
          <w:lang w:val="en-US" w:eastAsia="zh-CN"/>
        </w:rPr>
        <w:t>七</w:t>
      </w:r>
      <w:r>
        <w:rPr>
          <w:rFonts w:hint="eastAsia" w:ascii="仿宋" w:hAnsi="仿宋" w:eastAsia="仿宋" w:cs="仿宋"/>
          <w:color w:val="auto"/>
          <w:sz w:val="24"/>
          <w:highlight w:val="none"/>
        </w:rPr>
        <w:t>日前按</w:t>
      </w:r>
      <w:r>
        <w:rPr>
          <w:rFonts w:hint="eastAsia" w:ascii="仿宋" w:hAnsi="仿宋" w:eastAsia="仿宋" w:cs="仿宋"/>
          <w:color w:val="auto"/>
          <w:sz w:val="24"/>
          <w:highlight w:val="none"/>
          <w:lang w:eastAsia="zh-CN"/>
        </w:rPr>
        <w:t>比价公告</w:t>
      </w:r>
      <w:r>
        <w:rPr>
          <w:rFonts w:hint="eastAsia" w:ascii="仿宋" w:hAnsi="仿宋" w:eastAsia="仿宋" w:cs="仿宋"/>
          <w:color w:val="auto"/>
          <w:sz w:val="24"/>
          <w:highlight w:val="none"/>
        </w:rPr>
        <w:t>中的通讯地址，以书面形式通知</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有权对发出的</w:t>
      </w:r>
      <w:r>
        <w:rPr>
          <w:rFonts w:hint="eastAsia" w:ascii="仿宋" w:hAnsi="仿宋" w:eastAsia="仿宋" w:cs="仿宋"/>
          <w:color w:val="auto"/>
          <w:sz w:val="24"/>
          <w:highlight w:val="none"/>
          <w:lang w:eastAsia="zh-CN"/>
        </w:rPr>
        <w:t>比价文件</w:t>
      </w:r>
      <w:r>
        <w:rPr>
          <w:rFonts w:hint="eastAsia" w:ascii="仿宋" w:hAnsi="仿宋" w:eastAsia="仿宋" w:cs="仿宋"/>
          <w:color w:val="auto"/>
          <w:sz w:val="24"/>
          <w:highlight w:val="none"/>
        </w:rPr>
        <w:t>进行必要的澄清或修改</w:t>
      </w:r>
    </w:p>
    <w:p w14:paraId="7A6B235D">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视情组织答疑会</w:t>
      </w:r>
    </w:p>
    <w:p w14:paraId="5941D036">
      <w:pPr>
        <w:tabs>
          <w:tab w:val="left" w:pos="360"/>
        </w:tabs>
        <w:spacing w:after="60" w:line="460" w:lineRule="exact"/>
        <w:ind w:firstLine="480" w:firstLineChars="200"/>
        <w:rPr>
          <w:rFonts w:hint="eastAsia" w:ascii="仿宋" w:hAnsi="仿宋" w:eastAsia="仿宋" w:cs="仿宋"/>
          <w:color w:val="auto"/>
          <w:sz w:val="24"/>
          <w:highlight w:val="none"/>
        </w:rPr>
      </w:pPr>
      <w:bookmarkStart w:id="30" w:name="_Toc16938528"/>
      <w:bookmarkStart w:id="31" w:name="_Toc513029212"/>
      <w:bookmarkStart w:id="32" w:name="_Toc20823284"/>
      <w:bookmarkStart w:id="33" w:name="_Toc462564071"/>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比价文件</w:t>
      </w:r>
      <w:r>
        <w:rPr>
          <w:rFonts w:hint="eastAsia" w:ascii="仿宋" w:hAnsi="仿宋" w:eastAsia="仿宋" w:cs="仿宋"/>
          <w:color w:val="auto"/>
          <w:sz w:val="24"/>
          <w:highlight w:val="none"/>
        </w:rPr>
        <w:t>的修改</w:t>
      </w:r>
      <w:bookmarkEnd w:id="30"/>
      <w:bookmarkEnd w:id="31"/>
      <w:bookmarkEnd w:id="32"/>
      <w:bookmarkEnd w:id="33"/>
    </w:p>
    <w:p w14:paraId="100AD9D8">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 在投标截止时间前，代理机构可以对</w:t>
      </w:r>
      <w:r>
        <w:rPr>
          <w:rFonts w:hint="eastAsia" w:ascii="仿宋" w:hAnsi="仿宋" w:eastAsia="仿宋" w:cs="仿宋"/>
          <w:color w:val="auto"/>
          <w:sz w:val="24"/>
          <w:highlight w:val="none"/>
          <w:lang w:eastAsia="zh-CN"/>
        </w:rPr>
        <w:t>比价文件</w:t>
      </w:r>
      <w:r>
        <w:rPr>
          <w:rFonts w:hint="eastAsia" w:ascii="仿宋" w:hAnsi="仿宋" w:eastAsia="仿宋" w:cs="仿宋"/>
          <w:color w:val="auto"/>
          <w:sz w:val="24"/>
          <w:highlight w:val="none"/>
        </w:rPr>
        <w:t>进行修改。</w:t>
      </w:r>
    </w:p>
    <w:p w14:paraId="1C8B35C9">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 代理机构有权按照法定的要求推迟投标截止日期和开标日期。</w:t>
      </w:r>
    </w:p>
    <w:p w14:paraId="62BDFDDA">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3.3 </w:t>
      </w:r>
      <w:r>
        <w:rPr>
          <w:rFonts w:hint="eastAsia" w:ascii="仿宋" w:hAnsi="仿宋" w:eastAsia="仿宋" w:cs="仿宋"/>
          <w:color w:val="auto"/>
          <w:sz w:val="24"/>
          <w:highlight w:val="none"/>
          <w:lang w:eastAsia="zh-CN"/>
        </w:rPr>
        <w:t>比价文件</w:t>
      </w:r>
      <w:r>
        <w:rPr>
          <w:rFonts w:hint="eastAsia" w:ascii="仿宋" w:hAnsi="仿宋" w:eastAsia="仿宋" w:cs="仿宋"/>
          <w:color w:val="auto"/>
          <w:sz w:val="24"/>
          <w:highlight w:val="none"/>
        </w:rPr>
        <w:t>的修改将在</w:t>
      </w:r>
      <w:r>
        <w:rPr>
          <w:rFonts w:hint="eastAsia" w:ascii="仿宋" w:hAnsi="仿宋" w:eastAsia="仿宋" w:cs="仿宋"/>
          <w:color w:val="auto"/>
          <w:sz w:val="24"/>
          <w:highlight w:val="none"/>
          <w:lang w:eastAsia="zh-CN"/>
        </w:rPr>
        <w:t>南通市教育局网站或江苏省南通中等专业学校官网</w:t>
      </w:r>
      <w:r>
        <w:rPr>
          <w:rFonts w:hint="eastAsia" w:ascii="仿宋" w:hAnsi="仿宋" w:eastAsia="仿宋" w:cs="仿宋"/>
          <w:color w:val="auto"/>
          <w:sz w:val="24"/>
          <w:highlight w:val="none"/>
        </w:rPr>
        <w:t>公布，补充文件将作为</w:t>
      </w:r>
      <w:r>
        <w:rPr>
          <w:rFonts w:hint="eastAsia" w:ascii="仿宋" w:hAnsi="仿宋" w:eastAsia="仿宋" w:cs="仿宋"/>
          <w:color w:val="auto"/>
          <w:sz w:val="24"/>
          <w:highlight w:val="none"/>
          <w:lang w:eastAsia="zh-CN"/>
        </w:rPr>
        <w:t>比价文件</w:t>
      </w:r>
      <w:r>
        <w:rPr>
          <w:rFonts w:hint="eastAsia" w:ascii="仿宋" w:hAnsi="仿宋" w:eastAsia="仿宋" w:cs="仿宋"/>
          <w:color w:val="auto"/>
          <w:sz w:val="24"/>
          <w:highlight w:val="none"/>
        </w:rPr>
        <w:t>的组成部分，并对</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具有约束力。</w:t>
      </w:r>
    </w:p>
    <w:p w14:paraId="0ACFFE4A">
      <w:pPr>
        <w:tabs>
          <w:tab w:val="left" w:pos="360"/>
        </w:tabs>
        <w:spacing w:after="60" w:line="460" w:lineRule="exact"/>
        <w:ind w:firstLine="482" w:firstLineChars="200"/>
        <w:rPr>
          <w:rFonts w:hint="eastAsia" w:ascii="仿宋" w:hAnsi="仿宋" w:eastAsia="仿宋" w:cs="仿宋"/>
          <w:b/>
          <w:bCs/>
          <w:color w:val="auto"/>
          <w:sz w:val="24"/>
          <w:highlight w:val="none"/>
        </w:rPr>
      </w:pPr>
      <w:bookmarkStart w:id="34" w:name="_Toc120614216"/>
      <w:bookmarkStart w:id="35" w:name="_Toc16938529"/>
      <w:bookmarkStart w:id="36" w:name="_Toc513029213"/>
      <w:bookmarkStart w:id="37" w:name="_Toc462564072"/>
      <w:bookmarkStart w:id="38" w:name="_Toc20823285"/>
      <w:r>
        <w:rPr>
          <w:rFonts w:hint="eastAsia" w:ascii="仿宋" w:hAnsi="仿宋" w:eastAsia="仿宋" w:cs="仿宋"/>
          <w:b/>
          <w:bCs/>
          <w:color w:val="auto"/>
          <w:sz w:val="24"/>
          <w:highlight w:val="none"/>
        </w:rPr>
        <w:t>三、投标文件的编制</w:t>
      </w:r>
      <w:bookmarkEnd w:id="34"/>
      <w:bookmarkEnd w:id="35"/>
      <w:bookmarkEnd w:id="36"/>
      <w:bookmarkEnd w:id="37"/>
      <w:bookmarkEnd w:id="38"/>
    </w:p>
    <w:p w14:paraId="47DBF235">
      <w:pPr>
        <w:tabs>
          <w:tab w:val="left" w:pos="360"/>
        </w:tabs>
        <w:spacing w:after="60" w:line="460" w:lineRule="exact"/>
        <w:ind w:firstLine="480" w:firstLineChars="200"/>
        <w:rPr>
          <w:rFonts w:hint="eastAsia" w:ascii="仿宋" w:hAnsi="仿宋" w:eastAsia="仿宋" w:cs="仿宋"/>
          <w:color w:val="auto"/>
          <w:sz w:val="24"/>
          <w:highlight w:val="none"/>
        </w:rPr>
      </w:pPr>
      <w:bookmarkStart w:id="39" w:name="_Toc16938530"/>
      <w:bookmarkStart w:id="40" w:name="_Toc462564073"/>
      <w:bookmarkStart w:id="41" w:name="_Toc513029214"/>
      <w:bookmarkStart w:id="42" w:name="_Toc20823286"/>
      <w:r>
        <w:rPr>
          <w:rFonts w:hint="eastAsia" w:ascii="仿宋" w:hAnsi="仿宋" w:eastAsia="仿宋" w:cs="仿宋"/>
          <w:color w:val="auto"/>
          <w:sz w:val="24"/>
          <w:highlight w:val="none"/>
        </w:rPr>
        <w:t>1.投标文件的语言及度量衡单位</w:t>
      </w:r>
      <w:bookmarkEnd w:id="39"/>
      <w:bookmarkEnd w:id="40"/>
      <w:bookmarkEnd w:id="41"/>
      <w:bookmarkEnd w:id="42"/>
    </w:p>
    <w:p w14:paraId="53D19197">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1.1 </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提交的投标文件以及</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与代理机构就有关投标的所有来往通知、函件和文件均应使用简体中文。</w:t>
      </w:r>
    </w:p>
    <w:p w14:paraId="68C564F4">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 除技术性能另有规定外，投标文件所使用的度量衡单位，均须采用国家法定计量单位。</w:t>
      </w:r>
    </w:p>
    <w:p w14:paraId="15067235">
      <w:pPr>
        <w:tabs>
          <w:tab w:val="left" w:pos="360"/>
        </w:tabs>
        <w:spacing w:after="60" w:line="460" w:lineRule="exact"/>
        <w:ind w:firstLine="480" w:firstLineChars="200"/>
        <w:rPr>
          <w:rFonts w:hint="eastAsia" w:ascii="仿宋" w:hAnsi="仿宋" w:eastAsia="仿宋" w:cs="仿宋"/>
          <w:color w:val="auto"/>
          <w:sz w:val="24"/>
          <w:highlight w:val="none"/>
        </w:rPr>
      </w:pPr>
      <w:bookmarkStart w:id="43" w:name="_Toc16938531"/>
      <w:bookmarkStart w:id="44" w:name="_Toc20823287"/>
      <w:bookmarkStart w:id="45" w:name="_Toc513029215"/>
      <w:bookmarkStart w:id="46" w:name="_Toc462564074"/>
      <w:r>
        <w:rPr>
          <w:rFonts w:hint="eastAsia" w:ascii="仿宋" w:hAnsi="仿宋" w:eastAsia="仿宋" w:cs="仿宋"/>
          <w:color w:val="auto"/>
          <w:sz w:val="24"/>
          <w:highlight w:val="none"/>
        </w:rPr>
        <w:t>2.投标文件构成</w:t>
      </w:r>
      <w:bookmarkEnd w:id="43"/>
      <w:bookmarkEnd w:id="44"/>
      <w:bookmarkEnd w:id="45"/>
      <w:bookmarkEnd w:id="46"/>
    </w:p>
    <w:p w14:paraId="030584B8">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 </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编写的投标文件应包括资格审查证明材料文件、商务技术标文件、价格标文件。供应商按“第五部分 投标文件组成”要求编写投标文件</w:t>
      </w:r>
    </w:p>
    <w:p w14:paraId="5C4B7456">
      <w:pPr>
        <w:tabs>
          <w:tab w:val="left" w:pos="360"/>
        </w:tabs>
        <w:spacing w:after="60" w:line="460" w:lineRule="exact"/>
        <w:ind w:firstLine="480" w:firstLineChars="200"/>
        <w:rPr>
          <w:rFonts w:hint="eastAsia" w:ascii="仿宋" w:hAnsi="仿宋" w:eastAsia="仿宋" w:cs="仿宋"/>
          <w:color w:val="auto"/>
          <w:sz w:val="24"/>
          <w:highlight w:val="none"/>
        </w:rPr>
      </w:pPr>
      <w:bookmarkStart w:id="47" w:name="_Hlt26670360"/>
      <w:bookmarkEnd w:id="47"/>
      <w:bookmarkStart w:id="48" w:name="_Hlt26954838"/>
      <w:bookmarkEnd w:id="48"/>
      <w:bookmarkStart w:id="49" w:name="_Hlt26668975"/>
      <w:bookmarkEnd w:id="49"/>
      <w:bookmarkStart w:id="50" w:name="_Toc49090511"/>
      <w:bookmarkStart w:id="51" w:name="_Toc14577360"/>
      <w:r>
        <w:rPr>
          <w:rFonts w:hint="eastAsia" w:ascii="仿宋" w:hAnsi="仿宋" w:eastAsia="仿宋" w:cs="仿宋"/>
          <w:color w:val="auto"/>
          <w:sz w:val="24"/>
          <w:highlight w:val="none"/>
        </w:rPr>
        <w:t>3.投标有效期</w:t>
      </w:r>
      <w:bookmarkEnd w:id="50"/>
      <w:bookmarkEnd w:id="51"/>
    </w:p>
    <w:p w14:paraId="3E2733D4">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3.1投标有效期为代理机构规定的开标之日后六十（60）天。投标有效期比规定短的将被视为非响应性投标而予以拒绝。</w:t>
      </w:r>
    </w:p>
    <w:p w14:paraId="67888F78">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4.投标有效期的延长</w:t>
      </w:r>
    </w:p>
    <w:p w14:paraId="2893B2B4">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4.1在特殊情况下，代理机构于原投标有效期满之前，可向</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提出延长投标有效期的要求。这种要求与答复均应采用书面形式。</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可以拒绝代理机构的这一要求而放弃投标，同意延长投标有效期的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既不能要求也不允许修改其投标文件。受投标有效期约束的所有权利与义务均延长至新的有效期。</w:t>
      </w:r>
    </w:p>
    <w:p w14:paraId="46150276">
      <w:pPr>
        <w:tabs>
          <w:tab w:val="left" w:pos="360"/>
        </w:tabs>
        <w:spacing w:after="60" w:line="460" w:lineRule="exact"/>
        <w:ind w:firstLine="482" w:firstLineChars="200"/>
        <w:rPr>
          <w:rFonts w:hint="eastAsia" w:ascii="仿宋" w:hAnsi="仿宋" w:eastAsia="仿宋" w:cs="仿宋"/>
          <w:b/>
          <w:bCs/>
          <w:color w:val="auto"/>
          <w:sz w:val="24"/>
          <w:highlight w:val="none"/>
        </w:rPr>
      </w:pPr>
      <w:bookmarkStart w:id="52" w:name="_Hlt26954739"/>
      <w:bookmarkEnd w:id="52"/>
      <w:bookmarkStart w:id="53" w:name="_Hlt26954852"/>
      <w:bookmarkEnd w:id="53"/>
      <w:bookmarkStart w:id="54" w:name="_Toc16938540"/>
      <w:bookmarkStart w:id="55" w:name="_Toc513029224"/>
      <w:bookmarkStart w:id="56" w:name="_Toc20823296"/>
      <w:bookmarkStart w:id="57" w:name="_Toc120614217"/>
      <w:r>
        <w:rPr>
          <w:rFonts w:hint="eastAsia" w:ascii="仿宋" w:hAnsi="仿宋" w:eastAsia="仿宋" w:cs="仿宋"/>
          <w:b/>
          <w:bCs/>
          <w:color w:val="auto"/>
          <w:sz w:val="24"/>
          <w:highlight w:val="none"/>
        </w:rPr>
        <w:t>四、投标文件的递交</w:t>
      </w:r>
      <w:bookmarkEnd w:id="54"/>
      <w:bookmarkEnd w:id="55"/>
      <w:bookmarkEnd w:id="56"/>
      <w:bookmarkEnd w:id="57"/>
    </w:p>
    <w:p w14:paraId="109D51FD">
      <w:pPr>
        <w:tabs>
          <w:tab w:val="left" w:pos="360"/>
        </w:tabs>
        <w:spacing w:after="60" w:line="460" w:lineRule="exact"/>
        <w:ind w:firstLine="480" w:firstLineChars="200"/>
        <w:rPr>
          <w:rFonts w:hint="eastAsia" w:ascii="仿宋" w:hAnsi="仿宋" w:eastAsia="仿宋" w:cs="仿宋"/>
          <w:color w:val="auto"/>
          <w:sz w:val="24"/>
          <w:highlight w:val="none"/>
        </w:rPr>
      </w:pPr>
      <w:bookmarkStart w:id="58" w:name="_Toc462564084"/>
      <w:bookmarkStart w:id="59" w:name="_Toc20823297"/>
      <w:bookmarkStart w:id="60" w:name="_Toc513029225"/>
      <w:bookmarkStart w:id="61" w:name="_Toc16938541"/>
      <w:bookmarkStart w:id="62" w:name="_Toc513029226"/>
      <w:bookmarkStart w:id="63" w:name="_Toc16938542"/>
      <w:bookmarkStart w:id="64" w:name="_Toc20823298"/>
      <w:r>
        <w:rPr>
          <w:rFonts w:hint="eastAsia" w:ascii="仿宋" w:hAnsi="仿宋" w:eastAsia="仿宋" w:cs="仿宋"/>
          <w:color w:val="auto"/>
          <w:sz w:val="24"/>
          <w:highlight w:val="none"/>
        </w:rPr>
        <w:t>1.响应文件</w:t>
      </w:r>
      <w:bookmarkEnd w:id="58"/>
      <w:bookmarkEnd w:id="59"/>
      <w:bookmarkEnd w:id="60"/>
      <w:bookmarkEnd w:id="61"/>
      <w:r>
        <w:rPr>
          <w:rFonts w:hint="eastAsia" w:ascii="仿宋" w:hAnsi="仿宋" w:eastAsia="仿宋" w:cs="仿宋"/>
          <w:color w:val="auto"/>
          <w:sz w:val="24"/>
          <w:highlight w:val="none"/>
        </w:rPr>
        <w:t>的提交</w:t>
      </w:r>
    </w:p>
    <w:p w14:paraId="30669C0A">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1.1响应文件</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部分内容（资格审查文件、商务技术文件、价格文件</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）须分别单独密封，</w:t>
      </w:r>
      <w:r>
        <w:rPr>
          <w:rFonts w:hint="eastAsia" w:ascii="仿宋" w:hAnsi="仿宋" w:eastAsia="仿宋" w:cs="仿宋"/>
          <w:color w:val="auto"/>
          <w:sz w:val="24"/>
          <w:highlight w:val="none"/>
          <w:lang w:val="zh-CN"/>
        </w:rPr>
        <w:t>并</w:t>
      </w:r>
      <w:r>
        <w:rPr>
          <w:rFonts w:hint="eastAsia" w:ascii="仿宋" w:hAnsi="仿宋" w:eastAsia="仿宋" w:cs="仿宋"/>
          <w:color w:val="auto"/>
          <w:sz w:val="24"/>
          <w:highlight w:val="none"/>
        </w:rPr>
        <w:t>装订成册，不得相互混淆，价格文件不得出现于其他响应文件中。</w:t>
      </w:r>
    </w:p>
    <w:p w14:paraId="21577D70">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1.2响应文件每一部分内容均须提供“一正、</w:t>
      </w:r>
      <w:r>
        <w:rPr>
          <w:rFonts w:hint="eastAsia" w:ascii="仿宋" w:hAnsi="仿宋" w:eastAsia="仿宋" w:cs="仿宋"/>
          <w:color w:val="auto"/>
          <w:sz w:val="24"/>
          <w:highlight w:val="none"/>
          <w:lang w:eastAsia="zh-CN"/>
        </w:rPr>
        <w:t>两</w:t>
      </w:r>
      <w:r>
        <w:rPr>
          <w:rFonts w:hint="eastAsia" w:ascii="仿宋" w:hAnsi="仿宋" w:eastAsia="仿宋" w:cs="仿宋"/>
          <w:color w:val="auto"/>
          <w:sz w:val="24"/>
          <w:highlight w:val="none"/>
        </w:rPr>
        <w:t>副”纸质响应文件，并将正本、副本合并密封，统一装在一个密封袋或密封箱内。</w:t>
      </w:r>
    </w:p>
    <w:p w14:paraId="3CA2ED89">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1.3纸质响应文件须</w:t>
      </w:r>
      <w:r>
        <w:rPr>
          <w:rFonts w:hint="eastAsia" w:ascii="仿宋" w:hAnsi="仿宋" w:eastAsia="仿宋" w:cs="仿宋"/>
          <w:color w:val="auto"/>
          <w:sz w:val="24"/>
          <w:highlight w:val="none"/>
          <w:lang w:val="zh-CN"/>
        </w:rPr>
        <w:t>采用A4纸</w:t>
      </w:r>
      <w:r>
        <w:rPr>
          <w:rFonts w:hint="eastAsia" w:ascii="仿宋" w:hAnsi="仿宋" w:eastAsia="仿宋" w:cs="仿宋"/>
          <w:color w:val="auto"/>
          <w:sz w:val="24"/>
          <w:highlight w:val="none"/>
        </w:rPr>
        <w:t>，按采购文件要求盖章。文件内容中不得行间插字、涂改、增删，如修补错漏处，须由响应文件签署人签字并加盖公章。</w:t>
      </w:r>
    </w:p>
    <w:p w14:paraId="561BA3F3">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1.4响应文件密封后封袋封面应标明响应文件项目名称、供应商名称等关键信息。</w:t>
      </w:r>
    </w:p>
    <w:p w14:paraId="08B06F85">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1.5递交时间：供应商须在规定的响应文件接收截止时间前送达指定地点。供应商提交投标文件，即视为已响应参加采购活动。</w:t>
      </w:r>
    </w:p>
    <w:p w14:paraId="5B55DFC0">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2.投标截止日期</w:t>
      </w:r>
      <w:bookmarkEnd w:id="62"/>
      <w:bookmarkEnd w:id="63"/>
      <w:bookmarkEnd w:id="64"/>
    </w:p>
    <w:p w14:paraId="3140002A">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供应商提交响应文件的时间不得迟于</w:t>
      </w:r>
      <w:r>
        <w:rPr>
          <w:rFonts w:hint="eastAsia" w:ascii="仿宋" w:hAnsi="仿宋" w:eastAsia="仿宋" w:cs="仿宋"/>
          <w:color w:val="auto"/>
          <w:sz w:val="24"/>
          <w:highlight w:val="none"/>
          <w:lang w:eastAsia="zh-CN"/>
        </w:rPr>
        <w:t>比价公告</w:t>
      </w:r>
      <w:r>
        <w:rPr>
          <w:rFonts w:hint="eastAsia" w:ascii="仿宋" w:hAnsi="仿宋" w:eastAsia="仿宋" w:cs="仿宋"/>
          <w:color w:val="auto"/>
          <w:sz w:val="24"/>
          <w:highlight w:val="none"/>
        </w:rPr>
        <w:t>中规定的响应文件提交截止时间。</w:t>
      </w:r>
    </w:p>
    <w:p w14:paraId="40DD4B96">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供应商应充分考虑到交通路况、停车、管控等风险因素，如因供应商自身原因造成的投标响应文件提交不成功由供应商自行承担全部责任。</w:t>
      </w:r>
    </w:p>
    <w:p w14:paraId="3C7DDCA9">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代理机构可以按照规定，通过修改</w:t>
      </w:r>
      <w:r>
        <w:rPr>
          <w:rFonts w:hint="eastAsia" w:ascii="仿宋" w:hAnsi="仿宋" w:eastAsia="仿宋" w:cs="仿宋"/>
          <w:color w:val="auto"/>
          <w:sz w:val="24"/>
          <w:highlight w:val="none"/>
          <w:lang w:eastAsia="zh-CN"/>
        </w:rPr>
        <w:t>比价文件</w:t>
      </w:r>
      <w:r>
        <w:rPr>
          <w:rFonts w:hint="eastAsia" w:ascii="仿宋" w:hAnsi="仿宋" w:eastAsia="仿宋" w:cs="仿宋"/>
          <w:color w:val="auto"/>
          <w:sz w:val="24"/>
          <w:highlight w:val="none"/>
        </w:rPr>
        <w:t>酌情延长投标截止日期，在此情况下，</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的所有权利和义务以及</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受制的截止日期均应以延长后新的截止日期为准。</w:t>
      </w:r>
    </w:p>
    <w:p w14:paraId="66A1556F">
      <w:pPr>
        <w:tabs>
          <w:tab w:val="left" w:pos="360"/>
        </w:tabs>
        <w:spacing w:after="60" w:line="460" w:lineRule="exact"/>
        <w:ind w:firstLine="480" w:firstLineChars="200"/>
        <w:rPr>
          <w:rFonts w:hint="eastAsia" w:ascii="仿宋" w:hAnsi="仿宋" w:eastAsia="仿宋" w:cs="仿宋"/>
          <w:color w:val="auto"/>
          <w:sz w:val="24"/>
          <w:highlight w:val="none"/>
        </w:rPr>
      </w:pPr>
      <w:bookmarkStart w:id="65" w:name="_Toc20823299"/>
      <w:bookmarkStart w:id="66" w:name="_Toc513029227"/>
      <w:bookmarkStart w:id="67" w:name="_Toc16938543"/>
      <w:r>
        <w:rPr>
          <w:rFonts w:hint="eastAsia" w:ascii="仿宋" w:hAnsi="仿宋" w:eastAsia="仿宋" w:cs="仿宋"/>
          <w:color w:val="auto"/>
          <w:sz w:val="24"/>
          <w:highlight w:val="none"/>
        </w:rPr>
        <w:t>3.投标文件</w:t>
      </w:r>
      <w:bookmarkEnd w:id="65"/>
      <w:bookmarkEnd w:id="66"/>
      <w:bookmarkEnd w:id="67"/>
      <w:r>
        <w:rPr>
          <w:rFonts w:hint="eastAsia" w:ascii="仿宋" w:hAnsi="仿宋" w:eastAsia="仿宋" w:cs="仿宋"/>
          <w:color w:val="auto"/>
          <w:sz w:val="24"/>
          <w:highlight w:val="none"/>
        </w:rPr>
        <w:t>的拒收</w:t>
      </w:r>
    </w:p>
    <w:p w14:paraId="136E6C6A">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 代理机构拒绝接收在其规定的投标截止时间后提交的任何投标文件。</w:t>
      </w:r>
    </w:p>
    <w:p w14:paraId="7F9BC550">
      <w:pPr>
        <w:tabs>
          <w:tab w:val="left" w:pos="360"/>
        </w:tabs>
        <w:spacing w:after="60" w:line="460" w:lineRule="exact"/>
        <w:ind w:firstLine="480" w:firstLineChars="200"/>
        <w:rPr>
          <w:rFonts w:hint="eastAsia" w:ascii="仿宋" w:hAnsi="仿宋" w:eastAsia="仿宋" w:cs="仿宋"/>
          <w:color w:val="auto"/>
          <w:sz w:val="24"/>
          <w:highlight w:val="none"/>
        </w:rPr>
      </w:pPr>
      <w:bookmarkStart w:id="68" w:name="_Toc513029228"/>
      <w:bookmarkStart w:id="69" w:name="_Toc16938544"/>
      <w:bookmarkStart w:id="70" w:name="_Toc20823300"/>
      <w:r>
        <w:rPr>
          <w:rFonts w:hint="eastAsia" w:ascii="仿宋" w:hAnsi="仿宋" w:eastAsia="仿宋" w:cs="仿宋"/>
          <w:color w:val="auto"/>
          <w:sz w:val="24"/>
          <w:highlight w:val="none"/>
        </w:rPr>
        <w:t>4.投标文件的撤回和修改</w:t>
      </w:r>
      <w:bookmarkEnd w:id="68"/>
      <w:bookmarkEnd w:id="69"/>
      <w:bookmarkEnd w:id="70"/>
    </w:p>
    <w:p w14:paraId="11B53262">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 响应文件的撤回</w:t>
      </w:r>
    </w:p>
    <w:p w14:paraId="6088A429">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4.1.1供应商可在响应文件提交截止时间前，书面撤回其投标响应文件。</w:t>
      </w:r>
    </w:p>
    <w:p w14:paraId="2AD50414">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4.1.2 </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撤回投标文件，则认为其不再参与本项目投标活动。</w:t>
      </w:r>
    </w:p>
    <w:p w14:paraId="76B38A2A">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 投标文件的修改</w:t>
      </w:r>
    </w:p>
    <w:p w14:paraId="7141EF53">
      <w:pPr>
        <w:tabs>
          <w:tab w:val="left" w:pos="360"/>
        </w:tabs>
        <w:spacing w:after="60" w:line="460" w:lineRule="exact"/>
        <w:ind w:firstLine="480" w:firstLineChars="200"/>
        <w:rPr>
          <w:rFonts w:hint="eastAsia" w:ascii="仿宋" w:hAnsi="仿宋" w:eastAsia="仿宋" w:cs="仿宋"/>
          <w:color w:val="auto"/>
          <w:sz w:val="24"/>
          <w:highlight w:val="none"/>
        </w:rPr>
      </w:pPr>
      <w:bookmarkStart w:id="71" w:name="_Toc20823301"/>
      <w:bookmarkStart w:id="72" w:name="_Toc16938545"/>
      <w:bookmarkStart w:id="73" w:name="_Toc513029229"/>
      <w:bookmarkStart w:id="74" w:name="_Toc120614218"/>
      <w:r>
        <w:rPr>
          <w:rFonts w:hint="eastAsia" w:ascii="仿宋" w:hAnsi="仿宋" w:eastAsia="仿宋" w:cs="仿宋"/>
          <w:color w:val="auto"/>
          <w:sz w:val="24"/>
          <w:highlight w:val="none"/>
        </w:rPr>
        <w:t>在响应文件提交截止时间之后，供应商不得再对其提交的响应文件进行修改。</w:t>
      </w:r>
    </w:p>
    <w:p w14:paraId="3ED43D57">
      <w:pPr>
        <w:tabs>
          <w:tab w:val="left" w:pos="360"/>
        </w:tabs>
        <w:spacing w:after="60" w:line="46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五、开标与评标</w:t>
      </w:r>
      <w:bookmarkEnd w:id="71"/>
      <w:bookmarkEnd w:id="72"/>
      <w:bookmarkEnd w:id="73"/>
      <w:bookmarkEnd w:id="74"/>
    </w:p>
    <w:p w14:paraId="67338CCB">
      <w:pPr>
        <w:tabs>
          <w:tab w:val="left" w:pos="360"/>
        </w:tabs>
        <w:spacing w:after="60" w:line="460" w:lineRule="exact"/>
        <w:ind w:firstLine="480" w:firstLineChars="200"/>
        <w:rPr>
          <w:rFonts w:hint="eastAsia" w:ascii="仿宋" w:hAnsi="仿宋" w:eastAsia="仿宋" w:cs="仿宋"/>
          <w:color w:val="auto"/>
          <w:sz w:val="24"/>
          <w:highlight w:val="none"/>
        </w:rPr>
      </w:pPr>
      <w:bookmarkStart w:id="75" w:name="_Toc20823302"/>
      <w:bookmarkStart w:id="76" w:name="_Toc16938546"/>
      <w:bookmarkStart w:id="77" w:name="_Toc513029230"/>
      <w:r>
        <w:rPr>
          <w:rFonts w:hint="eastAsia" w:ascii="仿宋" w:hAnsi="仿宋" w:eastAsia="仿宋" w:cs="仿宋"/>
          <w:color w:val="auto"/>
          <w:sz w:val="24"/>
          <w:highlight w:val="none"/>
        </w:rPr>
        <w:t>1开标</w:t>
      </w:r>
      <w:bookmarkEnd w:id="75"/>
      <w:bookmarkEnd w:id="76"/>
      <w:bookmarkEnd w:id="77"/>
    </w:p>
    <w:p w14:paraId="43F20AA4">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 代理机构将在</w:t>
      </w:r>
      <w:r>
        <w:rPr>
          <w:rFonts w:hint="eastAsia" w:ascii="仿宋" w:hAnsi="仿宋" w:eastAsia="仿宋" w:cs="仿宋"/>
          <w:color w:val="auto"/>
          <w:sz w:val="24"/>
          <w:highlight w:val="none"/>
          <w:lang w:eastAsia="zh-CN"/>
        </w:rPr>
        <w:t>比价公告</w:t>
      </w:r>
      <w:r>
        <w:rPr>
          <w:rFonts w:hint="eastAsia" w:ascii="仿宋" w:hAnsi="仿宋" w:eastAsia="仿宋" w:cs="仿宋"/>
          <w:color w:val="auto"/>
          <w:sz w:val="24"/>
          <w:highlight w:val="none"/>
        </w:rPr>
        <w:t>中规定的时间和地点组织</w:t>
      </w:r>
      <w:r>
        <w:rPr>
          <w:rFonts w:hint="eastAsia" w:ascii="仿宋" w:hAnsi="仿宋" w:eastAsia="仿宋" w:cs="仿宋"/>
          <w:color w:val="auto"/>
          <w:sz w:val="24"/>
          <w:highlight w:val="none"/>
          <w:lang w:val="en-US" w:eastAsia="zh-CN"/>
        </w:rPr>
        <w:t>比价</w:t>
      </w:r>
      <w:r>
        <w:rPr>
          <w:rFonts w:hint="eastAsia" w:ascii="仿宋" w:hAnsi="仿宋" w:eastAsia="仿宋" w:cs="仿宋"/>
          <w:color w:val="auto"/>
          <w:sz w:val="24"/>
          <w:highlight w:val="none"/>
        </w:rPr>
        <w:t>开标。</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应当按时在指定地点参加开标活动。</w:t>
      </w:r>
    </w:p>
    <w:p w14:paraId="242383F4">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1.2开标仪式由代理机构组织。</w:t>
      </w:r>
    </w:p>
    <w:p w14:paraId="1ED59C6C">
      <w:pPr>
        <w:tabs>
          <w:tab w:val="left" w:pos="360"/>
        </w:tabs>
        <w:spacing w:after="60" w:line="460" w:lineRule="exact"/>
        <w:ind w:firstLine="480" w:firstLineChars="200"/>
        <w:rPr>
          <w:rFonts w:hint="eastAsia" w:ascii="仿宋" w:hAnsi="仿宋" w:eastAsia="仿宋" w:cs="仿宋"/>
          <w:color w:val="auto"/>
          <w:sz w:val="24"/>
          <w:highlight w:val="none"/>
        </w:rPr>
      </w:pPr>
      <w:bookmarkStart w:id="78" w:name="_Toc513029231"/>
      <w:bookmarkStart w:id="79" w:name="_Toc20823303"/>
      <w:bookmarkStart w:id="80" w:name="_Toc16938547"/>
      <w:r>
        <w:rPr>
          <w:rFonts w:hint="eastAsia" w:ascii="仿宋" w:hAnsi="仿宋" w:eastAsia="仿宋" w:cs="仿宋"/>
          <w:color w:val="auto"/>
          <w:sz w:val="24"/>
          <w:highlight w:val="none"/>
        </w:rPr>
        <w:t>2评标委员会</w:t>
      </w:r>
    </w:p>
    <w:p w14:paraId="2FCE5117">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开标后，代理机构将立即组织评标委员会（以下简称评委会）进行评标。</w:t>
      </w:r>
    </w:p>
    <w:p w14:paraId="28BBCBB8">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评委会由</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代表和有关技术、经济等方面的专家组成，且人员构成符合采购有关规定。</w:t>
      </w:r>
    </w:p>
    <w:p w14:paraId="40B4AC9E">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2.3评委会独立工作，负责评审所有投标文件并确定</w:t>
      </w:r>
      <w:r>
        <w:rPr>
          <w:rFonts w:hint="eastAsia" w:ascii="仿宋" w:hAnsi="仿宋" w:eastAsia="仿宋" w:cs="仿宋"/>
          <w:color w:val="auto"/>
          <w:sz w:val="24"/>
          <w:highlight w:val="none"/>
          <w:lang w:eastAsia="zh-CN"/>
        </w:rPr>
        <w:t>成交候选人</w:t>
      </w:r>
      <w:r>
        <w:rPr>
          <w:rFonts w:hint="eastAsia" w:ascii="仿宋" w:hAnsi="仿宋" w:eastAsia="仿宋" w:cs="仿宋"/>
          <w:color w:val="auto"/>
          <w:sz w:val="24"/>
          <w:highlight w:val="none"/>
        </w:rPr>
        <w:t>。</w:t>
      </w:r>
    </w:p>
    <w:p w14:paraId="52B22C73">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3.评标过程的保密与公正</w:t>
      </w:r>
    </w:p>
    <w:bookmarkEnd w:id="78"/>
    <w:bookmarkEnd w:id="79"/>
    <w:bookmarkEnd w:id="80"/>
    <w:p w14:paraId="3F033F73">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w:t>
      </w:r>
      <w:r>
        <w:rPr>
          <w:rFonts w:hint="eastAsia" w:ascii="仿宋" w:hAnsi="仿宋" w:eastAsia="仿宋" w:cs="仿宋"/>
          <w:color w:val="auto"/>
          <w:sz w:val="24"/>
          <w:highlight w:val="none"/>
          <w:lang w:eastAsia="zh-CN"/>
        </w:rPr>
        <w:t>比价开标</w:t>
      </w:r>
      <w:r>
        <w:rPr>
          <w:rFonts w:hint="eastAsia" w:ascii="仿宋" w:hAnsi="仿宋" w:eastAsia="仿宋" w:cs="仿宋"/>
          <w:color w:val="auto"/>
          <w:sz w:val="24"/>
          <w:highlight w:val="none"/>
        </w:rPr>
        <w:t>后，直至向中标的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授予合同时止，凡是与审查、澄清、评价和比较投标的有关资料以及授标建议等，</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、评委、代理机构均不得向</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或与评标无关的其他人员透露。</w:t>
      </w:r>
    </w:p>
    <w:p w14:paraId="37637899">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3.2在评标过程中，</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不得以任何行为影响评标过程，否则其投标文件将被作为无效投标文件。</w:t>
      </w:r>
    </w:p>
    <w:p w14:paraId="3B8DADCD">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3.3在评标期间，代理机构将设专门人员与</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联系。</w:t>
      </w:r>
    </w:p>
    <w:p w14:paraId="65F674D7">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 代理机构和评标委员会不向未中标的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解释未中标原因，也不公布评标过程中的相关细节。</w:t>
      </w:r>
    </w:p>
    <w:p w14:paraId="675BF9C9">
      <w:pPr>
        <w:tabs>
          <w:tab w:val="left" w:pos="360"/>
        </w:tabs>
        <w:spacing w:after="60" w:line="460" w:lineRule="exact"/>
        <w:ind w:firstLine="480" w:firstLineChars="200"/>
        <w:rPr>
          <w:rFonts w:hint="eastAsia" w:ascii="仿宋" w:hAnsi="仿宋" w:eastAsia="仿宋" w:cs="仿宋"/>
          <w:color w:val="auto"/>
          <w:sz w:val="24"/>
          <w:highlight w:val="none"/>
        </w:rPr>
      </w:pPr>
      <w:bookmarkStart w:id="81" w:name="_Toc16938548"/>
      <w:bookmarkStart w:id="82" w:name="_Toc20823304"/>
      <w:bookmarkStart w:id="83" w:name="_Toc513029232"/>
      <w:r>
        <w:rPr>
          <w:rFonts w:hint="eastAsia" w:ascii="仿宋" w:hAnsi="仿宋" w:eastAsia="仿宋" w:cs="仿宋"/>
          <w:color w:val="auto"/>
          <w:sz w:val="24"/>
          <w:highlight w:val="none"/>
        </w:rPr>
        <w:t>4.投标的澄清</w:t>
      </w:r>
      <w:bookmarkEnd w:id="81"/>
      <w:bookmarkEnd w:id="82"/>
      <w:bookmarkEnd w:id="83"/>
    </w:p>
    <w:p w14:paraId="3694F4E0">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4.1评标期间，为有助于对投标文件的审查、评价和比较，评委会有权要求</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对其投标文件进行澄清，但并非对每个</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都作澄清要求。</w:t>
      </w:r>
    </w:p>
    <w:p w14:paraId="79569187">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4.2接到评委会澄清要求的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应按评委会规定的时间和格式做出澄清，澄清的内容作为投标文件的补充部分，但投标的价格和实质性的内容不得做任何更改。</w:t>
      </w:r>
    </w:p>
    <w:p w14:paraId="0C705971">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 接到评委会澄清要求的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如未按规定做出澄清，其风险由</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自行承担。</w:t>
      </w:r>
    </w:p>
    <w:p w14:paraId="3C86CFB2">
      <w:pPr>
        <w:tabs>
          <w:tab w:val="left" w:pos="360"/>
        </w:tabs>
        <w:spacing w:after="60" w:line="460" w:lineRule="exact"/>
        <w:ind w:firstLine="480" w:firstLineChars="200"/>
        <w:rPr>
          <w:rFonts w:hint="eastAsia" w:ascii="仿宋" w:hAnsi="仿宋" w:eastAsia="仿宋" w:cs="仿宋"/>
          <w:color w:val="auto"/>
          <w:sz w:val="24"/>
          <w:highlight w:val="none"/>
        </w:rPr>
      </w:pPr>
      <w:bookmarkStart w:id="84" w:name="_Toc16938549"/>
      <w:bookmarkStart w:id="85" w:name="_Toc513029233"/>
      <w:bookmarkStart w:id="86" w:name="_Toc20823305"/>
      <w:r>
        <w:rPr>
          <w:rFonts w:hint="eastAsia" w:ascii="仿宋" w:hAnsi="仿宋" w:eastAsia="仿宋" w:cs="仿宋"/>
          <w:color w:val="auto"/>
          <w:sz w:val="24"/>
          <w:highlight w:val="none"/>
        </w:rPr>
        <w:t>5对投标文件的初审</w:t>
      </w:r>
      <w:bookmarkEnd w:id="84"/>
      <w:bookmarkEnd w:id="85"/>
      <w:bookmarkEnd w:id="86"/>
    </w:p>
    <w:p w14:paraId="2308481D">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5.1投标文件初审分为资格审查和符合性审查。</w:t>
      </w:r>
    </w:p>
    <w:p w14:paraId="579BE89B">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5.1.1 资格审查：依据法律法规和</w:t>
      </w:r>
      <w:r>
        <w:rPr>
          <w:rFonts w:hint="eastAsia" w:ascii="仿宋" w:hAnsi="仿宋" w:eastAsia="仿宋" w:cs="仿宋"/>
          <w:color w:val="auto"/>
          <w:sz w:val="24"/>
          <w:highlight w:val="none"/>
          <w:lang w:eastAsia="zh-CN"/>
        </w:rPr>
        <w:t>比价文件</w:t>
      </w:r>
      <w:r>
        <w:rPr>
          <w:rFonts w:hint="eastAsia" w:ascii="仿宋" w:hAnsi="仿宋" w:eastAsia="仿宋" w:cs="仿宋"/>
          <w:color w:val="auto"/>
          <w:sz w:val="24"/>
          <w:highlight w:val="none"/>
        </w:rPr>
        <w:t>的规定，由评委会对投标文件中的资格证明文件进行审查。</w:t>
      </w:r>
    </w:p>
    <w:p w14:paraId="3BDD5EC5">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在进行资格性审查的同时，将由招标代理单位通过“天眼查或企查查”查询</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的关联性，以确定</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是否具备投标资格。查询结果将留存并归档。</w:t>
      </w:r>
    </w:p>
    <w:p w14:paraId="621742B7">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接受联合体的项目，两个以上的自然人、法人或者其他组织组成一个联合体，以一个供应商的身份共同参加采购活动的,联合体成员中任何一方存在不良信用记录的，视同联合体存在不良应用记录。</w:t>
      </w:r>
    </w:p>
    <w:p w14:paraId="181F7129">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5.1.2 符合性审查：依据</w:t>
      </w:r>
      <w:r>
        <w:rPr>
          <w:rFonts w:hint="eastAsia" w:ascii="仿宋" w:hAnsi="仿宋" w:eastAsia="仿宋" w:cs="仿宋"/>
          <w:color w:val="auto"/>
          <w:sz w:val="24"/>
          <w:highlight w:val="none"/>
          <w:lang w:eastAsia="zh-CN"/>
        </w:rPr>
        <w:t>比价文件</w:t>
      </w:r>
      <w:r>
        <w:rPr>
          <w:rFonts w:hint="eastAsia" w:ascii="仿宋" w:hAnsi="仿宋" w:eastAsia="仿宋" w:cs="仿宋"/>
          <w:color w:val="auto"/>
          <w:sz w:val="24"/>
          <w:highlight w:val="none"/>
        </w:rPr>
        <w:t>的规定，由评委会从投标文件的有效性、完整性和对</w:t>
      </w:r>
      <w:r>
        <w:rPr>
          <w:rFonts w:hint="eastAsia" w:ascii="仿宋" w:hAnsi="仿宋" w:eastAsia="仿宋" w:cs="仿宋"/>
          <w:color w:val="auto"/>
          <w:sz w:val="24"/>
          <w:highlight w:val="none"/>
          <w:lang w:eastAsia="zh-CN"/>
        </w:rPr>
        <w:t>比价文件</w:t>
      </w:r>
      <w:r>
        <w:rPr>
          <w:rFonts w:hint="eastAsia" w:ascii="仿宋" w:hAnsi="仿宋" w:eastAsia="仿宋" w:cs="仿宋"/>
          <w:color w:val="auto"/>
          <w:sz w:val="24"/>
          <w:highlight w:val="none"/>
        </w:rPr>
        <w:t>的响应程度进行审查，以确定是否对</w:t>
      </w:r>
      <w:r>
        <w:rPr>
          <w:rFonts w:hint="eastAsia" w:ascii="仿宋" w:hAnsi="仿宋" w:eastAsia="仿宋" w:cs="仿宋"/>
          <w:color w:val="auto"/>
          <w:sz w:val="24"/>
          <w:highlight w:val="none"/>
          <w:lang w:eastAsia="zh-CN"/>
        </w:rPr>
        <w:t>比价文件</w:t>
      </w:r>
      <w:r>
        <w:rPr>
          <w:rFonts w:hint="eastAsia" w:ascii="仿宋" w:hAnsi="仿宋" w:eastAsia="仿宋" w:cs="仿宋"/>
          <w:color w:val="auto"/>
          <w:sz w:val="24"/>
          <w:highlight w:val="none"/>
        </w:rPr>
        <w:t>的实质性要求作出响应。</w:t>
      </w:r>
    </w:p>
    <w:p w14:paraId="2F3FCD81">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5.1.3 未通过资格审查或符合性审查的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，代理机构将告知未通过资格审查或符合性审查的原因。</w:t>
      </w:r>
    </w:p>
    <w:p w14:paraId="7EE880E8">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5.2在详细评标之前，评委会将首先审查每份投标文件是否实质性响应了</w:t>
      </w:r>
      <w:r>
        <w:rPr>
          <w:rFonts w:hint="eastAsia" w:ascii="仿宋" w:hAnsi="仿宋" w:eastAsia="仿宋" w:cs="仿宋"/>
          <w:color w:val="auto"/>
          <w:sz w:val="24"/>
          <w:highlight w:val="none"/>
          <w:lang w:eastAsia="zh-CN"/>
        </w:rPr>
        <w:t>比价文件</w:t>
      </w:r>
      <w:r>
        <w:rPr>
          <w:rFonts w:hint="eastAsia" w:ascii="仿宋" w:hAnsi="仿宋" w:eastAsia="仿宋" w:cs="仿宋"/>
          <w:color w:val="auto"/>
          <w:sz w:val="24"/>
          <w:highlight w:val="none"/>
        </w:rPr>
        <w:t>的要求。实质性响应的投标应该是与</w:t>
      </w:r>
      <w:r>
        <w:rPr>
          <w:rFonts w:hint="eastAsia" w:ascii="仿宋" w:hAnsi="仿宋" w:eastAsia="仿宋" w:cs="仿宋"/>
          <w:color w:val="auto"/>
          <w:sz w:val="24"/>
          <w:highlight w:val="none"/>
          <w:lang w:eastAsia="zh-CN"/>
        </w:rPr>
        <w:t>比价文件</w:t>
      </w:r>
      <w:r>
        <w:rPr>
          <w:rFonts w:hint="eastAsia" w:ascii="仿宋" w:hAnsi="仿宋" w:eastAsia="仿宋" w:cs="仿宋"/>
          <w:color w:val="auto"/>
          <w:sz w:val="24"/>
          <w:highlight w:val="none"/>
        </w:rPr>
        <w:t>要求的全部条款、条件和规格相符，没有重大偏离或保留的投标。</w:t>
      </w:r>
    </w:p>
    <w:p w14:paraId="4557D80E">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所谓重大偏离或保留是指与</w:t>
      </w:r>
      <w:r>
        <w:rPr>
          <w:rFonts w:hint="eastAsia" w:ascii="仿宋" w:hAnsi="仿宋" w:eastAsia="仿宋" w:cs="仿宋"/>
          <w:color w:val="auto"/>
          <w:sz w:val="24"/>
          <w:highlight w:val="none"/>
          <w:lang w:eastAsia="zh-CN"/>
        </w:rPr>
        <w:t>比价文件</w:t>
      </w:r>
      <w:r>
        <w:rPr>
          <w:rFonts w:hint="eastAsia" w:ascii="仿宋" w:hAnsi="仿宋" w:eastAsia="仿宋" w:cs="仿宋"/>
          <w:color w:val="auto"/>
          <w:sz w:val="24"/>
          <w:highlight w:val="none"/>
        </w:rPr>
        <w:t>规定的实质性要求存在负偏离，或者在实质上与</w:t>
      </w:r>
      <w:r>
        <w:rPr>
          <w:rFonts w:hint="eastAsia" w:ascii="仿宋" w:hAnsi="仿宋" w:eastAsia="仿宋" w:cs="仿宋"/>
          <w:color w:val="auto"/>
          <w:sz w:val="24"/>
          <w:highlight w:val="none"/>
          <w:lang w:eastAsia="zh-CN"/>
        </w:rPr>
        <w:t>比价文件</w:t>
      </w:r>
      <w:r>
        <w:rPr>
          <w:rFonts w:hint="eastAsia" w:ascii="仿宋" w:hAnsi="仿宋" w:eastAsia="仿宋" w:cs="仿宋"/>
          <w:color w:val="auto"/>
          <w:sz w:val="24"/>
          <w:highlight w:val="none"/>
        </w:rPr>
        <w:t>不一致，而且限制了合同中买方和见证方的权利或</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的义务，纠正这些偏离或保留将会对其他实质性响应要求的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的竞争地位产生不公正的影响。重大偏离的认定需经过评委会以少数服从多数的原则作出结论。评委决定投标文件的响应性只根据投标文件本身的内容，而不寻求外部的证据。</w:t>
      </w:r>
    </w:p>
    <w:p w14:paraId="5982CE13">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5.3如果投标文件实质上没有响应</w:t>
      </w:r>
      <w:r>
        <w:rPr>
          <w:rFonts w:hint="eastAsia" w:ascii="仿宋" w:hAnsi="仿宋" w:eastAsia="仿宋" w:cs="仿宋"/>
          <w:color w:val="auto"/>
          <w:sz w:val="24"/>
          <w:highlight w:val="none"/>
          <w:lang w:eastAsia="zh-CN"/>
        </w:rPr>
        <w:t>比价文件</w:t>
      </w:r>
      <w:r>
        <w:rPr>
          <w:rFonts w:hint="eastAsia" w:ascii="仿宋" w:hAnsi="仿宋" w:eastAsia="仿宋" w:cs="仿宋"/>
          <w:color w:val="auto"/>
          <w:sz w:val="24"/>
          <w:highlight w:val="none"/>
        </w:rPr>
        <w:t>的要求，评委会将予以拒绝，</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不得通过修改或撤销不合要求的偏离或保留而使其投标成为实质性响应的投标。</w:t>
      </w:r>
    </w:p>
    <w:p w14:paraId="3FB5C549">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5.4评委会将对确定为实质性响应的投标进行进一步审核，看其是否有计算上或累加上的算术错误，修正错误的原则如下：</w:t>
      </w:r>
    </w:p>
    <w:p w14:paraId="431B675C">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（1）投标文件中开标一览表内容与投标文件中相应内容不一致的，以开标一览表为准。</w:t>
      </w:r>
    </w:p>
    <w:p w14:paraId="46FC58A5">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（2）大写金额和小写金额不一致的，以大写金额为准。</w:t>
      </w:r>
    </w:p>
    <w:p w14:paraId="22CB5590">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（3）单价金额小数点或者百分比有明显错位的，以开标一览表的总价为准，并修改单价。</w:t>
      </w:r>
    </w:p>
    <w:p w14:paraId="0E06A475">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（4）总价金额与按单价汇总金额不一致的，以单价金额计算结果为准。</w:t>
      </w:r>
    </w:p>
    <w:p w14:paraId="0400CCAF">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同时出现两种以上错误的，按照前款规定的顺序修正。</w:t>
      </w:r>
    </w:p>
    <w:p w14:paraId="0448636C">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5.5评委会将按上述修正错误的方法调整投标文件中的投标报价，并告知</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，调整后的价格应对</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具有约束力。如果</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不接受修正后的价格，则其投标将被拒绝。</w:t>
      </w:r>
    </w:p>
    <w:p w14:paraId="4025CFE9">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5.6评委会将允许修正投标文件中不构成重大偏离的、微小的、非正规的、不一致的或不规则的地方，但这些修改不能影响任何</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相应的名次排列。</w:t>
      </w:r>
    </w:p>
    <w:p w14:paraId="48904209">
      <w:pPr>
        <w:tabs>
          <w:tab w:val="left" w:pos="360"/>
        </w:tabs>
        <w:spacing w:after="60" w:line="460" w:lineRule="exact"/>
        <w:ind w:firstLine="480" w:firstLineChars="200"/>
        <w:rPr>
          <w:rFonts w:hint="eastAsia" w:ascii="仿宋" w:hAnsi="仿宋" w:eastAsia="仿宋" w:cs="仿宋"/>
          <w:color w:val="auto"/>
          <w:sz w:val="24"/>
          <w:highlight w:val="none"/>
        </w:rPr>
      </w:pPr>
      <w:bookmarkStart w:id="87" w:name="_Toc20823306"/>
      <w:bookmarkStart w:id="88" w:name="_Toc16938550"/>
      <w:bookmarkStart w:id="89" w:name="_Toc513029234"/>
      <w:r>
        <w:rPr>
          <w:rFonts w:hint="eastAsia" w:ascii="仿宋" w:hAnsi="仿宋" w:eastAsia="仿宋" w:cs="仿宋"/>
          <w:color w:val="auto"/>
          <w:sz w:val="24"/>
          <w:highlight w:val="none"/>
        </w:rPr>
        <w:t>5.7</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在开、评标全过程中应保持通讯畅通，并安排专人与代理机构及评标委员会联系。</w:t>
      </w:r>
    </w:p>
    <w:bookmarkEnd w:id="87"/>
    <w:bookmarkEnd w:id="88"/>
    <w:bookmarkEnd w:id="89"/>
    <w:p w14:paraId="1E17BBBA">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6.无效投标条款和废标条款</w:t>
      </w:r>
    </w:p>
    <w:p w14:paraId="27F0EE9D">
      <w:pPr>
        <w:tabs>
          <w:tab w:val="left" w:pos="360"/>
        </w:tabs>
        <w:spacing w:after="60" w:line="460" w:lineRule="exact"/>
        <w:ind w:firstLine="480" w:firstLineChars="200"/>
        <w:rPr>
          <w:rFonts w:hint="eastAsia" w:ascii="仿宋" w:hAnsi="仿宋" w:eastAsia="仿宋" w:cs="仿宋"/>
          <w:color w:val="auto"/>
          <w:sz w:val="24"/>
          <w:highlight w:val="none"/>
        </w:rPr>
      </w:pPr>
      <w:bookmarkStart w:id="90" w:name="_Toc20823307"/>
      <w:bookmarkStart w:id="91" w:name="_Toc16938551"/>
      <w:bookmarkStart w:id="92" w:name="_Toc513029235"/>
      <w:r>
        <w:rPr>
          <w:rFonts w:hint="eastAsia" w:ascii="仿宋" w:hAnsi="仿宋" w:eastAsia="仿宋" w:cs="仿宋"/>
          <w:color w:val="auto"/>
          <w:sz w:val="24"/>
          <w:highlight w:val="none"/>
        </w:rPr>
        <w:t>6.1无效投标条款</w:t>
      </w:r>
    </w:p>
    <w:p w14:paraId="06F38D1D">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6.1.1 同一</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提交两个（含两个）以上不同的投标报价的。</w:t>
      </w:r>
    </w:p>
    <w:p w14:paraId="2CA77727">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6.1.2</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不具备</w:t>
      </w:r>
      <w:r>
        <w:rPr>
          <w:rFonts w:hint="eastAsia" w:ascii="仿宋" w:hAnsi="仿宋" w:eastAsia="仿宋" w:cs="仿宋"/>
          <w:color w:val="auto"/>
          <w:sz w:val="24"/>
          <w:highlight w:val="none"/>
          <w:lang w:eastAsia="zh-CN"/>
        </w:rPr>
        <w:t>比价文件</w:t>
      </w:r>
      <w:r>
        <w:rPr>
          <w:rFonts w:hint="eastAsia" w:ascii="仿宋" w:hAnsi="仿宋" w:eastAsia="仿宋" w:cs="仿宋"/>
          <w:color w:val="auto"/>
          <w:sz w:val="24"/>
          <w:highlight w:val="none"/>
        </w:rPr>
        <w:t>中规定资格要求的。</w:t>
      </w:r>
    </w:p>
    <w:p w14:paraId="0B3F61BA">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6.1.3</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的报价超过了采购预算或最高限价的。</w:t>
      </w:r>
    </w:p>
    <w:p w14:paraId="2FDDDFB8">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6.1.4未通过符合性检查的。</w:t>
      </w:r>
    </w:p>
    <w:p w14:paraId="261BBD66">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6.1.5不符合</w:t>
      </w:r>
      <w:r>
        <w:rPr>
          <w:rFonts w:hint="eastAsia" w:ascii="仿宋" w:hAnsi="仿宋" w:eastAsia="仿宋" w:cs="仿宋"/>
          <w:color w:val="auto"/>
          <w:sz w:val="24"/>
          <w:highlight w:val="none"/>
          <w:lang w:eastAsia="zh-CN"/>
        </w:rPr>
        <w:t>比价文件</w:t>
      </w:r>
      <w:r>
        <w:rPr>
          <w:rFonts w:hint="eastAsia" w:ascii="仿宋" w:hAnsi="仿宋" w:eastAsia="仿宋" w:cs="仿宋"/>
          <w:color w:val="auto"/>
          <w:sz w:val="24"/>
          <w:highlight w:val="none"/>
        </w:rPr>
        <w:t>中规定的其他实质性要求和条件的。</w:t>
      </w:r>
    </w:p>
    <w:p w14:paraId="4965563C">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6.1.6</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被 “信用中国”网站（www.creditchina.gov.cn）列入失信被执行人或重大税收违法案件当事人名单或采购严重失信行为记录名单。或查询“信用中国”网站后发现</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存在其他不符合规定条件的信用记录。</w:t>
      </w:r>
    </w:p>
    <w:p w14:paraId="48CE97FB">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6.1.7本项目</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之间被通过“天眼查或企查查”查询确认有关联性的。</w:t>
      </w:r>
    </w:p>
    <w:p w14:paraId="0CD3ED8F">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6.1.8投标文件含有</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不能接受的附加条件的 。</w:t>
      </w:r>
    </w:p>
    <w:p w14:paraId="63FADE01">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6.1.9 评标委员会认为</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的报价明显低于其他通过符合性审查</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的报价，有可能影响产品质量或者不能诚信履约的，将要求其在合理的时间内提供说明，必要时提交相关证明材料；</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不能证明其报价合理性的，评标委员会应当将其作为无效投标处理。</w:t>
      </w:r>
    </w:p>
    <w:p w14:paraId="257D8F12">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6.1.10投标文件未按照</w:t>
      </w:r>
      <w:r>
        <w:rPr>
          <w:rFonts w:hint="eastAsia" w:ascii="仿宋" w:hAnsi="仿宋" w:eastAsia="仿宋" w:cs="仿宋"/>
          <w:color w:val="auto"/>
          <w:sz w:val="24"/>
          <w:highlight w:val="none"/>
          <w:lang w:eastAsia="zh-CN"/>
        </w:rPr>
        <w:t>比价文件</w:t>
      </w:r>
      <w:r>
        <w:rPr>
          <w:rFonts w:hint="eastAsia" w:ascii="仿宋" w:hAnsi="仿宋" w:eastAsia="仿宋" w:cs="仿宋"/>
          <w:color w:val="auto"/>
          <w:sz w:val="24"/>
          <w:highlight w:val="none"/>
        </w:rPr>
        <w:t>要求签字或盖章的。</w:t>
      </w:r>
    </w:p>
    <w:p w14:paraId="1E2086FA">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6.1.11</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的商务技术部分得分相差悬殊，评标委员会认为得分畸低者没有实质性响应的。</w:t>
      </w:r>
    </w:p>
    <w:p w14:paraId="14641CF6">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6.1.12其他法律、法规及本</w:t>
      </w:r>
      <w:r>
        <w:rPr>
          <w:rFonts w:hint="eastAsia" w:ascii="仿宋" w:hAnsi="仿宋" w:eastAsia="仿宋" w:cs="仿宋"/>
          <w:color w:val="auto"/>
          <w:sz w:val="24"/>
          <w:highlight w:val="none"/>
          <w:lang w:eastAsia="zh-CN"/>
        </w:rPr>
        <w:t>比价文件</w:t>
      </w:r>
      <w:r>
        <w:rPr>
          <w:rFonts w:hint="eastAsia" w:ascii="仿宋" w:hAnsi="仿宋" w:eastAsia="仿宋" w:cs="仿宋"/>
          <w:color w:val="auto"/>
          <w:sz w:val="24"/>
          <w:highlight w:val="none"/>
        </w:rPr>
        <w:t>规定的属无效投标的情形。</w:t>
      </w:r>
    </w:p>
    <w:p w14:paraId="57050F02">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6.2废标条款：</w:t>
      </w:r>
    </w:p>
    <w:p w14:paraId="7BA5A87D">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6.2.1符合专业条件的供应商或者对</w:t>
      </w:r>
      <w:r>
        <w:rPr>
          <w:rFonts w:hint="eastAsia" w:ascii="仿宋" w:hAnsi="仿宋" w:eastAsia="仿宋" w:cs="仿宋"/>
          <w:color w:val="auto"/>
          <w:sz w:val="24"/>
          <w:highlight w:val="none"/>
          <w:lang w:eastAsia="zh-CN"/>
        </w:rPr>
        <w:t>比价文件</w:t>
      </w:r>
      <w:r>
        <w:rPr>
          <w:rFonts w:hint="eastAsia" w:ascii="仿宋" w:hAnsi="仿宋" w:eastAsia="仿宋" w:cs="仿宋"/>
          <w:color w:val="auto"/>
          <w:sz w:val="24"/>
          <w:highlight w:val="none"/>
        </w:rPr>
        <w:t>作实质响应的供应商不足三家的。</w:t>
      </w:r>
    </w:p>
    <w:p w14:paraId="49A7C592">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6.2.2出现影响采购公正的违法、违规行为的。</w:t>
      </w:r>
    </w:p>
    <w:p w14:paraId="0948FF3C">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6.2.3因重大变故，采购任务取消的。</w:t>
      </w:r>
    </w:p>
    <w:p w14:paraId="2086446C">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6.2.4评标委员会认定</w:t>
      </w:r>
      <w:r>
        <w:rPr>
          <w:rFonts w:hint="eastAsia" w:ascii="仿宋" w:hAnsi="仿宋" w:eastAsia="仿宋" w:cs="仿宋"/>
          <w:color w:val="auto"/>
          <w:sz w:val="24"/>
          <w:highlight w:val="none"/>
          <w:lang w:eastAsia="zh-CN"/>
        </w:rPr>
        <w:t>比价文件</w:t>
      </w:r>
      <w:r>
        <w:rPr>
          <w:rFonts w:hint="eastAsia" w:ascii="仿宋" w:hAnsi="仿宋" w:eastAsia="仿宋" w:cs="仿宋"/>
          <w:color w:val="auto"/>
          <w:sz w:val="24"/>
          <w:highlight w:val="none"/>
        </w:rPr>
        <w:t>存在歧义、重大缺陷导致评审工作无法进行。</w:t>
      </w:r>
    </w:p>
    <w:p w14:paraId="737203A5">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6.3 投标截止时间结束后参加投标的供应商不足三家的处理：</w:t>
      </w:r>
    </w:p>
    <w:p w14:paraId="42DCBB0F">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6.3.1如出现投标截止时间结束后参加投标的供应商或者在评标期间对</w:t>
      </w:r>
      <w:r>
        <w:rPr>
          <w:rFonts w:hint="eastAsia" w:ascii="仿宋" w:hAnsi="仿宋" w:eastAsia="仿宋" w:cs="仿宋"/>
          <w:color w:val="auto"/>
          <w:sz w:val="24"/>
          <w:highlight w:val="none"/>
          <w:lang w:eastAsia="zh-CN"/>
        </w:rPr>
        <w:t>比价文件</w:t>
      </w:r>
      <w:r>
        <w:rPr>
          <w:rFonts w:hint="eastAsia" w:ascii="仿宋" w:hAnsi="仿宋" w:eastAsia="仿宋" w:cs="仿宋"/>
          <w:color w:val="auto"/>
          <w:sz w:val="24"/>
          <w:highlight w:val="none"/>
        </w:rPr>
        <w:t>做出实质响应的供应商不足三家情况，按相关规定执行。</w:t>
      </w:r>
    </w:p>
    <w:bookmarkEnd w:id="90"/>
    <w:bookmarkEnd w:id="91"/>
    <w:bookmarkEnd w:id="92"/>
    <w:p w14:paraId="174CE866">
      <w:pPr>
        <w:tabs>
          <w:tab w:val="left" w:pos="360"/>
        </w:tabs>
        <w:spacing w:after="60" w:line="460" w:lineRule="exact"/>
        <w:ind w:firstLine="482" w:firstLineChars="200"/>
        <w:rPr>
          <w:rFonts w:hint="eastAsia" w:ascii="仿宋" w:hAnsi="仿宋" w:eastAsia="仿宋" w:cs="仿宋"/>
          <w:b/>
          <w:bCs/>
          <w:color w:val="auto"/>
          <w:sz w:val="24"/>
          <w:highlight w:val="none"/>
        </w:rPr>
      </w:pPr>
      <w:bookmarkStart w:id="93" w:name="_Toc120614219"/>
      <w:r>
        <w:rPr>
          <w:rFonts w:hint="eastAsia" w:ascii="仿宋" w:hAnsi="仿宋" w:eastAsia="仿宋" w:cs="仿宋"/>
          <w:b/>
          <w:bCs/>
          <w:color w:val="auto"/>
          <w:sz w:val="24"/>
          <w:highlight w:val="none"/>
        </w:rPr>
        <w:t>六、定标</w:t>
      </w:r>
      <w:bookmarkEnd w:id="93"/>
    </w:p>
    <w:p w14:paraId="26FAA8EE">
      <w:pPr>
        <w:tabs>
          <w:tab w:val="left" w:pos="360"/>
        </w:tabs>
        <w:spacing w:after="60" w:line="460" w:lineRule="exact"/>
        <w:ind w:firstLine="480" w:firstLineChars="200"/>
        <w:rPr>
          <w:rFonts w:hint="eastAsia" w:ascii="仿宋" w:hAnsi="仿宋" w:eastAsia="仿宋" w:cs="仿宋"/>
          <w:color w:val="auto"/>
          <w:sz w:val="24"/>
          <w:highlight w:val="none"/>
          <w:lang w:eastAsia="zh-CN"/>
        </w:rPr>
      </w:pPr>
      <w:bookmarkStart w:id="94" w:name="_Toc20823310"/>
      <w:bookmarkStart w:id="95" w:name="_Toc16938554"/>
      <w:r>
        <w:rPr>
          <w:rFonts w:hint="eastAsia" w:ascii="仿宋" w:hAnsi="仿宋" w:eastAsia="仿宋" w:cs="仿宋"/>
          <w:color w:val="auto"/>
          <w:sz w:val="24"/>
          <w:highlight w:val="none"/>
        </w:rPr>
        <w:t>1.确定</w:t>
      </w:r>
      <w:bookmarkEnd w:id="94"/>
      <w:bookmarkEnd w:id="95"/>
      <w:r>
        <w:rPr>
          <w:rFonts w:hint="eastAsia" w:ascii="仿宋" w:hAnsi="仿宋" w:eastAsia="仿宋" w:cs="仿宋"/>
          <w:color w:val="auto"/>
          <w:sz w:val="24"/>
          <w:highlight w:val="none"/>
          <w:lang w:eastAsia="zh-CN"/>
        </w:rPr>
        <w:t>成交单位</w:t>
      </w:r>
    </w:p>
    <w:p w14:paraId="22407EA4">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eastAsia="zh-CN"/>
        </w:rPr>
        <w:t>成交候选人</w:t>
      </w:r>
      <w:r>
        <w:rPr>
          <w:rFonts w:hint="eastAsia" w:ascii="仿宋" w:hAnsi="仿宋" w:eastAsia="仿宋" w:cs="仿宋"/>
          <w:color w:val="auto"/>
          <w:sz w:val="24"/>
          <w:highlight w:val="none"/>
        </w:rPr>
        <w:t>的选取原则和数量见</w:t>
      </w:r>
      <w:r>
        <w:rPr>
          <w:rFonts w:hint="eastAsia" w:ascii="仿宋" w:hAnsi="仿宋" w:eastAsia="仿宋" w:cs="仿宋"/>
          <w:color w:val="auto"/>
          <w:sz w:val="24"/>
          <w:highlight w:val="none"/>
          <w:lang w:eastAsia="zh-CN"/>
        </w:rPr>
        <w:t>比价文件</w:t>
      </w:r>
      <w:r>
        <w:rPr>
          <w:rFonts w:hint="eastAsia" w:ascii="仿宋" w:hAnsi="仿宋" w:eastAsia="仿宋" w:cs="仿宋"/>
          <w:color w:val="auto"/>
          <w:sz w:val="24"/>
          <w:highlight w:val="none"/>
        </w:rPr>
        <w:t xml:space="preserve">第四部分规定。 </w:t>
      </w:r>
    </w:p>
    <w:p w14:paraId="6D2BB63B">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授权评委会在</w:t>
      </w:r>
      <w:r>
        <w:rPr>
          <w:rFonts w:hint="eastAsia" w:ascii="仿宋" w:hAnsi="仿宋" w:eastAsia="仿宋" w:cs="仿宋"/>
          <w:color w:val="auto"/>
          <w:sz w:val="24"/>
          <w:highlight w:val="none"/>
          <w:lang w:eastAsia="zh-CN"/>
        </w:rPr>
        <w:t>成交候选人</w:t>
      </w:r>
      <w:r>
        <w:rPr>
          <w:rFonts w:hint="eastAsia" w:ascii="仿宋" w:hAnsi="仿宋" w:eastAsia="仿宋" w:cs="仿宋"/>
          <w:color w:val="auto"/>
          <w:sz w:val="24"/>
          <w:highlight w:val="none"/>
        </w:rPr>
        <w:t>中直接确定中标人。</w:t>
      </w:r>
    </w:p>
    <w:p w14:paraId="316C8EDF">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1.3代理机构将在“</w:t>
      </w:r>
      <w:r>
        <w:rPr>
          <w:rFonts w:hint="eastAsia" w:ascii="仿宋" w:hAnsi="仿宋" w:eastAsia="仿宋" w:cs="仿宋"/>
          <w:color w:val="auto"/>
          <w:sz w:val="24"/>
          <w:highlight w:val="none"/>
          <w:lang w:eastAsia="zh-CN"/>
        </w:rPr>
        <w:t>南通市教育局网站或江苏省南通中等专业学校官网</w:t>
      </w:r>
      <w:r>
        <w:rPr>
          <w:rFonts w:hint="eastAsia" w:ascii="仿宋" w:hAnsi="仿宋" w:eastAsia="仿宋" w:cs="仿宋"/>
          <w:color w:val="auto"/>
          <w:sz w:val="24"/>
          <w:highlight w:val="none"/>
        </w:rPr>
        <w:t>”发布</w:t>
      </w:r>
      <w:r>
        <w:rPr>
          <w:rFonts w:hint="eastAsia" w:ascii="仿宋" w:hAnsi="仿宋" w:eastAsia="仿宋" w:cs="仿宋"/>
          <w:color w:val="auto"/>
          <w:sz w:val="24"/>
          <w:highlight w:val="none"/>
          <w:lang w:eastAsia="zh-CN"/>
        </w:rPr>
        <w:t>成交公告</w:t>
      </w:r>
      <w:r>
        <w:rPr>
          <w:rFonts w:hint="eastAsia" w:ascii="仿宋" w:hAnsi="仿宋" w:eastAsia="仿宋" w:cs="仿宋"/>
          <w:color w:val="auto"/>
          <w:sz w:val="24"/>
          <w:highlight w:val="none"/>
        </w:rPr>
        <w:t>，公告期限为1个工作日。</w:t>
      </w:r>
    </w:p>
    <w:p w14:paraId="36216ABF">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1.4若有充分证据证明，中标人出现下列情况之一的，一经查实，将被取消中标资格：</w:t>
      </w:r>
    </w:p>
    <w:p w14:paraId="1597C887">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1.4.1提供虚假材料谋取中标的。</w:t>
      </w:r>
    </w:p>
    <w:p w14:paraId="533000B1">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1.4.2向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、代理机构行贿或者提供其他不正当利益的。</w:t>
      </w:r>
    </w:p>
    <w:p w14:paraId="44C25AC7">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1.4.3恶意竞争，投标总报价明显低于其自身合理成本且又无法提供证明的。</w:t>
      </w:r>
    </w:p>
    <w:p w14:paraId="431A8C37">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1.4.4属于本文件规定的无效条件，但在评标过程中又未被评委会发现的。</w:t>
      </w:r>
    </w:p>
    <w:p w14:paraId="76B18BB5">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1.4.5与</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或者其他供应商恶意串通的。</w:t>
      </w:r>
    </w:p>
    <w:p w14:paraId="78EB0D22">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1.4.6采取不正当手段诋毁、排挤其他供应商的。</w:t>
      </w:r>
    </w:p>
    <w:p w14:paraId="56826EDA">
      <w:pPr>
        <w:tabs>
          <w:tab w:val="left" w:pos="360"/>
        </w:tabs>
        <w:spacing w:after="60" w:line="460" w:lineRule="exact"/>
        <w:ind w:firstLine="480" w:firstLineChars="200"/>
        <w:rPr>
          <w:rFonts w:hint="eastAsia" w:ascii="仿宋" w:hAnsi="仿宋" w:eastAsia="仿宋" w:cs="仿宋"/>
          <w:color w:val="auto"/>
          <w:sz w:val="24"/>
          <w:highlight w:val="none"/>
        </w:rPr>
      </w:pPr>
      <w:bookmarkStart w:id="96" w:name="_Toc200451960"/>
      <w:r>
        <w:rPr>
          <w:rFonts w:hint="eastAsia" w:ascii="仿宋" w:hAnsi="仿宋" w:eastAsia="仿宋" w:cs="仿宋"/>
          <w:color w:val="auto"/>
          <w:sz w:val="24"/>
          <w:highlight w:val="none"/>
        </w:rPr>
        <w:t>1.5.有下列情形之一的，视为</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串通投标，投标无效：</w:t>
      </w:r>
    </w:p>
    <w:p w14:paraId="03DAD3C5">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1.5.1不同</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的投标文件由同一单位或者个人编制；</w:t>
      </w:r>
    </w:p>
    <w:p w14:paraId="0D3D9A36">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1.5.2不同</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委托同一单位或者个人办理投标事宜；</w:t>
      </w:r>
    </w:p>
    <w:p w14:paraId="736B8E45">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1.5.3不同</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的投标文件载明的项目管理成员或者联系人员为同一人；</w:t>
      </w:r>
    </w:p>
    <w:p w14:paraId="003F6A47">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1.5.4不同</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的投标文件异常一致或者投标报价呈规律性差异；</w:t>
      </w:r>
    </w:p>
    <w:p w14:paraId="58120F6A">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1.5.5不同</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的投标文件相互混装；</w:t>
      </w:r>
    </w:p>
    <w:p w14:paraId="0AC62595">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2.质疑处理</w:t>
      </w:r>
      <w:bookmarkEnd w:id="96"/>
    </w:p>
    <w:p w14:paraId="41AD84C9">
      <w:pPr>
        <w:spacing w:after="0" w:line="460" w:lineRule="exact"/>
        <w:ind w:firstLine="480" w:firstLineChars="200"/>
        <w:jc w:val="both"/>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2.1供应商</w:t>
      </w:r>
      <w:r>
        <w:rPr>
          <w:rFonts w:hint="eastAsia" w:ascii="仿宋" w:hAnsi="仿宋" w:eastAsia="仿宋" w:cs="仿宋"/>
          <w:sz w:val="24"/>
          <w:szCs w:val="24"/>
          <w:highlight w:val="none"/>
          <w:lang w:val="zh-CN"/>
        </w:rPr>
        <w:t>以书面形式向</w:t>
      </w:r>
      <w:r>
        <w:rPr>
          <w:rFonts w:hint="eastAsia" w:ascii="仿宋" w:hAnsi="仿宋" w:eastAsia="仿宋" w:cs="仿宋"/>
          <w:sz w:val="24"/>
          <w:szCs w:val="24"/>
          <w:highlight w:val="none"/>
          <w:lang w:val="en-US" w:eastAsia="zh-CN"/>
        </w:rPr>
        <w:t>招标代理</w:t>
      </w:r>
      <w:r>
        <w:rPr>
          <w:rFonts w:hint="eastAsia" w:ascii="仿宋" w:hAnsi="仿宋" w:eastAsia="仿宋" w:cs="仿宋"/>
          <w:sz w:val="24"/>
          <w:szCs w:val="24"/>
          <w:highlight w:val="none"/>
          <w:lang w:val="zh-CN"/>
        </w:rPr>
        <w:t>或采购人提出</w:t>
      </w:r>
      <w:r>
        <w:rPr>
          <w:rFonts w:hint="eastAsia" w:ascii="仿宋" w:hAnsi="仿宋" w:eastAsia="仿宋" w:cs="仿宋"/>
          <w:sz w:val="24"/>
          <w:szCs w:val="24"/>
          <w:highlight w:val="none"/>
          <w:lang w:val="en-US" w:eastAsia="zh-CN"/>
        </w:rPr>
        <w:t>质疑</w:t>
      </w:r>
      <w:r>
        <w:rPr>
          <w:rFonts w:hint="eastAsia" w:ascii="仿宋" w:hAnsi="仿宋" w:eastAsia="仿宋" w:cs="仿宋"/>
          <w:sz w:val="24"/>
          <w:szCs w:val="24"/>
          <w:highlight w:val="none"/>
          <w:lang w:val="zh-CN"/>
        </w:rPr>
        <w:t>。供应商应当一次性提出针对同一采购程序环节的</w:t>
      </w:r>
      <w:r>
        <w:rPr>
          <w:rFonts w:hint="eastAsia" w:ascii="仿宋" w:hAnsi="仿宋" w:eastAsia="仿宋" w:cs="仿宋"/>
          <w:sz w:val="24"/>
          <w:szCs w:val="24"/>
          <w:highlight w:val="none"/>
          <w:lang w:val="en-US" w:eastAsia="zh-CN"/>
        </w:rPr>
        <w:t>质疑</w:t>
      </w:r>
      <w:r>
        <w:rPr>
          <w:rFonts w:hint="eastAsia" w:ascii="仿宋" w:hAnsi="仿宋" w:eastAsia="仿宋" w:cs="仿宋"/>
          <w:sz w:val="24"/>
          <w:szCs w:val="24"/>
          <w:highlight w:val="none"/>
          <w:lang w:val="zh-CN"/>
        </w:rPr>
        <w:t>。</w:t>
      </w:r>
    </w:p>
    <w:p w14:paraId="43F83EB0">
      <w:pPr>
        <w:spacing w:after="0" w:line="460" w:lineRule="exact"/>
        <w:ind w:firstLine="480" w:firstLineChars="200"/>
        <w:jc w:val="both"/>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2.2招标代理或</w:t>
      </w:r>
      <w:r>
        <w:rPr>
          <w:rFonts w:hint="eastAsia" w:ascii="仿宋" w:hAnsi="仿宋" w:eastAsia="仿宋" w:cs="仿宋"/>
          <w:sz w:val="24"/>
          <w:szCs w:val="24"/>
          <w:highlight w:val="none"/>
          <w:lang w:val="zh-CN"/>
        </w:rPr>
        <w:t>采购人在收到供应商书面</w:t>
      </w:r>
      <w:r>
        <w:rPr>
          <w:rFonts w:hint="eastAsia" w:ascii="仿宋" w:hAnsi="仿宋" w:eastAsia="仿宋" w:cs="仿宋"/>
          <w:sz w:val="24"/>
          <w:szCs w:val="24"/>
          <w:highlight w:val="none"/>
          <w:lang w:val="en-US" w:eastAsia="zh-CN"/>
        </w:rPr>
        <w:t>质疑</w:t>
      </w:r>
      <w:r>
        <w:rPr>
          <w:rFonts w:hint="eastAsia" w:ascii="仿宋" w:hAnsi="仿宋" w:eastAsia="仿宋" w:cs="仿宋"/>
          <w:sz w:val="24"/>
          <w:szCs w:val="24"/>
          <w:highlight w:val="none"/>
          <w:lang w:val="zh-CN"/>
        </w:rPr>
        <w:t>后7个工作日内作出答复。</w:t>
      </w:r>
    </w:p>
    <w:p w14:paraId="746B84A0">
      <w:pPr>
        <w:spacing w:after="0" w:line="460" w:lineRule="exact"/>
        <w:ind w:firstLine="480" w:firstLineChars="200"/>
        <w:jc w:val="both"/>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2.3</w:t>
      </w:r>
      <w:r>
        <w:rPr>
          <w:rFonts w:hint="eastAsia" w:ascii="仿宋" w:hAnsi="仿宋" w:eastAsia="仿宋" w:cs="仿宋"/>
          <w:sz w:val="24"/>
          <w:szCs w:val="24"/>
          <w:highlight w:val="none"/>
          <w:lang w:val="zh-CN"/>
        </w:rPr>
        <w:t>供应商提出书面</w:t>
      </w:r>
      <w:r>
        <w:rPr>
          <w:rFonts w:hint="eastAsia" w:ascii="仿宋" w:hAnsi="仿宋" w:eastAsia="仿宋" w:cs="仿宋"/>
          <w:sz w:val="24"/>
          <w:szCs w:val="24"/>
          <w:highlight w:val="none"/>
          <w:lang w:val="en-US" w:eastAsia="zh-CN"/>
        </w:rPr>
        <w:t>质疑</w:t>
      </w:r>
      <w:r>
        <w:rPr>
          <w:rFonts w:hint="eastAsia" w:ascii="仿宋" w:hAnsi="仿宋" w:eastAsia="仿宋" w:cs="仿宋"/>
          <w:sz w:val="24"/>
          <w:szCs w:val="24"/>
          <w:highlight w:val="none"/>
          <w:lang w:val="zh-CN"/>
        </w:rPr>
        <w:t>必须有理、有据，不得捏造事实、提供虚假材料进行恶意质疑。否则，一经查实，采购</w:t>
      </w:r>
      <w:r>
        <w:rPr>
          <w:rFonts w:hint="eastAsia" w:ascii="仿宋" w:hAnsi="仿宋" w:eastAsia="仿宋" w:cs="仿宋"/>
          <w:sz w:val="24"/>
          <w:szCs w:val="24"/>
          <w:highlight w:val="none"/>
          <w:lang w:val="en-US" w:eastAsia="zh-CN"/>
        </w:rPr>
        <w:t>人</w:t>
      </w:r>
      <w:r>
        <w:rPr>
          <w:rFonts w:hint="eastAsia" w:ascii="仿宋" w:hAnsi="仿宋" w:eastAsia="仿宋" w:cs="仿宋"/>
          <w:sz w:val="24"/>
          <w:szCs w:val="24"/>
          <w:highlight w:val="none"/>
          <w:lang w:val="zh-CN"/>
        </w:rPr>
        <w:t>有权依据有关规定</w:t>
      </w:r>
      <w:r>
        <w:rPr>
          <w:rFonts w:hint="eastAsia" w:ascii="仿宋" w:hAnsi="仿宋" w:eastAsia="仿宋" w:cs="仿宋"/>
          <w:sz w:val="24"/>
          <w:szCs w:val="24"/>
          <w:highlight w:val="none"/>
          <w:lang w:val="en-US" w:eastAsia="zh-CN"/>
        </w:rPr>
        <w:t>进行处理</w:t>
      </w:r>
      <w:r>
        <w:rPr>
          <w:rFonts w:hint="eastAsia" w:ascii="仿宋" w:hAnsi="仿宋" w:eastAsia="仿宋" w:cs="仿宋"/>
          <w:sz w:val="24"/>
          <w:szCs w:val="24"/>
          <w:highlight w:val="none"/>
          <w:lang w:val="zh-CN"/>
        </w:rPr>
        <w:t>。</w:t>
      </w:r>
    </w:p>
    <w:p w14:paraId="2E130F02">
      <w:pPr>
        <w:spacing w:after="0" w:line="460" w:lineRule="exact"/>
        <w:ind w:firstLine="480" w:firstLineChars="200"/>
        <w:jc w:val="both"/>
        <w:rPr>
          <w:rFonts w:hint="eastAsia" w:ascii="仿宋" w:hAnsi="仿宋" w:eastAsia="仿宋" w:cs="仿宋"/>
          <w:color w:val="auto"/>
          <w:sz w:val="24"/>
          <w:highlight w:val="none"/>
        </w:rPr>
      </w:pPr>
      <w:r>
        <w:rPr>
          <w:rFonts w:hint="eastAsia" w:ascii="仿宋" w:hAnsi="仿宋" w:eastAsia="仿宋" w:cs="仿宋"/>
          <w:sz w:val="24"/>
          <w:szCs w:val="24"/>
          <w:highlight w:val="none"/>
          <w:lang w:val="en-US" w:eastAsia="zh-CN"/>
        </w:rPr>
        <w:t>2.4招标代理或</w:t>
      </w:r>
      <w:r>
        <w:rPr>
          <w:rFonts w:hint="eastAsia" w:ascii="仿宋" w:hAnsi="仿宋" w:eastAsia="仿宋" w:cs="仿宋"/>
          <w:sz w:val="24"/>
          <w:szCs w:val="24"/>
          <w:highlight w:val="none"/>
          <w:lang w:val="zh-CN"/>
        </w:rPr>
        <w:t>采购人</w:t>
      </w:r>
      <w:r>
        <w:rPr>
          <w:rFonts w:hint="eastAsia" w:ascii="仿宋" w:hAnsi="仿宋" w:eastAsia="仿宋" w:cs="仿宋"/>
          <w:sz w:val="24"/>
          <w:szCs w:val="24"/>
          <w:highlight w:val="none"/>
          <w:lang w:val="en-US" w:eastAsia="zh-CN"/>
        </w:rPr>
        <w:t>接收质疑的人员</w:t>
      </w:r>
      <w:r>
        <w:rPr>
          <w:rFonts w:hint="eastAsia" w:ascii="仿宋" w:hAnsi="仿宋" w:eastAsia="仿宋" w:cs="仿宋"/>
          <w:sz w:val="24"/>
          <w:szCs w:val="24"/>
          <w:highlight w:val="none"/>
          <w:lang w:val="zh-CN"/>
        </w:rPr>
        <w:t>及联系方式，见</w:t>
      </w:r>
      <w:r>
        <w:rPr>
          <w:rFonts w:hint="eastAsia" w:ascii="仿宋" w:hAnsi="仿宋" w:eastAsia="仿宋" w:cs="仿宋"/>
          <w:sz w:val="24"/>
          <w:szCs w:val="24"/>
          <w:highlight w:val="none"/>
          <w:lang w:val="en-US" w:eastAsia="zh-CN"/>
        </w:rPr>
        <w:t>比价文件</w:t>
      </w:r>
      <w:r>
        <w:rPr>
          <w:rFonts w:hint="eastAsia" w:ascii="仿宋" w:hAnsi="仿宋" w:eastAsia="仿宋" w:cs="仿宋"/>
          <w:sz w:val="24"/>
          <w:szCs w:val="24"/>
          <w:highlight w:val="none"/>
          <w:lang w:val="zh-CN"/>
        </w:rPr>
        <w:t>第一章。</w:t>
      </w:r>
    </w:p>
    <w:p w14:paraId="0FA53171">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3.中标通知书</w:t>
      </w:r>
    </w:p>
    <w:p w14:paraId="619E984F">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3.l 中标结果确定后，</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将向中标供应商发出中标通知书。成交供应商应在成交结果公告期满后5个工作日内到采购代理机构办理领取成交通知书手续，否则，由此产生的后果供应商自负。</w:t>
      </w:r>
    </w:p>
    <w:p w14:paraId="5E0FB7DB">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3.2中标通知书将是合同的一个组成部分。对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和中标供应商均具有法律效力。中标通知书发出后，</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改变中标结果的，或者中标供应商放弃中标项目的，应当依法承担法律责任。</w:t>
      </w:r>
    </w:p>
    <w:p w14:paraId="31C33C94">
      <w:pPr>
        <w:tabs>
          <w:tab w:val="left" w:pos="360"/>
        </w:tabs>
        <w:spacing w:after="60" w:line="460" w:lineRule="exact"/>
        <w:ind w:firstLine="482" w:firstLineChars="200"/>
        <w:rPr>
          <w:rFonts w:hint="eastAsia" w:ascii="仿宋" w:hAnsi="仿宋" w:eastAsia="仿宋" w:cs="仿宋"/>
          <w:b/>
          <w:bCs/>
          <w:color w:val="auto"/>
          <w:sz w:val="24"/>
          <w:highlight w:val="none"/>
        </w:rPr>
      </w:pPr>
      <w:bookmarkStart w:id="97" w:name="_Toc120614220"/>
      <w:bookmarkStart w:id="98" w:name="_Toc16938552"/>
      <w:bookmarkStart w:id="99" w:name="_Toc20823308"/>
      <w:bookmarkStart w:id="100" w:name="_Toc513029236"/>
      <w:r>
        <w:rPr>
          <w:rFonts w:hint="eastAsia" w:ascii="仿宋" w:hAnsi="仿宋" w:eastAsia="仿宋" w:cs="仿宋"/>
          <w:b/>
          <w:bCs/>
          <w:color w:val="auto"/>
          <w:sz w:val="24"/>
          <w:highlight w:val="none"/>
        </w:rPr>
        <w:t>七、授予合同</w:t>
      </w:r>
      <w:bookmarkEnd w:id="97"/>
    </w:p>
    <w:bookmarkEnd w:id="98"/>
    <w:bookmarkEnd w:id="99"/>
    <w:bookmarkEnd w:id="100"/>
    <w:p w14:paraId="795DDAB6">
      <w:pPr>
        <w:tabs>
          <w:tab w:val="left" w:pos="360"/>
        </w:tabs>
        <w:spacing w:after="60" w:line="460" w:lineRule="exact"/>
        <w:ind w:firstLine="480" w:firstLineChars="200"/>
        <w:rPr>
          <w:rFonts w:hint="eastAsia" w:ascii="仿宋" w:hAnsi="仿宋" w:eastAsia="仿宋" w:cs="仿宋"/>
          <w:color w:val="auto"/>
          <w:sz w:val="24"/>
          <w:highlight w:val="none"/>
        </w:rPr>
      </w:pPr>
      <w:bookmarkStart w:id="101" w:name="_Toc16938553"/>
      <w:bookmarkStart w:id="102" w:name="_Toc513029237"/>
      <w:bookmarkStart w:id="103" w:name="_Toc20823309"/>
      <w:r>
        <w:rPr>
          <w:rFonts w:hint="eastAsia" w:ascii="仿宋" w:hAnsi="仿宋" w:eastAsia="仿宋" w:cs="仿宋"/>
          <w:color w:val="auto"/>
          <w:sz w:val="24"/>
          <w:highlight w:val="none"/>
        </w:rPr>
        <w:t>1.签订合同</w:t>
      </w:r>
    </w:p>
    <w:p w14:paraId="6E2E6DA2">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1.l中标人应当在中标通知书发出之日起三十日内</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按照</w:t>
      </w:r>
      <w:r>
        <w:rPr>
          <w:rFonts w:hint="eastAsia" w:ascii="仿宋" w:hAnsi="仿宋" w:eastAsia="仿宋" w:cs="仿宋"/>
          <w:color w:val="auto"/>
          <w:sz w:val="24"/>
          <w:highlight w:val="none"/>
          <w:lang w:eastAsia="zh-CN"/>
        </w:rPr>
        <w:t>比价文件</w:t>
      </w:r>
      <w:r>
        <w:rPr>
          <w:rFonts w:hint="eastAsia" w:ascii="仿宋" w:hAnsi="仿宋" w:eastAsia="仿宋" w:cs="仿宋"/>
          <w:color w:val="auto"/>
          <w:sz w:val="24"/>
          <w:highlight w:val="none"/>
        </w:rPr>
        <w:t>确定的事项与</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签订合同。</w:t>
      </w:r>
    </w:p>
    <w:p w14:paraId="4887BBBE">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eastAsia="zh-CN"/>
        </w:rPr>
        <w:t>比价文件</w:t>
      </w:r>
      <w:r>
        <w:rPr>
          <w:rFonts w:hint="eastAsia" w:ascii="仿宋" w:hAnsi="仿宋" w:eastAsia="仿宋" w:cs="仿宋"/>
          <w:color w:val="auto"/>
          <w:sz w:val="24"/>
          <w:highlight w:val="none"/>
        </w:rPr>
        <w:t>、中标人的投标文件及招标过程中有关澄清、承诺文件均应作为合同附件。</w:t>
      </w:r>
    </w:p>
    <w:p w14:paraId="26E8103F">
      <w:pPr>
        <w:tabs>
          <w:tab w:val="left" w:pos="360"/>
        </w:tabs>
        <w:spacing w:after="6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1.3签订合同后，中标人不得将货物及其他相关服务进行转包。未经</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同意，中标人也不得采用分包的形式履行合同，否则</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有权终止合同。采购合同分包履行的，中标、成交供应商就采购项目和分包项目向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负责，分包供应商就分包项目承担责任。转包或分包造成</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损失的，中标人应承担相应赔偿责任。</w:t>
      </w:r>
    </w:p>
    <w:bookmarkEnd w:id="101"/>
    <w:bookmarkEnd w:id="102"/>
    <w:bookmarkEnd w:id="103"/>
    <w:p w14:paraId="3A4ECFA2">
      <w:pPr>
        <w:shd w:val="clear" w:color="auto" w:fill="FFFFFF"/>
        <w:spacing w:after="0" w:line="4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21041556">
      <w:pPr>
        <w:pStyle w:val="40"/>
        <w:adjustRightInd w:val="0"/>
        <w:snapToGrid w:val="0"/>
        <w:spacing w:afterLines="150"/>
        <w:ind w:firstLine="0" w:firstLineChars="0"/>
        <w:jc w:val="center"/>
        <w:rPr>
          <w:rFonts w:hint="eastAsia" w:ascii="仿宋" w:hAnsi="仿宋" w:eastAsia="仿宋" w:cs="仿宋"/>
          <w:b/>
          <w:bCs/>
          <w:sz w:val="36"/>
          <w:szCs w:val="36"/>
          <w:highlight w:val="none"/>
        </w:rPr>
      </w:pPr>
      <w:r>
        <w:rPr>
          <w:rFonts w:hint="eastAsia" w:ascii="仿宋" w:hAnsi="仿宋" w:eastAsia="仿宋" w:cs="仿宋"/>
          <w:b/>
          <w:bCs/>
          <w:sz w:val="36"/>
          <w:szCs w:val="36"/>
          <w:highlight w:val="none"/>
          <w:lang w:val="en-US" w:eastAsia="zh-CN"/>
        </w:rPr>
        <w:t>第三部分 采购</w:t>
      </w:r>
      <w:r>
        <w:rPr>
          <w:rFonts w:hint="eastAsia" w:ascii="仿宋" w:hAnsi="仿宋" w:eastAsia="仿宋" w:cs="仿宋"/>
          <w:b/>
          <w:bCs/>
          <w:sz w:val="36"/>
          <w:szCs w:val="36"/>
          <w:highlight w:val="none"/>
        </w:rPr>
        <w:t>需求</w:t>
      </w:r>
    </w:p>
    <w:p w14:paraId="7E617265">
      <w:pPr>
        <w:widowControl w:val="0"/>
        <w:adjustRightInd/>
        <w:snapToGrid/>
        <w:spacing w:after="0" w:line="400" w:lineRule="exact"/>
        <w:ind w:left="560"/>
        <w:jc w:val="both"/>
        <w:rPr>
          <w:rFonts w:hint="eastAsia" w:ascii="仿宋" w:hAnsi="仿宋" w:eastAsia="仿宋" w:cs="仿宋"/>
          <w:b/>
          <w:bCs w:val="0"/>
          <w:kern w:val="2"/>
          <w:sz w:val="24"/>
          <w:szCs w:val="24"/>
          <w:highlight w:val="none"/>
        </w:rPr>
      </w:pPr>
      <w:r>
        <w:rPr>
          <w:rFonts w:hint="eastAsia" w:ascii="仿宋" w:hAnsi="仿宋" w:eastAsia="仿宋" w:cs="仿宋"/>
          <w:b/>
          <w:bCs w:val="0"/>
          <w:kern w:val="2"/>
          <w:sz w:val="24"/>
          <w:szCs w:val="24"/>
          <w:highlight w:val="none"/>
          <w:lang w:val="en-US" w:eastAsia="zh-CN"/>
        </w:rPr>
        <w:t>一、</w:t>
      </w:r>
      <w:r>
        <w:rPr>
          <w:rFonts w:hint="eastAsia" w:ascii="仿宋" w:hAnsi="仿宋" w:eastAsia="仿宋" w:cs="仿宋"/>
          <w:b/>
          <w:bCs w:val="0"/>
          <w:kern w:val="2"/>
          <w:sz w:val="24"/>
          <w:szCs w:val="24"/>
          <w:highlight w:val="none"/>
        </w:rPr>
        <w:t>学校现有</w:t>
      </w:r>
      <w:r>
        <w:rPr>
          <w:rFonts w:hint="eastAsia" w:ascii="仿宋" w:hAnsi="仿宋" w:eastAsia="仿宋" w:cs="仿宋"/>
          <w:b/>
          <w:bCs w:val="0"/>
          <w:kern w:val="2"/>
          <w:sz w:val="24"/>
          <w:szCs w:val="24"/>
          <w:highlight w:val="none"/>
          <w:lang w:eastAsia="zh-CN"/>
        </w:rPr>
        <w:t>净水器</w:t>
      </w:r>
      <w:r>
        <w:rPr>
          <w:rFonts w:hint="eastAsia" w:ascii="仿宋" w:hAnsi="仿宋" w:eastAsia="仿宋" w:cs="仿宋"/>
          <w:b/>
          <w:bCs w:val="0"/>
          <w:kern w:val="2"/>
          <w:sz w:val="24"/>
          <w:szCs w:val="24"/>
          <w:highlight w:val="none"/>
        </w:rPr>
        <w:t>清单</w:t>
      </w:r>
    </w:p>
    <w:p w14:paraId="0F086E69">
      <w:pPr>
        <w:rPr>
          <w:rFonts w:hint="eastAsia" w:ascii="仿宋" w:hAnsi="仿宋" w:eastAsia="仿宋" w:cs="仿宋"/>
          <w:sz w:val="28"/>
          <w:szCs w:val="28"/>
          <w:highlight w:val="none"/>
          <w:lang w:val="en-US" w:eastAsia="zh-CN"/>
        </w:rPr>
      </w:pPr>
    </w:p>
    <w:tbl>
      <w:tblPr>
        <w:tblStyle w:val="18"/>
        <w:tblW w:w="5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095"/>
        <w:gridCol w:w="1651"/>
        <w:gridCol w:w="850"/>
        <w:gridCol w:w="859"/>
      </w:tblGrid>
      <w:tr w14:paraId="24111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14:paraId="5B79CC52">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kern w:val="2"/>
                <w:sz w:val="24"/>
                <w:szCs w:val="24"/>
                <w:highlight w:val="none"/>
                <w:vertAlign w:val="baseline"/>
                <w:lang w:val="en-US" w:eastAsia="zh-CN"/>
              </w:rPr>
            </w:pPr>
            <w:r>
              <w:rPr>
                <w:rFonts w:hint="eastAsia" w:ascii="仿宋" w:hAnsi="仿宋" w:eastAsia="仿宋" w:cs="仿宋"/>
                <w:kern w:val="2"/>
                <w:sz w:val="24"/>
                <w:szCs w:val="24"/>
                <w:highlight w:val="none"/>
                <w:vertAlign w:val="baseline"/>
                <w:lang w:val="en-US" w:eastAsia="zh-CN"/>
              </w:rPr>
              <w:t>序号</w:t>
            </w:r>
          </w:p>
        </w:tc>
        <w:tc>
          <w:tcPr>
            <w:tcW w:w="1095" w:type="dxa"/>
            <w:vAlign w:val="center"/>
          </w:tcPr>
          <w:p w14:paraId="65066B3D">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kern w:val="2"/>
                <w:sz w:val="24"/>
                <w:szCs w:val="24"/>
                <w:highlight w:val="none"/>
                <w:vertAlign w:val="baseline"/>
                <w:lang w:val="en-US" w:eastAsia="zh-CN"/>
              </w:rPr>
            </w:pPr>
            <w:r>
              <w:rPr>
                <w:rFonts w:hint="eastAsia" w:ascii="仿宋" w:hAnsi="仿宋" w:eastAsia="仿宋" w:cs="仿宋"/>
                <w:kern w:val="2"/>
                <w:sz w:val="24"/>
                <w:szCs w:val="24"/>
                <w:highlight w:val="none"/>
                <w:vertAlign w:val="baseline"/>
                <w:lang w:val="en-US" w:eastAsia="zh-CN"/>
              </w:rPr>
              <w:t>地点</w:t>
            </w:r>
          </w:p>
        </w:tc>
        <w:tc>
          <w:tcPr>
            <w:tcW w:w="1651" w:type="dxa"/>
            <w:vAlign w:val="center"/>
          </w:tcPr>
          <w:p w14:paraId="031A7AA7">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kern w:val="2"/>
                <w:sz w:val="24"/>
                <w:szCs w:val="24"/>
                <w:highlight w:val="none"/>
                <w:vertAlign w:val="baseline"/>
                <w:lang w:val="en-US" w:eastAsia="zh-CN"/>
              </w:rPr>
            </w:pPr>
            <w:r>
              <w:rPr>
                <w:rFonts w:hint="eastAsia" w:ascii="仿宋" w:hAnsi="仿宋" w:eastAsia="仿宋" w:cs="仿宋"/>
                <w:kern w:val="2"/>
                <w:sz w:val="24"/>
                <w:szCs w:val="24"/>
                <w:highlight w:val="none"/>
                <w:vertAlign w:val="baseline"/>
                <w:lang w:val="en-US" w:eastAsia="zh-CN"/>
              </w:rPr>
              <w:t>规格</w:t>
            </w:r>
          </w:p>
        </w:tc>
        <w:tc>
          <w:tcPr>
            <w:tcW w:w="850" w:type="dxa"/>
            <w:vAlign w:val="center"/>
          </w:tcPr>
          <w:p w14:paraId="4E3D4B8A">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kern w:val="2"/>
                <w:sz w:val="24"/>
                <w:szCs w:val="24"/>
                <w:highlight w:val="none"/>
                <w:vertAlign w:val="baseline"/>
                <w:lang w:val="en-US" w:eastAsia="zh-CN"/>
              </w:rPr>
            </w:pPr>
            <w:r>
              <w:rPr>
                <w:rFonts w:hint="eastAsia" w:ascii="仿宋" w:hAnsi="仿宋" w:eastAsia="仿宋" w:cs="仿宋"/>
                <w:kern w:val="2"/>
                <w:sz w:val="24"/>
                <w:szCs w:val="24"/>
                <w:highlight w:val="none"/>
                <w:vertAlign w:val="baseline"/>
                <w:lang w:val="en-US" w:eastAsia="zh-CN"/>
              </w:rPr>
              <w:t>数量</w:t>
            </w:r>
          </w:p>
        </w:tc>
        <w:tc>
          <w:tcPr>
            <w:tcW w:w="859" w:type="dxa"/>
            <w:vAlign w:val="center"/>
          </w:tcPr>
          <w:p w14:paraId="40B57EA1">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kern w:val="2"/>
                <w:sz w:val="24"/>
                <w:szCs w:val="24"/>
                <w:highlight w:val="none"/>
                <w:vertAlign w:val="baseline"/>
                <w:lang w:val="en-US" w:eastAsia="zh-CN"/>
              </w:rPr>
            </w:pPr>
            <w:r>
              <w:rPr>
                <w:rFonts w:hint="eastAsia" w:ascii="仿宋" w:hAnsi="仿宋" w:eastAsia="仿宋" w:cs="仿宋"/>
                <w:kern w:val="2"/>
                <w:sz w:val="24"/>
                <w:szCs w:val="24"/>
                <w:highlight w:val="none"/>
                <w:vertAlign w:val="baseline"/>
                <w:lang w:val="en-US" w:eastAsia="zh-CN"/>
              </w:rPr>
              <w:t>单位</w:t>
            </w:r>
          </w:p>
        </w:tc>
      </w:tr>
      <w:tr w14:paraId="4493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14:paraId="7A6557FF">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kern w:val="2"/>
                <w:sz w:val="24"/>
                <w:szCs w:val="24"/>
                <w:highlight w:val="none"/>
                <w:vertAlign w:val="baseline"/>
                <w:lang w:val="en-US" w:eastAsia="zh-CN"/>
              </w:rPr>
            </w:pPr>
            <w:r>
              <w:rPr>
                <w:rFonts w:hint="eastAsia" w:ascii="仿宋" w:hAnsi="仿宋" w:eastAsia="仿宋" w:cs="仿宋"/>
                <w:kern w:val="2"/>
                <w:sz w:val="24"/>
                <w:szCs w:val="24"/>
                <w:highlight w:val="none"/>
                <w:vertAlign w:val="baseline"/>
                <w:lang w:val="en-US" w:eastAsia="zh-CN"/>
              </w:rPr>
              <w:t>1</w:t>
            </w:r>
          </w:p>
        </w:tc>
        <w:tc>
          <w:tcPr>
            <w:tcW w:w="1095" w:type="dxa"/>
            <w:vAlign w:val="center"/>
          </w:tcPr>
          <w:p w14:paraId="1B482C81">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kern w:val="2"/>
                <w:sz w:val="24"/>
                <w:szCs w:val="24"/>
                <w:highlight w:val="none"/>
                <w:vertAlign w:val="baseline"/>
                <w:lang w:val="en-US" w:eastAsia="zh-CN"/>
              </w:rPr>
            </w:pPr>
            <w:r>
              <w:rPr>
                <w:rFonts w:hint="eastAsia" w:ascii="仿宋" w:hAnsi="仿宋" w:eastAsia="仿宋" w:cs="仿宋"/>
                <w:kern w:val="2"/>
                <w:sz w:val="24"/>
                <w:szCs w:val="24"/>
                <w:highlight w:val="none"/>
                <w:vertAlign w:val="baseline"/>
                <w:lang w:val="en-US" w:eastAsia="zh-CN"/>
              </w:rPr>
              <w:t>静海楼</w:t>
            </w:r>
          </w:p>
        </w:tc>
        <w:tc>
          <w:tcPr>
            <w:tcW w:w="1651" w:type="dxa"/>
            <w:vAlign w:val="center"/>
          </w:tcPr>
          <w:p w14:paraId="4117690B">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kern w:val="2"/>
                <w:sz w:val="24"/>
                <w:szCs w:val="24"/>
                <w:highlight w:val="none"/>
                <w:vertAlign w:val="baseline"/>
                <w:lang w:val="en-US" w:eastAsia="zh-CN"/>
              </w:rPr>
            </w:pPr>
            <w:r>
              <w:rPr>
                <w:rFonts w:hint="eastAsia" w:ascii="仿宋" w:hAnsi="仿宋" w:eastAsia="仿宋" w:cs="仿宋"/>
                <w:kern w:val="2"/>
                <w:sz w:val="24"/>
                <w:szCs w:val="24"/>
                <w:highlight w:val="none"/>
                <w:vertAlign w:val="baseline"/>
                <w:lang w:val="en-US" w:eastAsia="zh-CN"/>
              </w:rPr>
              <w:t>4个龙头</w:t>
            </w:r>
          </w:p>
        </w:tc>
        <w:tc>
          <w:tcPr>
            <w:tcW w:w="850" w:type="dxa"/>
            <w:vAlign w:val="center"/>
          </w:tcPr>
          <w:p w14:paraId="147270CE">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kern w:val="2"/>
                <w:sz w:val="24"/>
                <w:szCs w:val="24"/>
                <w:highlight w:val="none"/>
                <w:vertAlign w:val="baseline"/>
                <w:lang w:val="en-US" w:eastAsia="zh-CN"/>
              </w:rPr>
            </w:pPr>
            <w:r>
              <w:rPr>
                <w:rFonts w:hint="eastAsia" w:ascii="仿宋" w:hAnsi="仿宋" w:eastAsia="仿宋" w:cs="仿宋"/>
                <w:kern w:val="2"/>
                <w:sz w:val="24"/>
                <w:szCs w:val="24"/>
                <w:highlight w:val="none"/>
                <w:vertAlign w:val="baseline"/>
                <w:lang w:val="en-US" w:eastAsia="zh-CN"/>
              </w:rPr>
              <w:t>2</w:t>
            </w:r>
          </w:p>
        </w:tc>
        <w:tc>
          <w:tcPr>
            <w:tcW w:w="859" w:type="dxa"/>
            <w:vAlign w:val="center"/>
          </w:tcPr>
          <w:p w14:paraId="6FB3A5A5">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kern w:val="2"/>
                <w:sz w:val="24"/>
                <w:szCs w:val="24"/>
                <w:highlight w:val="none"/>
                <w:vertAlign w:val="baseline"/>
                <w:lang w:val="en-US" w:eastAsia="zh-CN"/>
              </w:rPr>
            </w:pPr>
            <w:r>
              <w:rPr>
                <w:rFonts w:hint="eastAsia" w:ascii="仿宋" w:hAnsi="仿宋" w:eastAsia="仿宋" w:cs="仿宋"/>
                <w:kern w:val="2"/>
                <w:sz w:val="24"/>
                <w:szCs w:val="24"/>
                <w:highlight w:val="none"/>
                <w:vertAlign w:val="baseline"/>
                <w:lang w:val="en-US" w:eastAsia="zh-CN"/>
              </w:rPr>
              <w:t>台</w:t>
            </w:r>
          </w:p>
        </w:tc>
      </w:tr>
      <w:tr w14:paraId="29697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restart"/>
            <w:vAlign w:val="center"/>
          </w:tcPr>
          <w:p w14:paraId="15364241">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kern w:val="2"/>
                <w:sz w:val="24"/>
                <w:szCs w:val="24"/>
                <w:highlight w:val="none"/>
                <w:vertAlign w:val="baseline"/>
                <w:lang w:val="en-US" w:eastAsia="zh-CN"/>
              </w:rPr>
            </w:pPr>
            <w:r>
              <w:rPr>
                <w:rFonts w:hint="eastAsia" w:ascii="仿宋" w:hAnsi="仿宋" w:eastAsia="仿宋" w:cs="仿宋"/>
                <w:kern w:val="2"/>
                <w:sz w:val="24"/>
                <w:szCs w:val="24"/>
                <w:highlight w:val="none"/>
                <w:vertAlign w:val="baseline"/>
                <w:lang w:val="en-US" w:eastAsia="zh-CN"/>
              </w:rPr>
              <w:t>2</w:t>
            </w:r>
          </w:p>
        </w:tc>
        <w:tc>
          <w:tcPr>
            <w:tcW w:w="1095" w:type="dxa"/>
            <w:vMerge w:val="restart"/>
            <w:vAlign w:val="center"/>
          </w:tcPr>
          <w:p w14:paraId="32235F46">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kern w:val="2"/>
                <w:sz w:val="24"/>
                <w:szCs w:val="24"/>
                <w:highlight w:val="none"/>
                <w:vertAlign w:val="baseline"/>
                <w:lang w:val="en-US" w:eastAsia="zh-CN"/>
              </w:rPr>
            </w:pPr>
            <w:r>
              <w:rPr>
                <w:rFonts w:hint="eastAsia" w:ascii="仿宋" w:hAnsi="仿宋" w:eastAsia="仿宋" w:cs="仿宋"/>
                <w:kern w:val="2"/>
                <w:sz w:val="24"/>
                <w:szCs w:val="24"/>
                <w:highlight w:val="none"/>
                <w:vertAlign w:val="baseline"/>
                <w:lang w:val="en-US" w:eastAsia="zh-CN"/>
              </w:rPr>
              <w:t>至诚楼</w:t>
            </w:r>
          </w:p>
        </w:tc>
        <w:tc>
          <w:tcPr>
            <w:tcW w:w="1651" w:type="dxa"/>
            <w:vAlign w:val="center"/>
          </w:tcPr>
          <w:p w14:paraId="0B9689B6">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kern w:val="2"/>
                <w:sz w:val="24"/>
                <w:szCs w:val="24"/>
                <w:highlight w:val="none"/>
                <w:vertAlign w:val="baseline"/>
                <w:lang w:val="en-US" w:eastAsia="zh-CN"/>
              </w:rPr>
            </w:pPr>
            <w:r>
              <w:rPr>
                <w:rFonts w:hint="eastAsia" w:ascii="仿宋" w:hAnsi="仿宋" w:eastAsia="仿宋" w:cs="仿宋"/>
                <w:kern w:val="2"/>
                <w:sz w:val="24"/>
                <w:szCs w:val="24"/>
                <w:highlight w:val="none"/>
                <w:vertAlign w:val="baseline"/>
                <w:lang w:val="en-US" w:eastAsia="zh-CN"/>
              </w:rPr>
              <w:t>6个龙头</w:t>
            </w:r>
          </w:p>
        </w:tc>
        <w:tc>
          <w:tcPr>
            <w:tcW w:w="850" w:type="dxa"/>
            <w:vAlign w:val="center"/>
          </w:tcPr>
          <w:p w14:paraId="65088209">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kern w:val="2"/>
                <w:sz w:val="24"/>
                <w:szCs w:val="24"/>
                <w:highlight w:val="none"/>
                <w:vertAlign w:val="baseline"/>
                <w:lang w:val="en-US" w:eastAsia="zh-CN"/>
              </w:rPr>
            </w:pPr>
            <w:r>
              <w:rPr>
                <w:rFonts w:hint="eastAsia" w:ascii="仿宋" w:hAnsi="仿宋" w:eastAsia="仿宋" w:cs="仿宋"/>
                <w:kern w:val="2"/>
                <w:sz w:val="24"/>
                <w:szCs w:val="24"/>
                <w:highlight w:val="none"/>
                <w:vertAlign w:val="baseline"/>
                <w:lang w:val="en-US" w:eastAsia="zh-CN"/>
              </w:rPr>
              <w:t>3</w:t>
            </w:r>
          </w:p>
        </w:tc>
        <w:tc>
          <w:tcPr>
            <w:tcW w:w="859" w:type="dxa"/>
            <w:vAlign w:val="center"/>
          </w:tcPr>
          <w:p w14:paraId="1513F77C">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kern w:val="2"/>
                <w:sz w:val="24"/>
                <w:szCs w:val="24"/>
                <w:highlight w:val="none"/>
                <w:vertAlign w:val="baseline"/>
                <w:lang w:val="en-US" w:eastAsia="zh-CN"/>
              </w:rPr>
            </w:pPr>
            <w:r>
              <w:rPr>
                <w:rFonts w:hint="eastAsia" w:ascii="仿宋" w:hAnsi="仿宋" w:eastAsia="仿宋" w:cs="仿宋"/>
                <w:kern w:val="2"/>
                <w:sz w:val="24"/>
                <w:szCs w:val="24"/>
                <w:highlight w:val="none"/>
                <w:vertAlign w:val="baseline"/>
                <w:lang w:val="en-US" w:eastAsia="zh-CN"/>
              </w:rPr>
              <w:t>台</w:t>
            </w:r>
          </w:p>
        </w:tc>
      </w:tr>
      <w:tr w14:paraId="5388A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vAlign w:val="center"/>
          </w:tcPr>
          <w:p w14:paraId="34BB8053">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kern w:val="2"/>
                <w:sz w:val="24"/>
                <w:szCs w:val="24"/>
                <w:highlight w:val="none"/>
                <w:vertAlign w:val="baseline"/>
                <w:lang w:val="en-US" w:eastAsia="zh-CN"/>
              </w:rPr>
            </w:pPr>
          </w:p>
        </w:tc>
        <w:tc>
          <w:tcPr>
            <w:tcW w:w="1095" w:type="dxa"/>
            <w:vMerge w:val="continue"/>
            <w:vAlign w:val="center"/>
          </w:tcPr>
          <w:p w14:paraId="369D5707">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kern w:val="2"/>
                <w:sz w:val="24"/>
                <w:szCs w:val="24"/>
                <w:highlight w:val="none"/>
                <w:vertAlign w:val="baseline"/>
                <w:lang w:val="en-US" w:eastAsia="zh-CN"/>
              </w:rPr>
            </w:pPr>
          </w:p>
        </w:tc>
        <w:tc>
          <w:tcPr>
            <w:tcW w:w="1651" w:type="dxa"/>
            <w:vAlign w:val="center"/>
          </w:tcPr>
          <w:p w14:paraId="149D6A23">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kern w:val="2"/>
                <w:sz w:val="24"/>
                <w:szCs w:val="24"/>
                <w:highlight w:val="none"/>
                <w:vertAlign w:val="baseline"/>
                <w:lang w:val="en-US" w:eastAsia="zh-CN"/>
              </w:rPr>
            </w:pPr>
            <w:r>
              <w:rPr>
                <w:rFonts w:hint="eastAsia" w:ascii="仿宋" w:hAnsi="仿宋" w:eastAsia="仿宋" w:cs="仿宋"/>
                <w:kern w:val="2"/>
                <w:sz w:val="24"/>
                <w:szCs w:val="24"/>
                <w:highlight w:val="none"/>
                <w:vertAlign w:val="baseline"/>
                <w:lang w:val="en-US" w:eastAsia="zh-CN"/>
              </w:rPr>
              <w:t>4个龙头</w:t>
            </w:r>
          </w:p>
        </w:tc>
        <w:tc>
          <w:tcPr>
            <w:tcW w:w="850" w:type="dxa"/>
            <w:vAlign w:val="center"/>
          </w:tcPr>
          <w:p w14:paraId="61E036F8">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kern w:val="2"/>
                <w:sz w:val="24"/>
                <w:szCs w:val="24"/>
                <w:highlight w:val="none"/>
                <w:vertAlign w:val="baseline"/>
                <w:lang w:val="en-US" w:eastAsia="zh-CN"/>
              </w:rPr>
            </w:pPr>
            <w:r>
              <w:rPr>
                <w:rFonts w:hint="eastAsia" w:ascii="仿宋" w:hAnsi="仿宋" w:eastAsia="仿宋" w:cs="仿宋"/>
                <w:kern w:val="2"/>
                <w:sz w:val="24"/>
                <w:szCs w:val="24"/>
                <w:highlight w:val="none"/>
                <w:vertAlign w:val="baseline"/>
                <w:lang w:val="en-US" w:eastAsia="zh-CN"/>
              </w:rPr>
              <w:t>1</w:t>
            </w:r>
          </w:p>
        </w:tc>
        <w:tc>
          <w:tcPr>
            <w:tcW w:w="859" w:type="dxa"/>
            <w:vAlign w:val="center"/>
          </w:tcPr>
          <w:p w14:paraId="304D83B3">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kern w:val="2"/>
                <w:sz w:val="24"/>
                <w:szCs w:val="24"/>
                <w:highlight w:val="none"/>
                <w:vertAlign w:val="baseline"/>
                <w:lang w:val="en-US" w:eastAsia="zh-CN"/>
              </w:rPr>
            </w:pPr>
            <w:r>
              <w:rPr>
                <w:rFonts w:hint="eastAsia" w:ascii="仿宋" w:hAnsi="仿宋" w:eastAsia="仿宋" w:cs="仿宋"/>
                <w:kern w:val="2"/>
                <w:sz w:val="24"/>
                <w:szCs w:val="24"/>
                <w:highlight w:val="none"/>
                <w:vertAlign w:val="baseline"/>
                <w:lang w:val="en-US" w:eastAsia="zh-CN"/>
              </w:rPr>
              <w:t>台</w:t>
            </w:r>
          </w:p>
        </w:tc>
      </w:tr>
      <w:tr w14:paraId="31D81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14:paraId="16E48880">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kern w:val="2"/>
                <w:sz w:val="24"/>
                <w:szCs w:val="24"/>
                <w:highlight w:val="none"/>
                <w:vertAlign w:val="baseline"/>
                <w:lang w:val="en-US" w:eastAsia="zh-CN"/>
              </w:rPr>
            </w:pPr>
            <w:r>
              <w:rPr>
                <w:rFonts w:hint="eastAsia" w:ascii="仿宋" w:hAnsi="仿宋" w:eastAsia="仿宋" w:cs="仿宋"/>
                <w:kern w:val="2"/>
                <w:sz w:val="24"/>
                <w:szCs w:val="24"/>
                <w:highlight w:val="none"/>
                <w:vertAlign w:val="baseline"/>
                <w:lang w:val="en-US" w:eastAsia="zh-CN"/>
              </w:rPr>
              <w:t>3</w:t>
            </w:r>
          </w:p>
        </w:tc>
        <w:tc>
          <w:tcPr>
            <w:tcW w:w="1095" w:type="dxa"/>
            <w:vMerge w:val="restart"/>
            <w:vAlign w:val="center"/>
          </w:tcPr>
          <w:p w14:paraId="1A4638ED">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kern w:val="2"/>
                <w:sz w:val="24"/>
                <w:szCs w:val="24"/>
                <w:highlight w:val="none"/>
                <w:vertAlign w:val="baseline"/>
                <w:lang w:val="en-US" w:eastAsia="zh-CN"/>
              </w:rPr>
            </w:pPr>
            <w:r>
              <w:rPr>
                <w:rFonts w:hint="eastAsia" w:ascii="仿宋" w:hAnsi="仿宋" w:eastAsia="仿宋" w:cs="仿宋"/>
                <w:kern w:val="2"/>
                <w:sz w:val="24"/>
                <w:szCs w:val="24"/>
                <w:highlight w:val="none"/>
                <w:vertAlign w:val="baseline"/>
                <w:lang w:val="en-US" w:eastAsia="zh-CN"/>
              </w:rPr>
              <w:t>至善楼</w:t>
            </w:r>
          </w:p>
        </w:tc>
        <w:tc>
          <w:tcPr>
            <w:tcW w:w="1651" w:type="dxa"/>
            <w:vAlign w:val="center"/>
          </w:tcPr>
          <w:p w14:paraId="4F3B5AAD">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kern w:val="2"/>
                <w:sz w:val="24"/>
                <w:szCs w:val="24"/>
                <w:highlight w:val="none"/>
                <w:vertAlign w:val="baseline"/>
                <w:lang w:val="en-US" w:eastAsia="zh-CN"/>
              </w:rPr>
            </w:pPr>
            <w:r>
              <w:rPr>
                <w:rFonts w:hint="eastAsia" w:ascii="仿宋" w:hAnsi="仿宋" w:eastAsia="仿宋" w:cs="仿宋"/>
                <w:kern w:val="2"/>
                <w:sz w:val="24"/>
                <w:szCs w:val="24"/>
                <w:highlight w:val="none"/>
                <w:vertAlign w:val="baseline"/>
                <w:lang w:val="en-US" w:eastAsia="zh-CN"/>
              </w:rPr>
              <w:t>6个龙头</w:t>
            </w:r>
          </w:p>
        </w:tc>
        <w:tc>
          <w:tcPr>
            <w:tcW w:w="850" w:type="dxa"/>
            <w:vAlign w:val="center"/>
          </w:tcPr>
          <w:p w14:paraId="655162DD">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kern w:val="2"/>
                <w:sz w:val="24"/>
                <w:szCs w:val="24"/>
                <w:highlight w:val="none"/>
                <w:vertAlign w:val="baseline"/>
                <w:lang w:val="en-US" w:eastAsia="zh-CN"/>
              </w:rPr>
            </w:pPr>
            <w:r>
              <w:rPr>
                <w:rFonts w:hint="eastAsia" w:ascii="仿宋" w:hAnsi="仿宋" w:eastAsia="仿宋" w:cs="仿宋"/>
                <w:kern w:val="2"/>
                <w:sz w:val="24"/>
                <w:szCs w:val="24"/>
                <w:highlight w:val="none"/>
                <w:vertAlign w:val="baseline"/>
                <w:lang w:val="en-US" w:eastAsia="zh-CN"/>
              </w:rPr>
              <w:t>4</w:t>
            </w:r>
          </w:p>
        </w:tc>
        <w:tc>
          <w:tcPr>
            <w:tcW w:w="859" w:type="dxa"/>
            <w:vAlign w:val="center"/>
          </w:tcPr>
          <w:p w14:paraId="60084F35">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kern w:val="2"/>
                <w:sz w:val="24"/>
                <w:szCs w:val="24"/>
                <w:highlight w:val="none"/>
                <w:vertAlign w:val="baseline"/>
                <w:lang w:val="en-US" w:eastAsia="zh-CN"/>
              </w:rPr>
            </w:pPr>
            <w:r>
              <w:rPr>
                <w:rFonts w:hint="eastAsia" w:ascii="仿宋" w:hAnsi="仿宋" w:eastAsia="仿宋" w:cs="仿宋"/>
                <w:kern w:val="2"/>
                <w:sz w:val="24"/>
                <w:szCs w:val="24"/>
                <w:highlight w:val="none"/>
                <w:vertAlign w:val="baseline"/>
                <w:lang w:val="en-US" w:eastAsia="zh-CN"/>
              </w:rPr>
              <w:t>台</w:t>
            </w:r>
          </w:p>
        </w:tc>
      </w:tr>
      <w:tr w14:paraId="2AE3A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Align w:val="center"/>
          </w:tcPr>
          <w:p w14:paraId="09173278">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kern w:val="2"/>
                <w:sz w:val="24"/>
                <w:szCs w:val="24"/>
                <w:highlight w:val="none"/>
                <w:vertAlign w:val="baseline"/>
                <w:lang w:val="en-US" w:eastAsia="zh-CN"/>
              </w:rPr>
            </w:pPr>
            <w:r>
              <w:rPr>
                <w:rFonts w:hint="eastAsia" w:ascii="仿宋" w:hAnsi="仿宋" w:eastAsia="仿宋" w:cs="仿宋"/>
                <w:kern w:val="2"/>
                <w:sz w:val="24"/>
                <w:szCs w:val="24"/>
                <w:highlight w:val="none"/>
                <w:vertAlign w:val="baseline"/>
                <w:lang w:val="en-US" w:eastAsia="zh-CN"/>
              </w:rPr>
              <w:t>4</w:t>
            </w:r>
          </w:p>
        </w:tc>
        <w:tc>
          <w:tcPr>
            <w:tcW w:w="1095" w:type="dxa"/>
            <w:vMerge w:val="continue"/>
            <w:vAlign w:val="center"/>
          </w:tcPr>
          <w:p w14:paraId="4E669122">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kern w:val="2"/>
                <w:sz w:val="24"/>
                <w:szCs w:val="24"/>
                <w:highlight w:val="none"/>
                <w:vertAlign w:val="baseline"/>
                <w:lang w:val="en-US" w:eastAsia="zh-CN"/>
              </w:rPr>
            </w:pPr>
          </w:p>
        </w:tc>
        <w:tc>
          <w:tcPr>
            <w:tcW w:w="1651" w:type="dxa"/>
            <w:vAlign w:val="center"/>
          </w:tcPr>
          <w:p w14:paraId="232CE438">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kern w:val="2"/>
                <w:sz w:val="24"/>
                <w:szCs w:val="24"/>
                <w:highlight w:val="none"/>
                <w:vertAlign w:val="baseline"/>
                <w:lang w:val="en-US" w:eastAsia="zh-CN"/>
              </w:rPr>
            </w:pPr>
            <w:r>
              <w:rPr>
                <w:rFonts w:hint="eastAsia" w:ascii="仿宋" w:hAnsi="仿宋" w:eastAsia="仿宋" w:cs="仿宋"/>
                <w:kern w:val="2"/>
                <w:sz w:val="24"/>
                <w:szCs w:val="24"/>
                <w:highlight w:val="none"/>
                <w:vertAlign w:val="baseline"/>
                <w:lang w:val="en-US" w:eastAsia="zh-CN"/>
              </w:rPr>
              <w:t>2个龙头</w:t>
            </w:r>
          </w:p>
        </w:tc>
        <w:tc>
          <w:tcPr>
            <w:tcW w:w="850" w:type="dxa"/>
            <w:vAlign w:val="center"/>
          </w:tcPr>
          <w:p w14:paraId="15ED1EEA">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kern w:val="2"/>
                <w:sz w:val="24"/>
                <w:szCs w:val="24"/>
                <w:highlight w:val="none"/>
                <w:vertAlign w:val="baseline"/>
                <w:lang w:val="en-US" w:eastAsia="zh-CN"/>
              </w:rPr>
            </w:pPr>
            <w:r>
              <w:rPr>
                <w:rFonts w:hint="eastAsia" w:ascii="仿宋" w:hAnsi="仿宋" w:eastAsia="仿宋" w:cs="仿宋"/>
                <w:kern w:val="2"/>
                <w:sz w:val="24"/>
                <w:szCs w:val="24"/>
                <w:highlight w:val="none"/>
                <w:vertAlign w:val="baseline"/>
                <w:lang w:val="en-US" w:eastAsia="zh-CN"/>
              </w:rPr>
              <w:t>1</w:t>
            </w:r>
          </w:p>
        </w:tc>
        <w:tc>
          <w:tcPr>
            <w:tcW w:w="859" w:type="dxa"/>
            <w:vAlign w:val="center"/>
          </w:tcPr>
          <w:p w14:paraId="1418C674">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kern w:val="2"/>
                <w:sz w:val="24"/>
                <w:szCs w:val="24"/>
                <w:highlight w:val="none"/>
                <w:vertAlign w:val="baseline"/>
                <w:lang w:val="en-US" w:eastAsia="zh-CN"/>
              </w:rPr>
            </w:pPr>
            <w:r>
              <w:rPr>
                <w:rFonts w:hint="eastAsia" w:ascii="仿宋" w:hAnsi="仿宋" w:eastAsia="仿宋" w:cs="仿宋"/>
                <w:kern w:val="2"/>
                <w:sz w:val="24"/>
                <w:szCs w:val="24"/>
                <w:highlight w:val="none"/>
                <w:vertAlign w:val="baseline"/>
                <w:lang w:val="en-US" w:eastAsia="zh-CN"/>
              </w:rPr>
              <w:t>台</w:t>
            </w:r>
          </w:p>
        </w:tc>
      </w:tr>
      <w:tr w14:paraId="656C8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14:paraId="3775F354">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kern w:val="2"/>
                <w:sz w:val="24"/>
                <w:szCs w:val="24"/>
                <w:highlight w:val="none"/>
                <w:vertAlign w:val="baseline"/>
                <w:lang w:val="en-US" w:eastAsia="zh-CN"/>
              </w:rPr>
            </w:pPr>
            <w:r>
              <w:rPr>
                <w:rFonts w:hint="eastAsia" w:ascii="仿宋" w:hAnsi="仿宋" w:eastAsia="仿宋" w:cs="仿宋"/>
                <w:kern w:val="2"/>
                <w:sz w:val="24"/>
                <w:szCs w:val="24"/>
                <w:highlight w:val="none"/>
                <w:vertAlign w:val="baseline"/>
                <w:lang w:val="en-US" w:eastAsia="zh-CN"/>
              </w:rPr>
              <w:t>5</w:t>
            </w:r>
          </w:p>
        </w:tc>
        <w:tc>
          <w:tcPr>
            <w:tcW w:w="1095" w:type="dxa"/>
            <w:vAlign w:val="center"/>
          </w:tcPr>
          <w:p w14:paraId="75966EC9">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kern w:val="2"/>
                <w:sz w:val="24"/>
                <w:szCs w:val="24"/>
                <w:highlight w:val="none"/>
                <w:vertAlign w:val="baseline"/>
                <w:lang w:val="en-US" w:eastAsia="zh-CN"/>
              </w:rPr>
            </w:pPr>
            <w:r>
              <w:rPr>
                <w:rFonts w:hint="eastAsia" w:ascii="仿宋" w:hAnsi="仿宋" w:eastAsia="仿宋" w:cs="仿宋"/>
                <w:kern w:val="2"/>
                <w:sz w:val="24"/>
                <w:szCs w:val="24"/>
                <w:highlight w:val="none"/>
                <w:vertAlign w:val="baseline"/>
                <w:lang w:val="en-US" w:eastAsia="zh-CN"/>
              </w:rPr>
              <w:t>体育馆</w:t>
            </w:r>
          </w:p>
        </w:tc>
        <w:tc>
          <w:tcPr>
            <w:tcW w:w="1651" w:type="dxa"/>
            <w:vAlign w:val="center"/>
          </w:tcPr>
          <w:p w14:paraId="7A1B030F">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kern w:val="2"/>
                <w:sz w:val="24"/>
                <w:szCs w:val="24"/>
                <w:highlight w:val="none"/>
                <w:vertAlign w:val="baseline"/>
                <w:lang w:val="en-US" w:eastAsia="zh-CN"/>
              </w:rPr>
            </w:pPr>
            <w:r>
              <w:rPr>
                <w:rFonts w:hint="eastAsia" w:ascii="仿宋" w:hAnsi="仿宋" w:eastAsia="仿宋" w:cs="仿宋"/>
                <w:kern w:val="2"/>
                <w:sz w:val="24"/>
                <w:szCs w:val="24"/>
                <w:highlight w:val="none"/>
                <w:vertAlign w:val="baseline"/>
                <w:lang w:val="en-US" w:eastAsia="zh-CN"/>
              </w:rPr>
              <w:t>2个龙头</w:t>
            </w:r>
          </w:p>
        </w:tc>
        <w:tc>
          <w:tcPr>
            <w:tcW w:w="850" w:type="dxa"/>
            <w:vAlign w:val="center"/>
          </w:tcPr>
          <w:p w14:paraId="1B2E5D48">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kern w:val="2"/>
                <w:sz w:val="24"/>
                <w:szCs w:val="24"/>
                <w:highlight w:val="none"/>
                <w:vertAlign w:val="baseline"/>
                <w:lang w:val="en-US" w:eastAsia="zh-CN"/>
              </w:rPr>
            </w:pPr>
            <w:r>
              <w:rPr>
                <w:rFonts w:hint="eastAsia" w:ascii="仿宋" w:hAnsi="仿宋" w:eastAsia="仿宋" w:cs="仿宋"/>
                <w:kern w:val="2"/>
                <w:sz w:val="24"/>
                <w:szCs w:val="24"/>
                <w:highlight w:val="none"/>
                <w:vertAlign w:val="baseline"/>
                <w:lang w:val="en-US" w:eastAsia="zh-CN"/>
              </w:rPr>
              <w:t>2</w:t>
            </w:r>
          </w:p>
        </w:tc>
        <w:tc>
          <w:tcPr>
            <w:tcW w:w="859" w:type="dxa"/>
            <w:vAlign w:val="center"/>
          </w:tcPr>
          <w:p w14:paraId="04AFB374">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kern w:val="2"/>
                <w:sz w:val="24"/>
                <w:szCs w:val="24"/>
                <w:highlight w:val="none"/>
                <w:vertAlign w:val="baseline"/>
                <w:lang w:val="en-US" w:eastAsia="zh-CN"/>
              </w:rPr>
            </w:pPr>
            <w:r>
              <w:rPr>
                <w:rFonts w:hint="eastAsia" w:ascii="仿宋" w:hAnsi="仿宋" w:eastAsia="仿宋" w:cs="仿宋"/>
                <w:kern w:val="2"/>
                <w:sz w:val="24"/>
                <w:szCs w:val="24"/>
                <w:highlight w:val="none"/>
                <w:vertAlign w:val="baseline"/>
                <w:lang w:val="en-US" w:eastAsia="zh-CN"/>
              </w:rPr>
              <w:t>台</w:t>
            </w:r>
          </w:p>
        </w:tc>
      </w:tr>
      <w:tr w14:paraId="65D3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14:paraId="7909C442">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kern w:val="2"/>
                <w:sz w:val="24"/>
                <w:szCs w:val="24"/>
                <w:highlight w:val="none"/>
                <w:vertAlign w:val="baseline"/>
                <w:lang w:val="en-US" w:eastAsia="zh-CN"/>
              </w:rPr>
              <w:t>6</w:t>
            </w:r>
          </w:p>
        </w:tc>
        <w:tc>
          <w:tcPr>
            <w:tcW w:w="1095" w:type="dxa"/>
            <w:vAlign w:val="center"/>
          </w:tcPr>
          <w:p w14:paraId="64918F21">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kern w:val="2"/>
                <w:sz w:val="24"/>
                <w:szCs w:val="24"/>
                <w:highlight w:val="none"/>
                <w:vertAlign w:val="baseline"/>
                <w:lang w:val="en-US" w:eastAsia="zh-CN"/>
              </w:rPr>
            </w:pPr>
            <w:r>
              <w:rPr>
                <w:rFonts w:hint="eastAsia" w:ascii="仿宋" w:hAnsi="仿宋" w:eastAsia="仿宋" w:cs="仿宋"/>
                <w:kern w:val="2"/>
                <w:sz w:val="24"/>
                <w:szCs w:val="24"/>
                <w:highlight w:val="none"/>
                <w:vertAlign w:val="baseline"/>
                <w:lang w:val="en-US" w:eastAsia="zh-CN"/>
              </w:rPr>
              <w:t>至真楼</w:t>
            </w:r>
          </w:p>
        </w:tc>
        <w:tc>
          <w:tcPr>
            <w:tcW w:w="1651" w:type="dxa"/>
            <w:vAlign w:val="center"/>
          </w:tcPr>
          <w:p w14:paraId="5C0B3D75">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kern w:val="2"/>
                <w:sz w:val="24"/>
                <w:szCs w:val="24"/>
                <w:highlight w:val="none"/>
                <w:vertAlign w:val="baseline"/>
                <w:lang w:val="en-US" w:eastAsia="zh-CN"/>
              </w:rPr>
            </w:pPr>
            <w:r>
              <w:rPr>
                <w:rFonts w:hint="eastAsia" w:ascii="仿宋" w:hAnsi="仿宋" w:eastAsia="仿宋" w:cs="仿宋"/>
                <w:kern w:val="2"/>
                <w:sz w:val="24"/>
                <w:szCs w:val="24"/>
                <w:highlight w:val="none"/>
                <w:vertAlign w:val="baseline"/>
                <w:lang w:val="en-US" w:eastAsia="zh-CN"/>
              </w:rPr>
              <w:t>6个龙头</w:t>
            </w:r>
          </w:p>
        </w:tc>
        <w:tc>
          <w:tcPr>
            <w:tcW w:w="850" w:type="dxa"/>
            <w:vAlign w:val="center"/>
          </w:tcPr>
          <w:p w14:paraId="78ADDC47">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kern w:val="2"/>
                <w:sz w:val="24"/>
                <w:szCs w:val="24"/>
                <w:highlight w:val="none"/>
                <w:vertAlign w:val="baseline"/>
                <w:lang w:val="en-US" w:eastAsia="zh-CN"/>
              </w:rPr>
            </w:pPr>
            <w:r>
              <w:rPr>
                <w:rFonts w:hint="eastAsia" w:ascii="仿宋" w:hAnsi="仿宋" w:eastAsia="仿宋" w:cs="仿宋"/>
                <w:kern w:val="2"/>
                <w:sz w:val="24"/>
                <w:szCs w:val="24"/>
                <w:highlight w:val="none"/>
                <w:vertAlign w:val="baseline"/>
                <w:lang w:val="en-US" w:eastAsia="zh-CN"/>
              </w:rPr>
              <w:t>4</w:t>
            </w:r>
          </w:p>
        </w:tc>
        <w:tc>
          <w:tcPr>
            <w:tcW w:w="859" w:type="dxa"/>
            <w:vAlign w:val="center"/>
          </w:tcPr>
          <w:p w14:paraId="1D4803F9">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kern w:val="2"/>
                <w:sz w:val="24"/>
                <w:szCs w:val="24"/>
                <w:highlight w:val="none"/>
                <w:vertAlign w:val="baseline"/>
                <w:lang w:val="en-US" w:eastAsia="zh-CN"/>
              </w:rPr>
              <w:t>台</w:t>
            </w:r>
          </w:p>
        </w:tc>
      </w:tr>
      <w:tr w14:paraId="31C20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14:paraId="60CC0988">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kern w:val="2"/>
                <w:sz w:val="24"/>
                <w:szCs w:val="24"/>
                <w:highlight w:val="none"/>
                <w:vertAlign w:val="baseline"/>
                <w:lang w:val="en-US" w:eastAsia="zh-CN"/>
              </w:rPr>
              <w:t>7</w:t>
            </w:r>
          </w:p>
        </w:tc>
        <w:tc>
          <w:tcPr>
            <w:tcW w:w="1095" w:type="dxa"/>
            <w:vAlign w:val="center"/>
          </w:tcPr>
          <w:p w14:paraId="3A057A0C">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kern w:val="2"/>
                <w:sz w:val="24"/>
                <w:szCs w:val="24"/>
                <w:highlight w:val="none"/>
                <w:vertAlign w:val="baseline"/>
                <w:lang w:val="en-US" w:eastAsia="zh-CN"/>
              </w:rPr>
            </w:pPr>
            <w:r>
              <w:rPr>
                <w:rFonts w:hint="eastAsia" w:ascii="仿宋" w:hAnsi="仿宋" w:eastAsia="仿宋" w:cs="仿宋"/>
                <w:kern w:val="2"/>
                <w:sz w:val="24"/>
                <w:szCs w:val="24"/>
                <w:highlight w:val="none"/>
                <w:vertAlign w:val="baseline"/>
                <w:lang w:val="en-US" w:eastAsia="zh-CN"/>
              </w:rPr>
              <w:t>办公楼</w:t>
            </w:r>
          </w:p>
        </w:tc>
        <w:tc>
          <w:tcPr>
            <w:tcW w:w="1651" w:type="dxa"/>
            <w:vAlign w:val="center"/>
          </w:tcPr>
          <w:p w14:paraId="703827F7">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kern w:val="2"/>
                <w:sz w:val="24"/>
                <w:szCs w:val="24"/>
                <w:highlight w:val="none"/>
                <w:vertAlign w:val="baseline"/>
                <w:lang w:val="en-US" w:eastAsia="zh-CN"/>
              </w:rPr>
            </w:pPr>
            <w:r>
              <w:rPr>
                <w:rFonts w:hint="eastAsia" w:ascii="仿宋" w:hAnsi="仿宋" w:eastAsia="仿宋" w:cs="仿宋"/>
                <w:kern w:val="2"/>
                <w:sz w:val="24"/>
                <w:szCs w:val="24"/>
                <w:highlight w:val="none"/>
                <w:vertAlign w:val="baseline"/>
                <w:lang w:val="en-US" w:eastAsia="zh-CN"/>
              </w:rPr>
              <w:t>2个龙头</w:t>
            </w:r>
          </w:p>
        </w:tc>
        <w:tc>
          <w:tcPr>
            <w:tcW w:w="850" w:type="dxa"/>
            <w:vAlign w:val="center"/>
          </w:tcPr>
          <w:p w14:paraId="5C2D7C08">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kern w:val="2"/>
                <w:sz w:val="24"/>
                <w:szCs w:val="24"/>
                <w:highlight w:val="none"/>
                <w:vertAlign w:val="baseline"/>
                <w:lang w:val="en-US" w:eastAsia="zh-CN"/>
              </w:rPr>
            </w:pPr>
            <w:r>
              <w:rPr>
                <w:rFonts w:hint="eastAsia" w:ascii="仿宋" w:hAnsi="仿宋" w:eastAsia="仿宋" w:cs="仿宋"/>
                <w:kern w:val="2"/>
                <w:sz w:val="24"/>
                <w:szCs w:val="24"/>
                <w:highlight w:val="none"/>
                <w:vertAlign w:val="baseline"/>
                <w:lang w:val="en-US" w:eastAsia="zh-CN"/>
              </w:rPr>
              <w:t>4</w:t>
            </w:r>
          </w:p>
        </w:tc>
        <w:tc>
          <w:tcPr>
            <w:tcW w:w="859" w:type="dxa"/>
            <w:vAlign w:val="center"/>
          </w:tcPr>
          <w:p w14:paraId="723728C0">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kern w:val="2"/>
                <w:sz w:val="24"/>
                <w:szCs w:val="24"/>
                <w:highlight w:val="none"/>
                <w:vertAlign w:val="baseline"/>
                <w:lang w:val="en-US" w:eastAsia="zh-CN"/>
              </w:rPr>
            </w:pPr>
            <w:r>
              <w:rPr>
                <w:rFonts w:hint="eastAsia" w:ascii="仿宋" w:hAnsi="仿宋" w:eastAsia="仿宋" w:cs="仿宋"/>
                <w:kern w:val="2"/>
                <w:sz w:val="24"/>
                <w:szCs w:val="24"/>
                <w:highlight w:val="none"/>
                <w:vertAlign w:val="baseline"/>
                <w:lang w:val="en-US" w:eastAsia="zh-CN"/>
              </w:rPr>
              <w:t>台</w:t>
            </w:r>
          </w:p>
        </w:tc>
      </w:tr>
      <w:tr w14:paraId="1DFF3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restart"/>
            <w:vAlign w:val="center"/>
          </w:tcPr>
          <w:p w14:paraId="410F3519">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kern w:val="2"/>
                <w:sz w:val="24"/>
                <w:szCs w:val="24"/>
                <w:highlight w:val="none"/>
                <w:vertAlign w:val="baseline"/>
                <w:lang w:val="en-US" w:eastAsia="zh-CN"/>
              </w:rPr>
              <w:t>8</w:t>
            </w:r>
          </w:p>
        </w:tc>
        <w:tc>
          <w:tcPr>
            <w:tcW w:w="1095" w:type="dxa"/>
            <w:vMerge w:val="restart"/>
            <w:vAlign w:val="center"/>
          </w:tcPr>
          <w:p w14:paraId="5C8A7E9E">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kern w:val="2"/>
                <w:sz w:val="24"/>
                <w:szCs w:val="24"/>
                <w:highlight w:val="none"/>
                <w:vertAlign w:val="baseline"/>
                <w:lang w:val="en-US" w:eastAsia="zh-CN"/>
              </w:rPr>
            </w:pPr>
            <w:r>
              <w:rPr>
                <w:rFonts w:hint="eastAsia" w:ascii="仿宋" w:hAnsi="仿宋" w:eastAsia="仿宋" w:cs="仿宋"/>
                <w:kern w:val="2"/>
                <w:sz w:val="24"/>
                <w:szCs w:val="24"/>
                <w:highlight w:val="none"/>
                <w:vertAlign w:val="baseline"/>
                <w:lang w:val="en-US" w:eastAsia="zh-CN"/>
              </w:rPr>
              <w:t>学生公寓</w:t>
            </w:r>
          </w:p>
        </w:tc>
        <w:tc>
          <w:tcPr>
            <w:tcW w:w="1651" w:type="dxa"/>
            <w:vAlign w:val="center"/>
          </w:tcPr>
          <w:p w14:paraId="0AE25EB6">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kern w:val="2"/>
                <w:sz w:val="24"/>
                <w:szCs w:val="24"/>
                <w:highlight w:val="none"/>
                <w:vertAlign w:val="baseline"/>
                <w:lang w:val="en-US" w:eastAsia="zh-CN"/>
              </w:rPr>
            </w:pPr>
            <w:r>
              <w:rPr>
                <w:rFonts w:hint="eastAsia" w:ascii="仿宋" w:hAnsi="仿宋" w:eastAsia="仿宋" w:cs="仿宋"/>
                <w:kern w:val="2"/>
                <w:sz w:val="24"/>
                <w:szCs w:val="24"/>
                <w:highlight w:val="none"/>
                <w:vertAlign w:val="baseline"/>
                <w:lang w:val="en-US" w:eastAsia="zh-CN"/>
              </w:rPr>
              <w:t>6个龙头</w:t>
            </w:r>
          </w:p>
        </w:tc>
        <w:tc>
          <w:tcPr>
            <w:tcW w:w="850" w:type="dxa"/>
            <w:vAlign w:val="center"/>
          </w:tcPr>
          <w:p w14:paraId="1C2E0BB0">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kern w:val="2"/>
                <w:sz w:val="24"/>
                <w:szCs w:val="24"/>
                <w:highlight w:val="none"/>
                <w:vertAlign w:val="baseline"/>
                <w:lang w:val="en-US" w:eastAsia="zh-CN"/>
              </w:rPr>
            </w:pPr>
            <w:r>
              <w:rPr>
                <w:rFonts w:hint="eastAsia" w:ascii="仿宋" w:hAnsi="仿宋" w:eastAsia="仿宋" w:cs="仿宋"/>
                <w:kern w:val="2"/>
                <w:sz w:val="24"/>
                <w:szCs w:val="24"/>
                <w:highlight w:val="none"/>
                <w:vertAlign w:val="baseline"/>
                <w:lang w:val="en-US" w:eastAsia="zh-CN"/>
              </w:rPr>
              <w:t>4</w:t>
            </w:r>
          </w:p>
        </w:tc>
        <w:tc>
          <w:tcPr>
            <w:tcW w:w="859" w:type="dxa"/>
            <w:vAlign w:val="center"/>
          </w:tcPr>
          <w:p w14:paraId="3BFBF62E">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kern w:val="2"/>
                <w:sz w:val="24"/>
                <w:szCs w:val="24"/>
                <w:highlight w:val="none"/>
                <w:vertAlign w:val="baseline"/>
                <w:lang w:val="en-US" w:eastAsia="zh-CN"/>
              </w:rPr>
            </w:pPr>
            <w:r>
              <w:rPr>
                <w:rFonts w:hint="eastAsia" w:ascii="仿宋" w:hAnsi="仿宋" w:eastAsia="仿宋" w:cs="仿宋"/>
                <w:kern w:val="2"/>
                <w:sz w:val="24"/>
                <w:szCs w:val="24"/>
                <w:highlight w:val="none"/>
                <w:vertAlign w:val="baseline"/>
                <w:lang w:val="en-US" w:eastAsia="zh-CN"/>
              </w:rPr>
              <w:t>台</w:t>
            </w:r>
          </w:p>
        </w:tc>
      </w:tr>
      <w:tr w14:paraId="7C59D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vAlign w:val="center"/>
          </w:tcPr>
          <w:p w14:paraId="45F87996">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kern w:val="2"/>
                <w:sz w:val="24"/>
                <w:szCs w:val="24"/>
                <w:highlight w:val="none"/>
                <w:vertAlign w:val="baseline"/>
                <w:lang w:val="en-US" w:eastAsia="zh-CN"/>
              </w:rPr>
            </w:pPr>
          </w:p>
        </w:tc>
        <w:tc>
          <w:tcPr>
            <w:tcW w:w="1095" w:type="dxa"/>
            <w:vMerge w:val="continue"/>
            <w:vAlign w:val="center"/>
          </w:tcPr>
          <w:p w14:paraId="68249523">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kern w:val="2"/>
                <w:sz w:val="24"/>
                <w:szCs w:val="24"/>
                <w:highlight w:val="none"/>
                <w:vertAlign w:val="baseline"/>
                <w:lang w:val="en-US" w:eastAsia="zh-CN"/>
              </w:rPr>
            </w:pPr>
          </w:p>
        </w:tc>
        <w:tc>
          <w:tcPr>
            <w:tcW w:w="1651" w:type="dxa"/>
            <w:vAlign w:val="center"/>
          </w:tcPr>
          <w:p w14:paraId="5198CF1F">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kern w:val="2"/>
                <w:sz w:val="24"/>
                <w:szCs w:val="24"/>
                <w:highlight w:val="none"/>
                <w:vertAlign w:val="baseline"/>
                <w:lang w:val="en-US" w:eastAsia="zh-CN"/>
              </w:rPr>
              <w:t>4个龙头</w:t>
            </w:r>
          </w:p>
        </w:tc>
        <w:tc>
          <w:tcPr>
            <w:tcW w:w="850" w:type="dxa"/>
            <w:vAlign w:val="center"/>
          </w:tcPr>
          <w:p w14:paraId="3E8B1517">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kern w:val="2"/>
                <w:sz w:val="24"/>
                <w:szCs w:val="24"/>
                <w:highlight w:val="none"/>
                <w:vertAlign w:val="baseline"/>
                <w:lang w:val="en-US" w:eastAsia="zh-CN"/>
              </w:rPr>
              <w:t>3</w:t>
            </w:r>
          </w:p>
        </w:tc>
        <w:tc>
          <w:tcPr>
            <w:tcW w:w="859" w:type="dxa"/>
            <w:vAlign w:val="center"/>
          </w:tcPr>
          <w:p w14:paraId="40ED0254">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kern w:val="2"/>
                <w:sz w:val="24"/>
                <w:szCs w:val="24"/>
                <w:highlight w:val="none"/>
                <w:vertAlign w:val="baseline"/>
                <w:lang w:val="en-US" w:eastAsia="zh-CN"/>
              </w:rPr>
              <w:t>台</w:t>
            </w:r>
          </w:p>
        </w:tc>
      </w:tr>
      <w:tr w14:paraId="4F25B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4" w:type="dxa"/>
            <w:gridSpan w:val="3"/>
            <w:vAlign w:val="center"/>
          </w:tcPr>
          <w:p w14:paraId="7374FBE3">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kern w:val="2"/>
                <w:sz w:val="24"/>
                <w:szCs w:val="24"/>
                <w:highlight w:val="none"/>
                <w:vertAlign w:val="baseline"/>
                <w:lang w:val="en-US" w:eastAsia="zh-CN"/>
              </w:rPr>
            </w:pPr>
            <w:r>
              <w:rPr>
                <w:rFonts w:hint="eastAsia" w:ascii="仿宋" w:hAnsi="仿宋" w:eastAsia="仿宋" w:cs="仿宋"/>
                <w:kern w:val="2"/>
                <w:sz w:val="24"/>
                <w:szCs w:val="24"/>
                <w:highlight w:val="none"/>
                <w:vertAlign w:val="baseline"/>
                <w:lang w:val="en-US" w:eastAsia="zh-CN"/>
              </w:rPr>
              <w:t>合计</w:t>
            </w:r>
          </w:p>
        </w:tc>
        <w:tc>
          <w:tcPr>
            <w:tcW w:w="850" w:type="dxa"/>
            <w:vAlign w:val="center"/>
          </w:tcPr>
          <w:p w14:paraId="0D890667">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kern w:val="2"/>
                <w:sz w:val="24"/>
                <w:szCs w:val="24"/>
                <w:highlight w:val="none"/>
                <w:vertAlign w:val="baseline"/>
                <w:lang w:val="en-US" w:eastAsia="zh-CN"/>
              </w:rPr>
            </w:pPr>
            <w:r>
              <w:rPr>
                <w:rFonts w:hint="eastAsia" w:ascii="仿宋" w:hAnsi="仿宋" w:eastAsia="仿宋" w:cs="仿宋"/>
                <w:kern w:val="2"/>
                <w:sz w:val="24"/>
                <w:szCs w:val="24"/>
                <w:highlight w:val="none"/>
                <w:vertAlign w:val="baseline"/>
                <w:lang w:val="en-US" w:eastAsia="zh-CN"/>
              </w:rPr>
              <w:t>28</w:t>
            </w:r>
          </w:p>
        </w:tc>
        <w:tc>
          <w:tcPr>
            <w:tcW w:w="859" w:type="dxa"/>
            <w:vAlign w:val="center"/>
          </w:tcPr>
          <w:p w14:paraId="406A0D94">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kern w:val="2"/>
                <w:sz w:val="24"/>
                <w:szCs w:val="24"/>
                <w:highlight w:val="none"/>
                <w:vertAlign w:val="baseline"/>
                <w:lang w:val="en-US" w:eastAsia="zh-CN"/>
              </w:rPr>
            </w:pPr>
            <w:r>
              <w:rPr>
                <w:rFonts w:hint="eastAsia" w:ascii="仿宋" w:hAnsi="仿宋" w:eastAsia="仿宋" w:cs="仿宋"/>
                <w:kern w:val="2"/>
                <w:sz w:val="24"/>
                <w:szCs w:val="24"/>
                <w:highlight w:val="none"/>
                <w:vertAlign w:val="baseline"/>
                <w:lang w:val="en-US" w:eastAsia="zh-CN"/>
              </w:rPr>
              <w:t>台</w:t>
            </w:r>
          </w:p>
        </w:tc>
      </w:tr>
    </w:tbl>
    <w:p w14:paraId="220BF55E">
      <w:pPr>
        <w:numPr>
          <w:ilvl w:val="0"/>
          <w:numId w:val="0"/>
        </w:numPr>
        <w:rPr>
          <w:rFonts w:hint="eastAsia" w:ascii="仿宋" w:hAnsi="仿宋" w:eastAsia="仿宋" w:cs="仿宋"/>
          <w:sz w:val="28"/>
          <w:szCs w:val="28"/>
          <w:highlight w:val="none"/>
          <w:lang w:val="en-US" w:eastAsia="zh-CN" w:bidi="ar-SA"/>
        </w:rPr>
      </w:pPr>
    </w:p>
    <w:p w14:paraId="74FB08FA">
      <w:pPr>
        <w:widowControl w:val="0"/>
        <w:adjustRightInd/>
        <w:snapToGrid/>
        <w:spacing w:after="0" w:line="400" w:lineRule="exact"/>
        <w:ind w:left="560"/>
        <w:jc w:val="both"/>
        <w:rPr>
          <w:rFonts w:hint="eastAsia" w:ascii="仿宋" w:hAnsi="仿宋" w:eastAsia="仿宋" w:cs="仿宋"/>
          <w:b/>
          <w:bCs w:val="0"/>
          <w:kern w:val="2"/>
          <w:sz w:val="24"/>
          <w:szCs w:val="24"/>
          <w:highlight w:val="none"/>
          <w:lang w:val="en-US" w:eastAsia="zh-CN"/>
        </w:rPr>
      </w:pPr>
      <w:r>
        <w:rPr>
          <w:rFonts w:hint="eastAsia" w:ascii="仿宋" w:hAnsi="仿宋" w:eastAsia="仿宋" w:cs="仿宋"/>
          <w:b/>
          <w:bCs w:val="0"/>
          <w:kern w:val="2"/>
          <w:sz w:val="24"/>
          <w:szCs w:val="24"/>
          <w:highlight w:val="none"/>
          <w:lang w:val="en-US" w:eastAsia="zh-CN"/>
        </w:rPr>
        <w:t>二、学校每年需更换滤芯的数量、更换周期及最高限价</w:t>
      </w:r>
    </w:p>
    <w:p w14:paraId="16D30595">
      <w:pPr>
        <w:spacing w:after="0" w:line="400" w:lineRule="exact"/>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我校净水器采用的是五级过滤，依次是10寸压缩活性炭、10寸 5umPP棉、10 寸 1umPP 棉、400G反渗透膜、后置椰壳活性炭滤芯过滤。其中，10寸压缩活性炭、10寸 5umPP 棉、10寸1umPP 棉三种滤芯每年更换两次，原则上在每学期开学前一周内完成；400G反渗透膜、后置椰壳活性炭滤芯每年更换一次。</w:t>
      </w:r>
      <w:r>
        <w:rPr>
          <w:rFonts w:hint="eastAsia" w:ascii="仿宋" w:hAnsi="仿宋" w:eastAsia="仿宋" w:cs="仿宋"/>
          <w:sz w:val="24"/>
          <w:szCs w:val="24"/>
          <w:highlight w:val="none"/>
        </w:rPr>
        <w:t>具体更换时间由学校确定，成交人须无条件服从，更换数量按实结算。</w:t>
      </w:r>
      <w:r>
        <w:rPr>
          <w:rFonts w:hint="eastAsia" w:ascii="仿宋" w:hAnsi="仿宋" w:eastAsia="仿宋" w:cs="仿宋"/>
          <w:sz w:val="24"/>
          <w:szCs w:val="24"/>
          <w:highlight w:val="none"/>
          <w:lang w:val="en-US" w:eastAsia="zh-CN"/>
        </w:rPr>
        <w:t>由于净水器在保修期内，更换滤芯前</w:t>
      </w:r>
      <w:r>
        <w:rPr>
          <w:rFonts w:hint="eastAsia" w:ascii="仿宋" w:hAnsi="仿宋" w:eastAsia="仿宋" w:cs="仿宋"/>
          <w:sz w:val="24"/>
          <w:szCs w:val="24"/>
          <w:highlight w:val="none"/>
        </w:rPr>
        <w:t>成交人</w:t>
      </w:r>
      <w:r>
        <w:rPr>
          <w:rFonts w:hint="eastAsia" w:ascii="仿宋" w:hAnsi="仿宋" w:eastAsia="仿宋" w:cs="仿宋"/>
          <w:sz w:val="24"/>
          <w:szCs w:val="24"/>
          <w:highlight w:val="none"/>
          <w:lang w:val="en-US" w:eastAsia="zh-CN"/>
        </w:rPr>
        <w:t>要与净水器厂家协调好，确保滤芯的品质符合厂家要求、更换滤芯不影响净水器质保，否则，由</w:t>
      </w:r>
      <w:r>
        <w:rPr>
          <w:rFonts w:hint="eastAsia" w:ascii="仿宋" w:hAnsi="仿宋" w:eastAsia="仿宋" w:cs="仿宋"/>
          <w:sz w:val="24"/>
          <w:szCs w:val="24"/>
          <w:highlight w:val="none"/>
        </w:rPr>
        <w:t>成交人</w:t>
      </w:r>
      <w:r>
        <w:rPr>
          <w:rFonts w:hint="eastAsia" w:ascii="仿宋" w:hAnsi="仿宋" w:eastAsia="仿宋" w:cs="仿宋"/>
          <w:sz w:val="24"/>
          <w:szCs w:val="24"/>
          <w:highlight w:val="none"/>
          <w:lang w:val="en-US" w:eastAsia="zh-CN"/>
        </w:rPr>
        <w:t>承担质保期内的维修费用。</w:t>
      </w:r>
    </w:p>
    <w:p w14:paraId="6EE5EC74">
      <w:pPr>
        <w:spacing w:after="0" w:line="400" w:lineRule="exact"/>
        <w:ind w:firstLine="480" w:firstLineChars="200"/>
        <w:jc w:val="both"/>
        <w:rPr>
          <w:rFonts w:hint="eastAsia" w:ascii="仿宋" w:hAnsi="仿宋" w:eastAsia="仿宋" w:cs="仿宋"/>
          <w:sz w:val="24"/>
          <w:szCs w:val="24"/>
          <w:highlight w:val="none"/>
          <w:lang w:val="en-US" w:eastAsia="zh-CN"/>
        </w:rPr>
      </w:pPr>
    </w:p>
    <w:tbl>
      <w:tblPr>
        <w:tblStyle w:val="18"/>
        <w:tblW w:w="6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2"/>
        <w:gridCol w:w="2103"/>
        <w:gridCol w:w="1065"/>
        <w:gridCol w:w="735"/>
        <w:gridCol w:w="1215"/>
        <w:gridCol w:w="1126"/>
      </w:tblGrid>
      <w:tr w14:paraId="16AFE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23" w:type="dxa"/>
            <w:shd w:val="clear" w:color="auto" w:fill="auto"/>
            <w:vAlign w:val="center"/>
          </w:tcPr>
          <w:p w14:paraId="40ED82A9">
            <w:pPr>
              <w:keepNext w:val="0"/>
              <w:keepLines w:val="0"/>
              <w:pageBreakBefore w:val="0"/>
              <w:kinsoku/>
              <w:wordWrap/>
              <w:overflowPunct/>
              <w:topLinePunct w:val="0"/>
              <w:autoSpaceDE/>
              <w:autoSpaceDN/>
              <w:bidi w:val="0"/>
              <w:spacing w:after="0" w:line="360" w:lineRule="auto"/>
              <w:jc w:val="center"/>
              <w:textAlignment w:val="auto"/>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序号</w:t>
            </w:r>
          </w:p>
        </w:tc>
        <w:tc>
          <w:tcPr>
            <w:tcW w:w="2115" w:type="dxa"/>
            <w:gridSpan w:val="2"/>
            <w:shd w:val="clear" w:color="auto" w:fill="auto"/>
            <w:vAlign w:val="center"/>
          </w:tcPr>
          <w:p w14:paraId="424AA9B7">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kern w:val="0"/>
                <w:sz w:val="24"/>
                <w:szCs w:val="24"/>
                <w:highlight w:val="none"/>
                <w:lang w:val="en-US" w:eastAsia="zh-CN"/>
              </w:rPr>
              <w:t>名称</w:t>
            </w:r>
          </w:p>
        </w:tc>
        <w:tc>
          <w:tcPr>
            <w:tcW w:w="1065" w:type="dxa"/>
            <w:vAlign w:val="center"/>
          </w:tcPr>
          <w:p w14:paraId="1C4F1F73">
            <w:pPr>
              <w:keepNext w:val="0"/>
              <w:keepLines w:val="0"/>
              <w:pageBreakBefore w:val="0"/>
              <w:kinsoku/>
              <w:wordWrap/>
              <w:overflowPunct/>
              <w:topLinePunct w:val="0"/>
              <w:autoSpaceDE/>
              <w:autoSpaceDN/>
              <w:bidi w:val="0"/>
              <w:spacing w:after="0"/>
              <w:jc w:val="center"/>
              <w:textAlignment w:val="auto"/>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更换周期</w:t>
            </w:r>
          </w:p>
        </w:tc>
        <w:tc>
          <w:tcPr>
            <w:tcW w:w="735" w:type="dxa"/>
            <w:vAlign w:val="center"/>
          </w:tcPr>
          <w:p w14:paraId="525B8D4B">
            <w:pPr>
              <w:keepNext w:val="0"/>
              <w:keepLines w:val="0"/>
              <w:pageBreakBefore w:val="0"/>
              <w:kinsoku/>
              <w:wordWrap/>
              <w:overflowPunct/>
              <w:topLinePunct w:val="0"/>
              <w:autoSpaceDE/>
              <w:autoSpaceDN/>
              <w:bidi w:val="0"/>
              <w:spacing w:after="0"/>
              <w:jc w:val="center"/>
              <w:textAlignment w:val="auto"/>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数量</w:t>
            </w:r>
          </w:p>
        </w:tc>
        <w:tc>
          <w:tcPr>
            <w:tcW w:w="1215" w:type="dxa"/>
            <w:vAlign w:val="center"/>
          </w:tcPr>
          <w:p w14:paraId="3441F4C4">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最高限价（元/个）</w:t>
            </w:r>
          </w:p>
        </w:tc>
        <w:tc>
          <w:tcPr>
            <w:tcW w:w="1126" w:type="dxa"/>
            <w:vAlign w:val="center"/>
          </w:tcPr>
          <w:p w14:paraId="733314FD">
            <w:pPr>
              <w:keepNext w:val="0"/>
              <w:keepLines w:val="0"/>
              <w:pageBreakBefore w:val="0"/>
              <w:kinsoku/>
              <w:wordWrap/>
              <w:overflowPunct/>
              <w:topLinePunct w:val="0"/>
              <w:autoSpaceDE/>
              <w:autoSpaceDN/>
              <w:bidi w:val="0"/>
              <w:spacing w:after="0"/>
              <w:jc w:val="center"/>
              <w:textAlignment w:val="auto"/>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合计（元）</w:t>
            </w:r>
          </w:p>
        </w:tc>
      </w:tr>
      <w:tr w14:paraId="269F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23" w:type="dxa"/>
            <w:shd w:val="clear" w:color="auto" w:fill="auto"/>
            <w:vAlign w:val="center"/>
          </w:tcPr>
          <w:p w14:paraId="4F08E9EA">
            <w:pPr>
              <w:keepNext w:val="0"/>
              <w:keepLines w:val="0"/>
              <w:pageBreakBefore w:val="0"/>
              <w:kinsoku/>
              <w:wordWrap/>
              <w:overflowPunct/>
              <w:topLinePunct w:val="0"/>
              <w:autoSpaceDE/>
              <w:autoSpaceDN/>
              <w:bidi w:val="0"/>
              <w:spacing w:after="0" w:line="360" w:lineRule="auto"/>
              <w:jc w:val="center"/>
              <w:textAlignment w:val="auto"/>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1</w:t>
            </w:r>
          </w:p>
        </w:tc>
        <w:tc>
          <w:tcPr>
            <w:tcW w:w="2115" w:type="dxa"/>
            <w:gridSpan w:val="2"/>
            <w:shd w:val="clear" w:color="auto" w:fill="auto"/>
            <w:vAlign w:val="center"/>
          </w:tcPr>
          <w:p w14:paraId="7B7D65B0">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10寸压缩活性炭</w:t>
            </w:r>
          </w:p>
        </w:tc>
        <w:tc>
          <w:tcPr>
            <w:tcW w:w="1065" w:type="dxa"/>
            <w:vAlign w:val="center"/>
          </w:tcPr>
          <w:p w14:paraId="02C8F352">
            <w:pPr>
              <w:keepNext w:val="0"/>
              <w:keepLines w:val="0"/>
              <w:pageBreakBefore w:val="0"/>
              <w:kinsoku/>
              <w:wordWrap/>
              <w:overflowPunct/>
              <w:topLinePunct w:val="0"/>
              <w:autoSpaceDE/>
              <w:autoSpaceDN/>
              <w:bidi w:val="0"/>
              <w:spacing w:after="0"/>
              <w:jc w:val="center"/>
              <w:textAlignment w:val="auto"/>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6个月</w:t>
            </w:r>
          </w:p>
        </w:tc>
        <w:tc>
          <w:tcPr>
            <w:tcW w:w="735" w:type="dxa"/>
            <w:vAlign w:val="center"/>
          </w:tcPr>
          <w:p w14:paraId="5EC1B7ED">
            <w:pPr>
              <w:keepNext w:val="0"/>
              <w:keepLines w:val="0"/>
              <w:pageBreakBefore w:val="0"/>
              <w:kinsoku/>
              <w:wordWrap/>
              <w:overflowPunct/>
              <w:topLinePunct w:val="0"/>
              <w:autoSpaceDE/>
              <w:autoSpaceDN/>
              <w:bidi w:val="0"/>
              <w:spacing w:after="0"/>
              <w:jc w:val="center"/>
              <w:textAlignment w:val="auto"/>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56</w:t>
            </w:r>
          </w:p>
        </w:tc>
        <w:tc>
          <w:tcPr>
            <w:tcW w:w="1215" w:type="dxa"/>
            <w:vAlign w:val="center"/>
          </w:tcPr>
          <w:p w14:paraId="147B6FFB">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150</w:t>
            </w:r>
          </w:p>
        </w:tc>
        <w:tc>
          <w:tcPr>
            <w:tcW w:w="1126" w:type="dxa"/>
            <w:vAlign w:val="bottom"/>
          </w:tcPr>
          <w:p w14:paraId="7509FD93">
            <w:pPr>
              <w:keepNext w:val="0"/>
              <w:keepLines w:val="0"/>
              <w:widowControl/>
              <w:suppressLineNumbers w:val="0"/>
              <w:jc w:val="center"/>
              <w:textAlignment w:val="bottom"/>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i w:val="0"/>
                <w:iCs w:val="0"/>
                <w:color w:val="000000"/>
                <w:kern w:val="0"/>
                <w:sz w:val="22"/>
                <w:szCs w:val="22"/>
                <w:highlight w:val="none"/>
                <w:u w:val="none"/>
                <w:lang w:val="en-US" w:eastAsia="zh-CN" w:bidi="ar"/>
              </w:rPr>
              <w:t>8400</w:t>
            </w:r>
          </w:p>
        </w:tc>
      </w:tr>
      <w:tr w14:paraId="6FB07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23" w:type="dxa"/>
            <w:shd w:val="clear" w:color="auto" w:fill="auto"/>
            <w:vAlign w:val="center"/>
          </w:tcPr>
          <w:p w14:paraId="38DC2BE3">
            <w:pPr>
              <w:keepNext w:val="0"/>
              <w:keepLines w:val="0"/>
              <w:pageBreakBefore w:val="0"/>
              <w:kinsoku/>
              <w:wordWrap/>
              <w:overflowPunct/>
              <w:topLinePunct w:val="0"/>
              <w:autoSpaceDE/>
              <w:autoSpaceDN/>
              <w:bidi w:val="0"/>
              <w:spacing w:after="0" w:line="360" w:lineRule="auto"/>
              <w:jc w:val="center"/>
              <w:textAlignment w:val="auto"/>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2</w:t>
            </w:r>
          </w:p>
        </w:tc>
        <w:tc>
          <w:tcPr>
            <w:tcW w:w="2115" w:type="dxa"/>
            <w:gridSpan w:val="2"/>
            <w:shd w:val="clear" w:color="auto" w:fill="auto"/>
            <w:vAlign w:val="center"/>
          </w:tcPr>
          <w:p w14:paraId="65CD7576">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kern w:val="0"/>
                <w:sz w:val="24"/>
                <w:szCs w:val="24"/>
                <w:highlight w:val="none"/>
                <w:vertAlign w:val="baseline"/>
                <w:lang w:val="en-US" w:eastAsia="zh-CN"/>
              </w:rPr>
              <w:t>10寸 5umPP 棉</w:t>
            </w:r>
          </w:p>
        </w:tc>
        <w:tc>
          <w:tcPr>
            <w:tcW w:w="1065" w:type="dxa"/>
            <w:vAlign w:val="center"/>
          </w:tcPr>
          <w:p w14:paraId="7EBC3B61">
            <w:pPr>
              <w:keepNext w:val="0"/>
              <w:keepLines w:val="0"/>
              <w:pageBreakBefore w:val="0"/>
              <w:kinsoku/>
              <w:wordWrap/>
              <w:overflowPunct/>
              <w:topLinePunct w:val="0"/>
              <w:autoSpaceDE/>
              <w:autoSpaceDN/>
              <w:bidi w:val="0"/>
              <w:spacing w:after="0"/>
              <w:jc w:val="center"/>
              <w:textAlignment w:val="auto"/>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6个月</w:t>
            </w:r>
          </w:p>
        </w:tc>
        <w:tc>
          <w:tcPr>
            <w:tcW w:w="735" w:type="dxa"/>
            <w:vAlign w:val="center"/>
          </w:tcPr>
          <w:p w14:paraId="184DB578">
            <w:pPr>
              <w:keepNext w:val="0"/>
              <w:keepLines w:val="0"/>
              <w:pageBreakBefore w:val="0"/>
              <w:kinsoku/>
              <w:wordWrap/>
              <w:overflowPunct/>
              <w:topLinePunct w:val="0"/>
              <w:autoSpaceDE/>
              <w:autoSpaceDN/>
              <w:bidi w:val="0"/>
              <w:spacing w:after="0"/>
              <w:jc w:val="center"/>
              <w:textAlignment w:val="auto"/>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56</w:t>
            </w:r>
          </w:p>
        </w:tc>
        <w:tc>
          <w:tcPr>
            <w:tcW w:w="1215" w:type="dxa"/>
            <w:vAlign w:val="center"/>
          </w:tcPr>
          <w:p w14:paraId="07142D2F">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80</w:t>
            </w:r>
          </w:p>
        </w:tc>
        <w:tc>
          <w:tcPr>
            <w:tcW w:w="1126" w:type="dxa"/>
            <w:vAlign w:val="bottom"/>
          </w:tcPr>
          <w:p w14:paraId="0350A5E5">
            <w:pPr>
              <w:keepNext w:val="0"/>
              <w:keepLines w:val="0"/>
              <w:widowControl/>
              <w:suppressLineNumbers w:val="0"/>
              <w:jc w:val="center"/>
              <w:textAlignment w:val="bottom"/>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i w:val="0"/>
                <w:iCs w:val="0"/>
                <w:color w:val="000000"/>
                <w:kern w:val="0"/>
                <w:sz w:val="22"/>
                <w:szCs w:val="22"/>
                <w:highlight w:val="none"/>
                <w:u w:val="none"/>
                <w:lang w:val="en-US" w:eastAsia="zh-CN" w:bidi="ar"/>
              </w:rPr>
              <w:t>4480</w:t>
            </w:r>
          </w:p>
        </w:tc>
      </w:tr>
      <w:tr w14:paraId="1808F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23" w:type="dxa"/>
            <w:shd w:val="clear" w:color="auto" w:fill="auto"/>
            <w:vAlign w:val="center"/>
          </w:tcPr>
          <w:p w14:paraId="44C68DE9">
            <w:pPr>
              <w:keepNext w:val="0"/>
              <w:keepLines w:val="0"/>
              <w:pageBreakBefore w:val="0"/>
              <w:kinsoku/>
              <w:wordWrap/>
              <w:overflowPunct/>
              <w:topLinePunct w:val="0"/>
              <w:autoSpaceDE/>
              <w:autoSpaceDN/>
              <w:bidi w:val="0"/>
              <w:spacing w:after="0" w:line="360" w:lineRule="auto"/>
              <w:jc w:val="center"/>
              <w:textAlignment w:val="auto"/>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3</w:t>
            </w:r>
          </w:p>
        </w:tc>
        <w:tc>
          <w:tcPr>
            <w:tcW w:w="2115" w:type="dxa"/>
            <w:gridSpan w:val="2"/>
            <w:shd w:val="clear" w:color="auto" w:fill="auto"/>
            <w:vAlign w:val="center"/>
          </w:tcPr>
          <w:p w14:paraId="4CA8F7CE">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10 寸 1umPP 棉</w:t>
            </w:r>
          </w:p>
        </w:tc>
        <w:tc>
          <w:tcPr>
            <w:tcW w:w="1065" w:type="dxa"/>
            <w:vAlign w:val="center"/>
          </w:tcPr>
          <w:p w14:paraId="5C531958">
            <w:pPr>
              <w:keepNext w:val="0"/>
              <w:keepLines w:val="0"/>
              <w:pageBreakBefore w:val="0"/>
              <w:kinsoku/>
              <w:wordWrap/>
              <w:overflowPunct/>
              <w:topLinePunct w:val="0"/>
              <w:autoSpaceDE/>
              <w:autoSpaceDN/>
              <w:bidi w:val="0"/>
              <w:spacing w:after="0"/>
              <w:jc w:val="center"/>
              <w:textAlignment w:val="auto"/>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6个月</w:t>
            </w:r>
          </w:p>
        </w:tc>
        <w:tc>
          <w:tcPr>
            <w:tcW w:w="735" w:type="dxa"/>
            <w:vAlign w:val="center"/>
          </w:tcPr>
          <w:p w14:paraId="79F7837A">
            <w:pPr>
              <w:keepNext w:val="0"/>
              <w:keepLines w:val="0"/>
              <w:pageBreakBefore w:val="0"/>
              <w:kinsoku/>
              <w:wordWrap/>
              <w:overflowPunct/>
              <w:topLinePunct w:val="0"/>
              <w:autoSpaceDE/>
              <w:autoSpaceDN/>
              <w:bidi w:val="0"/>
              <w:spacing w:after="0"/>
              <w:jc w:val="center"/>
              <w:textAlignment w:val="auto"/>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56</w:t>
            </w:r>
          </w:p>
        </w:tc>
        <w:tc>
          <w:tcPr>
            <w:tcW w:w="1215" w:type="dxa"/>
            <w:vAlign w:val="center"/>
          </w:tcPr>
          <w:p w14:paraId="5563E074">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90</w:t>
            </w:r>
          </w:p>
        </w:tc>
        <w:tc>
          <w:tcPr>
            <w:tcW w:w="1126" w:type="dxa"/>
            <w:vAlign w:val="bottom"/>
          </w:tcPr>
          <w:p w14:paraId="3BDB532B">
            <w:pPr>
              <w:keepNext w:val="0"/>
              <w:keepLines w:val="0"/>
              <w:widowControl/>
              <w:suppressLineNumbers w:val="0"/>
              <w:jc w:val="center"/>
              <w:textAlignment w:val="bottom"/>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i w:val="0"/>
                <w:iCs w:val="0"/>
                <w:color w:val="000000"/>
                <w:kern w:val="0"/>
                <w:sz w:val="22"/>
                <w:szCs w:val="22"/>
                <w:highlight w:val="none"/>
                <w:u w:val="none"/>
                <w:lang w:val="en-US" w:eastAsia="zh-CN" w:bidi="ar"/>
              </w:rPr>
              <w:t>5040</w:t>
            </w:r>
          </w:p>
        </w:tc>
      </w:tr>
      <w:tr w14:paraId="5DAD9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23" w:type="dxa"/>
            <w:shd w:val="clear" w:color="auto" w:fill="auto"/>
            <w:vAlign w:val="center"/>
          </w:tcPr>
          <w:p w14:paraId="044E94BE">
            <w:pPr>
              <w:keepNext w:val="0"/>
              <w:keepLines w:val="0"/>
              <w:pageBreakBefore w:val="0"/>
              <w:kinsoku/>
              <w:wordWrap/>
              <w:overflowPunct/>
              <w:topLinePunct w:val="0"/>
              <w:autoSpaceDE/>
              <w:autoSpaceDN/>
              <w:bidi w:val="0"/>
              <w:spacing w:after="0" w:line="360" w:lineRule="auto"/>
              <w:jc w:val="center"/>
              <w:textAlignment w:val="auto"/>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4</w:t>
            </w:r>
          </w:p>
        </w:tc>
        <w:tc>
          <w:tcPr>
            <w:tcW w:w="2115" w:type="dxa"/>
            <w:gridSpan w:val="2"/>
            <w:shd w:val="clear" w:color="auto" w:fill="auto"/>
            <w:vAlign w:val="center"/>
          </w:tcPr>
          <w:p w14:paraId="4E4D5DD2">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400G反渗透膜</w:t>
            </w:r>
          </w:p>
        </w:tc>
        <w:tc>
          <w:tcPr>
            <w:tcW w:w="1065" w:type="dxa"/>
            <w:vAlign w:val="center"/>
          </w:tcPr>
          <w:p w14:paraId="4BAB439B">
            <w:pPr>
              <w:keepNext w:val="0"/>
              <w:keepLines w:val="0"/>
              <w:pageBreakBefore w:val="0"/>
              <w:kinsoku/>
              <w:wordWrap/>
              <w:overflowPunct/>
              <w:topLinePunct w:val="0"/>
              <w:autoSpaceDE/>
              <w:autoSpaceDN/>
              <w:bidi w:val="0"/>
              <w:spacing w:after="0"/>
              <w:jc w:val="center"/>
              <w:textAlignment w:val="auto"/>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一年</w:t>
            </w:r>
          </w:p>
        </w:tc>
        <w:tc>
          <w:tcPr>
            <w:tcW w:w="735" w:type="dxa"/>
            <w:vAlign w:val="center"/>
          </w:tcPr>
          <w:p w14:paraId="45061301">
            <w:pPr>
              <w:keepNext w:val="0"/>
              <w:keepLines w:val="0"/>
              <w:pageBreakBefore w:val="0"/>
              <w:kinsoku/>
              <w:wordWrap/>
              <w:overflowPunct/>
              <w:topLinePunct w:val="0"/>
              <w:autoSpaceDE/>
              <w:autoSpaceDN/>
              <w:bidi w:val="0"/>
              <w:spacing w:after="0"/>
              <w:jc w:val="center"/>
              <w:textAlignment w:val="auto"/>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28</w:t>
            </w:r>
          </w:p>
        </w:tc>
        <w:tc>
          <w:tcPr>
            <w:tcW w:w="1215" w:type="dxa"/>
            <w:vAlign w:val="center"/>
          </w:tcPr>
          <w:p w14:paraId="282A96EA">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900</w:t>
            </w:r>
          </w:p>
        </w:tc>
        <w:tc>
          <w:tcPr>
            <w:tcW w:w="1126" w:type="dxa"/>
            <w:vAlign w:val="bottom"/>
          </w:tcPr>
          <w:p w14:paraId="079E7590">
            <w:pPr>
              <w:keepNext w:val="0"/>
              <w:keepLines w:val="0"/>
              <w:widowControl/>
              <w:suppressLineNumbers w:val="0"/>
              <w:jc w:val="center"/>
              <w:textAlignment w:val="bottom"/>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i w:val="0"/>
                <w:iCs w:val="0"/>
                <w:color w:val="000000"/>
                <w:kern w:val="0"/>
                <w:sz w:val="22"/>
                <w:szCs w:val="22"/>
                <w:highlight w:val="none"/>
                <w:u w:val="none"/>
                <w:lang w:val="en-US" w:eastAsia="zh-CN" w:bidi="ar"/>
              </w:rPr>
              <w:t>25200</w:t>
            </w:r>
          </w:p>
        </w:tc>
      </w:tr>
      <w:tr w14:paraId="60CBF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23" w:type="dxa"/>
            <w:shd w:val="clear" w:color="auto" w:fill="auto"/>
            <w:vAlign w:val="center"/>
          </w:tcPr>
          <w:p w14:paraId="59242343">
            <w:pPr>
              <w:keepNext w:val="0"/>
              <w:keepLines w:val="0"/>
              <w:pageBreakBefore w:val="0"/>
              <w:kinsoku/>
              <w:wordWrap/>
              <w:overflowPunct/>
              <w:topLinePunct w:val="0"/>
              <w:autoSpaceDE/>
              <w:autoSpaceDN/>
              <w:bidi w:val="0"/>
              <w:spacing w:after="0" w:line="360" w:lineRule="auto"/>
              <w:jc w:val="center"/>
              <w:textAlignment w:val="auto"/>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5</w:t>
            </w:r>
          </w:p>
        </w:tc>
        <w:tc>
          <w:tcPr>
            <w:tcW w:w="2115" w:type="dxa"/>
            <w:gridSpan w:val="2"/>
            <w:shd w:val="clear" w:color="auto" w:fill="auto"/>
            <w:vAlign w:val="center"/>
          </w:tcPr>
          <w:p w14:paraId="0172FF82">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后置椰壳活性炭</w:t>
            </w:r>
          </w:p>
        </w:tc>
        <w:tc>
          <w:tcPr>
            <w:tcW w:w="1065" w:type="dxa"/>
            <w:vAlign w:val="center"/>
          </w:tcPr>
          <w:p w14:paraId="65A0419E">
            <w:pPr>
              <w:keepNext w:val="0"/>
              <w:keepLines w:val="0"/>
              <w:pageBreakBefore w:val="0"/>
              <w:kinsoku/>
              <w:wordWrap/>
              <w:overflowPunct/>
              <w:topLinePunct w:val="0"/>
              <w:autoSpaceDE/>
              <w:autoSpaceDN/>
              <w:bidi w:val="0"/>
              <w:spacing w:after="0"/>
              <w:jc w:val="center"/>
              <w:textAlignment w:val="auto"/>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一年</w:t>
            </w:r>
          </w:p>
        </w:tc>
        <w:tc>
          <w:tcPr>
            <w:tcW w:w="735" w:type="dxa"/>
            <w:vAlign w:val="center"/>
          </w:tcPr>
          <w:p w14:paraId="432DF00D">
            <w:pPr>
              <w:keepNext w:val="0"/>
              <w:keepLines w:val="0"/>
              <w:pageBreakBefore w:val="0"/>
              <w:kinsoku/>
              <w:wordWrap/>
              <w:overflowPunct/>
              <w:topLinePunct w:val="0"/>
              <w:autoSpaceDE/>
              <w:autoSpaceDN/>
              <w:bidi w:val="0"/>
              <w:spacing w:after="0"/>
              <w:jc w:val="center"/>
              <w:textAlignment w:val="auto"/>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28</w:t>
            </w:r>
          </w:p>
        </w:tc>
        <w:tc>
          <w:tcPr>
            <w:tcW w:w="1215" w:type="dxa"/>
            <w:vAlign w:val="center"/>
          </w:tcPr>
          <w:p w14:paraId="738053FF">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100</w:t>
            </w:r>
          </w:p>
        </w:tc>
        <w:tc>
          <w:tcPr>
            <w:tcW w:w="1126" w:type="dxa"/>
            <w:vAlign w:val="bottom"/>
          </w:tcPr>
          <w:p w14:paraId="2B3CFA95">
            <w:pPr>
              <w:keepNext w:val="0"/>
              <w:keepLines w:val="0"/>
              <w:widowControl/>
              <w:suppressLineNumbers w:val="0"/>
              <w:jc w:val="center"/>
              <w:textAlignment w:val="bottom"/>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i w:val="0"/>
                <w:iCs w:val="0"/>
                <w:color w:val="000000"/>
                <w:kern w:val="0"/>
                <w:sz w:val="22"/>
                <w:szCs w:val="22"/>
                <w:highlight w:val="none"/>
                <w:u w:val="none"/>
                <w:lang w:val="en-US" w:eastAsia="zh-CN" w:bidi="ar"/>
              </w:rPr>
              <w:t>2800</w:t>
            </w:r>
          </w:p>
        </w:tc>
      </w:tr>
      <w:tr w14:paraId="0ABF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35" w:type="dxa"/>
            <w:gridSpan w:val="2"/>
            <w:shd w:val="clear" w:color="auto" w:fill="auto"/>
            <w:vAlign w:val="center"/>
          </w:tcPr>
          <w:p w14:paraId="3C3D1AC5">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kern w:val="0"/>
                <w:sz w:val="24"/>
                <w:szCs w:val="24"/>
                <w:highlight w:val="none"/>
                <w:vertAlign w:val="baseline"/>
                <w:lang w:val="en-US" w:eastAsia="zh-CN"/>
              </w:rPr>
            </w:pPr>
          </w:p>
        </w:tc>
        <w:tc>
          <w:tcPr>
            <w:tcW w:w="5118" w:type="dxa"/>
            <w:gridSpan w:val="4"/>
            <w:shd w:val="clear" w:color="auto" w:fill="auto"/>
            <w:vAlign w:val="center"/>
          </w:tcPr>
          <w:p w14:paraId="3AFCFDA8">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总计（元）</w:t>
            </w:r>
          </w:p>
        </w:tc>
        <w:tc>
          <w:tcPr>
            <w:tcW w:w="1126" w:type="dxa"/>
            <w:shd w:val="clear" w:color="auto" w:fill="auto"/>
            <w:vAlign w:val="bottom"/>
          </w:tcPr>
          <w:p w14:paraId="1C48F755">
            <w:pPr>
              <w:keepNext w:val="0"/>
              <w:keepLines w:val="0"/>
              <w:widowControl/>
              <w:suppressLineNumbers w:val="0"/>
              <w:jc w:val="center"/>
              <w:textAlignment w:val="bottom"/>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45920</w:t>
            </w:r>
          </w:p>
        </w:tc>
      </w:tr>
    </w:tbl>
    <w:p w14:paraId="2EB63F24">
      <w:pPr>
        <w:widowControl w:val="0"/>
        <w:adjustRightInd/>
        <w:snapToGrid/>
        <w:spacing w:after="0" w:line="400" w:lineRule="exact"/>
        <w:ind w:left="560"/>
        <w:jc w:val="both"/>
        <w:rPr>
          <w:rFonts w:hint="eastAsia" w:ascii="仿宋" w:hAnsi="仿宋" w:eastAsia="仿宋" w:cs="仿宋"/>
          <w:b/>
          <w:kern w:val="2"/>
          <w:sz w:val="24"/>
          <w:szCs w:val="24"/>
          <w:highlight w:val="none"/>
          <w:lang w:val="en-US" w:eastAsia="zh-CN"/>
        </w:rPr>
      </w:pPr>
      <w:r>
        <w:rPr>
          <w:rFonts w:hint="eastAsia" w:ascii="仿宋" w:hAnsi="仿宋" w:eastAsia="仿宋" w:cs="仿宋"/>
          <w:b/>
          <w:kern w:val="2"/>
          <w:sz w:val="24"/>
          <w:szCs w:val="24"/>
          <w:highlight w:val="none"/>
        </w:rPr>
        <w:t>*</w:t>
      </w:r>
      <w:r>
        <w:rPr>
          <w:rFonts w:hint="eastAsia" w:ascii="仿宋" w:hAnsi="仿宋" w:eastAsia="仿宋" w:cs="仿宋"/>
          <w:b/>
          <w:kern w:val="2"/>
          <w:sz w:val="24"/>
          <w:szCs w:val="24"/>
          <w:highlight w:val="none"/>
          <w:lang w:eastAsia="zh-CN"/>
        </w:rPr>
        <w:t>净水器</w:t>
      </w:r>
      <w:r>
        <w:rPr>
          <w:rFonts w:hint="eastAsia" w:ascii="仿宋" w:hAnsi="仿宋" w:eastAsia="仿宋" w:cs="仿宋"/>
          <w:b/>
          <w:kern w:val="2"/>
          <w:sz w:val="24"/>
          <w:szCs w:val="24"/>
          <w:highlight w:val="none"/>
        </w:rPr>
        <w:t>品牌</w:t>
      </w:r>
      <w:r>
        <w:rPr>
          <w:rFonts w:hint="eastAsia" w:ascii="仿宋" w:hAnsi="仿宋" w:eastAsia="仿宋" w:cs="仿宋"/>
          <w:b/>
          <w:kern w:val="2"/>
          <w:sz w:val="24"/>
          <w:szCs w:val="24"/>
          <w:highlight w:val="none"/>
          <w:lang w:val="en-US" w:eastAsia="zh-CN"/>
        </w:rPr>
        <w:t>及制造商</w:t>
      </w:r>
      <w:r>
        <w:rPr>
          <w:rFonts w:hint="eastAsia" w:ascii="仿宋" w:hAnsi="仿宋" w:eastAsia="仿宋" w:cs="仿宋"/>
          <w:b/>
          <w:kern w:val="2"/>
          <w:sz w:val="24"/>
          <w:szCs w:val="24"/>
          <w:highlight w:val="none"/>
        </w:rPr>
        <w:t>：</w:t>
      </w:r>
      <w:r>
        <w:rPr>
          <w:rFonts w:hint="eastAsia" w:ascii="仿宋" w:hAnsi="仿宋" w:eastAsia="仿宋" w:cs="仿宋"/>
          <w:b/>
          <w:kern w:val="2"/>
          <w:sz w:val="24"/>
          <w:szCs w:val="24"/>
          <w:highlight w:val="none"/>
          <w:lang w:val="en-US" w:eastAsia="zh-CN"/>
        </w:rPr>
        <w:t>泉界 合肥泉界环保科技有限公司</w:t>
      </w:r>
    </w:p>
    <w:p w14:paraId="0FBC5385">
      <w:pPr>
        <w:keepNext w:val="0"/>
        <w:keepLines w:val="0"/>
        <w:pageBreakBefore w:val="0"/>
        <w:numPr>
          <w:ilvl w:val="0"/>
          <w:numId w:val="0"/>
        </w:numPr>
        <w:kinsoku/>
        <w:wordWrap/>
        <w:overflowPunct/>
        <w:topLinePunct w:val="0"/>
        <w:autoSpaceDE/>
        <w:autoSpaceDN/>
        <w:bidi w:val="0"/>
        <w:adjustRightInd/>
        <w:snapToGrid/>
        <w:spacing w:line="400" w:lineRule="exact"/>
        <w:ind w:left="-62" w:leftChars="0" w:firstLine="482" w:firstLine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bidi="ar-SA"/>
        </w:rPr>
        <w:t>三、</w:t>
      </w:r>
      <w:r>
        <w:rPr>
          <w:rFonts w:hint="eastAsia" w:ascii="仿宋" w:hAnsi="仿宋" w:eastAsia="仿宋" w:cs="仿宋"/>
          <w:b/>
          <w:bCs/>
          <w:sz w:val="24"/>
          <w:szCs w:val="24"/>
          <w:highlight w:val="none"/>
          <w:lang w:val="en-US" w:eastAsia="zh-CN"/>
        </w:rPr>
        <w:t>服务期</w:t>
      </w:r>
    </w:p>
    <w:p w14:paraId="2E4E10EA">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lang w:val="en-US" w:eastAsia="zh-Hans"/>
        </w:rPr>
      </w:pP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年,合同一年一签。</w:t>
      </w:r>
      <w:r>
        <w:rPr>
          <w:rFonts w:hint="eastAsia" w:ascii="仿宋" w:hAnsi="仿宋" w:eastAsia="仿宋" w:cs="仿宋"/>
          <w:color w:val="auto"/>
          <w:sz w:val="24"/>
          <w:highlight w:val="none"/>
          <w:lang w:val="en-US" w:eastAsia="zh-Hans"/>
        </w:rPr>
        <w:t>学校具有对中标单位履职期间的情况进行综合考核并决定是否续签合同</w:t>
      </w:r>
      <w:bookmarkStart w:id="104" w:name="_GoBack"/>
      <w:bookmarkEnd w:id="104"/>
      <w:r>
        <w:rPr>
          <w:rFonts w:hint="eastAsia" w:ascii="仿宋" w:hAnsi="仿宋" w:eastAsia="仿宋" w:cs="仿宋"/>
          <w:color w:val="auto"/>
          <w:sz w:val="24"/>
          <w:highlight w:val="none"/>
          <w:lang w:val="en-US" w:eastAsia="zh-Hans"/>
        </w:rPr>
        <w:t>的权利，</w:t>
      </w:r>
      <w:r>
        <w:rPr>
          <w:rFonts w:hint="eastAsia" w:ascii="仿宋" w:hAnsi="仿宋" w:eastAsia="仿宋" w:cs="仿宋"/>
          <w:color w:val="auto"/>
          <w:sz w:val="24"/>
          <w:highlight w:val="none"/>
          <w:lang w:eastAsia="zh-Hans"/>
        </w:rPr>
        <w:t>最多续签</w:t>
      </w:r>
      <w:r>
        <w:rPr>
          <w:rFonts w:hint="eastAsia" w:ascii="仿宋" w:hAnsi="仿宋" w:eastAsia="仿宋" w:cs="仿宋"/>
          <w:color w:val="auto"/>
          <w:sz w:val="24"/>
          <w:highlight w:val="none"/>
          <w:lang w:val="en-US" w:eastAsia="zh-Hans"/>
        </w:rPr>
        <w:t>两次。</w:t>
      </w:r>
    </w:p>
    <w:p w14:paraId="392CD5D5">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四、付款方式</w:t>
      </w:r>
    </w:p>
    <w:p w14:paraId="1F1BA154">
      <w:pPr>
        <w:spacing w:after="0"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合同签订后，滤芯更换费用及维修款项在每次更换结束后，根据实际更换数量结算，乙方开具发票后的一周内支付。</w:t>
      </w:r>
    </w:p>
    <w:p w14:paraId="399A00FF">
      <w:pPr>
        <w:pStyle w:val="2"/>
        <w:rPr>
          <w:rFonts w:hint="eastAsia" w:ascii="仿宋" w:hAnsi="仿宋" w:eastAsia="仿宋" w:cs="仿宋"/>
          <w:sz w:val="24"/>
          <w:szCs w:val="24"/>
          <w:highlight w:val="none"/>
          <w:lang w:val="en-US" w:eastAsia="zh-CN"/>
        </w:rPr>
      </w:pPr>
      <w:r>
        <w:rPr>
          <w:rFonts w:hint="eastAsia" w:ascii="仿宋" w:hAnsi="仿宋" w:eastAsia="仿宋" w:cs="仿宋"/>
          <w:highlight w:val="none"/>
        </w:rPr>
        <w:t xml:space="preserve">    </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每次滤芯更换后，采购方委托第三方对</w:t>
      </w:r>
      <w:r>
        <w:rPr>
          <w:rFonts w:hint="eastAsia" w:ascii="仿宋" w:hAnsi="仿宋" w:eastAsia="仿宋" w:cs="仿宋"/>
          <w:sz w:val="24"/>
          <w:szCs w:val="24"/>
          <w:highlight w:val="none"/>
          <w:lang w:eastAsia="zh-CN"/>
        </w:rPr>
        <w:t>净水器</w:t>
      </w:r>
      <w:r>
        <w:rPr>
          <w:rFonts w:hint="eastAsia" w:ascii="仿宋" w:hAnsi="仿宋" w:eastAsia="仿宋" w:cs="仿宋"/>
          <w:sz w:val="24"/>
          <w:szCs w:val="24"/>
          <w:highlight w:val="none"/>
        </w:rPr>
        <w:t>水质进行检测，检测合格后，方可进行滤芯更换结算。</w:t>
      </w:r>
      <w:r>
        <w:rPr>
          <w:rFonts w:hint="eastAsia" w:ascii="仿宋" w:hAnsi="仿宋" w:eastAsia="仿宋" w:cs="仿宋"/>
          <w:sz w:val="24"/>
          <w:szCs w:val="24"/>
          <w:highlight w:val="none"/>
          <w:lang w:val="en-US" w:eastAsia="zh-CN"/>
        </w:rPr>
        <w:t>在每次滤芯更换周期内，必须保证卫生监督部门对</w:t>
      </w:r>
      <w:r>
        <w:rPr>
          <w:rFonts w:hint="eastAsia" w:ascii="仿宋" w:hAnsi="仿宋" w:eastAsia="仿宋" w:cs="仿宋"/>
          <w:sz w:val="24"/>
          <w:szCs w:val="24"/>
          <w:highlight w:val="none"/>
          <w:lang w:eastAsia="zh-CN"/>
        </w:rPr>
        <w:t>净水器</w:t>
      </w:r>
      <w:r>
        <w:rPr>
          <w:rFonts w:hint="eastAsia" w:ascii="仿宋" w:hAnsi="仿宋" w:eastAsia="仿宋" w:cs="仿宋"/>
          <w:sz w:val="24"/>
          <w:szCs w:val="24"/>
          <w:highlight w:val="none"/>
        </w:rPr>
        <w:t>水质</w:t>
      </w:r>
      <w:r>
        <w:rPr>
          <w:rFonts w:hint="eastAsia" w:ascii="仿宋" w:hAnsi="仿宋" w:eastAsia="仿宋" w:cs="仿宋"/>
          <w:sz w:val="24"/>
          <w:szCs w:val="24"/>
          <w:highlight w:val="none"/>
          <w:lang w:val="en-US" w:eastAsia="zh-CN"/>
        </w:rPr>
        <w:t>检测合格，否则，没收部分或全部保证金，并更换滤芯，直到</w:t>
      </w:r>
      <w:r>
        <w:rPr>
          <w:rFonts w:hint="eastAsia" w:ascii="仿宋" w:hAnsi="仿宋" w:eastAsia="仿宋" w:cs="仿宋"/>
          <w:sz w:val="24"/>
          <w:szCs w:val="24"/>
          <w:highlight w:val="none"/>
        </w:rPr>
        <w:t>水质检测合格</w:t>
      </w:r>
      <w:r>
        <w:rPr>
          <w:rFonts w:hint="eastAsia" w:ascii="仿宋" w:hAnsi="仿宋" w:eastAsia="仿宋" w:cs="仿宋"/>
          <w:sz w:val="24"/>
          <w:szCs w:val="24"/>
          <w:highlight w:val="none"/>
          <w:lang w:eastAsia="zh-CN"/>
        </w:rPr>
        <w:t>。</w:t>
      </w:r>
    </w:p>
    <w:p w14:paraId="410C9C5F">
      <w:pPr>
        <w:spacing w:after="0" w:line="400" w:lineRule="exact"/>
        <w:ind w:firstLine="482" w:firstLineChars="200"/>
        <w:jc w:val="both"/>
        <w:rPr>
          <w:rFonts w:hint="eastAsia" w:ascii="仿宋" w:hAnsi="仿宋" w:eastAsia="仿宋" w:cs="仿宋"/>
          <w:sz w:val="24"/>
          <w:szCs w:val="24"/>
          <w:highlight w:val="none"/>
          <w:lang w:val="zh-CN"/>
        </w:rPr>
      </w:pPr>
      <w:r>
        <w:rPr>
          <w:rFonts w:hint="eastAsia" w:ascii="仿宋" w:hAnsi="仿宋" w:eastAsia="仿宋" w:cs="仿宋"/>
          <w:b/>
          <w:bCs/>
          <w:sz w:val="24"/>
          <w:szCs w:val="24"/>
          <w:highlight w:val="none"/>
        </w:rPr>
        <w:t>五、</w:t>
      </w:r>
      <w:r>
        <w:rPr>
          <w:rFonts w:hint="eastAsia" w:ascii="仿宋" w:hAnsi="仿宋" w:eastAsia="仿宋" w:cs="仿宋"/>
          <w:b/>
          <w:bCs/>
          <w:sz w:val="24"/>
          <w:szCs w:val="24"/>
          <w:highlight w:val="none"/>
          <w:lang w:val="zh-CN"/>
        </w:rPr>
        <w:t>投标保证金：</w:t>
      </w:r>
      <w:r>
        <w:rPr>
          <w:rFonts w:hint="eastAsia" w:ascii="仿宋" w:hAnsi="仿宋" w:eastAsia="仿宋" w:cs="仿宋"/>
          <w:b/>
          <w:bCs/>
          <w:sz w:val="24"/>
          <w:szCs w:val="24"/>
          <w:highlight w:val="none"/>
        </w:rPr>
        <w:t>本项目不涉及</w:t>
      </w:r>
      <w:r>
        <w:rPr>
          <w:rFonts w:hint="eastAsia" w:ascii="仿宋" w:hAnsi="仿宋" w:eastAsia="仿宋" w:cs="仿宋"/>
          <w:sz w:val="24"/>
          <w:szCs w:val="24"/>
          <w:highlight w:val="none"/>
          <w:lang w:val="zh-CN"/>
        </w:rPr>
        <w:t>。</w:t>
      </w:r>
    </w:p>
    <w:p w14:paraId="58A401B0">
      <w:pPr>
        <w:spacing w:after="0" w:line="400" w:lineRule="exact"/>
        <w:ind w:firstLine="482" w:firstLineChars="200"/>
        <w:jc w:val="both"/>
        <w:rPr>
          <w:rFonts w:hint="eastAsia" w:ascii="仿宋" w:hAnsi="仿宋" w:eastAsia="仿宋" w:cs="仿宋"/>
          <w:sz w:val="24"/>
          <w:szCs w:val="24"/>
          <w:highlight w:val="none"/>
          <w:lang w:val="zh-CN"/>
        </w:rPr>
      </w:pPr>
      <w:r>
        <w:rPr>
          <w:rFonts w:hint="eastAsia" w:ascii="仿宋" w:hAnsi="仿宋" w:eastAsia="仿宋" w:cs="仿宋"/>
          <w:b/>
          <w:bCs/>
          <w:sz w:val="24"/>
          <w:szCs w:val="24"/>
          <w:highlight w:val="none"/>
        </w:rPr>
        <w:t>六</w:t>
      </w:r>
      <w:r>
        <w:rPr>
          <w:rFonts w:hint="eastAsia" w:ascii="仿宋" w:hAnsi="仿宋" w:eastAsia="仿宋" w:cs="仿宋"/>
          <w:b/>
          <w:bCs/>
          <w:sz w:val="24"/>
          <w:szCs w:val="24"/>
          <w:highlight w:val="none"/>
          <w:lang w:val="zh-CN"/>
        </w:rPr>
        <w:t>、履约保证金</w:t>
      </w:r>
      <w:r>
        <w:rPr>
          <w:rFonts w:hint="eastAsia" w:ascii="仿宋" w:hAnsi="仿宋" w:eastAsia="仿宋" w:cs="仿宋"/>
          <w:sz w:val="24"/>
          <w:szCs w:val="24"/>
          <w:highlight w:val="none"/>
          <w:lang w:val="zh-CN"/>
        </w:rPr>
        <w:t>：</w:t>
      </w:r>
      <w:r>
        <w:rPr>
          <w:rFonts w:hint="eastAsia" w:ascii="仿宋" w:hAnsi="仿宋" w:eastAsia="仿宋" w:cs="仿宋"/>
          <w:b/>
          <w:bCs/>
          <w:sz w:val="24"/>
          <w:szCs w:val="24"/>
          <w:highlight w:val="none"/>
        </w:rPr>
        <w:t>1000元</w:t>
      </w:r>
      <w:r>
        <w:rPr>
          <w:rFonts w:hint="eastAsia" w:ascii="仿宋" w:hAnsi="仿宋" w:eastAsia="仿宋" w:cs="仿宋"/>
          <w:b/>
          <w:bCs/>
          <w:sz w:val="24"/>
          <w:szCs w:val="24"/>
          <w:highlight w:val="none"/>
          <w:lang w:val="zh-CN"/>
        </w:rPr>
        <w:t>。如成交人认真履约，合同期满后，采购方一次性免费退还履约保证金。</w:t>
      </w:r>
    </w:p>
    <w:p w14:paraId="20264990">
      <w:pPr>
        <w:spacing w:after="0" w:line="400" w:lineRule="exact"/>
        <w:ind w:firstLine="482" w:firstLineChars="200"/>
        <w:jc w:val="both"/>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rPr>
        <w:t>七、</w:t>
      </w:r>
      <w:r>
        <w:rPr>
          <w:rFonts w:hint="eastAsia" w:ascii="仿宋" w:hAnsi="仿宋" w:eastAsia="仿宋" w:cs="仿宋"/>
          <w:b/>
          <w:bCs/>
          <w:sz w:val="24"/>
          <w:szCs w:val="24"/>
          <w:highlight w:val="none"/>
          <w:lang w:val="zh-CN"/>
        </w:rPr>
        <w:t>开标、评标</w:t>
      </w:r>
    </w:p>
    <w:p w14:paraId="19D39265">
      <w:pPr>
        <w:spacing w:after="0" w:line="40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时间：</w:t>
      </w:r>
      <w:r>
        <w:rPr>
          <w:rFonts w:hint="eastAsia" w:ascii="仿宋" w:hAnsi="仿宋" w:eastAsia="仿宋" w:cs="仿宋"/>
          <w:b/>
          <w:bCs/>
          <w:color w:val="333333"/>
          <w:sz w:val="24"/>
          <w:szCs w:val="24"/>
          <w:highlight w:val="none"/>
          <w:u w:val="single"/>
          <w:shd w:val="clear" w:color="auto" w:fill="FFFFFF"/>
        </w:rPr>
        <w:t>202</w:t>
      </w:r>
      <w:r>
        <w:rPr>
          <w:rFonts w:hint="eastAsia" w:ascii="仿宋" w:hAnsi="仿宋" w:eastAsia="仿宋" w:cs="仿宋"/>
          <w:b/>
          <w:bCs/>
          <w:color w:val="333333"/>
          <w:sz w:val="24"/>
          <w:szCs w:val="24"/>
          <w:highlight w:val="none"/>
          <w:u w:val="single"/>
          <w:shd w:val="clear" w:color="auto" w:fill="FFFFFF"/>
          <w:lang w:val="en-US" w:eastAsia="zh-CN"/>
        </w:rPr>
        <w:t>5</w:t>
      </w:r>
      <w:r>
        <w:rPr>
          <w:rFonts w:hint="eastAsia" w:ascii="仿宋" w:hAnsi="仿宋" w:eastAsia="仿宋" w:cs="仿宋"/>
          <w:b/>
          <w:bCs/>
          <w:color w:val="333333"/>
          <w:sz w:val="24"/>
          <w:szCs w:val="24"/>
          <w:highlight w:val="none"/>
          <w:u w:val="single"/>
          <w:shd w:val="clear" w:color="auto" w:fill="FFFFFF"/>
        </w:rPr>
        <w:t>年</w:t>
      </w:r>
      <w:r>
        <w:rPr>
          <w:rFonts w:hint="eastAsia" w:ascii="仿宋" w:hAnsi="仿宋" w:eastAsia="仿宋" w:cs="仿宋"/>
          <w:b/>
          <w:bCs/>
          <w:color w:val="333333"/>
          <w:sz w:val="24"/>
          <w:szCs w:val="24"/>
          <w:highlight w:val="none"/>
          <w:u w:val="single"/>
          <w:shd w:val="clear" w:color="auto" w:fill="FFFFFF"/>
          <w:lang w:val="en-US" w:eastAsia="zh-CN"/>
        </w:rPr>
        <w:t>1</w:t>
      </w:r>
      <w:r>
        <w:rPr>
          <w:rFonts w:hint="eastAsia" w:ascii="仿宋" w:hAnsi="仿宋" w:eastAsia="仿宋" w:cs="仿宋"/>
          <w:b/>
          <w:bCs/>
          <w:color w:val="333333"/>
          <w:sz w:val="24"/>
          <w:szCs w:val="24"/>
          <w:highlight w:val="none"/>
          <w:u w:val="single"/>
          <w:shd w:val="clear" w:color="auto" w:fill="FFFFFF"/>
        </w:rPr>
        <w:t>月</w:t>
      </w:r>
      <w:r>
        <w:rPr>
          <w:rFonts w:hint="eastAsia" w:ascii="仿宋" w:hAnsi="仿宋" w:eastAsia="仿宋" w:cs="仿宋"/>
          <w:b/>
          <w:bCs/>
          <w:color w:val="333333"/>
          <w:sz w:val="24"/>
          <w:szCs w:val="24"/>
          <w:highlight w:val="none"/>
          <w:u w:val="single"/>
          <w:shd w:val="clear" w:color="auto" w:fill="FFFFFF"/>
          <w:lang w:val="en-US" w:eastAsia="zh-CN"/>
        </w:rPr>
        <w:t>24</w:t>
      </w:r>
      <w:r>
        <w:rPr>
          <w:rFonts w:hint="eastAsia" w:ascii="仿宋" w:hAnsi="仿宋" w:eastAsia="仿宋" w:cs="仿宋"/>
          <w:b/>
          <w:bCs/>
          <w:color w:val="333333"/>
          <w:sz w:val="24"/>
          <w:szCs w:val="24"/>
          <w:highlight w:val="none"/>
          <w:u w:val="single"/>
          <w:shd w:val="clear" w:color="auto" w:fill="FFFFFF"/>
        </w:rPr>
        <w:t>日</w:t>
      </w:r>
      <w:r>
        <w:rPr>
          <w:rFonts w:hint="eastAsia" w:ascii="仿宋" w:hAnsi="仿宋" w:eastAsia="仿宋" w:cs="仿宋"/>
          <w:b/>
          <w:bCs/>
          <w:color w:val="333333"/>
          <w:sz w:val="24"/>
          <w:szCs w:val="24"/>
          <w:highlight w:val="none"/>
          <w:u w:val="single"/>
          <w:shd w:val="clear" w:color="auto" w:fill="FFFFFF"/>
          <w:lang w:val="en-US" w:eastAsia="zh-CN"/>
        </w:rPr>
        <w:t>9</w:t>
      </w:r>
      <w:r>
        <w:rPr>
          <w:rFonts w:hint="eastAsia" w:ascii="仿宋" w:hAnsi="仿宋" w:eastAsia="仿宋" w:cs="仿宋"/>
          <w:b/>
          <w:bCs/>
          <w:color w:val="333333"/>
          <w:sz w:val="24"/>
          <w:szCs w:val="24"/>
          <w:highlight w:val="none"/>
          <w:u w:val="single"/>
          <w:shd w:val="clear" w:color="auto" w:fill="FFFFFF"/>
        </w:rPr>
        <w:t>时</w:t>
      </w:r>
      <w:r>
        <w:rPr>
          <w:rFonts w:hint="eastAsia" w:ascii="仿宋" w:hAnsi="仿宋" w:eastAsia="仿宋" w:cs="仿宋"/>
          <w:b/>
          <w:bCs/>
          <w:color w:val="333333"/>
          <w:sz w:val="24"/>
          <w:szCs w:val="24"/>
          <w:highlight w:val="none"/>
          <w:u w:val="single"/>
          <w:shd w:val="clear" w:color="auto" w:fill="FFFFFF"/>
          <w:lang w:val="en-US" w:eastAsia="zh-CN"/>
        </w:rPr>
        <w:t>30</w:t>
      </w:r>
      <w:r>
        <w:rPr>
          <w:rFonts w:hint="eastAsia" w:ascii="仿宋" w:hAnsi="仿宋" w:eastAsia="仿宋" w:cs="仿宋"/>
          <w:b/>
          <w:bCs/>
          <w:color w:val="333333"/>
          <w:sz w:val="24"/>
          <w:szCs w:val="24"/>
          <w:highlight w:val="none"/>
          <w:u w:val="single"/>
          <w:shd w:val="clear" w:color="auto" w:fill="FFFFFF"/>
        </w:rPr>
        <w:t>分</w:t>
      </w:r>
      <w:r>
        <w:rPr>
          <w:rFonts w:hint="eastAsia" w:ascii="仿宋" w:hAnsi="仿宋" w:eastAsia="仿宋" w:cs="仿宋"/>
          <w:b/>
          <w:bCs/>
          <w:sz w:val="24"/>
          <w:szCs w:val="24"/>
          <w:highlight w:val="none"/>
          <w:u w:val="single"/>
          <w:lang w:val="zh-CN"/>
        </w:rPr>
        <w:t>（北京时间）</w:t>
      </w:r>
      <w:r>
        <w:rPr>
          <w:rFonts w:hint="eastAsia" w:ascii="仿宋" w:hAnsi="仿宋" w:eastAsia="仿宋" w:cs="仿宋"/>
          <w:b/>
          <w:bCs/>
          <w:sz w:val="24"/>
          <w:szCs w:val="24"/>
          <w:highlight w:val="none"/>
          <w:u w:val="single"/>
        </w:rPr>
        <w:t>;</w:t>
      </w:r>
    </w:p>
    <w:p w14:paraId="3092D0D3">
      <w:pPr>
        <w:spacing w:after="0" w:line="400" w:lineRule="exact"/>
        <w:ind w:firstLine="480" w:firstLineChars="200"/>
        <w:jc w:val="both"/>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地点：</w:t>
      </w:r>
      <w:r>
        <w:rPr>
          <w:rFonts w:hint="eastAsia" w:ascii="仿宋" w:hAnsi="仿宋" w:eastAsia="仿宋" w:cs="仿宋"/>
          <w:b w:val="0"/>
          <w:bCs w:val="0"/>
          <w:sz w:val="24"/>
          <w:szCs w:val="24"/>
          <w:highlight w:val="none"/>
          <w:u w:val="single"/>
          <w:lang w:val="zh-CN"/>
        </w:rPr>
        <w:t>南通市崇川区</w:t>
      </w:r>
      <w:r>
        <w:rPr>
          <w:rFonts w:hint="eastAsia" w:ascii="仿宋" w:hAnsi="仿宋" w:eastAsia="仿宋" w:cs="仿宋"/>
          <w:b w:val="0"/>
          <w:bCs w:val="0"/>
          <w:sz w:val="24"/>
          <w:szCs w:val="24"/>
          <w:highlight w:val="none"/>
          <w:u w:val="single"/>
          <w:lang w:val="en-US" w:eastAsia="zh-CN"/>
        </w:rPr>
        <w:t>人民西路38号，江苏省南通第一中学俯仰楼120会议室</w:t>
      </w:r>
      <w:r>
        <w:rPr>
          <w:rFonts w:hint="eastAsia" w:ascii="仿宋" w:hAnsi="仿宋" w:eastAsia="仿宋" w:cs="仿宋"/>
          <w:b w:val="0"/>
          <w:bCs w:val="0"/>
          <w:sz w:val="24"/>
          <w:szCs w:val="24"/>
          <w:highlight w:val="none"/>
          <w:u w:val="single"/>
          <w:lang w:val="zh-CN"/>
        </w:rPr>
        <w:t>，如有变动另行通知</w:t>
      </w:r>
      <w:r>
        <w:rPr>
          <w:rFonts w:hint="eastAsia" w:ascii="仿宋" w:hAnsi="仿宋" w:eastAsia="仿宋" w:cs="仿宋"/>
          <w:sz w:val="24"/>
          <w:szCs w:val="24"/>
          <w:highlight w:val="none"/>
          <w:u w:val="single"/>
          <w:lang w:val="zh-CN"/>
        </w:rPr>
        <w:t>。</w:t>
      </w:r>
    </w:p>
    <w:p w14:paraId="08AFFCE7">
      <w:pPr>
        <w:spacing w:after="0" w:line="400" w:lineRule="exact"/>
        <w:ind w:firstLine="480" w:firstLineChars="200"/>
        <w:jc w:val="both"/>
        <w:rPr>
          <w:rFonts w:hint="eastAsia" w:ascii="仿宋" w:hAnsi="仿宋" w:eastAsia="仿宋" w:cs="仿宋"/>
          <w:b/>
          <w:bCs/>
          <w:sz w:val="24"/>
          <w:szCs w:val="24"/>
          <w:highlight w:val="none"/>
          <w:lang w:val="zh-CN"/>
        </w:rPr>
      </w:pPr>
      <w:r>
        <w:rPr>
          <w:rFonts w:hint="eastAsia" w:ascii="仿宋" w:hAnsi="仿宋" w:eastAsia="仿宋" w:cs="仿宋"/>
          <w:sz w:val="24"/>
          <w:szCs w:val="24"/>
          <w:highlight w:val="none"/>
          <w:lang w:val="zh-CN"/>
        </w:rPr>
        <w:t>3</w:t>
      </w:r>
      <w:r>
        <w:rPr>
          <w:rFonts w:hint="eastAsia" w:ascii="仿宋" w:hAnsi="仿宋" w:eastAsia="仿宋" w:cs="仿宋"/>
          <w:sz w:val="24"/>
          <w:szCs w:val="24"/>
          <w:highlight w:val="none"/>
        </w:rPr>
        <w:t>.</w:t>
      </w:r>
      <w:r>
        <w:rPr>
          <w:rFonts w:hint="eastAsia" w:ascii="仿宋" w:hAnsi="仿宋" w:eastAsia="仿宋" w:cs="仿宋"/>
          <w:b/>
          <w:bCs/>
          <w:sz w:val="24"/>
          <w:szCs w:val="24"/>
          <w:highlight w:val="none"/>
          <w:lang w:val="zh-CN"/>
        </w:rPr>
        <w:t>评标流程:评标委员会将根据</w:t>
      </w:r>
      <w:r>
        <w:rPr>
          <w:rFonts w:hint="eastAsia" w:ascii="仿宋" w:hAnsi="仿宋" w:eastAsia="仿宋" w:cs="仿宋"/>
          <w:b/>
          <w:bCs/>
          <w:sz w:val="24"/>
          <w:szCs w:val="24"/>
          <w:highlight w:val="none"/>
          <w:lang w:eastAsia="zh-CN"/>
        </w:rPr>
        <w:t>比价</w:t>
      </w:r>
      <w:r>
        <w:rPr>
          <w:rFonts w:hint="eastAsia" w:ascii="仿宋" w:hAnsi="仿宋" w:eastAsia="仿宋" w:cs="仿宋"/>
          <w:b/>
          <w:bCs/>
          <w:sz w:val="24"/>
          <w:szCs w:val="24"/>
          <w:highlight w:val="none"/>
          <w:lang w:val="zh-CN"/>
        </w:rPr>
        <w:t>文件相关标准对供应商的资格进行审查，审查通过方可参与项目的价格评标。符合要求的前提下，折扣率报价最低者成交，报价如有相同者，抽签确定成交供应商。</w:t>
      </w:r>
    </w:p>
    <w:p w14:paraId="32236D93">
      <w:pPr>
        <w:spacing w:after="0" w:line="400" w:lineRule="exact"/>
        <w:ind w:firstLine="482" w:firstLineChars="200"/>
        <w:jc w:val="both"/>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rPr>
        <w:t>八、</w:t>
      </w:r>
      <w:r>
        <w:rPr>
          <w:rFonts w:hint="eastAsia" w:ascii="仿宋" w:hAnsi="仿宋" w:eastAsia="仿宋" w:cs="仿宋"/>
          <w:b/>
          <w:bCs/>
          <w:sz w:val="24"/>
          <w:szCs w:val="24"/>
          <w:highlight w:val="none"/>
          <w:lang w:val="zh-CN"/>
        </w:rPr>
        <w:t>投标费用</w:t>
      </w:r>
    </w:p>
    <w:p w14:paraId="2D73CCD0">
      <w:pPr>
        <w:spacing w:after="0"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无论比价过程和结果如何，参加比价的响应人自行承担与本次项目有关的全部费用。</w:t>
      </w:r>
    </w:p>
    <w:p w14:paraId="1649788E">
      <w:pPr>
        <w:spacing w:after="0" w:line="400" w:lineRule="exact"/>
        <w:ind w:firstLine="482" w:firstLineChars="200"/>
        <w:jc w:val="both"/>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rPr>
        <w:t>九、</w:t>
      </w:r>
      <w:r>
        <w:rPr>
          <w:rFonts w:hint="eastAsia" w:ascii="仿宋" w:hAnsi="仿宋" w:eastAsia="仿宋" w:cs="仿宋"/>
          <w:b/>
          <w:bCs/>
          <w:sz w:val="24"/>
          <w:szCs w:val="24"/>
          <w:highlight w:val="none"/>
          <w:lang w:val="zh-CN"/>
        </w:rPr>
        <w:t>比价响应文件的编写及装订</w:t>
      </w:r>
    </w:p>
    <w:p w14:paraId="1B430D43">
      <w:pPr>
        <w:spacing w:after="0"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（一）比价响应文件应包括下列内容：</w:t>
      </w:r>
    </w:p>
    <w:p w14:paraId="5B5CC505">
      <w:pPr>
        <w:spacing w:after="0"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A、资格审查文件：</w:t>
      </w:r>
    </w:p>
    <w:p w14:paraId="7B527B72">
      <w:pPr>
        <w:pStyle w:val="2"/>
        <w:spacing w:after="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 xml:space="preserve">    （1）</w:t>
      </w:r>
      <w:r>
        <w:rPr>
          <w:rFonts w:hint="eastAsia" w:ascii="仿宋" w:hAnsi="仿宋" w:eastAsia="仿宋" w:cs="仿宋"/>
          <w:sz w:val="24"/>
          <w:szCs w:val="24"/>
          <w:highlight w:val="none"/>
          <w:shd w:val="clear" w:color="auto" w:fill="FFFFFF"/>
        </w:rPr>
        <w:t>提供有效的营业执照复印件；</w:t>
      </w:r>
    </w:p>
    <w:p w14:paraId="6AEEC9DC">
      <w:pPr>
        <w:spacing w:after="0"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rPr>
        <w:t>2</w:t>
      </w:r>
      <w:r>
        <w:rPr>
          <w:rFonts w:hint="eastAsia" w:ascii="仿宋" w:hAnsi="仿宋" w:eastAsia="仿宋" w:cs="仿宋"/>
          <w:sz w:val="24"/>
          <w:szCs w:val="24"/>
          <w:highlight w:val="none"/>
          <w:lang w:val="zh-CN"/>
        </w:rPr>
        <w:t>）符合政府采购法22条规定的声明（格式见附件）；</w:t>
      </w:r>
    </w:p>
    <w:p w14:paraId="6926AB4B">
      <w:pPr>
        <w:spacing w:after="0"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rPr>
        <w:t>3</w:t>
      </w:r>
      <w:r>
        <w:rPr>
          <w:rFonts w:hint="eastAsia" w:ascii="仿宋" w:hAnsi="仿宋" w:eastAsia="仿宋" w:cs="仿宋"/>
          <w:sz w:val="24"/>
          <w:szCs w:val="24"/>
          <w:highlight w:val="none"/>
          <w:lang w:val="zh-CN"/>
        </w:rPr>
        <w:t>）提供参加本项目政府采购活动前3年内在经营活动中没有重大违法记录的书面声明（格式见附件）；</w:t>
      </w:r>
    </w:p>
    <w:p w14:paraId="6C241346">
      <w:pPr>
        <w:spacing w:after="0"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rPr>
        <w:t>4</w:t>
      </w:r>
      <w:r>
        <w:rPr>
          <w:rFonts w:hint="eastAsia" w:ascii="仿宋" w:hAnsi="仿宋" w:eastAsia="仿宋" w:cs="仿宋"/>
          <w:sz w:val="24"/>
          <w:szCs w:val="24"/>
          <w:highlight w:val="none"/>
          <w:lang w:val="zh-CN"/>
        </w:rPr>
        <w:t>）法人代表人参加比价的提供法人代表身份证明及本人身份证复印件；非法人代表参加比价的，</w:t>
      </w:r>
      <w:r>
        <w:rPr>
          <w:rFonts w:hint="eastAsia" w:ascii="仿宋" w:hAnsi="仿宋" w:eastAsia="仿宋" w:cs="仿宋"/>
          <w:b/>
          <w:sz w:val="24"/>
          <w:szCs w:val="24"/>
          <w:highlight w:val="none"/>
        </w:rPr>
        <w:t>还须</w:t>
      </w:r>
      <w:r>
        <w:rPr>
          <w:rFonts w:hint="eastAsia" w:ascii="仿宋" w:hAnsi="仿宋" w:eastAsia="仿宋" w:cs="仿宋"/>
          <w:sz w:val="24"/>
          <w:szCs w:val="24"/>
          <w:highlight w:val="none"/>
          <w:lang w:val="zh-CN"/>
        </w:rPr>
        <w:t>提供法人委托书、被委托人身份证复印件（格式见附件）；</w:t>
      </w:r>
    </w:p>
    <w:p w14:paraId="1FAEC7D8">
      <w:pPr>
        <w:spacing w:after="0"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B、商务报价响应文件</w:t>
      </w:r>
    </w:p>
    <w:p w14:paraId="5AB244D5">
      <w:pPr>
        <w:spacing w:after="0"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响应报价应包括比价文件所确定的采购清单范围内全部内容，作为一名有经验的供应商所应考虑到的各种因素、风险及所需的全部费用。</w:t>
      </w:r>
    </w:p>
    <w:p w14:paraId="66B4C65D">
      <w:pPr>
        <w:spacing w:after="0"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开标一览表（格式见附件）；</w:t>
      </w:r>
    </w:p>
    <w:p w14:paraId="0B262EF5">
      <w:pPr>
        <w:spacing w:after="0"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2.报价明细表</w:t>
      </w:r>
      <w:r>
        <w:rPr>
          <w:rFonts w:hint="eastAsia" w:ascii="仿宋" w:hAnsi="仿宋" w:eastAsia="仿宋" w:cs="仿宋"/>
          <w:sz w:val="24"/>
          <w:szCs w:val="24"/>
          <w:highlight w:val="none"/>
          <w:lang w:val="zh-CN"/>
        </w:rPr>
        <w:t>（格式见附件）</w:t>
      </w:r>
      <w:r>
        <w:rPr>
          <w:rFonts w:hint="eastAsia" w:ascii="仿宋" w:hAnsi="仿宋" w:eastAsia="仿宋" w:cs="仿宋"/>
          <w:sz w:val="24"/>
          <w:szCs w:val="24"/>
          <w:highlight w:val="none"/>
        </w:rPr>
        <w:t>；</w:t>
      </w:r>
    </w:p>
    <w:p w14:paraId="3F610059">
      <w:pPr>
        <w:spacing w:after="0" w:line="400" w:lineRule="exact"/>
        <w:ind w:firstLine="482" w:firstLineChars="200"/>
        <w:rPr>
          <w:rFonts w:hint="eastAsia" w:ascii="仿宋" w:hAnsi="仿宋" w:eastAsia="仿宋" w:cs="仿宋"/>
          <w:b/>
          <w:sz w:val="24"/>
          <w:szCs w:val="24"/>
          <w:highlight w:val="none"/>
          <w:lang w:val="zh-CN"/>
        </w:rPr>
      </w:pPr>
      <w:r>
        <w:rPr>
          <w:rFonts w:hint="eastAsia" w:ascii="仿宋" w:hAnsi="仿宋" w:eastAsia="仿宋" w:cs="仿宋"/>
          <w:b/>
          <w:sz w:val="24"/>
          <w:szCs w:val="24"/>
          <w:highlight w:val="none"/>
          <w:lang w:val="zh-CN"/>
        </w:rPr>
        <w:t>特别提醒：响应文件所须提供的材料（须加盖投标供应商公章）按比价文件要求装订，密封，递交。</w:t>
      </w:r>
    </w:p>
    <w:p w14:paraId="16FB67E1">
      <w:pPr>
        <w:spacing w:after="0"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（二）比价价响应文件的编制及装订</w:t>
      </w:r>
    </w:p>
    <w:p w14:paraId="18EDE83E">
      <w:pPr>
        <w:spacing w:after="0"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比价响应文件由：①资格审查文件、②商务报价响应文件共两部分组成。</w:t>
      </w:r>
    </w:p>
    <w:p w14:paraId="56A520B6">
      <w:pPr>
        <w:spacing w:after="0"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供应商按比价文件要求编写响应文件，并牢固装订成册。比价响应文件均需采用A4纸（图纸等除外）装订成册。比价响应文件不得行间插字、涂改、增删，如修改错漏处，须经比价响应文件签署人签字并加盖公章。</w:t>
      </w:r>
    </w:p>
    <w:p w14:paraId="64BA95A4">
      <w:pPr>
        <w:spacing w:after="0"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3</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比价响应文件的 “资格审查文件”、 “商务报价响应文件”各自装订成册。特别提示：“商务报价响应文件”必须单独装订和封装，不得出现在“资格审查文件”中。</w:t>
      </w:r>
    </w:p>
    <w:p w14:paraId="2E949B71">
      <w:pPr>
        <w:spacing w:after="0"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（三）比价响应文件的份数、签署</w:t>
      </w:r>
    </w:p>
    <w:p w14:paraId="64AE6B50">
      <w:pPr>
        <w:spacing w:after="0" w:line="400" w:lineRule="exact"/>
        <w:ind w:firstLine="480" w:firstLineChars="200"/>
        <w:jc w:val="both"/>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供应商应准备</w:t>
      </w:r>
      <w:r>
        <w:rPr>
          <w:rFonts w:hint="eastAsia" w:ascii="仿宋" w:hAnsi="仿宋" w:eastAsia="仿宋" w:cs="仿宋"/>
          <w:b/>
          <w:bCs/>
          <w:sz w:val="24"/>
          <w:szCs w:val="24"/>
          <w:highlight w:val="none"/>
          <w:u w:val="single"/>
          <w:lang w:val="zh-CN"/>
        </w:rPr>
        <w:t xml:space="preserve"> </w:t>
      </w:r>
      <w:r>
        <w:rPr>
          <w:rFonts w:hint="eastAsia" w:ascii="仿宋" w:hAnsi="仿宋" w:eastAsia="仿宋" w:cs="仿宋"/>
          <w:b/>
          <w:bCs/>
          <w:sz w:val="24"/>
          <w:szCs w:val="24"/>
          <w:highlight w:val="none"/>
          <w:u w:val="single"/>
        </w:rPr>
        <w:t>贰</w:t>
      </w:r>
      <w:r>
        <w:rPr>
          <w:rFonts w:hint="eastAsia" w:ascii="仿宋" w:hAnsi="仿宋" w:eastAsia="仿宋" w:cs="仿宋"/>
          <w:b/>
          <w:bCs/>
          <w:sz w:val="24"/>
          <w:szCs w:val="24"/>
          <w:highlight w:val="none"/>
          <w:u w:val="single"/>
          <w:lang w:val="zh-CN"/>
        </w:rPr>
        <w:t xml:space="preserve"> </w:t>
      </w:r>
      <w:r>
        <w:rPr>
          <w:rFonts w:hint="eastAsia" w:ascii="仿宋" w:hAnsi="仿宋" w:eastAsia="仿宋" w:cs="仿宋"/>
          <w:sz w:val="24"/>
          <w:szCs w:val="24"/>
          <w:highlight w:val="none"/>
          <w:lang w:val="zh-CN"/>
        </w:rPr>
        <w:t>份完整的比价响应文件，其中正本</w:t>
      </w:r>
      <w:r>
        <w:rPr>
          <w:rFonts w:hint="eastAsia" w:ascii="仿宋" w:hAnsi="仿宋" w:eastAsia="仿宋" w:cs="仿宋"/>
          <w:b/>
          <w:bCs/>
          <w:sz w:val="24"/>
          <w:szCs w:val="24"/>
          <w:highlight w:val="none"/>
          <w:u w:val="single"/>
          <w:lang w:val="zh-CN"/>
        </w:rPr>
        <w:t xml:space="preserve"> 壹 </w:t>
      </w:r>
      <w:r>
        <w:rPr>
          <w:rFonts w:hint="eastAsia" w:ascii="仿宋" w:hAnsi="仿宋" w:eastAsia="仿宋" w:cs="仿宋"/>
          <w:sz w:val="24"/>
          <w:szCs w:val="24"/>
          <w:highlight w:val="none"/>
          <w:lang w:val="zh-CN"/>
        </w:rPr>
        <w:t xml:space="preserve">份，副本 </w:t>
      </w:r>
      <w:r>
        <w:rPr>
          <w:rFonts w:hint="eastAsia" w:ascii="仿宋" w:hAnsi="仿宋" w:eastAsia="仿宋" w:cs="仿宋"/>
          <w:b/>
          <w:bCs/>
          <w:sz w:val="24"/>
          <w:szCs w:val="24"/>
          <w:highlight w:val="none"/>
          <w:u w:val="single"/>
        </w:rPr>
        <w:t>壹</w:t>
      </w:r>
      <w:r>
        <w:rPr>
          <w:rFonts w:hint="eastAsia" w:ascii="仿宋" w:hAnsi="仿宋" w:eastAsia="仿宋" w:cs="仿宋"/>
          <w:b/>
          <w:bCs/>
          <w:sz w:val="24"/>
          <w:szCs w:val="24"/>
          <w:highlight w:val="none"/>
          <w:u w:val="single"/>
          <w:lang w:val="zh-CN"/>
        </w:rPr>
        <w:t xml:space="preserve"> </w:t>
      </w:r>
      <w:r>
        <w:rPr>
          <w:rFonts w:hint="eastAsia" w:ascii="仿宋" w:hAnsi="仿宋" w:eastAsia="仿宋" w:cs="仿宋"/>
          <w:sz w:val="24"/>
          <w:szCs w:val="24"/>
          <w:highlight w:val="none"/>
          <w:lang w:val="zh-CN"/>
        </w:rPr>
        <w:t>份，并标明“正本”或“副本”字样，若有差异，概以“正本”为准。</w:t>
      </w:r>
    </w:p>
    <w:p w14:paraId="749D7F05">
      <w:pPr>
        <w:spacing w:after="0" w:line="400" w:lineRule="exact"/>
        <w:ind w:firstLine="480" w:firstLineChars="200"/>
        <w:jc w:val="both"/>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比价响应文件分两册密封。第一册为“资格审查文件”，第二册为“商务报价响应文件”，响应文件的第一册、第二册应分别密封，并在封袋上标明“第一册 资格审查文件”、 “第二册 商务报价响应文件”以及项目名称。</w:t>
      </w:r>
    </w:p>
    <w:p w14:paraId="0E56AA40">
      <w:pPr>
        <w:spacing w:after="0" w:line="400" w:lineRule="exact"/>
        <w:ind w:firstLine="480" w:firstLineChars="200"/>
        <w:jc w:val="both"/>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3</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供应商可将比价响应文件正副本统一密封或分别密封，如正本和副本分别密封的，应在封袋上标明正、副本字样。</w:t>
      </w:r>
    </w:p>
    <w:p w14:paraId="06ABD061">
      <w:pPr>
        <w:spacing w:after="0" w:line="400" w:lineRule="exact"/>
        <w:ind w:firstLine="480" w:firstLineChars="200"/>
        <w:jc w:val="both"/>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比价响应文件正本须按比价文件要求由法定代表人或被授权人签字或盖章并加盖单位印章。副本可复印，但须加盖单位印章。</w:t>
      </w:r>
    </w:p>
    <w:p w14:paraId="050F1B24">
      <w:pPr>
        <w:spacing w:after="0" w:line="400" w:lineRule="exact"/>
        <w:ind w:firstLine="480" w:firstLineChars="200"/>
        <w:jc w:val="both"/>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（四）比价响应文件的密封及标记</w:t>
      </w:r>
    </w:p>
    <w:p w14:paraId="328A4C4A">
      <w:pPr>
        <w:spacing w:after="0" w:line="400" w:lineRule="exact"/>
        <w:ind w:firstLine="480" w:firstLineChars="200"/>
        <w:jc w:val="both"/>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密封后应标明响应文件项目名称、供应商名称，边缝处加盖单位骑缝章或骑缝签字。</w:t>
      </w:r>
    </w:p>
    <w:p w14:paraId="3640BA42">
      <w:pPr>
        <w:spacing w:after="0" w:line="400" w:lineRule="exact"/>
        <w:ind w:firstLine="482" w:firstLineChars="200"/>
        <w:jc w:val="both"/>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rPr>
        <w:t>十、</w:t>
      </w:r>
      <w:r>
        <w:rPr>
          <w:rFonts w:hint="eastAsia" w:ascii="仿宋" w:hAnsi="仿宋" w:eastAsia="仿宋" w:cs="仿宋"/>
          <w:b/>
          <w:bCs/>
          <w:sz w:val="24"/>
          <w:szCs w:val="24"/>
          <w:highlight w:val="none"/>
          <w:lang w:val="zh-CN"/>
        </w:rPr>
        <w:t>出现下列情形之一的，作无效投标处理：</w:t>
      </w:r>
    </w:p>
    <w:p w14:paraId="71823622">
      <w:pPr>
        <w:spacing w:after="0"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未按照招标文件的规定提交投标保证金的（本项目不涉及，下同）；</w:t>
      </w:r>
    </w:p>
    <w:p w14:paraId="14277298">
      <w:pPr>
        <w:spacing w:after="0"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投标文件未按招标文件要求签署、盖章的；</w:t>
      </w:r>
    </w:p>
    <w:p w14:paraId="2C5D7BFB">
      <w:pPr>
        <w:spacing w:after="0"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3</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不具备招标文件中规定的资格要求的；</w:t>
      </w:r>
    </w:p>
    <w:p w14:paraId="2CBCD9A9">
      <w:pPr>
        <w:spacing w:after="0"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报价超过招标文件中规定的预算金额或者最高限价的；</w:t>
      </w:r>
    </w:p>
    <w:p w14:paraId="231F7A21">
      <w:pPr>
        <w:spacing w:after="0"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5</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比价响应文件资格审查文件部分出现商务报价的内容；</w:t>
      </w:r>
    </w:p>
    <w:p w14:paraId="06312ADE">
      <w:pPr>
        <w:spacing w:after="0"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6</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投标文件含有采购人不能接受的附加条件的；</w:t>
      </w:r>
    </w:p>
    <w:p w14:paraId="3ED02EE8">
      <w:pPr>
        <w:spacing w:after="0"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7</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法律、法规和招标文件规定的其他无效情形。</w:t>
      </w:r>
    </w:p>
    <w:p w14:paraId="53C1DAE5">
      <w:pPr>
        <w:spacing w:after="0" w:line="400" w:lineRule="exact"/>
        <w:ind w:firstLine="482" w:firstLineChars="200"/>
        <w:jc w:val="both"/>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rPr>
        <w:t>十一</w:t>
      </w:r>
      <w:r>
        <w:rPr>
          <w:rFonts w:hint="eastAsia" w:ascii="仿宋" w:hAnsi="仿宋" w:eastAsia="仿宋" w:cs="仿宋"/>
          <w:b/>
          <w:bCs/>
          <w:sz w:val="24"/>
          <w:szCs w:val="24"/>
          <w:highlight w:val="none"/>
          <w:lang w:val="zh-CN"/>
        </w:rPr>
        <w:t>、有下列情形之一的，视为投标供应商串通投标，其投标无效：</w:t>
      </w:r>
    </w:p>
    <w:p w14:paraId="3CC663CE">
      <w:pPr>
        <w:spacing w:after="0"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不同投标供应商的投标文件由同一单位或者个人编制；</w:t>
      </w:r>
    </w:p>
    <w:p w14:paraId="34B640E8">
      <w:pPr>
        <w:spacing w:after="0"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不同投标供应商委托同一单位或者个人办理投标事宜；</w:t>
      </w:r>
    </w:p>
    <w:p w14:paraId="1AEBCC5E">
      <w:pPr>
        <w:spacing w:after="0"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3</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不同投标供应商的投标文件载明的项目管理成员或者联系人员为同一人；</w:t>
      </w:r>
    </w:p>
    <w:p w14:paraId="79B9437B">
      <w:pPr>
        <w:spacing w:after="0"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不同投标供应商的投标文件异常一致或者投标报价呈规律性差异；</w:t>
      </w:r>
    </w:p>
    <w:p w14:paraId="317E4EFB">
      <w:pPr>
        <w:spacing w:after="0"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5</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不同投标供应商的投标文件相互混装。</w:t>
      </w:r>
    </w:p>
    <w:p w14:paraId="67E7D29A">
      <w:pPr>
        <w:spacing w:after="0" w:line="400" w:lineRule="exact"/>
        <w:ind w:firstLine="482" w:firstLineChars="200"/>
        <w:jc w:val="both"/>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rPr>
        <w:t>十二</w:t>
      </w:r>
      <w:r>
        <w:rPr>
          <w:rFonts w:hint="eastAsia" w:ascii="仿宋" w:hAnsi="仿宋" w:eastAsia="仿宋" w:cs="仿宋"/>
          <w:b/>
          <w:bCs/>
          <w:sz w:val="24"/>
          <w:szCs w:val="24"/>
          <w:highlight w:val="none"/>
          <w:lang w:val="zh-CN"/>
        </w:rPr>
        <w:t>、出现下列情形之一的，作废标处理：</w:t>
      </w:r>
    </w:p>
    <w:p w14:paraId="0D936B49">
      <w:pPr>
        <w:spacing w:after="0"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出现影响采购公正的违法违规行为的；</w:t>
      </w:r>
    </w:p>
    <w:p w14:paraId="3027C4F6">
      <w:pPr>
        <w:spacing w:after="0"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因重大变故，采购任务被取消的；</w:t>
      </w:r>
    </w:p>
    <w:p w14:paraId="39588EA8">
      <w:pPr>
        <w:spacing w:after="0"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3</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评标委员会依据法律法规可以认定为废标的其他情况；</w:t>
      </w:r>
    </w:p>
    <w:p w14:paraId="37B0182F">
      <w:pPr>
        <w:pStyle w:val="2"/>
        <w:spacing w:after="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 xml:space="preserve">    4.实质性响应不足3家的。</w:t>
      </w:r>
    </w:p>
    <w:p w14:paraId="06E7F9AB">
      <w:pPr>
        <w:spacing w:after="0" w:line="400" w:lineRule="exact"/>
        <w:ind w:firstLine="482" w:firstLineChars="200"/>
        <w:jc w:val="both"/>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rPr>
        <w:t>十三</w:t>
      </w:r>
      <w:r>
        <w:rPr>
          <w:rFonts w:hint="eastAsia" w:ascii="仿宋" w:hAnsi="仿宋" w:eastAsia="仿宋" w:cs="仿宋"/>
          <w:b/>
          <w:bCs/>
          <w:sz w:val="24"/>
          <w:szCs w:val="24"/>
          <w:highlight w:val="none"/>
          <w:lang w:val="zh-CN"/>
        </w:rPr>
        <w:t>、成交通知</w:t>
      </w:r>
    </w:p>
    <w:p w14:paraId="5DBDF9B4">
      <w:pPr>
        <w:spacing w:after="0"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采购人自成交人确定之日起2个工作日内在指定媒体上公告成交结果。</w:t>
      </w:r>
    </w:p>
    <w:p w14:paraId="408C7020">
      <w:pPr>
        <w:spacing w:after="0"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成交公告期限为1个工作日，期限结束后向成交人发出《成交通知书》。</w:t>
      </w:r>
    </w:p>
    <w:p w14:paraId="6848E060">
      <w:pPr>
        <w:spacing w:after="0"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3</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《成交通知书》一经发出，即具有法律效力。采购人、成交人依法承担法律责任。</w:t>
      </w:r>
    </w:p>
    <w:p w14:paraId="06F0A9C5">
      <w:pPr>
        <w:spacing w:after="0" w:line="460" w:lineRule="exact"/>
        <w:ind w:firstLine="562" w:firstLineChars="200"/>
        <w:jc w:val="both"/>
        <w:rPr>
          <w:rFonts w:hint="eastAsia" w:ascii="仿宋" w:hAnsi="仿宋" w:eastAsia="仿宋" w:cs="仿宋"/>
          <w:b/>
          <w:bCs/>
          <w:sz w:val="28"/>
          <w:szCs w:val="28"/>
          <w:highlight w:val="none"/>
        </w:rPr>
      </w:pPr>
    </w:p>
    <w:p w14:paraId="77F765A7">
      <w:pPr>
        <w:spacing w:after="0" w:line="460" w:lineRule="exact"/>
        <w:ind w:firstLine="562" w:firstLineChars="200"/>
        <w:jc w:val="both"/>
        <w:rPr>
          <w:rFonts w:hint="eastAsia" w:ascii="仿宋" w:hAnsi="仿宋" w:eastAsia="仿宋" w:cs="仿宋"/>
          <w:b/>
          <w:bCs/>
          <w:sz w:val="28"/>
          <w:szCs w:val="28"/>
          <w:highlight w:val="none"/>
        </w:rPr>
      </w:pPr>
    </w:p>
    <w:p w14:paraId="33EDDE3D">
      <w:pPr>
        <w:spacing w:after="0" w:line="460" w:lineRule="exact"/>
        <w:ind w:firstLine="562" w:firstLineChars="200"/>
        <w:jc w:val="both"/>
        <w:rPr>
          <w:rFonts w:hint="eastAsia" w:ascii="仿宋" w:hAnsi="仿宋" w:eastAsia="仿宋" w:cs="仿宋"/>
          <w:b/>
          <w:bCs/>
          <w:sz w:val="28"/>
          <w:szCs w:val="28"/>
          <w:highlight w:val="none"/>
        </w:rPr>
      </w:pPr>
    </w:p>
    <w:p w14:paraId="65CC9AAD">
      <w:pPr>
        <w:spacing w:after="0" w:line="460" w:lineRule="exact"/>
        <w:ind w:firstLine="562" w:firstLineChars="200"/>
        <w:jc w:val="both"/>
        <w:rPr>
          <w:rFonts w:hint="eastAsia" w:ascii="仿宋" w:hAnsi="仿宋" w:eastAsia="仿宋" w:cs="仿宋"/>
          <w:b/>
          <w:bCs/>
          <w:sz w:val="28"/>
          <w:szCs w:val="28"/>
          <w:highlight w:val="none"/>
        </w:rPr>
      </w:pPr>
    </w:p>
    <w:p w14:paraId="50BC202E">
      <w:pPr>
        <w:spacing w:after="0" w:line="460" w:lineRule="exact"/>
        <w:ind w:firstLine="562" w:firstLineChars="200"/>
        <w:jc w:val="both"/>
        <w:rPr>
          <w:rFonts w:hint="eastAsia" w:ascii="仿宋" w:hAnsi="仿宋" w:eastAsia="仿宋" w:cs="仿宋"/>
          <w:b/>
          <w:bCs/>
          <w:sz w:val="28"/>
          <w:szCs w:val="28"/>
          <w:highlight w:val="none"/>
        </w:rPr>
      </w:pPr>
    </w:p>
    <w:p w14:paraId="78D24FD3">
      <w:pPr>
        <w:spacing w:after="0" w:line="460" w:lineRule="exact"/>
        <w:ind w:firstLine="562" w:firstLineChars="200"/>
        <w:jc w:val="both"/>
        <w:rPr>
          <w:rFonts w:hint="eastAsia" w:ascii="仿宋" w:hAnsi="仿宋" w:eastAsia="仿宋" w:cs="仿宋"/>
          <w:b/>
          <w:bCs/>
          <w:sz w:val="28"/>
          <w:szCs w:val="28"/>
          <w:highlight w:val="none"/>
        </w:rPr>
      </w:pPr>
    </w:p>
    <w:p w14:paraId="319FB8C9">
      <w:pPr>
        <w:spacing w:after="0" w:line="460" w:lineRule="exact"/>
        <w:ind w:firstLine="562" w:firstLineChars="200"/>
        <w:jc w:val="both"/>
        <w:rPr>
          <w:rFonts w:hint="eastAsia" w:ascii="仿宋" w:hAnsi="仿宋" w:eastAsia="仿宋" w:cs="仿宋"/>
          <w:b/>
          <w:bCs/>
          <w:sz w:val="28"/>
          <w:szCs w:val="28"/>
          <w:highlight w:val="none"/>
        </w:rPr>
      </w:pPr>
    </w:p>
    <w:p w14:paraId="4135510E">
      <w:pPr>
        <w:spacing w:after="0" w:line="460" w:lineRule="exact"/>
        <w:ind w:firstLine="562" w:firstLineChars="200"/>
        <w:jc w:val="both"/>
        <w:rPr>
          <w:rFonts w:hint="eastAsia" w:ascii="仿宋" w:hAnsi="仿宋" w:eastAsia="仿宋" w:cs="仿宋"/>
          <w:b/>
          <w:bCs/>
          <w:sz w:val="28"/>
          <w:szCs w:val="28"/>
          <w:highlight w:val="none"/>
        </w:rPr>
      </w:pPr>
    </w:p>
    <w:p w14:paraId="2A3AFDC3">
      <w:pPr>
        <w:spacing w:after="0" w:line="460" w:lineRule="exact"/>
        <w:ind w:firstLine="562" w:firstLineChars="200"/>
        <w:jc w:val="both"/>
        <w:rPr>
          <w:rFonts w:hint="eastAsia" w:ascii="仿宋" w:hAnsi="仿宋" w:eastAsia="仿宋" w:cs="仿宋"/>
          <w:b/>
          <w:bCs/>
          <w:sz w:val="28"/>
          <w:szCs w:val="28"/>
          <w:highlight w:val="none"/>
        </w:rPr>
      </w:pPr>
    </w:p>
    <w:p w14:paraId="39CD617F">
      <w:pPr>
        <w:spacing w:after="0" w:line="460" w:lineRule="exact"/>
        <w:ind w:firstLine="562" w:firstLineChars="200"/>
        <w:jc w:val="both"/>
        <w:rPr>
          <w:rFonts w:hint="eastAsia" w:ascii="仿宋" w:hAnsi="仿宋" w:eastAsia="仿宋" w:cs="仿宋"/>
          <w:b/>
          <w:bCs/>
          <w:sz w:val="28"/>
          <w:szCs w:val="28"/>
          <w:highlight w:val="none"/>
        </w:rPr>
      </w:pPr>
    </w:p>
    <w:p w14:paraId="227D3BA6">
      <w:pPr>
        <w:spacing w:after="0" w:line="460" w:lineRule="exact"/>
        <w:ind w:firstLine="562" w:firstLineChars="200"/>
        <w:jc w:val="both"/>
        <w:rPr>
          <w:rFonts w:hint="eastAsia" w:ascii="仿宋" w:hAnsi="仿宋" w:eastAsia="仿宋" w:cs="仿宋"/>
          <w:b/>
          <w:bCs/>
          <w:sz w:val="28"/>
          <w:szCs w:val="28"/>
          <w:highlight w:val="none"/>
        </w:rPr>
      </w:pPr>
    </w:p>
    <w:p w14:paraId="046592F5">
      <w:pPr>
        <w:spacing w:after="0" w:line="460" w:lineRule="exact"/>
        <w:ind w:firstLine="562" w:firstLineChars="200"/>
        <w:jc w:val="both"/>
        <w:rPr>
          <w:rFonts w:hint="eastAsia" w:ascii="仿宋" w:hAnsi="仿宋" w:eastAsia="仿宋" w:cs="仿宋"/>
          <w:b/>
          <w:bCs/>
          <w:sz w:val="28"/>
          <w:szCs w:val="28"/>
          <w:highlight w:val="none"/>
        </w:rPr>
      </w:pPr>
    </w:p>
    <w:p w14:paraId="65EBFB79">
      <w:pPr>
        <w:spacing w:after="0" w:line="460" w:lineRule="exact"/>
        <w:ind w:firstLine="562" w:firstLineChars="200"/>
        <w:jc w:val="both"/>
        <w:rPr>
          <w:rFonts w:hint="eastAsia" w:ascii="仿宋" w:hAnsi="仿宋" w:eastAsia="仿宋" w:cs="仿宋"/>
          <w:b/>
          <w:bCs/>
          <w:sz w:val="28"/>
          <w:szCs w:val="28"/>
          <w:highlight w:val="none"/>
        </w:rPr>
      </w:pPr>
    </w:p>
    <w:p w14:paraId="65DAC878">
      <w:pPr>
        <w:spacing w:after="0" w:line="460" w:lineRule="exact"/>
        <w:ind w:firstLine="562" w:firstLineChars="200"/>
        <w:jc w:val="both"/>
        <w:rPr>
          <w:rFonts w:hint="eastAsia" w:ascii="仿宋" w:hAnsi="仿宋" w:eastAsia="仿宋" w:cs="仿宋"/>
          <w:b/>
          <w:bCs/>
          <w:sz w:val="28"/>
          <w:szCs w:val="28"/>
          <w:highlight w:val="none"/>
        </w:rPr>
      </w:pPr>
    </w:p>
    <w:p w14:paraId="4F97C3E0">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57B3AA7A">
      <w:pPr>
        <w:spacing w:after="0" w:line="460" w:lineRule="exact"/>
        <w:ind w:firstLine="562" w:firstLineChars="200"/>
        <w:jc w:val="both"/>
        <w:rPr>
          <w:rFonts w:hint="eastAsia" w:ascii="仿宋" w:hAnsi="仿宋" w:eastAsia="仿宋" w:cs="仿宋"/>
          <w:b/>
          <w:bCs/>
          <w:sz w:val="28"/>
          <w:szCs w:val="28"/>
          <w:highlight w:val="none"/>
          <w:lang w:val="zh-CN"/>
        </w:rPr>
      </w:pPr>
      <w:r>
        <w:rPr>
          <w:rFonts w:hint="eastAsia" w:ascii="仿宋" w:hAnsi="仿宋" w:eastAsia="仿宋" w:cs="仿宋"/>
          <w:b/>
          <w:bCs/>
          <w:sz w:val="28"/>
          <w:szCs w:val="28"/>
          <w:highlight w:val="none"/>
        </w:rPr>
        <w:t>十四</w:t>
      </w:r>
      <w:r>
        <w:rPr>
          <w:rFonts w:hint="eastAsia" w:ascii="仿宋" w:hAnsi="仿宋" w:eastAsia="仿宋" w:cs="仿宋"/>
          <w:b/>
          <w:bCs/>
          <w:sz w:val="28"/>
          <w:szCs w:val="28"/>
          <w:highlight w:val="none"/>
          <w:lang w:val="zh-CN"/>
        </w:rPr>
        <w:t>、比价响应文件格式</w:t>
      </w:r>
    </w:p>
    <w:p w14:paraId="71EC85EA">
      <w:pPr>
        <w:jc w:val="both"/>
        <w:rPr>
          <w:rFonts w:hint="eastAsia" w:ascii="仿宋" w:hAnsi="仿宋" w:eastAsia="仿宋" w:cs="仿宋"/>
          <w:b/>
          <w:bCs/>
          <w:sz w:val="28"/>
          <w:szCs w:val="28"/>
          <w:highlight w:val="none"/>
        </w:rPr>
      </w:pPr>
      <w:r>
        <w:rPr>
          <w:rFonts w:hint="eastAsia" w:ascii="仿宋" w:hAnsi="仿宋" w:eastAsia="仿宋" w:cs="仿宋"/>
          <w:b/>
          <w:sz w:val="28"/>
          <w:szCs w:val="28"/>
          <w:highlight w:val="none"/>
        </w:rPr>
        <w:t>（一）资格审查文件相关的格式文件及表格</w:t>
      </w:r>
    </w:p>
    <w:p w14:paraId="10BC0C1B">
      <w:pPr>
        <w:spacing w:line="420" w:lineRule="exact"/>
        <w:jc w:val="both"/>
        <w:outlineLvl w:val="4"/>
        <w:rPr>
          <w:rFonts w:hint="eastAsia" w:ascii="仿宋" w:hAnsi="仿宋" w:eastAsia="仿宋" w:cs="仿宋"/>
          <w:b/>
          <w:bCs/>
          <w:sz w:val="28"/>
          <w:szCs w:val="28"/>
          <w:highlight w:val="none"/>
        </w:rPr>
      </w:pPr>
    </w:p>
    <w:p w14:paraId="7E8497E9">
      <w:pPr>
        <w:spacing w:line="420" w:lineRule="exact"/>
        <w:jc w:val="center"/>
        <w:outlineLvl w:val="4"/>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1.法定代表人身份证明</w:t>
      </w:r>
    </w:p>
    <w:p w14:paraId="66F9E38C">
      <w:pPr>
        <w:spacing w:line="420" w:lineRule="exact"/>
        <w:jc w:val="both"/>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p>
    <w:p w14:paraId="7FBF0562">
      <w:pPr>
        <w:widowControl w:val="0"/>
        <w:adjustRightInd/>
        <w:spacing w:after="0" w:line="360" w:lineRule="auto"/>
        <w:ind w:firstLine="480" w:firstLineChars="200"/>
        <w:jc w:val="both"/>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单位名称：</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14:paraId="61D7146C">
      <w:pPr>
        <w:widowControl w:val="0"/>
        <w:adjustRightInd/>
        <w:spacing w:after="0" w:line="360" w:lineRule="auto"/>
        <w:ind w:firstLine="480" w:firstLineChars="200"/>
        <w:jc w:val="both"/>
        <w:textAlignment w:val="baseline"/>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单位性质：</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14:paraId="220934FE">
      <w:pPr>
        <w:widowControl w:val="0"/>
        <w:adjustRightInd/>
        <w:spacing w:after="0" w:line="360" w:lineRule="auto"/>
        <w:ind w:firstLine="480" w:firstLineChars="200"/>
        <w:jc w:val="both"/>
        <w:textAlignment w:val="baseline"/>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14:paraId="67F20F42">
      <w:pPr>
        <w:widowControl w:val="0"/>
        <w:adjustRightInd/>
        <w:spacing w:after="0" w:line="360" w:lineRule="auto"/>
        <w:ind w:firstLine="480" w:firstLineChars="200"/>
        <w:jc w:val="both"/>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成立时间：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2076B399">
      <w:pPr>
        <w:widowControl w:val="0"/>
        <w:adjustRightInd/>
        <w:spacing w:after="0" w:line="360" w:lineRule="auto"/>
        <w:ind w:firstLine="480" w:firstLineChars="200"/>
        <w:jc w:val="both"/>
        <w:textAlignment w:val="baseline"/>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经营期限：</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ab/>
      </w:r>
    </w:p>
    <w:p w14:paraId="179DCCDF">
      <w:pPr>
        <w:widowControl w:val="0"/>
        <w:adjustRightInd/>
        <w:spacing w:after="0" w:line="360" w:lineRule="auto"/>
        <w:ind w:firstLine="480" w:firstLineChars="200"/>
        <w:jc w:val="both"/>
        <w:textAlignment w:val="baseline"/>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姓    名：</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性别：</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职务：</w:t>
      </w:r>
      <w:r>
        <w:rPr>
          <w:rFonts w:hint="eastAsia" w:ascii="仿宋" w:hAnsi="仿宋" w:eastAsia="仿宋" w:cs="仿宋"/>
          <w:sz w:val="24"/>
          <w:szCs w:val="24"/>
          <w:highlight w:val="none"/>
          <w:u w:val="single"/>
        </w:rPr>
        <w:t xml:space="preserve">       </w:t>
      </w:r>
    </w:p>
    <w:p w14:paraId="5D76FE1B">
      <w:pPr>
        <w:widowControl w:val="0"/>
        <w:adjustRightInd/>
        <w:spacing w:after="0" w:line="360" w:lineRule="auto"/>
        <w:ind w:firstLine="480" w:firstLineChars="200"/>
        <w:jc w:val="both"/>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系</w:t>
      </w:r>
      <w:r>
        <w:rPr>
          <w:rFonts w:hint="eastAsia" w:ascii="仿宋" w:hAnsi="仿宋" w:eastAsia="仿宋" w:cs="仿宋"/>
          <w:sz w:val="24"/>
          <w:szCs w:val="24"/>
          <w:highlight w:val="none"/>
          <w:u w:val="single"/>
        </w:rPr>
        <w:t xml:space="preserve">          （供应商单位名称）       </w:t>
      </w:r>
      <w:r>
        <w:rPr>
          <w:rFonts w:hint="eastAsia" w:ascii="仿宋" w:hAnsi="仿宋" w:eastAsia="仿宋" w:cs="仿宋"/>
          <w:sz w:val="24"/>
          <w:szCs w:val="24"/>
          <w:highlight w:val="none"/>
        </w:rPr>
        <w:t>的法定代表人。</w:t>
      </w:r>
    </w:p>
    <w:p w14:paraId="525204D8">
      <w:pPr>
        <w:spacing w:line="420" w:lineRule="exact"/>
        <w:ind w:firstLine="565" w:firstLineChars="202"/>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供应商（盖章）</w:t>
      </w:r>
    </w:p>
    <w:p w14:paraId="71DF9C9A">
      <w:pPr>
        <w:spacing w:line="420" w:lineRule="exact"/>
        <w:ind w:firstLine="565" w:firstLineChars="202"/>
        <w:jc w:val="both"/>
        <w:rPr>
          <w:rFonts w:hint="eastAsia" w:ascii="仿宋" w:hAnsi="仿宋" w:eastAsia="仿宋" w:cs="仿宋"/>
          <w:bCs/>
          <w:sz w:val="28"/>
          <w:szCs w:val="28"/>
          <w:highlight w:val="none"/>
        </w:rPr>
      </w:pPr>
      <w:r>
        <w:rPr>
          <w:rFonts w:hint="eastAsia" w:ascii="仿宋" w:hAnsi="仿宋" w:eastAsia="仿宋" w:cs="仿宋"/>
          <w:bCs/>
          <w:sz w:val="28"/>
          <w:szCs w:val="28"/>
          <w:highlight w:val="none"/>
        </w:rPr>
        <w:t>年    月    日</w:t>
      </w:r>
    </w:p>
    <w:p w14:paraId="0E8DEABE">
      <w:pPr>
        <w:spacing w:line="420" w:lineRule="exact"/>
        <w:jc w:val="both"/>
        <w:rPr>
          <w:rFonts w:hint="eastAsia" w:ascii="仿宋" w:hAnsi="仿宋" w:eastAsia="仿宋" w:cs="仿宋"/>
          <w:sz w:val="28"/>
          <w:szCs w:val="28"/>
          <w:highlight w:val="none"/>
        </w:rPr>
      </w:pPr>
    </w:p>
    <w:p w14:paraId="0EA013F3">
      <w:pPr>
        <w:spacing w:line="420" w:lineRule="exact"/>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注：提供法定代表人的身份证复印件并加盖公章</w:t>
      </w:r>
    </w:p>
    <w:p w14:paraId="1B5D484E">
      <w:pPr>
        <w:spacing w:line="420" w:lineRule="exact"/>
        <w:jc w:val="both"/>
        <w:outlineLvl w:val="4"/>
        <w:rPr>
          <w:rFonts w:hint="eastAsia" w:ascii="仿宋" w:hAnsi="仿宋" w:eastAsia="仿宋" w:cs="仿宋"/>
          <w:b/>
          <w:bCs/>
          <w:sz w:val="24"/>
          <w:szCs w:val="24"/>
          <w:highlight w:val="none"/>
        </w:rPr>
      </w:pPr>
    </w:p>
    <w:p w14:paraId="1C977C07">
      <w:pPr>
        <w:spacing w:line="420" w:lineRule="exact"/>
        <w:jc w:val="both"/>
        <w:outlineLvl w:val="4"/>
        <w:rPr>
          <w:rFonts w:hint="eastAsia" w:ascii="仿宋" w:hAnsi="仿宋" w:eastAsia="仿宋" w:cs="仿宋"/>
          <w:b/>
          <w:bCs/>
          <w:sz w:val="24"/>
          <w:szCs w:val="24"/>
          <w:highlight w:val="none"/>
        </w:rPr>
      </w:pPr>
    </w:p>
    <w:p w14:paraId="3094AA61">
      <w:pPr>
        <w:spacing w:line="420" w:lineRule="exact"/>
        <w:jc w:val="both"/>
        <w:outlineLvl w:val="4"/>
        <w:rPr>
          <w:rFonts w:hint="eastAsia" w:ascii="仿宋" w:hAnsi="仿宋" w:eastAsia="仿宋" w:cs="仿宋"/>
          <w:b/>
          <w:bCs/>
          <w:sz w:val="24"/>
          <w:szCs w:val="24"/>
          <w:highlight w:val="none"/>
        </w:rPr>
      </w:pPr>
    </w:p>
    <w:p w14:paraId="53A2253C">
      <w:pPr>
        <w:widowControl w:val="0"/>
        <w:adjustRightInd/>
        <w:snapToGrid/>
        <w:spacing w:after="0" w:line="300" w:lineRule="auto"/>
        <w:jc w:val="both"/>
        <w:rPr>
          <w:rFonts w:hint="eastAsia" w:ascii="仿宋" w:hAnsi="仿宋" w:eastAsia="仿宋" w:cs="仿宋"/>
          <w:b/>
          <w:bCs/>
          <w:kern w:val="2"/>
          <w:sz w:val="24"/>
          <w:szCs w:val="24"/>
          <w:highlight w:val="none"/>
        </w:rPr>
      </w:pPr>
    </w:p>
    <w:p w14:paraId="2AAB3B87">
      <w:pPr>
        <w:widowControl w:val="0"/>
        <w:adjustRightInd/>
        <w:snapToGrid/>
        <w:spacing w:after="0" w:line="300" w:lineRule="auto"/>
        <w:jc w:val="both"/>
        <w:rPr>
          <w:rFonts w:hint="eastAsia" w:ascii="仿宋" w:hAnsi="仿宋" w:eastAsia="仿宋" w:cs="仿宋"/>
          <w:b/>
          <w:bCs/>
          <w:kern w:val="2"/>
          <w:sz w:val="24"/>
          <w:szCs w:val="24"/>
          <w:highlight w:val="none"/>
        </w:rPr>
      </w:pPr>
    </w:p>
    <w:p w14:paraId="478B2FD8">
      <w:pPr>
        <w:widowControl w:val="0"/>
        <w:adjustRightInd/>
        <w:snapToGrid/>
        <w:spacing w:after="0" w:line="300" w:lineRule="auto"/>
        <w:jc w:val="both"/>
        <w:rPr>
          <w:rFonts w:hint="eastAsia" w:ascii="仿宋" w:hAnsi="仿宋" w:eastAsia="仿宋" w:cs="仿宋"/>
          <w:b/>
          <w:bCs/>
          <w:kern w:val="2"/>
          <w:sz w:val="24"/>
          <w:szCs w:val="24"/>
          <w:highlight w:val="none"/>
        </w:rPr>
      </w:pPr>
    </w:p>
    <w:p w14:paraId="1B1F9712">
      <w:pPr>
        <w:widowControl w:val="0"/>
        <w:adjustRightInd/>
        <w:snapToGrid/>
        <w:spacing w:after="0" w:line="300" w:lineRule="auto"/>
        <w:jc w:val="both"/>
        <w:rPr>
          <w:rFonts w:hint="eastAsia" w:ascii="仿宋" w:hAnsi="仿宋" w:eastAsia="仿宋" w:cs="仿宋"/>
          <w:b/>
          <w:bCs/>
          <w:kern w:val="2"/>
          <w:sz w:val="24"/>
          <w:szCs w:val="24"/>
          <w:highlight w:val="none"/>
        </w:rPr>
      </w:pPr>
    </w:p>
    <w:p w14:paraId="61595A3C">
      <w:pPr>
        <w:widowControl w:val="0"/>
        <w:adjustRightInd/>
        <w:snapToGrid/>
        <w:spacing w:after="0" w:line="300" w:lineRule="auto"/>
        <w:jc w:val="both"/>
        <w:rPr>
          <w:rFonts w:hint="eastAsia" w:ascii="仿宋" w:hAnsi="仿宋" w:eastAsia="仿宋" w:cs="仿宋"/>
          <w:b/>
          <w:bCs/>
          <w:kern w:val="2"/>
          <w:sz w:val="24"/>
          <w:szCs w:val="24"/>
          <w:highlight w:val="none"/>
        </w:rPr>
      </w:pPr>
    </w:p>
    <w:p w14:paraId="207BD9EA">
      <w:pPr>
        <w:widowControl w:val="0"/>
        <w:adjustRightInd/>
        <w:snapToGrid/>
        <w:spacing w:after="0" w:line="300" w:lineRule="auto"/>
        <w:jc w:val="both"/>
        <w:rPr>
          <w:rFonts w:hint="eastAsia" w:ascii="仿宋" w:hAnsi="仿宋" w:eastAsia="仿宋" w:cs="仿宋"/>
          <w:b/>
          <w:bCs/>
          <w:kern w:val="2"/>
          <w:sz w:val="24"/>
          <w:szCs w:val="24"/>
          <w:highlight w:val="none"/>
        </w:rPr>
      </w:pPr>
    </w:p>
    <w:p w14:paraId="0F903C80">
      <w:pPr>
        <w:widowControl w:val="0"/>
        <w:adjustRightInd/>
        <w:snapToGrid/>
        <w:spacing w:after="0" w:line="300" w:lineRule="auto"/>
        <w:jc w:val="both"/>
        <w:rPr>
          <w:rFonts w:hint="eastAsia" w:ascii="仿宋" w:hAnsi="仿宋" w:eastAsia="仿宋" w:cs="仿宋"/>
          <w:b/>
          <w:bCs/>
          <w:kern w:val="2"/>
          <w:sz w:val="24"/>
          <w:szCs w:val="24"/>
          <w:highlight w:val="none"/>
        </w:rPr>
      </w:pPr>
    </w:p>
    <w:p w14:paraId="0EF584F5">
      <w:pPr>
        <w:spacing w:line="420" w:lineRule="exact"/>
        <w:jc w:val="center"/>
        <w:outlineLvl w:val="4"/>
        <w:rPr>
          <w:rFonts w:hint="eastAsia" w:ascii="仿宋" w:hAnsi="仿宋" w:eastAsia="仿宋" w:cs="仿宋"/>
          <w:b/>
          <w:bCs/>
          <w:sz w:val="28"/>
          <w:szCs w:val="28"/>
          <w:highlight w:val="none"/>
        </w:rPr>
      </w:pPr>
    </w:p>
    <w:p w14:paraId="26AD57CE">
      <w:pPr>
        <w:spacing w:line="420" w:lineRule="exact"/>
        <w:jc w:val="center"/>
        <w:outlineLvl w:val="4"/>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2.法定代表人授权委托书（如需）</w:t>
      </w:r>
    </w:p>
    <w:p w14:paraId="00F548A7">
      <w:pPr>
        <w:spacing w:line="420" w:lineRule="exact"/>
        <w:jc w:val="both"/>
        <w:rPr>
          <w:rFonts w:hint="eastAsia" w:ascii="仿宋" w:hAnsi="仿宋" w:eastAsia="仿宋" w:cs="仿宋"/>
          <w:bCs/>
          <w:sz w:val="28"/>
          <w:szCs w:val="28"/>
          <w:highlight w:val="none"/>
        </w:rPr>
      </w:pP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rPr>
        <w:t>：</w:t>
      </w:r>
    </w:p>
    <w:p w14:paraId="5A0981B7">
      <w:pPr>
        <w:spacing w:line="420" w:lineRule="exact"/>
        <w:ind w:firstLine="565" w:firstLineChars="202"/>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本授权委托书声明：我</w:t>
      </w:r>
      <w:r>
        <w:rPr>
          <w:rFonts w:hint="eastAsia" w:ascii="仿宋" w:hAnsi="仿宋" w:eastAsia="仿宋" w:cs="仿宋"/>
          <w:sz w:val="28"/>
          <w:szCs w:val="28"/>
          <w:highlight w:val="none"/>
          <w:u w:val="single"/>
        </w:rPr>
        <w:t>　　   　</w:t>
      </w:r>
      <w:r>
        <w:rPr>
          <w:rFonts w:hint="eastAsia" w:ascii="仿宋" w:hAnsi="仿宋" w:eastAsia="仿宋" w:cs="仿宋"/>
          <w:sz w:val="28"/>
          <w:szCs w:val="28"/>
          <w:highlight w:val="none"/>
        </w:rPr>
        <w:t>（姓名）系</w:t>
      </w:r>
      <w:r>
        <w:rPr>
          <w:rFonts w:hint="eastAsia" w:ascii="仿宋" w:hAnsi="仿宋" w:eastAsia="仿宋" w:cs="仿宋"/>
          <w:sz w:val="28"/>
          <w:szCs w:val="28"/>
          <w:highlight w:val="none"/>
          <w:u w:val="single"/>
        </w:rPr>
        <w:t>　　  　</w:t>
      </w:r>
      <w:r>
        <w:rPr>
          <w:rFonts w:hint="eastAsia" w:ascii="仿宋" w:hAnsi="仿宋" w:eastAsia="仿宋" w:cs="仿宋"/>
          <w:sz w:val="28"/>
          <w:szCs w:val="28"/>
          <w:highlight w:val="none"/>
        </w:rPr>
        <w:t>（供应商名称）的法定代表人，现授权委托</w:t>
      </w:r>
      <w:r>
        <w:rPr>
          <w:rFonts w:hint="eastAsia" w:ascii="仿宋" w:hAnsi="仿宋" w:eastAsia="仿宋" w:cs="仿宋"/>
          <w:sz w:val="28"/>
          <w:szCs w:val="28"/>
          <w:highlight w:val="none"/>
          <w:u w:val="single"/>
        </w:rPr>
        <w:t>　　   （姓名）</w:t>
      </w:r>
      <w:r>
        <w:rPr>
          <w:rFonts w:hint="eastAsia" w:ascii="仿宋" w:hAnsi="仿宋" w:eastAsia="仿宋" w:cs="仿宋"/>
          <w:sz w:val="28"/>
          <w:szCs w:val="28"/>
          <w:highlight w:val="none"/>
        </w:rPr>
        <w:t>为我公司代理人，以本公司的名义参加本项目的</w:t>
      </w:r>
      <w:r>
        <w:rPr>
          <w:rFonts w:hint="eastAsia" w:ascii="仿宋" w:hAnsi="仿宋" w:eastAsia="仿宋" w:cs="仿宋"/>
          <w:sz w:val="28"/>
          <w:szCs w:val="28"/>
          <w:highlight w:val="none"/>
          <w:lang w:eastAsia="zh-CN"/>
        </w:rPr>
        <w:t>比价</w:t>
      </w:r>
      <w:r>
        <w:rPr>
          <w:rFonts w:hint="eastAsia" w:ascii="仿宋" w:hAnsi="仿宋" w:eastAsia="仿宋" w:cs="仿宋"/>
          <w:sz w:val="28"/>
          <w:szCs w:val="28"/>
          <w:highlight w:val="none"/>
        </w:rPr>
        <w:t>响应活动。代理人在开标、评标、合同谈判过程中所签署的一切文件和处理与之有关的一切事务，我均予以承认。</w:t>
      </w:r>
    </w:p>
    <w:p w14:paraId="699BA5BC">
      <w:pPr>
        <w:spacing w:line="420" w:lineRule="exact"/>
        <w:ind w:firstLine="565" w:firstLineChars="202"/>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授权委托人无转委权。特此委托。</w:t>
      </w:r>
    </w:p>
    <w:p w14:paraId="75A17FB0">
      <w:pPr>
        <w:spacing w:line="420" w:lineRule="exact"/>
        <w:ind w:firstLine="1134" w:firstLineChars="405"/>
        <w:jc w:val="both"/>
        <w:rPr>
          <w:rFonts w:hint="eastAsia" w:ascii="仿宋" w:hAnsi="仿宋" w:eastAsia="仿宋" w:cs="仿宋"/>
          <w:sz w:val="28"/>
          <w:szCs w:val="28"/>
          <w:highlight w:val="none"/>
        </w:rPr>
      </w:pPr>
    </w:p>
    <w:p w14:paraId="5E4E6C30">
      <w:pPr>
        <w:spacing w:line="420" w:lineRule="exact"/>
        <w:ind w:firstLine="1134" w:firstLineChars="405"/>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授权委托人身份证号：</w:t>
      </w:r>
    </w:p>
    <w:p w14:paraId="06DFA546">
      <w:pPr>
        <w:spacing w:line="420" w:lineRule="exact"/>
        <w:ind w:firstLine="1134" w:firstLineChars="405"/>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法定代表人签字：</w:t>
      </w:r>
    </w:p>
    <w:p w14:paraId="473F732D">
      <w:pPr>
        <w:spacing w:line="420" w:lineRule="exact"/>
        <w:ind w:firstLine="1134" w:firstLineChars="405"/>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授权委托人签字：</w:t>
      </w:r>
    </w:p>
    <w:p w14:paraId="4FF1E7A8">
      <w:pPr>
        <w:spacing w:line="420" w:lineRule="exact"/>
        <w:ind w:firstLine="1134" w:firstLineChars="405"/>
        <w:jc w:val="both"/>
        <w:rPr>
          <w:rFonts w:hint="eastAsia" w:ascii="仿宋" w:hAnsi="仿宋" w:eastAsia="仿宋" w:cs="仿宋"/>
          <w:sz w:val="28"/>
          <w:szCs w:val="28"/>
          <w:highlight w:val="none"/>
        </w:rPr>
      </w:pPr>
    </w:p>
    <w:p w14:paraId="4CD5BAF4">
      <w:pPr>
        <w:spacing w:line="420" w:lineRule="exact"/>
        <w:ind w:firstLine="565" w:firstLineChars="202"/>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供应商（盖章）</w:t>
      </w:r>
    </w:p>
    <w:p w14:paraId="6B1BD7BF">
      <w:pPr>
        <w:spacing w:line="420" w:lineRule="exact"/>
        <w:ind w:firstLine="565" w:firstLineChars="202"/>
        <w:jc w:val="both"/>
        <w:rPr>
          <w:rFonts w:hint="eastAsia" w:ascii="仿宋" w:hAnsi="仿宋" w:eastAsia="仿宋" w:cs="仿宋"/>
          <w:bCs/>
          <w:sz w:val="28"/>
          <w:szCs w:val="28"/>
          <w:highlight w:val="none"/>
        </w:rPr>
      </w:pPr>
      <w:r>
        <w:rPr>
          <w:rFonts w:hint="eastAsia" w:ascii="仿宋" w:hAnsi="仿宋" w:eastAsia="仿宋" w:cs="仿宋"/>
          <w:bCs/>
          <w:sz w:val="28"/>
          <w:szCs w:val="28"/>
          <w:highlight w:val="none"/>
        </w:rPr>
        <w:t>年    月    日</w:t>
      </w:r>
    </w:p>
    <w:p w14:paraId="68593AA4">
      <w:pPr>
        <w:spacing w:line="420" w:lineRule="exact"/>
        <w:ind w:firstLine="375" w:firstLineChars="134"/>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注：提供被委托授权人的身份证复印件盖公章，将身份证原件带至开标现场备查</w:t>
      </w:r>
    </w:p>
    <w:p w14:paraId="019F1E78">
      <w:pPr>
        <w:spacing w:line="420" w:lineRule="exact"/>
        <w:jc w:val="both"/>
        <w:rPr>
          <w:rFonts w:hint="eastAsia" w:ascii="仿宋" w:hAnsi="仿宋" w:eastAsia="仿宋" w:cs="仿宋"/>
          <w:sz w:val="24"/>
          <w:szCs w:val="24"/>
          <w:highlight w:val="none"/>
        </w:rPr>
      </w:pPr>
    </w:p>
    <w:p w14:paraId="3F277EEE">
      <w:pPr>
        <w:tabs>
          <w:tab w:val="left" w:pos="3585"/>
        </w:tabs>
        <w:spacing w:line="500" w:lineRule="exact"/>
        <w:jc w:val="both"/>
        <w:rPr>
          <w:rFonts w:hint="eastAsia" w:ascii="仿宋" w:hAnsi="仿宋" w:eastAsia="仿宋" w:cs="仿宋"/>
          <w:b/>
          <w:sz w:val="36"/>
          <w:szCs w:val="36"/>
          <w:highlight w:val="none"/>
        </w:rPr>
      </w:pPr>
    </w:p>
    <w:p w14:paraId="0A05BD44">
      <w:pPr>
        <w:widowControl w:val="0"/>
        <w:adjustRightInd/>
        <w:snapToGrid/>
        <w:spacing w:after="0" w:line="300" w:lineRule="auto"/>
        <w:jc w:val="both"/>
        <w:rPr>
          <w:rFonts w:hint="eastAsia" w:ascii="仿宋" w:hAnsi="仿宋" w:eastAsia="仿宋" w:cs="仿宋"/>
          <w:b/>
          <w:kern w:val="2"/>
          <w:sz w:val="36"/>
          <w:szCs w:val="36"/>
          <w:highlight w:val="none"/>
        </w:rPr>
      </w:pPr>
    </w:p>
    <w:p w14:paraId="637DCBDA">
      <w:pPr>
        <w:widowControl w:val="0"/>
        <w:adjustRightInd/>
        <w:snapToGrid/>
        <w:spacing w:after="0" w:line="300" w:lineRule="auto"/>
        <w:jc w:val="both"/>
        <w:rPr>
          <w:rFonts w:hint="eastAsia" w:ascii="仿宋" w:hAnsi="仿宋" w:eastAsia="仿宋" w:cs="仿宋"/>
          <w:b/>
          <w:kern w:val="2"/>
          <w:sz w:val="36"/>
          <w:szCs w:val="36"/>
          <w:highlight w:val="none"/>
        </w:rPr>
      </w:pPr>
    </w:p>
    <w:p w14:paraId="055EC541">
      <w:pPr>
        <w:widowControl w:val="0"/>
        <w:adjustRightInd/>
        <w:snapToGrid/>
        <w:spacing w:after="0" w:line="300" w:lineRule="auto"/>
        <w:jc w:val="both"/>
        <w:rPr>
          <w:rFonts w:hint="eastAsia" w:ascii="仿宋" w:hAnsi="仿宋" w:eastAsia="仿宋" w:cs="仿宋"/>
          <w:b/>
          <w:kern w:val="2"/>
          <w:sz w:val="36"/>
          <w:szCs w:val="36"/>
          <w:highlight w:val="none"/>
        </w:rPr>
      </w:pPr>
    </w:p>
    <w:p w14:paraId="7A99A488">
      <w:pPr>
        <w:widowControl w:val="0"/>
        <w:adjustRightInd/>
        <w:snapToGrid/>
        <w:spacing w:after="0" w:line="300" w:lineRule="auto"/>
        <w:jc w:val="both"/>
        <w:rPr>
          <w:rFonts w:hint="eastAsia" w:ascii="仿宋" w:hAnsi="仿宋" w:eastAsia="仿宋" w:cs="仿宋"/>
          <w:b/>
          <w:kern w:val="2"/>
          <w:sz w:val="36"/>
          <w:szCs w:val="36"/>
          <w:highlight w:val="none"/>
        </w:rPr>
      </w:pPr>
    </w:p>
    <w:p w14:paraId="0614B112">
      <w:pPr>
        <w:widowControl w:val="0"/>
        <w:adjustRightInd/>
        <w:snapToGrid/>
        <w:spacing w:after="0" w:line="300" w:lineRule="auto"/>
        <w:jc w:val="both"/>
        <w:rPr>
          <w:rFonts w:hint="eastAsia" w:ascii="仿宋" w:hAnsi="仿宋" w:eastAsia="仿宋" w:cs="仿宋"/>
          <w:b/>
          <w:kern w:val="2"/>
          <w:sz w:val="36"/>
          <w:szCs w:val="36"/>
          <w:highlight w:val="none"/>
        </w:rPr>
      </w:pPr>
    </w:p>
    <w:p w14:paraId="22DE08F9">
      <w:pPr>
        <w:spacing w:line="400" w:lineRule="exact"/>
        <w:rPr>
          <w:rFonts w:hint="eastAsia" w:ascii="仿宋" w:hAnsi="仿宋" w:eastAsia="仿宋" w:cs="仿宋"/>
          <w:sz w:val="28"/>
          <w:highlight w:val="none"/>
        </w:rPr>
      </w:pPr>
    </w:p>
    <w:p w14:paraId="44CB2080">
      <w:pPr>
        <w:kinsoku w:val="0"/>
        <w:topLinePunct/>
        <w:autoSpaceDE w:val="0"/>
        <w:autoSpaceDN w:val="0"/>
        <w:spacing w:line="500" w:lineRule="atLeast"/>
        <w:ind w:right="210" w:firstLine="526" w:firstLineChars="187"/>
        <w:jc w:val="center"/>
        <w:textAlignment w:val="baseline"/>
        <w:rPr>
          <w:rFonts w:hint="eastAsia" w:ascii="仿宋" w:hAnsi="仿宋" w:eastAsia="仿宋" w:cs="仿宋"/>
          <w:sz w:val="28"/>
          <w:szCs w:val="28"/>
          <w:highlight w:val="none"/>
        </w:rPr>
      </w:pPr>
      <w:r>
        <w:rPr>
          <w:rFonts w:hint="eastAsia" w:ascii="仿宋" w:hAnsi="仿宋" w:eastAsia="仿宋" w:cs="仿宋"/>
          <w:b/>
          <w:bCs/>
          <w:sz w:val="28"/>
          <w:szCs w:val="28"/>
          <w:highlight w:val="none"/>
          <w:lang w:val="zh-CN"/>
        </w:rPr>
        <w:t>3.</w:t>
      </w:r>
      <w:r>
        <w:rPr>
          <w:rFonts w:hint="eastAsia" w:ascii="仿宋" w:hAnsi="仿宋" w:eastAsia="仿宋" w:cs="仿宋"/>
          <w:b/>
          <w:bCs/>
          <w:sz w:val="28"/>
          <w:szCs w:val="28"/>
          <w:highlight w:val="none"/>
        </w:rPr>
        <w:t>符合政府采购法二十二条的书面声明</w:t>
      </w:r>
    </w:p>
    <w:p w14:paraId="4F6F7F02">
      <w:pPr>
        <w:kinsoku w:val="0"/>
        <w:topLinePunct/>
        <w:autoSpaceDE w:val="0"/>
        <w:autoSpaceDN w:val="0"/>
        <w:spacing w:line="500" w:lineRule="atLeast"/>
        <w:ind w:right="210"/>
        <w:jc w:val="both"/>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江苏省南通第一中学</w:t>
      </w:r>
      <w:r>
        <w:rPr>
          <w:rFonts w:hint="eastAsia" w:ascii="仿宋" w:hAnsi="仿宋" w:eastAsia="仿宋" w:cs="仿宋"/>
          <w:sz w:val="28"/>
          <w:szCs w:val="28"/>
          <w:highlight w:val="none"/>
        </w:rPr>
        <w:t>：</w:t>
      </w:r>
    </w:p>
    <w:p w14:paraId="3083874D">
      <w:pPr>
        <w:kinsoku w:val="0"/>
        <w:topLinePunct/>
        <w:autoSpaceDE w:val="0"/>
        <w:autoSpaceDN w:val="0"/>
        <w:spacing w:line="500" w:lineRule="atLeast"/>
        <w:ind w:right="210" w:firstLine="523" w:firstLineChars="187"/>
        <w:jc w:val="both"/>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rPr>
        <w:t>我单位</w:t>
      </w:r>
      <w:r>
        <w:rPr>
          <w:rFonts w:hint="eastAsia" w:ascii="仿宋" w:hAnsi="仿宋" w:eastAsia="仿宋" w:cs="仿宋"/>
          <w:sz w:val="28"/>
          <w:szCs w:val="28"/>
          <w:highlight w:val="none"/>
          <w:u w:val="single"/>
        </w:rPr>
        <w:t xml:space="preserve">           （供应商名称）</w:t>
      </w:r>
      <w:r>
        <w:rPr>
          <w:rFonts w:hint="eastAsia" w:ascii="仿宋" w:hAnsi="仿宋" w:eastAsia="仿宋" w:cs="仿宋"/>
          <w:sz w:val="28"/>
          <w:szCs w:val="28"/>
          <w:highlight w:val="none"/>
        </w:rPr>
        <w:t>郑重承诺：</w:t>
      </w:r>
    </w:p>
    <w:p w14:paraId="7C498323">
      <w:pPr>
        <w:kinsoku w:val="0"/>
        <w:topLinePunct/>
        <w:autoSpaceDE w:val="0"/>
        <w:autoSpaceDN w:val="0"/>
        <w:spacing w:line="500" w:lineRule="atLeast"/>
        <w:ind w:right="210" w:firstLine="523" w:firstLineChars="187"/>
        <w:jc w:val="both"/>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rPr>
        <w:t>我单位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65459618">
      <w:pPr>
        <w:kinsoku w:val="0"/>
        <w:topLinePunct/>
        <w:autoSpaceDE w:val="0"/>
        <w:autoSpaceDN w:val="0"/>
        <w:spacing w:line="500" w:lineRule="atLeast"/>
        <w:ind w:right="210" w:firstLine="523" w:firstLineChars="187"/>
        <w:jc w:val="both"/>
        <w:textAlignment w:val="baseline"/>
        <w:rPr>
          <w:rFonts w:hint="eastAsia" w:ascii="仿宋" w:hAnsi="仿宋" w:eastAsia="仿宋" w:cs="仿宋"/>
          <w:sz w:val="28"/>
          <w:szCs w:val="28"/>
          <w:highlight w:val="none"/>
        </w:rPr>
      </w:pPr>
    </w:p>
    <w:p w14:paraId="3598DDA7">
      <w:pPr>
        <w:kinsoku w:val="0"/>
        <w:topLinePunct/>
        <w:autoSpaceDE w:val="0"/>
        <w:autoSpaceDN w:val="0"/>
        <w:spacing w:line="500" w:lineRule="atLeast"/>
        <w:ind w:right="210" w:firstLine="523" w:firstLineChars="187"/>
        <w:jc w:val="both"/>
        <w:textAlignment w:val="baseline"/>
        <w:rPr>
          <w:rFonts w:hint="eastAsia" w:ascii="仿宋" w:hAnsi="仿宋" w:eastAsia="仿宋" w:cs="仿宋"/>
          <w:sz w:val="28"/>
          <w:szCs w:val="28"/>
          <w:highlight w:val="none"/>
        </w:rPr>
      </w:pPr>
    </w:p>
    <w:p w14:paraId="2BB17B11">
      <w:pPr>
        <w:kinsoku w:val="0"/>
        <w:topLinePunct/>
        <w:autoSpaceDE w:val="0"/>
        <w:autoSpaceDN w:val="0"/>
        <w:spacing w:line="500" w:lineRule="atLeast"/>
        <w:ind w:right="210" w:firstLine="523" w:firstLineChars="187"/>
        <w:jc w:val="both"/>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供应商（盖章）：（单位全称） </w:t>
      </w:r>
    </w:p>
    <w:p w14:paraId="40E766D2">
      <w:pPr>
        <w:kinsoku w:val="0"/>
        <w:topLinePunct/>
        <w:autoSpaceDE w:val="0"/>
        <w:autoSpaceDN w:val="0"/>
        <w:spacing w:line="500" w:lineRule="atLeast"/>
        <w:ind w:right="210" w:firstLine="523" w:firstLineChars="187"/>
        <w:jc w:val="both"/>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法定代表人或授权委托人：（签字或盖章）</w:t>
      </w:r>
    </w:p>
    <w:p w14:paraId="10E5B88E">
      <w:pPr>
        <w:kinsoku w:val="0"/>
        <w:topLinePunct/>
        <w:autoSpaceDE w:val="0"/>
        <w:autoSpaceDN w:val="0"/>
        <w:spacing w:line="500" w:lineRule="atLeast"/>
        <w:ind w:right="210" w:firstLine="523" w:firstLineChars="187"/>
        <w:jc w:val="both"/>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14:paraId="49463535">
      <w:pPr>
        <w:ind w:firstLine="480" w:firstLineChars="200"/>
        <w:jc w:val="both"/>
        <w:textAlignment w:val="baseline"/>
        <w:rPr>
          <w:rFonts w:hint="eastAsia" w:ascii="仿宋" w:hAnsi="仿宋" w:eastAsia="仿宋" w:cs="仿宋"/>
          <w:kern w:val="2"/>
          <w:sz w:val="24"/>
          <w:highlight w:val="none"/>
        </w:rPr>
      </w:pPr>
    </w:p>
    <w:p w14:paraId="54E24D3B">
      <w:pPr>
        <w:ind w:firstLine="480" w:firstLineChars="200"/>
        <w:jc w:val="both"/>
        <w:textAlignment w:val="baseline"/>
        <w:rPr>
          <w:rFonts w:hint="eastAsia" w:ascii="仿宋" w:hAnsi="仿宋" w:eastAsia="仿宋" w:cs="仿宋"/>
          <w:kern w:val="2"/>
          <w:sz w:val="24"/>
          <w:highlight w:val="none"/>
        </w:rPr>
      </w:pPr>
    </w:p>
    <w:p w14:paraId="503C0DEA">
      <w:pPr>
        <w:ind w:firstLine="480" w:firstLineChars="200"/>
        <w:jc w:val="both"/>
        <w:textAlignment w:val="baseline"/>
        <w:rPr>
          <w:rFonts w:hint="eastAsia" w:ascii="仿宋" w:hAnsi="仿宋" w:eastAsia="仿宋" w:cs="仿宋"/>
          <w:kern w:val="2"/>
          <w:sz w:val="24"/>
          <w:highlight w:val="none"/>
        </w:rPr>
      </w:pPr>
    </w:p>
    <w:p w14:paraId="2D71F534">
      <w:pPr>
        <w:ind w:firstLine="480" w:firstLineChars="200"/>
        <w:jc w:val="both"/>
        <w:textAlignment w:val="baseline"/>
        <w:rPr>
          <w:rFonts w:hint="eastAsia" w:ascii="仿宋" w:hAnsi="仿宋" w:eastAsia="仿宋" w:cs="仿宋"/>
          <w:kern w:val="2"/>
          <w:sz w:val="24"/>
          <w:highlight w:val="none"/>
        </w:rPr>
      </w:pPr>
    </w:p>
    <w:p w14:paraId="0A7B91DF">
      <w:pPr>
        <w:ind w:firstLine="480" w:firstLineChars="200"/>
        <w:jc w:val="both"/>
        <w:textAlignment w:val="baseline"/>
        <w:rPr>
          <w:rFonts w:hint="eastAsia" w:ascii="仿宋" w:hAnsi="仿宋" w:eastAsia="仿宋" w:cs="仿宋"/>
          <w:kern w:val="2"/>
          <w:sz w:val="24"/>
          <w:highlight w:val="none"/>
        </w:rPr>
      </w:pPr>
    </w:p>
    <w:p w14:paraId="2FDFEB80">
      <w:pPr>
        <w:ind w:firstLine="480" w:firstLineChars="200"/>
        <w:jc w:val="both"/>
        <w:textAlignment w:val="baseline"/>
        <w:rPr>
          <w:rFonts w:hint="eastAsia" w:ascii="仿宋" w:hAnsi="仿宋" w:eastAsia="仿宋" w:cs="仿宋"/>
          <w:kern w:val="2"/>
          <w:sz w:val="24"/>
          <w:highlight w:val="none"/>
        </w:rPr>
      </w:pPr>
    </w:p>
    <w:p w14:paraId="26928AAB">
      <w:pPr>
        <w:ind w:firstLine="480" w:firstLineChars="200"/>
        <w:jc w:val="both"/>
        <w:textAlignment w:val="baseline"/>
        <w:rPr>
          <w:rFonts w:hint="eastAsia" w:ascii="仿宋" w:hAnsi="仿宋" w:eastAsia="仿宋" w:cs="仿宋"/>
          <w:kern w:val="2"/>
          <w:sz w:val="24"/>
          <w:highlight w:val="none"/>
        </w:rPr>
      </w:pPr>
    </w:p>
    <w:p w14:paraId="6F50AC32">
      <w:pPr>
        <w:ind w:firstLine="480" w:firstLineChars="200"/>
        <w:jc w:val="both"/>
        <w:textAlignment w:val="baseline"/>
        <w:rPr>
          <w:rFonts w:hint="eastAsia" w:ascii="仿宋" w:hAnsi="仿宋" w:eastAsia="仿宋" w:cs="仿宋"/>
          <w:kern w:val="2"/>
          <w:sz w:val="24"/>
          <w:highlight w:val="none"/>
        </w:rPr>
      </w:pPr>
    </w:p>
    <w:p w14:paraId="2C692221">
      <w:pPr>
        <w:ind w:firstLine="480" w:firstLineChars="200"/>
        <w:jc w:val="both"/>
        <w:textAlignment w:val="baseline"/>
        <w:rPr>
          <w:rFonts w:hint="eastAsia" w:ascii="仿宋" w:hAnsi="仿宋" w:eastAsia="仿宋" w:cs="仿宋"/>
          <w:kern w:val="2"/>
          <w:sz w:val="24"/>
          <w:highlight w:val="none"/>
        </w:rPr>
      </w:pPr>
    </w:p>
    <w:p w14:paraId="39A4F162">
      <w:pPr>
        <w:ind w:firstLine="480" w:firstLineChars="200"/>
        <w:jc w:val="both"/>
        <w:textAlignment w:val="baseline"/>
        <w:rPr>
          <w:rFonts w:hint="eastAsia" w:ascii="仿宋" w:hAnsi="仿宋" w:eastAsia="仿宋" w:cs="仿宋"/>
          <w:kern w:val="2"/>
          <w:sz w:val="24"/>
          <w:highlight w:val="none"/>
        </w:rPr>
      </w:pPr>
    </w:p>
    <w:p w14:paraId="1AE6703F">
      <w:pPr>
        <w:ind w:firstLine="480" w:firstLineChars="200"/>
        <w:jc w:val="both"/>
        <w:textAlignment w:val="baseline"/>
        <w:rPr>
          <w:rFonts w:hint="eastAsia" w:ascii="仿宋" w:hAnsi="仿宋" w:eastAsia="仿宋" w:cs="仿宋"/>
          <w:kern w:val="2"/>
          <w:sz w:val="24"/>
          <w:highlight w:val="none"/>
        </w:rPr>
      </w:pPr>
    </w:p>
    <w:p w14:paraId="733581DB">
      <w:pPr>
        <w:jc w:val="both"/>
        <w:textAlignment w:val="baseline"/>
        <w:rPr>
          <w:rFonts w:hint="eastAsia" w:ascii="仿宋" w:hAnsi="仿宋" w:eastAsia="仿宋" w:cs="仿宋"/>
          <w:kern w:val="2"/>
          <w:sz w:val="28"/>
          <w:szCs w:val="28"/>
          <w:highlight w:val="none"/>
        </w:rPr>
      </w:pPr>
    </w:p>
    <w:p w14:paraId="2D1A1688">
      <w:pPr>
        <w:spacing w:line="360" w:lineRule="auto"/>
        <w:jc w:val="center"/>
        <w:outlineLvl w:val="4"/>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4.无重大违法记录声明</w:t>
      </w:r>
    </w:p>
    <w:p w14:paraId="307ABBFB">
      <w:pPr>
        <w:spacing w:line="460" w:lineRule="exact"/>
        <w:jc w:val="both"/>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江苏省南通第一中学</w:t>
      </w:r>
      <w:r>
        <w:rPr>
          <w:rFonts w:hint="eastAsia" w:ascii="仿宋" w:hAnsi="仿宋" w:eastAsia="仿宋" w:cs="仿宋"/>
          <w:sz w:val="28"/>
          <w:szCs w:val="28"/>
          <w:highlight w:val="none"/>
        </w:rPr>
        <w:t>：</w:t>
      </w:r>
    </w:p>
    <w:p w14:paraId="3AEDB89A">
      <w:pPr>
        <w:spacing w:line="460" w:lineRule="exact"/>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我单位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（投标人名称）郑重声明：</w:t>
      </w:r>
    </w:p>
    <w:p w14:paraId="2A632582">
      <w:pPr>
        <w:spacing w:line="460" w:lineRule="exact"/>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参加政府采购活动前3年内在经营活动中</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（在下划线上如实填写：有或没有）重大违法记录。</w:t>
      </w:r>
    </w:p>
    <w:p w14:paraId="018DECF2">
      <w:pPr>
        <w:spacing w:line="460" w:lineRule="exact"/>
        <w:ind w:firstLine="48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在投标截止时间节点，没有被“信用中国”、“中国政府采购网”、“信用江苏”网站列入失信被执行人、重大税收违法案件当事人名单、政府采购严重违法失信行为记录名单。</w:t>
      </w:r>
    </w:p>
    <w:p w14:paraId="1BC7BE2C">
      <w:pPr>
        <w:spacing w:line="460" w:lineRule="exact"/>
        <w:ind w:firstLine="480"/>
        <w:jc w:val="both"/>
        <w:rPr>
          <w:rFonts w:hint="eastAsia" w:ascii="仿宋" w:hAnsi="仿宋" w:eastAsia="仿宋" w:cs="仿宋"/>
          <w:sz w:val="28"/>
          <w:szCs w:val="28"/>
          <w:highlight w:val="none"/>
        </w:rPr>
      </w:pPr>
    </w:p>
    <w:p w14:paraId="4384818C">
      <w:pPr>
        <w:spacing w:line="460" w:lineRule="exact"/>
        <w:ind w:firstLine="48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（说明：政府采购法第二十二条第一款第五项所称重大违法记录，是指供应商因违法经营受到刑事处罚或者责令停产停业、吊销许可证或者执照、较大数额罚款等行政处罚。）</w:t>
      </w:r>
    </w:p>
    <w:p w14:paraId="531FA171">
      <w:pPr>
        <w:spacing w:line="4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投标人：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（加盖公章）</w:t>
      </w:r>
    </w:p>
    <w:p w14:paraId="6F64A077">
      <w:pPr>
        <w:spacing w:line="460" w:lineRule="exact"/>
        <w:ind w:firstLine="2100" w:firstLineChars="75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法定代表人或授权委托人：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（签字或盖章）</w:t>
      </w:r>
    </w:p>
    <w:p w14:paraId="0E6B38DF">
      <w:pPr>
        <w:spacing w:line="460" w:lineRule="exact"/>
        <w:ind w:firstLine="2240" w:firstLineChars="800"/>
        <w:jc w:val="both"/>
        <w:rPr>
          <w:rFonts w:hint="eastAsia" w:ascii="仿宋" w:hAnsi="仿宋" w:eastAsia="仿宋" w:cs="仿宋"/>
          <w:b/>
          <w:bCs/>
          <w:sz w:val="24"/>
          <w:szCs w:val="24"/>
          <w:highlight w:val="none"/>
        </w:rPr>
      </w:pPr>
      <w:r>
        <w:rPr>
          <w:rFonts w:hint="eastAsia" w:ascii="仿宋" w:hAnsi="仿宋" w:eastAsia="仿宋" w:cs="仿宋"/>
          <w:sz w:val="28"/>
          <w:szCs w:val="28"/>
          <w:highlight w:val="none"/>
        </w:rPr>
        <w:t>年      月     日</w:t>
      </w:r>
    </w:p>
    <w:p w14:paraId="68F3F309">
      <w:pPr>
        <w:spacing w:beforeLines="150" w:afterLines="50" w:line="420" w:lineRule="exact"/>
        <w:jc w:val="both"/>
        <w:outlineLvl w:val="3"/>
        <w:rPr>
          <w:rFonts w:hint="eastAsia" w:ascii="仿宋" w:hAnsi="仿宋" w:eastAsia="仿宋" w:cs="仿宋"/>
          <w:b/>
          <w:bCs/>
          <w:sz w:val="24"/>
          <w:szCs w:val="24"/>
          <w:highlight w:val="none"/>
        </w:rPr>
      </w:pPr>
    </w:p>
    <w:p w14:paraId="4E6DA147">
      <w:pPr>
        <w:spacing w:beforeLines="150" w:afterLines="50" w:line="420" w:lineRule="exact"/>
        <w:jc w:val="both"/>
        <w:outlineLvl w:val="3"/>
        <w:rPr>
          <w:rFonts w:hint="eastAsia" w:ascii="仿宋" w:hAnsi="仿宋" w:eastAsia="仿宋" w:cs="仿宋"/>
          <w:b/>
          <w:bCs/>
          <w:sz w:val="24"/>
          <w:szCs w:val="24"/>
          <w:highlight w:val="none"/>
        </w:rPr>
      </w:pPr>
    </w:p>
    <w:p w14:paraId="7D05E812">
      <w:pPr>
        <w:spacing w:beforeLines="150" w:afterLines="50" w:line="420" w:lineRule="exact"/>
        <w:jc w:val="both"/>
        <w:outlineLvl w:val="3"/>
        <w:rPr>
          <w:rFonts w:hint="eastAsia" w:ascii="仿宋" w:hAnsi="仿宋" w:eastAsia="仿宋" w:cs="仿宋"/>
          <w:b/>
          <w:sz w:val="24"/>
          <w:szCs w:val="24"/>
          <w:highlight w:val="none"/>
        </w:rPr>
      </w:pPr>
      <w:r>
        <w:rPr>
          <w:rFonts w:hint="eastAsia" w:ascii="仿宋" w:hAnsi="仿宋" w:eastAsia="仿宋" w:cs="仿宋"/>
          <w:b/>
          <w:bCs/>
          <w:sz w:val="24"/>
          <w:szCs w:val="24"/>
          <w:highlight w:val="none"/>
        </w:rPr>
        <w:br w:type="page"/>
      </w:r>
      <w:r>
        <w:rPr>
          <w:rFonts w:hint="eastAsia" w:ascii="仿宋" w:hAnsi="仿宋" w:eastAsia="仿宋" w:cs="仿宋"/>
          <w:b/>
          <w:sz w:val="24"/>
          <w:szCs w:val="24"/>
          <w:highlight w:val="none"/>
        </w:rPr>
        <w:t>（二）商务报价响应文件相关的格式文件及表格</w:t>
      </w:r>
    </w:p>
    <w:p w14:paraId="51E04569">
      <w:pPr>
        <w:spacing w:after="0"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1.开标一览表</w:t>
      </w:r>
    </w:p>
    <w:p w14:paraId="4938F79B">
      <w:pPr>
        <w:spacing w:after="0" w:line="40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供应商单位（加盖公章）：</w:t>
      </w:r>
    </w:p>
    <w:p w14:paraId="32B7C98D">
      <w:pPr>
        <w:spacing w:after="0" w:line="40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lang w:eastAsia="zh-CN"/>
        </w:rPr>
        <w:t>江苏省南通第一中学净水器滤芯</w:t>
      </w:r>
      <w:r>
        <w:rPr>
          <w:rFonts w:hint="eastAsia" w:ascii="仿宋" w:hAnsi="仿宋" w:eastAsia="仿宋" w:cs="仿宋"/>
          <w:sz w:val="24"/>
          <w:szCs w:val="24"/>
          <w:highlight w:val="none"/>
        </w:rPr>
        <w:t>项目</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6143"/>
      </w:tblGrid>
      <w:tr w14:paraId="4E8B5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2379" w:type="dxa"/>
            <w:vAlign w:val="center"/>
          </w:tcPr>
          <w:p w14:paraId="1605FA7A">
            <w:pPr>
              <w:spacing w:after="0" w:line="400" w:lineRule="exact"/>
              <w:ind w:firstLine="120" w:firstLineChars="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投标服务名称</w:t>
            </w:r>
          </w:p>
        </w:tc>
        <w:tc>
          <w:tcPr>
            <w:tcW w:w="6143" w:type="dxa"/>
            <w:vAlign w:val="center"/>
          </w:tcPr>
          <w:p w14:paraId="08D97047">
            <w:pPr>
              <w:spacing w:after="0" w:line="40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投标综合单价折扣率</w:t>
            </w:r>
          </w:p>
        </w:tc>
      </w:tr>
      <w:tr w14:paraId="0E952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trPr>
        <w:tc>
          <w:tcPr>
            <w:tcW w:w="2379" w:type="dxa"/>
            <w:vAlign w:val="center"/>
          </w:tcPr>
          <w:p w14:paraId="19583262">
            <w:pPr>
              <w:spacing w:after="0" w:line="400" w:lineRule="exact"/>
              <w:ind w:left="120" w:hanging="120" w:hangingChars="5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江苏省南通第一中学净水器滤芯采购与安装</w:t>
            </w:r>
            <w:r>
              <w:rPr>
                <w:rFonts w:hint="eastAsia" w:ascii="仿宋" w:hAnsi="仿宋" w:eastAsia="仿宋" w:cs="仿宋"/>
                <w:sz w:val="24"/>
                <w:szCs w:val="24"/>
                <w:highlight w:val="none"/>
              </w:rPr>
              <w:t>项目</w:t>
            </w:r>
          </w:p>
        </w:tc>
        <w:tc>
          <w:tcPr>
            <w:tcW w:w="6143" w:type="dxa"/>
            <w:vAlign w:val="center"/>
          </w:tcPr>
          <w:p w14:paraId="1FC0363B">
            <w:pPr>
              <w:spacing w:after="0" w:line="40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小写：    </w:t>
            </w:r>
          </w:p>
        </w:tc>
      </w:tr>
    </w:tbl>
    <w:p w14:paraId="672AB8EB">
      <w:pPr>
        <w:spacing w:after="0" w:line="400" w:lineRule="exact"/>
        <w:ind w:firstLine="5400" w:firstLineChars="22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日期：  年  月  日</w:t>
      </w:r>
    </w:p>
    <w:p w14:paraId="7B7C2988">
      <w:pPr>
        <w:spacing w:after="0" w:line="400" w:lineRule="exact"/>
        <w:ind w:firstLine="480"/>
        <w:jc w:val="both"/>
        <w:rPr>
          <w:rFonts w:hint="eastAsia" w:ascii="仿宋" w:hAnsi="仿宋" w:eastAsia="仿宋" w:cs="仿宋"/>
          <w:bCs/>
          <w:iCs/>
          <w:sz w:val="24"/>
          <w:szCs w:val="24"/>
          <w:highlight w:val="none"/>
        </w:rPr>
      </w:pPr>
      <w:r>
        <w:rPr>
          <w:rFonts w:hint="eastAsia" w:ascii="仿宋" w:hAnsi="仿宋" w:eastAsia="仿宋" w:cs="仿宋"/>
          <w:bCs/>
          <w:iCs/>
          <w:sz w:val="24"/>
          <w:szCs w:val="24"/>
          <w:highlight w:val="none"/>
        </w:rPr>
        <w:t>填写说明：</w:t>
      </w:r>
    </w:p>
    <w:p w14:paraId="4D49D603">
      <w:pPr>
        <w:spacing w:after="0" w:line="400" w:lineRule="exact"/>
        <w:ind w:firstLine="480" w:firstLineChars="200"/>
        <w:jc w:val="both"/>
        <w:rPr>
          <w:rFonts w:hint="eastAsia" w:ascii="仿宋" w:hAnsi="仿宋" w:eastAsia="仿宋" w:cs="仿宋"/>
          <w:bCs/>
          <w:iCs/>
          <w:sz w:val="24"/>
          <w:szCs w:val="24"/>
          <w:highlight w:val="none"/>
        </w:rPr>
      </w:pPr>
      <w:r>
        <w:rPr>
          <w:rFonts w:hint="eastAsia" w:ascii="仿宋" w:hAnsi="仿宋" w:eastAsia="仿宋" w:cs="仿宋"/>
          <w:bCs/>
          <w:iCs/>
          <w:sz w:val="24"/>
          <w:szCs w:val="24"/>
          <w:highlight w:val="none"/>
        </w:rPr>
        <w:t>1.开标一览表必须加盖投标单位公章（复印件无效）。</w:t>
      </w:r>
    </w:p>
    <w:p w14:paraId="408607A3">
      <w:pPr>
        <w:spacing w:after="0" w:line="400" w:lineRule="exact"/>
        <w:ind w:firstLine="480" w:firstLineChars="200"/>
        <w:rPr>
          <w:rFonts w:hint="eastAsia" w:ascii="仿宋" w:hAnsi="仿宋" w:eastAsia="仿宋" w:cs="仿宋"/>
          <w:sz w:val="24"/>
          <w:szCs w:val="24"/>
          <w:highlight w:val="none"/>
        </w:rPr>
      </w:pPr>
      <w:r>
        <w:rPr>
          <w:rFonts w:hint="eastAsia" w:ascii="仿宋" w:hAnsi="仿宋" w:eastAsia="仿宋" w:cs="仿宋"/>
          <w:bCs/>
          <w:iCs/>
          <w:sz w:val="24"/>
          <w:szCs w:val="24"/>
          <w:highlight w:val="none"/>
        </w:rPr>
        <w:t>2.</w:t>
      </w:r>
      <w:r>
        <w:rPr>
          <w:rFonts w:hint="eastAsia" w:ascii="仿宋" w:hAnsi="仿宋" w:eastAsia="仿宋" w:cs="仿宋"/>
          <w:sz w:val="24"/>
          <w:szCs w:val="24"/>
          <w:highlight w:val="none"/>
          <w:lang w:val="zh-CN"/>
        </w:rPr>
        <w:t>响应报价应包括比价文件所</w:t>
      </w:r>
      <w:r>
        <w:rPr>
          <w:rFonts w:hint="eastAsia" w:ascii="仿宋" w:hAnsi="仿宋" w:eastAsia="仿宋" w:cs="仿宋"/>
          <w:sz w:val="24"/>
          <w:szCs w:val="24"/>
          <w:highlight w:val="none"/>
        </w:rPr>
        <w:t>确定的</w:t>
      </w:r>
      <w:r>
        <w:rPr>
          <w:rFonts w:hint="eastAsia" w:ascii="仿宋" w:hAnsi="仿宋" w:eastAsia="仿宋" w:cs="仿宋"/>
          <w:sz w:val="24"/>
          <w:szCs w:val="24"/>
          <w:highlight w:val="none"/>
          <w:lang w:val="zh-CN"/>
        </w:rPr>
        <w:t>该项目的全部内容，包括响应及完成委托工作所需的一切费用，包含但不限于如人工、专用设备及其备品、备件、易耗品耗材、专用工具、税费、售后服务及相关劳务支出等工作所发生的全部费用以及供应商企业利润、税金和政策性文件规定及合同包含的所有风险、责任，即响应本</w:t>
      </w:r>
      <w:r>
        <w:rPr>
          <w:rFonts w:hint="eastAsia" w:ascii="仿宋" w:hAnsi="仿宋" w:eastAsia="仿宋" w:cs="仿宋"/>
          <w:sz w:val="24"/>
          <w:szCs w:val="24"/>
          <w:highlight w:val="none"/>
          <w:lang w:eastAsia="zh-CN"/>
        </w:rPr>
        <w:t>比价</w:t>
      </w:r>
      <w:r>
        <w:rPr>
          <w:rFonts w:hint="eastAsia" w:ascii="仿宋" w:hAnsi="仿宋" w:eastAsia="仿宋" w:cs="仿宋"/>
          <w:sz w:val="24"/>
          <w:szCs w:val="24"/>
          <w:highlight w:val="none"/>
          <w:lang w:val="zh-CN"/>
        </w:rPr>
        <w:t>文件规定的各项应有费用。</w:t>
      </w:r>
    </w:p>
    <w:p w14:paraId="2977DFA4">
      <w:pPr>
        <w:spacing w:after="0" w:line="400" w:lineRule="exact"/>
        <w:ind w:firstLine="48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3.折扣率精确到小数点后2位。填写格式如：90.05%。</w:t>
      </w:r>
    </w:p>
    <w:p w14:paraId="47974430">
      <w:pPr>
        <w:spacing w:after="0" w:line="400" w:lineRule="exact"/>
        <w:ind w:firstLine="48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4.成交金额=最高限价*折扣率，如：折扣率为90%，则</w:t>
      </w:r>
      <w:r>
        <w:rPr>
          <w:rFonts w:hint="eastAsia" w:ascii="仿宋" w:hAnsi="仿宋" w:eastAsia="仿宋" w:cs="仿宋"/>
          <w:b w:val="0"/>
          <w:bCs w:val="0"/>
          <w:kern w:val="2"/>
          <w:sz w:val="24"/>
          <w:szCs w:val="24"/>
          <w:highlight w:val="none"/>
          <w:vertAlign w:val="baseline"/>
          <w:lang w:val="en-US" w:eastAsia="zh-CN" w:bidi="ar-SA"/>
        </w:rPr>
        <w:t>10寸压缩活性炭单价=150*90%=135元。</w:t>
      </w:r>
    </w:p>
    <w:p w14:paraId="5AC31BA5">
      <w:pPr>
        <w:spacing w:line="360" w:lineRule="auto"/>
        <w:jc w:val="both"/>
        <w:rPr>
          <w:rFonts w:hint="eastAsia" w:ascii="仿宋" w:hAnsi="仿宋" w:eastAsia="仿宋" w:cs="仿宋"/>
          <w:sz w:val="28"/>
          <w:szCs w:val="28"/>
          <w:highlight w:val="none"/>
        </w:rPr>
      </w:pPr>
    </w:p>
    <w:p w14:paraId="2F70E8EE">
      <w:pPr>
        <w:spacing w:line="360" w:lineRule="auto"/>
        <w:jc w:val="both"/>
        <w:rPr>
          <w:rFonts w:hint="eastAsia" w:ascii="仿宋" w:hAnsi="仿宋" w:eastAsia="仿宋" w:cs="仿宋"/>
          <w:sz w:val="28"/>
          <w:szCs w:val="28"/>
          <w:highlight w:val="none"/>
        </w:rPr>
      </w:pPr>
    </w:p>
    <w:p w14:paraId="7A063ABD">
      <w:pPr>
        <w:spacing w:line="360" w:lineRule="auto"/>
        <w:jc w:val="both"/>
        <w:rPr>
          <w:rFonts w:hint="eastAsia" w:ascii="仿宋" w:hAnsi="仿宋" w:eastAsia="仿宋" w:cs="仿宋"/>
          <w:sz w:val="28"/>
          <w:szCs w:val="28"/>
          <w:highlight w:val="none"/>
        </w:rPr>
      </w:pPr>
    </w:p>
    <w:p w14:paraId="2E8F36DC">
      <w:pPr>
        <w:tabs>
          <w:tab w:val="left" w:pos="2020"/>
          <w:tab w:val="center" w:pos="4535"/>
        </w:tabs>
        <w:spacing w:line="400" w:lineRule="exact"/>
        <w:rPr>
          <w:rFonts w:hint="eastAsia" w:ascii="仿宋" w:hAnsi="仿宋" w:eastAsia="仿宋" w:cs="仿宋"/>
          <w:sz w:val="28"/>
          <w:szCs w:val="28"/>
          <w:highlight w:val="none"/>
        </w:rPr>
      </w:pPr>
    </w:p>
    <w:p w14:paraId="35C9500E">
      <w:pPr>
        <w:tabs>
          <w:tab w:val="left" w:pos="2020"/>
          <w:tab w:val="center" w:pos="4535"/>
        </w:tabs>
        <w:spacing w:line="400" w:lineRule="exact"/>
        <w:rPr>
          <w:rFonts w:hint="eastAsia" w:ascii="仿宋" w:hAnsi="仿宋" w:eastAsia="仿宋" w:cs="仿宋"/>
          <w:sz w:val="28"/>
          <w:szCs w:val="28"/>
          <w:highlight w:val="none"/>
        </w:rPr>
      </w:pPr>
    </w:p>
    <w:p w14:paraId="6DF665C0">
      <w:pPr>
        <w:tabs>
          <w:tab w:val="left" w:pos="2020"/>
          <w:tab w:val="center" w:pos="4535"/>
        </w:tabs>
        <w:spacing w:line="400" w:lineRule="exact"/>
        <w:ind w:firstLine="280" w:firstLineChars="100"/>
        <w:jc w:val="center"/>
        <w:rPr>
          <w:rFonts w:hint="eastAsia" w:ascii="仿宋" w:hAnsi="仿宋" w:eastAsia="仿宋" w:cs="仿宋"/>
          <w:sz w:val="28"/>
          <w:szCs w:val="28"/>
          <w:highlight w:val="none"/>
        </w:rPr>
      </w:pPr>
    </w:p>
    <w:p w14:paraId="7415DF38">
      <w:pPr>
        <w:tabs>
          <w:tab w:val="left" w:pos="2020"/>
          <w:tab w:val="center" w:pos="4535"/>
        </w:tabs>
        <w:spacing w:line="400" w:lineRule="exact"/>
        <w:ind w:firstLine="280" w:firstLineChars="100"/>
        <w:jc w:val="center"/>
        <w:rPr>
          <w:rFonts w:hint="eastAsia" w:ascii="仿宋" w:hAnsi="仿宋" w:eastAsia="仿宋" w:cs="仿宋"/>
          <w:sz w:val="28"/>
          <w:szCs w:val="28"/>
          <w:highlight w:val="none"/>
        </w:rPr>
      </w:pPr>
    </w:p>
    <w:p w14:paraId="76684819">
      <w:pPr>
        <w:tabs>
          <w:tab w:val="left" w:pos="2020"/>
          <w:tab w:val="center" w:pos="4535"/>
        </w:tabs>
        <w:spacing w:line="400" w:lineRule="exact"/>
        <w:ind w:firstLine="280" w:firstLineChars="100"/>
        <w:jc w:val="center"/>
        <w:rPr>
          <w:rFonts w:hint="eastAsia" w:ascii="仿宋" w:hAnsi="仿宋" w:eastAsia="仿宋" w:cs="仿宋"/>
          <w:sz w:val="28"/>
          <w:szCs w:val="28"/>
          <w:highlight w:val="none"/>
        </w:rPr>
      </w:pPr>
    </w:p>
    <w:p w14:paraId="5FAEA689">
      <w:pPr>
        <w:tabs>
          <w:tab w:val="left" w:pos="2020"/>
          <w:tab w:val="center" w:pos="4535"/>
        </w:tabs>
        <w:spacing w:line="400" w:lineRule="exact"/>
        <w:ind w:firstLine="280" w:firstLineChars="100"/>
        <w:jc w:val="center"/>
        <w:rPr>
          <w:rFonts w:hint="eastAsia" w:ascii="仿宋" w:hAnsi="仿宋" w:eastAsia="仿宋" w:cs="仿宋"/>
          <w:sz w:val="28"/>
          <w:szCs w:val="28"/>
          <w:highlight w:val="none"/>
        </w:rPr>
      </w:pPr>
    </w:p>
    <w:p w14:paraId="3D1AF050">
      <w:pPr>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bidi="ar-SA"/>
        </w:rPr>
        <w:br w:type="page"/>
      </w:r>
    </w:p>
    <w:p w14:paraId="4E6F8FA4">
      <w:pPr>
        <w:numPr>
          <w:ilvl w:val="0"/>
          <w:numId w:val="0"/>
        </w:numPr>
        <w:tabs>
          <w:tab w:val="left" w:pos="2020"/>
          <w:tab w:val="center" w:pos="4535"/>
        </w:tabs>
        <w:spacing w:after="0" w:line="400" w:lineRule="exact"/>
        <w:ind w:firstLine="240" w:firstLineChars="10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bidi="ar-SA"/>
        </w:rPr>
        <w:t>2.</w:t>
      </w:r>
      <w:r>
        <w:rPr>
          <w:rFonts w:hint="eastAsia" w:ascii="仿宋" w:hAnsi="仿宋" w:eastAsia="仿宋" w:cs="仿宋"/>
          <w:sz w:val="24"/>
          <w:szCs w:val="24"/>
          <w:highlight w:val="none"/>
        </w:rPr>
        <w:t>报价明细表</w:t>
      </w:r>
    </w:p>
    <w:p w14:paraId="4CEC8C88">
      <w:pPr>
        <w:tabs>
          <w:tab w:val="left" w:pos="2020"/>
          <w:tab w:val="center" w:pos="4535"/>
        </w:tabs>
        <w:spacing w:after="0" w:line="400" w:lineRule="exact"/>
        <w:ind w:firstLine="240" w:firstLineChars="100"/>
        <w:rPr>
          <w:rFonts w:hint="eastAsia" w:ascii="仿宋" w:hAnsi="仿宋" w:eastAsia="仿宋" w:cs="仿宋"/>
          <w:sz w:val="24"/>
          <w:szCs w:val="24"/>
          <w:highlight w:val="none"/>
        </w:rPr>
      </w:pPr>
    </w:p>
    <w:tbl>
      <w:tblPr>
        <w:tblStyle w:val="18"/>
        <w:tblW w:w="6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115"/>
        <w:gridCol w:w="1065"/>
        <w:gridCol w:w="735"/>
        <w:gridCol w:w="1215"/>
        <w:gridCol w:w="1126"/>
      </w:tblGrid>
      <w:tr w14:paraId="42FED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23" w:type="dxa"/>
            <w:shd w:val="clear" w:color="auto" w:fill="auto"/>
            <w:vAlign w:val="center"/>
          </w:tcPr>
          <w:p w14:paraId="11FDF56A">
            <w:pPr>
              <w:keepNext w:val="0"/>
              <w:keepLines w:val="0"/>
              <w:pageBreakBefore w:val="0"/>
              <w:kinsoku/>
              <w:wordWrap/>
              <w:overflowPunct/>
              <w:topLinePunct w:val="0"/>
              <w:autoSpaceDE/>
              <w:autoSpaceDN/>
              <w:bidi w:val="0"/>
              <w:spacing w:after="0" w:line="360" w:lineRule="auto"/>
              <w:jc w:val="center"/>
              <w:textAlignment w:val="auto"/>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序号</w:t>
            </w:r>
          </w:p>
        </w:tc>
        <w:tc>
          <w:tcPr>
            <w:tcW w:w="2115" w:type="dxa"/>
            <w:shd w:val="clear" w:color="auto" w:fill="auto"/>
            <w:vAlign w:val="center"/>
          </w:tcPr>
          <w:p w14:paraId="41291D04">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kern w:val="0"/>
                <w:sz w:val="24"/>
                <w:szCs w:val="24"/>
                <w:highlight w:val="none"/>
                <w:lang w:val="en-US" w:eastAsia="zh-CN"/>
              </w:rPr>
              <w:t>名称</w:t>
            </w:r>
          </w:p>
        </w:tc>
        <w:tc>
          <w:tcPr>
            <w:tcW w:w="1065" w:type="dxa"/>
            <w:vAlign w:val="center"/>
          </w:tcPr>
          <w:p w14:paraId="56C68ACD">
            <w:pPr>
              <w:keepNext w:val="0"/>
              <w:keepLines w:val="0"/>
              <w:pageBreakBefore w:val="0"/>
              <w:kinsoku/>
              <w:wordWrap/>
              <w:overflowPunct/>
              <w:topLinePunct w:val="0"/>
              <w:autoSpaceDE/>
              <w:autoSpaceDN/>
              <w:bidi w:val="0"/>
              <w:spacing w:after="0"/>
              <w:jc w:val="center"/>
              <w:textAlignment w:val="auto"/>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更换周期</w:t>
            </w:r>
          </w:p>
        </w:tc>
        <w:tc>
          <w:tcPr>
            <w:tcW w:w="735" w:type="dxa"/>
            <w:vAlign w:val="center"/>
          </w:tcPr>
          <w:p w14:paraId="49E5FEED">
            <w:pPr>
              <w:keepNext w:val="0"/>
              <w:keepLines w:val="0"/>
              <w:pageBreakBefore w:val="0"/>
              <w:kinsoku/>
              <w:wordWrap/>
              <w:overflowPunct/>
              <w:topLinePunct w:val="0"/>
              <w:autoSpaceDE/>
              <w:autoSpaceDN/>
              <w:bidi w:val="0"/>
              <w:spacing w:after="0"/>
              <w:jc w:val="center"/>
              <w:textAlignment w:val="auto"/>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数量</w:t>
            </w:r>
          </w:p>
        </w:tc>
        <w:tc>
          <w:tcPr>
            <w:tcW w:w="1215" w:type="dxa"/>
            <w:vAlign w:val="center"/>
          </w:tcPr>
          <w:p w14:paraId="172A67DE">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最高限价（元/个）</w:t>
            </w:r>
          </w:p>
        </w:tc>
        <w:tc>
          <w:tcPr>
            <w:tcW w:w="1126" w:type="dxa"/>
            <w:vAlign w:val="center"/>
          </w:tcPr>
          <w:p w14:paraId="6F0FEE4C">
            <w:pPr>
              <w:keepNext w:val="0"/>
              <w:keepLines w:val="0"/>
              <w:pageBreakBefore w:val="0"/>
              <w:kinsoku/>
              <w:wordWrap/>
              <w:overflowPunct/>
              <w:topLinePunct w:val="0"/>
              <w:autoSpaceDE/>
              <w:autoSpaceDN/>
              <w:bidi w:val="0"/>
              <w:spacing w:after="0"/>
              <w:jc w:val="center"/>
              <w:textAlignment w:val="auto"/>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折扣率</w:t>
            </w:r>
          </w:p>
        </w:tc>
      </w:tr>
      <w:tr w14:paraId="31D63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23" w:type="dxa"/>
            <w:shd w:val="clear" w:color="auto" w:fill="auto"/>
            <w:vAlign w:val="center"/>
          </w:tcPr>
          <w:p w14:paraId="6FF1DAC7">
            <w:pPr>
              <w:keepNext w:val="0"/>
              <w:keepLines w:val="0"/>
              <w:pageBreakBefore w:val="0"/>
              <w:kinsoku/>
              <w:wordWrap/>
              <w:overflowPunct/>
              <w:topLinePunct w:val="0"/>
              <w:autoSpaceDE/>
              <w:autoSpaceDN/>
              <w:bidi w:val="0"/>
              <w:spacing w:after="0" w:line="360" w:lineRule="auto"/>
              <w:jc w:val="center"/>
              <w:textAlignment w:val="auto"/>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1</w:t>
            </w:r>
          </w:p>
        </w:tc>
        <w:tc>
          <w:tcPr>
            <w:tcW w:w="2115" w:type="dxa"/>
            <w:shd w:val="clear" w:color="auto" w:fill="auto"/>
            <w:vAlign w:val="center"/>
          </w:tcPr>
          <w:p w14:paraId="7C26D1AC">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10寸压缩活性炭</w:t>
            </w:r>
          </w:p>
        </w:tc>
        <w:tc>
          <w:tcPr>
            <w:tcW w:w="1065" w:type="dxa"/>
            <w:vAlign w:val="center"/>
          </w:tcPr>
          <w:p w14:paraId="28BF62D7">
            <w:pPr>
              <w:keepNext w:val="0"/>
              <w:keepLines w:val="0"/>
              <w:pageBreakBefore w:val="0"/>
              <w:kinsoku/>
              <w:wordWrap/>
              <w:overflowPunct/>
              <w:topLinePunct w:val="0"/>
              <w:autoSpaceDE/>
              <w:autoSpaceDN/>
              <w:bidi w:val="0"/>
              <w:spacing w:after="0"/>
              <w:jc w:val="center"/>
              <w:textAlignment w:val="auto"/>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6个月</w:t>
            </w:r>
          </w:p>
        </w:tc>
        <w:tc>
          <w:tcPr>
            <w:tcW w:w="735" w:type="dxa"/>
            <w:vAlign w:val="center"/>
          </w:tcPr>
          <w:p w14:paraId="71D1B437">
            <w:pPr>
              <w:keepNext w:val="0"/>
              <w:keepLines w:val="0"/>
              <w:pageBreakBefore w:val="0"/>
              <w:kinsoku/>
              <w:wordWrap/>
              <w:overflowPunct/>
              <w:topLinePunct w:val="0"/>
              <w:autoSpaceDE/>
              <w:autoSpaceDN/>
              <w:bidi w:val="0"/>
              <w:spacing w:after="0"/>
              <w:jc w:val="center"/>
              <w:textAlignment w:val="auto"/>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56</w:t>
            </w:r>
          </w:p>
        </w:tc>
        <w:tc>
          <w:tcPr>
            <w:tcW w:w="1215" w:type="dxa"/>
            <w:vAlign w:val="center"/>
          </w:tcPr>
          <w:p w14:paraId="6E73F5DE">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150</w:t>
            </w:r>
          </w:p>
        </w:tc>
        <w:tc>
          <w:tcPr>
            <w:tcW w:w="1126" w:type="dxa"/>
            <w:vMerge w:val="restart"/>
            <w:vAlign w:val="bottom"/>
          </w:tcPr>
          <w:p w14:paraId="0C3845E0">
            <w:pPr>
              <w:keepNext w:val="0"/>
              <w:keepLines w:val="0"/>
              <w:widowControl/>
              <w:suppressLineNumbers w:val="0"/>
              <w:jc w:val="center"/>
              <w:textAlignment w:val="bottom"/>
              <w:rPr>
                <w:rFonts w:hint="eastAsia" w:ascii="仿宋" w:hAnsi="仿宋" w:eastAsia="仿宋" w:cs="仿宋"/>
                <w:i w:val="0"/>
                <w:iCs w:val="0"/>
                <w:color w:val="000000"/>
                <w:kern w:val="0"/>
                <w:sz w:val="22"/>
                <w:szCs w:val="22"/>
                <w:highlight w:val="none"/>
                <w:u w:val="none"/>
                <w:lang w:val="en-US" w:eastAsia="zh-CN" w:bidi="ar"/>
              </w:rPr>
            </w:pPr>
          </w:p>
        </w:tc>
      </w:tr>
      <w:tr w14:paraId="35F8D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23" w:type="dxa"/>
            <w:shd w:val="clear" w:color="auto" w:fill="auto"/>
            <w:vAlign w:val="center"/>
          </w:tcPr>
          <w:p w14:paraId="06CB7FF4">
            <w:pPr>
              <w:keepNext w:val="0"/>
              <w:keepLines w:val="0"/>
              <w:pageBreakBefore w:val="0"/>
              <w:kinsoku/>
              <w:wordWrap/>
              <w:overflowPunct/>
              <w:topLinePunct w:val="0"/>
              <w:autoSpaceDE/>
              <w:autoSpaceDN/>
              <w:bidi w:val="0"/>
              <w:spacing w:after="0" w:line="360" w:lineRule="auto"/>
              <w:jc w:val="center"/>
              <w:textAlignment w:val="auto"/>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2</w:t>
            </w:r>
          </w:p>
        </w:tc>
        <w:tc>
          <w:tcPr>
            <w:tcW w:w="2115" w:type="dxa"/>
            <w:shd w:val="clear" w:color="auto" w:fill="auto"/>
            <w:vAlign w:val="center"/>
          </w:tcPr>
          <w:p w14:paraId="5EF7A858">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kern w:val="0"/>
                <w:sz w:val="24"/>
                <w:szCs w:val="24"/>
                <w:highlight w:val="none"/>
                <w:vertAlign w:val="baseline"/>
                <w:lang w:val="en-US" w:eastAsia="zh-CN"/>
              </w:rPr>
              <w:t>10寸 5umPP 棉</w:t>
            </w:r>
          </w:p>
        </w:tc>
        <w:tc>
          <w:tcPr>
            <w:tcW w:w="1065" w:type="dxa"/>
            <w:vAlign w:val="center"/>
          </w:tcPr>
          <w:p w14:paraId="450EC128">
            <w:pPr>
              <w:keepNext w:val="0"/>
              <w:keepLines w:val="0"/>
              <w:pageBreakBefore w:val="0"/>
              <w:kinsoku/>
              <w:wordWrap/>
              <w:overflowPunct/>
              <w:topLinePunct w:val="0"/>
              <w:autoSpaceDE/>
              <w:autoSpaceDN/>
              <w:bidi w:val="0"/>
              <w:spacing w:after="0"/>
              <w:jc w:val="center"/>
              <w:textAlignment w:val="auto"/>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6个月</w:t>
            </w:r>
          </w:p>
        </w:tc>
        <w:tc>
          <w:tcPr>
            <w:tcW w:w="735" w:type="dxa"/>
            <w:vAlign w:val="center"/>
          </w:tcPr>
          <w:p w14:paraId="53AFDA81">
            <w:pPr>
              <w:keepNext w:val="0"/>
              <w:keepLines w:val="0"/>
              <w:pageBreakBefore w:val="0"/>
              <w:kinsoku/>
              <w:wordWrap/>
              <w:overflowPunct/>
              <w:topLinePunct w:val="0"/>
              <w:autoSpaceDE/>
              <w:autoSpaceDN/>
              <w:bidi w:val="0"/>
              <w:spacing w:after="0"/>
              <w:jc w:val="center"/>
              <w:textAlignment w:val="auto"/>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56</w:t>
            </w:r>
          </w:p>
        </w:tc>
        <w:tc>
          <w:tcPr>
            <w:tcW w:w="1215" w:type="dxa"/>
            <w:vAlign w:val="center"/>
          </w:tcPr>
          <w:p w14:paraId="628DC799">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80</w:t>
            </w:r>
          </w:p>
        </w:tc>
        <w:tc>
          <w:tcPr>
            <w:tcW w:w="1126" w:type="dxa"/>
            <w:vMerge w:val="continue"/>
            <w:vAlign w:val="bottom"/>
          </w:tcPr>
          <w:p w14:paraId="08FDDCF3">
            <w:pPr>
              <w:keepNext w:val="0"/>
              <w:keepLines w:val="0"/>
              <w:widowControl/>
              <w:suppressLineNumbers w:val="0"/>
              <w:jc w:val="center"/>
              <w:textAlignment w:val="bottom"/>
              <w:rPr>
                <w:rFonts w:hint="eastAsia" w:ascii="仿宋" w:hAnsi="仿宋" w:eastAsia="仿宋" w:cs="仿宋"/>
                <w:i w:val="0"/>
                <w:iCs w:val="0"/>
                <w:color w:val="000000"/>
                <w:kern w:val="0"/>
                <w:sz w:val="22"/>
                <w:szCs w:val="22"/>
                <w:highlight w:val="none"/>
                <w:u w:val="none"/>
                <w:lang w:val="en-US" w:eastAsia="zh-CN" w:bidi="ar"/>
              </w:rPr>
            </w:pPr>
          </w:p>
        </w:tc>
      </w:tr>
      <w:tr w14:paraId="2121D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23" w:type="dxa"/>
            <w:shd w:val="clear" w:color="auto" w:fill="auto"/>
            <w:vAlign w:val="center"/>
          </w:tcPr>
          <w:p w14:paraId="042B5786">
            <w:pPr>
              <w:keepNext w:val="0"/>
              <w:keepLines w:val="0"/>
              <w:pageBreakBefore w:val="0"/>
              <w:kinsoku/>
              <w:wordWrap/>
              <w:overflowPunct/>
              <w:topLinePunct w:val="0"/>
              <w:autoSpaceDE/>
              <w:autoSpaceDN/>
              <w:bidi w:val="0"/>
              <w:spacing w:after="0" w:line="360" w:lineRule="auto"/>
              <w:jc w:val="center"/>
              <w:textAlignment w:val="auto"/>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3</w:t>
            </w:r>
          </w:p>
        </w:tc>
        <w:tc>
          <w:tcPr>
            <w:tcW w:w="2115" w:type="dxa"/>
            <w:shd w:val="clear" w:color="auto" w:fill="auto"/>
            <w:vAlign w:val="center"/>
          </w:tcPr>
          <w:p w14:paraId="67EDDD36">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10 寸 1umPP 棉</w:t>
            </w:r>
          </w:p>
        </w:tc>
        <w:tc>
          <w:tcPr>
            <w:tcW w:w="1065" w:type="dxa"/>
            <w:vAlign w:val="center"/>
          </w:tcPr>
          <w:p w14:paraId="62902EEA">
            <w:pPr>
              <w:keepNext w:val="0"/>
              <w:keepLines w:val="0"/>
              <w:pageBreakBefore w:val="0"/>
              <w:kinsoku/>
              <w:wordWrap/>
              <w:overflowPunct/>
              <w:topLinePunct w:val="0"/>
              <w:autoSpaceDE/>
              <w:autoSpaceDN/>
              <w:bidi w:val="0"/>
              <w:spacing w:after="0"/>
              <w:jc w:val="center"/>
              <w:textAlignment w:val="auto"/>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6个月</w:t>
            </w:r>
          </w:p>
        </w:tc>
        <w:tc>
          <w:tcPr>
            <w:tcW w:w="735" w:type="dxa"/>
            <w:vAlign w:val="center"/>
          </w:tcPr>
          <w:p w14:paraId="3D50D4A2">
            <w:pPr>
              <w:keepNext w:val="0"/>
              <w:keepLines w:val="0"/>
              <w:pageBreakBefore w:val="0"/>
              <w:kinsoku/>
              <w:wordWrap/>
              <w:overflowPunct/>
              <w:topLinePunct w:val="0"/>
              <w:autoSpaceDE/>
              <w:autoSpaceDN/>
              <w:bidi w:val="0"/>
              <w:spacing w:after="0"/>
              <w:jc w:val="center"/>
              <w:textAlignment w:val="auto"/>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56</w:t>
            </w:r>
          </w:p>
        </w:tc>
        <w:tc>
          <w:tcPr>
            <w:tcW w:w="1215" w:type="dxa"/>
            <w:vAlign w:val="center"/>
          </w:tcPr>
          <w:p w14:paraId="06EABB5F">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90</w:t>
            </w:r>
          </w:p>
        </w:tc>
        <w:tc>
          <w:tcPr>
            <w:tcW w:w="1126" w:type="dxa"/>
            <w:vMerge w:val="continue"/>
            <w:vAlign w:val="bottom"/>
          </w:tcPr>
          <w:p w14:paraId="36B023F3">
            <w:pPr>
              <w:keepNext w:val="0"/>
              <w:keepLines w:val="0"/>
              <w:widowControl/>
              <w:suppressLineNumbers w:val="0"/>
              <w:jc w:val="center"/>
              <w:textAlignment w:val="bottom"/>
              <w:rPr>
                <w:rFonts w:hint="eastAsia" w:ascii="仿宋" w:hAnsi="仿宋" w:eastAsia="仿宋" w:cs="仿宋"/>
                <w:i w:val="0"/>
                <w:iCs w:val="0"/>
                <w:color w:val="000000"/>
                <w:kern w:val="0"/>
                <w:sz w:val="22"/>
                <w:szCs w:val="22"/>
                <w:highlight w:val="none"/>
                <w:u w:val="none"/>
                <w:lang w:val="en-US" w:eastAsia="zh-CN" w:bidi="ar"/>
              </w:rPr>
            </w:pPr>
          </w:p>
        </w:tc>
      </w:tr>
      <w:tr w14:paraId="3CF3C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23" w:type="dxa"/>
            <w:shd w:val="clear" w:color="auto" w:fill="auto"/>
            <w:vAlign w:val="center"/>
          </w:tcPr>
          <w:p w14:paraId="252452E0">
            <w:pPr>
              <w:keepNext w:val="0"/>
              <w:keepLines w:val="0"/>
              <w:pageBreakBefore w:val="0"/>
              <w:kinsoku/>
              <w:wordWrap/>
              <w:overflowPunct/>
              <w:topLinePunct w:val="0"/>
              <w:autoSpaceDE/>
              <w:autoSpaceDN/>
              <w:bidi w:val="0"/>
              <w:spacing w:after="0" w:line="360" w:lineRule="auto"/>
              <w:jc w:val="center"/>
              <w:textAlignment w:val="auto"/>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4</w:t>
            </w:r>
          </w:p>
        </w:tc>
        <w:tc>
          <w:tcPr>
            <w:tcW w:w="2115" w:type="dxa"/>
            <w:shd w:val="clear" w:color="auto" w:fill="auto"/>
            <w:vAlign w:val="center"/>
          </w:tcPr>
          <w:p w14:paraId="58094409">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400G反渗透膜</w:t>
            </w:r>
          </w:p>
        </w:tc>
        <w:tc>
          <w:tcPr>
            <w:tcW w:w="1065" w:type="dxa"/>
            <w:vAlign w:val="center"/>
          </w:tcPr>
          <w:p w14:paraId="301933EF">
            <w:pPr>
              <w:keepNext w:val="0"/>
              <w:keepLines w:val="0"/>
              <w:pageBreakBefore w:val="0"/>
              <w:kinsoku/>
              <w:wordWrap/>
              <w:overflowPunct/>
              <w:topLinePunct w:val="0"/>
              <w:autoSpaceDE/>
              <w:autoSpaceDN/>
              <w:bidi w:val="0"/>
              <w:spacing w:after="0"/>
              <w:jc w:val="center"/>
              <w:textAlignment w:val="auto"/>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一年</w:t>
            </w:r>
          </w:p>
        </w:tc>
        <w:tc>
          <w:tcPr>
            <w:tcW w:w="735" w:type="dxa"/>
            <w:vAlign w:val="center"/>
          </w:tcPr>
          <w:p w14:paraId="02E25E97">
            <w:pPr>
              <w:keepNext w:val="0"/>
              <w:keepLines w:val="0"/>
              <w:pageBreakBefore w:val="0"/>
              <w:kinsoku/>
              <w:wordWrap/>
              <w:overflowPunct/>
              <w:topLinePunct w:val="0"/>
              <w:autoSpaceDE/>
              <w:autoSpaceDN/>
              <w:bidi w:val="0"/>
              <w:spacing w:after="0"/>
              <w:jc w:val="center"/>
              <w:textAlignment w:val="auto"/>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28</w:t>
            </w:r>
          </w:p>
        </w:tc>
        <w:tc>
          <w:tcPr>
            <w:tcW w:w="1215" w:type="dxa"/>
            <w:vAlign w:val="center"/>
          </w:tcPr>
          <w:p w14:paraId="30DBE1D7">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900</w:t>
            </w:r>
          </w:p>
        </w:tc>
        <w:tc>
          <w:tcPr>
            <w:tcW w:w="1126" w:type="dxa"/>
            <w:vMerge w:val="continue"/>
            <w:vAlign w:val="bottom"/>
          </w:tcPr>
          <w:p w14:paraId="08777BDB">
            <w:pPr>
              <w:keepNext w:val="0"/>
              <w:keepLines w:val="0"/>
              <w:widowControl/>
              <w:suppressLineNumbers w:val="0"/>
              <w:jc w:val="center"/>
              <w:textAlignment w:val="bottom"/>
              <w:rPr>
                <w:rFonts w:hint="eastAsia" w:ascii="仿宋" w:hAnsi="仿宋" w:eastAsia="仿宋" w:cs="仿宋"/>
                <w:i w:val="0"/>
                <w:iCs w:val="0"/>
                <w:color w:val="000000"/>
                <w:kern w:val="0"/>
                <w:sz w:val="22"/>
                <w:szCs w:val="22"/>
                <w:highlight w:val="none"/>
                <w:u w:val="none"/>
                <w:lang w:val="en-US" w:eastAsia="zh-CN" w:bidi="ar"/>
              </w:rPr>
            </w:pPr>
          </w:p>
        </w:tc>
      </w:tr>
      <w:tr w14:paraId="07C66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23" w:type="dxa"/>
            <w:shd w:val="clear" w:color="auto" w:fill="auto"/>
            <w:vAlign w:val="center"/>
          </w:tcPr>
          <w:p w14:paraId="7D786477">
            <w:pPr>
              <w:keepNext w:val="0"/>
              <w:keepLines w:val="0"/>
              <w:pageBreakBefore w:val="0"/>
              <w:kinsoku/>
              <w:wordWrap/>
              <w:overflowPunct/>
              <w:topLinePunct w:val="0"/>
              <w:autoSpaceDE/>
              <w:autoSpaceDN/>
              <w:bidi w:val="0"/>
              <w:spacing w:after="0" w:line="360" w:lineRule="auto"/>
              <w:jc w:val="center"/>
              <w:textAlignment w:val="auto"/>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5</w:t>
            </w:r>
          </w:p>
        </w:tc>
        <w:tc>
          <w:tcPr>
            <w:tcW w:w="2115" w:type="dxa"/>
            <w:shd w:val="clear" w:color="auto" w:fill="auto"/>
            <w:vAlign w:val="center"/>
          </w:tcPr>
          <w:p w14:paraId="17841C3E">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后置椰壳活性炭</w:t>
            </w:r>
          </w:p>
        </w:tc>
        <w:tc>
          <w:tcPr>
            <w:tcW w:w="1065" w:type="dxa"/>
            <w:vAlign w:val="center"/>
          </w:tcPr>
          <w:p w14:paraId="10300F23">
            <w:pPr>
              <w:keepNext w:val="0"/>
              <w:keepLines w:val="0"/>
              <w:pageBreakBefore w:val="0"/>
              <w:kinsoku/>
              <w:wordWrap/>
              <w:overflowPunct/>
              <w:topLinePunct w:val="0"/>
              <w:autoSpaceDE/>
              <w:autoSpaceDN/>
              <w:bidi w:val="0"/>
              <w:spacing w:after="0"/>
              <w:jc w:val="center"/>
              <w:textAlignment w:val="auto"/>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一年</w:t>
            </w:r>
          </w:p>
        </w:tc>
        <w:tc>
          <w:tcPr>
            <w:tcW w:w="735" w:type="dxa"/>
            <w:vAlign w:val="center"/>
          </w:tcPr>
          <w:p w14:paraId="099D94DE">
            <w:pPr>
              <w:keepNext w:val="0"/>
              <w:keepLines w:val="0"/>
              <w:pageBreakBefore w:val="0"/>
              <w:kinsoku/>
              <w:wordWrap/>
              <w:overflowPunct/>
              <w:topLinePunct w:val="0"/>
              <w:autoSpaceDE/>
              <w:autoSpaceDN/>
              <w:bidi w:val="0"/>
              <w:spacing w:after="0"/>
              <w:jc w:val="center"/>
              <w:textAlignment w:val="auto"/>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28</w:t>
            </w:r>
          </w:p>
        </w:tc>
        <w:tc>
          <w:tcPr>
            <w:tcW w:w="1215" w:type="dxa"/>
            <w:vAlign w:val="center"/>
          </w:tcPr>
          <w:p w14:paraId="5C3E6302">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100</w:t>
            </w:r>
          </w:p>
        </w:tc>
        <w:tc>
          <w:tcPr>
            <w:tcW w:w="1126" w:type="dxa"/>
            <w:vMerge w:val="continue"/>
            <w:vAlign w:val="bottom"/>
          </w:tcPr>
          <w:p w14:paraId="653F1C09">
            <w:pPr>
              <w:keepNext w:val="0"/>
              <w:keepLines w:val="0"/>
              <w:widowControl/>
              <w:suppressLineNumbers w:val="0"/>
              <w:jc w:val="center"/>
              <w:textAlignment w:val="bottom"/>
              <w:rPr>
                <w:rFonts w:hint="eastAsia" w:ascii="仿宋" w:hAnsi="仿宋" w:eastAsia="仿宋" w:cs="仿宋"/>
                <w:i w:val="0"/>
                <w:iCs w:val="0"/>
                <w:color w:val="000000"/>
                <w:kern w:val="0"/>
                <w:sz w:val="22"/>
                <w:szCs w:val="22"/>
                <w:highlight w:val="none"/>
                <w:u w:val="none"/>
                <w:lang w:val="en-US" w:eastAsia="zh-CN" w:bidi="ar"/>
              </w:rPr>
            </w:pPr>
          </w:p>
        </w:tc>
      </w:tr>
    </w:tbl>
    <w:p w14:paraId="2F96E049">
      <w:pPr>
        <w:tabs>
          <w:tab w:val="left" w:pos="2020"/>
          <w:tab w:val="center" w:pos="4535"/>
        </w:tabs>
        <w:spacing w:after="0" w:line="400" w:lineRule="exact"/>
        <w:ind w:firstLine="240" w:firstLineChars="100"/>
        <w:rPr>
          <w:rFonts w:hint="eastAsia" w:ascii="仿宋" w:hAnsi="仿宋" w:eastAsia="仿宋" w:cs="仿宋"/>
          <w:sz w:val="24"/>
          <w:szCs w:val="24"/>
          <w:highlight w:val="none"/>
        </w:rPr>
      </w:pPr>
    </w:p>
    <w:p w14:paraId="50473D90">
      <w:pPr>
        <w:tabs>
          <w:tab w:val="left" w:pos="2020"/>
          <w:tab w:val="center" w:pos="4535"/>
        </w:tabs>
        <w:spacing w:after="0" w:line="400" w:lineRule="exact"/>
        <w:ind w:firstLine="240" w:firstLineChars="100"/>
        <w:rPr>
          <w:rFonts w:hint="eastAsia" w:ascii="仿宋" w:hAnsi="仿宋" w:eastAsia="仿宋" w:cs="仿宋"/>
          <w:sz w:val="24"/>
          <w:szCs w:val="24"/>
          <w:highlight w:val="none"/>
        </w:rPr>
      </w:pPr>
    </w:p>
    <w:p w14:paraId="0BCFA514">
      <w:pPr>
        <w:tabs>
          <w:tab w:val="left" w:pos="2020"/>
          <w:tab w:val="center" w:pos="4535"/>
        </w:tabs>
        <w:spacing w:after="0" w:line="400" w:lineRule="exact"/>
        <w:ind w:firstLine="240" w:firstLineChars="100"/>
        <w:rPr>
          <w:rFonts w:hint="eastAsia" w:ascii="仿宋" w:hAnsi="仿宋" w:eastAsia="仿宋" w:cs="仿宋"/>
          <w:sz w:val="24"/>
          <w:szCs w:val="24"/>
          <w:highlight w:val="none"/>
        </w:rPr>
      </w:pPr>
    </w:p>
    <w:p w14:paraId="58B888EC">
      <w:pPr>
        <w:tabs>
          <w:tab w:val="left" w:pos="2020"/>
          <w:tab w:val="center" w:pos="4535"/>
        </w:tabs>
        <w:spacing w:after="0" w:line="400" w:lineRule="exact"/>
        <w:ind w:firstLine="240" w:firstLineChars="100"/>
        <w:rPr>
          <w:rFonts w:hint="eastAsia" w:ascii="仿宋" w:hAnsi="仿宋" w:eastAsia="仿宋" w:cs="仿宋"/>
          <w:sz w:val="24"/>
          <w:szCs w:val="24"/>
          <w:highlight w:val="none"/>
        </w:rPr>
      </w:pPr>
    </w:p>
    <w:p w14:paraId="46515876">
      <w:pPr>
        <w:tabs>
          <w:tab w:val="left" w:pos="2020"/>
          <w:tab w:val="center" w:pos="4535"/>
        </w:tabs>
        <w:spacing w:after="0" w:line="36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注：</w:t>
      </w:r>
    </w:p>
    <w:p w14:paraId="6DAF6A89">
      <w:pPr>
        <w:tabs>
          <w:tab w:val="left" w:pos="2020"/>
          <w:tab w:val="center" w:pos="4535"/>
        </w:tabs>
        <w:spacing w:after="0" w:line="360" w:lineRule="exact"/>
        <w:ind w:firstLine="480" w:firstLineChars="20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1.1-54项的折扣率须相同且小于等于100%（精确到小数点后2位，格式如：92.56%），否则按无效标处理。</w:t>
      </w:r>
    </w:p>
    <w:p w14:paraId="18B4FBBC">
      <w:pPr>
        <w:tabs>
          <w:tab w:val="left" w:pos="2020"/>
          <w:tab w:val="center" w:pos="4535"/>
        </w:tabs>
        <w:spacing w:after="0" w:line="360" w:lineRule="exact"/>
        <w:ind w:firstLine="480" w:firstLineChars="20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2.更换数量按实结算。</w:t>
      </w:r>
    </w:p>
    <w:p w14:paraId="356F70C9">
      <w:pPr>
        <w:spacing w:after="0" w:line="360" w:lineRule="exact"/>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 xml:space="preserve">    3.成交供应商须在中标后提供滤芯产品的正品证明、检测报告等相关材料。材料齐全且符合方可签订合同，未能提供或做虚假文件，取消中标资格并追究相关责任。</w:t>
      </w:r>
    </w:p>
    <w:p w14:paraId="080ED0D2">
      <w:pPr>
        <w:pStyle w:val="24"/>
        <w:spacing w:before="0" w:after="0" w:line="360" w:lineRule="exact"/>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 xml:space="preserve">    4.以上报价含上门费、维护费、材料费等一切费用。</w:t>
      </w:r>
    </w:p>
    <w:p w14:paraId="0CD1B3AA">
      <w:pPr>
        <w:kinsoku w:val="0"/>
        <w:topLinePunct/>
        <w:autoSpaceDE w:val="0"/>
        <w:autoSpaceDN w:val="0"/>
        <w:spacing w:after="0" w:line="360" w:lineRule="exact"/>
        <w:ind w:right="210" w:firstLine="448" w:firstLineChars="187"/>
        <w:jc w:val="right"/>
        <w:textAlignment w:val="baseline"/>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 xml:space="preserve">供应商（盖章）：（单位全称） </w:t>
      </w:r>
    </w:p>
    <w:p w14:paraId="1FB33B97">
      <w:pPr>
        <w:kinsoku w:val="0"/>
        <w:topLinePunct/>
        <w:autoSpaceDE w:val="0"/>
        <w:autoSpaceDN w:val="0"/>
        <w:spacing w:after="0" w:line="360" w:lineRule="exact"/>
        <w:ind w:right="210" w:firstLine="448" w:firstLineChars="187"/>
        <w:jc w:val="right"/>
        <w:textAlignment w:val="baseline"/>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法定代表人或授权委托人：（签字或盖章）</w:t>
      </w:r>
    </w:p>
    <w:p w14:paraId="30F235C3">
      <w:pPr>
        <w:kinsoku w:val="0"/>
        <w:topLinePunct/>
        <w:autoSpaceDE w:val="0"/>
        <w:autoSpaceDN w:val="0"/>
        <w:spacing w:after="0" w:line="360" w:lineRule="exact"/>
        <w:ind w:right="210" w:firstLine="448" w:firstLineChars="187"/>
        <w:jc w:val="right"/>
        <w:textAlignment w:val="baseline"/>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日期：  年  月  日</w:t>
      </w:r>
    </w:p>
    <w:sectPr>
      <w:footerReference r:id="rId4" w:type="default"/>
      <w:pgSz w:w="11906" w:h="16838"/>
      <w:pgMar w:top="1361" w:right="1361" w:bottom="1361" w:left="1361" w:header="708"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汉仪小隶书简">
    <w:altName w:val="宋体"/>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Arial,Bold">
    <w:altName w:val="Arial"/>
    <w:panose1 w:val="00000000000000000000"/>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33BD0">
    <w:pPr>
      <w:pStyle w:val="11"/>
      <w:jc w:val="center"/>
    </w:pPr>
    <w:r>
      <w:fldChar w:fldCharType="begin"/>
    </w:r>
    <w:r>
      <w:instrText xml:space="preserve"> PAGE   \* MERGEFORMAT </w:instrText>
    </w:r>
    <w:r>
      <w:fldChar w:fldCharType="separate"/>
    </w:r>
    <w:r>
      <w:rPr>
        <w:lang w:val="zh-CN"/>
      </w:rPr>
      <w:t>1</w:t>
    </w:r>
    <w:r>
      <w:rPr>
        <w:lang w:val="zh-CN"/>
      </w:rPr>
      <w:fldChar w:fldCharType="end"/>
    </w:r>
  </w:p>
  <w:p w14:paraId="2D16C0EE">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1OTQ5OTc2YTZiZmM5MjVhYzNhNWEyNmFhODczODIifQ=="/>
  </w:docVars>
  <w:rsids>
    <w:rsidRoot w:val="00D31D50"/>
    <w:rsid w:val="000019D4"/>
    <w:rsid w:val="00004BA9"/>
    <w:rsid w:val="0001655B"/>
    <w:rsid w:val="00033F89"/>
    <w:rsid w:val="00041746"/>
    <w:rsid w:val="00043AEC"/>
    <w:rsid w:val="00047A95"/>
    <w:rsid w:val="0006259C"/>
    <w:rsid w:val="000626FD"/>
    <w:rsid w:val="00083F8A"/>
    <w:rsid w:val="000E1C15"/>
    <w:rsid w:val="000E3A29"/>
    <w:rsid w:val="00102E92"/>
    <w:rsid w:val="00130AC4"/>
    <w:rsid w:val="0015068D"/>
    <w:rsid w:val="001651DE"/>
    <w:rsid w:val="001754A2"/>
    <w:rsid w:val="00193FED"/>
    <w:rsid w:val="001C1D39"/>
    <w:rsid w:val="001C3DF4"/>
    <w:rsid w:val="001C5849"/>
    <w:rsid w:val="001D08A9"/>
    <w:rsid w:val="001D30B3"/>
    <w:rsid w:val="001D4055"/>
    <w:rsid w:val="001D7056"/>
    <w:rsid w:val="001D7444"/>
    <w:rsid w:val="00200CDF"/>
    <w:rsid w:val="00245D5D"/>
    <w:rsid w:val="0024723B"/>
    <w:rsid w:val="00256528"/>
    <w:rsid w:val="00257B0D"/>
    <w:rsid w:val="00270C08"/>
    <w:rsid w:val="00272939"/>
    <w:rsid w:val="002869F7"/>
    <w:rsid w:val="00296F3A"/>
    <w:rsid w:val="002A00C2"/>
    <w:rsid w:val="002A209E"/>
    <w:rsid w:val="002A3848"/>
    <w:rsid w:val="002E1D4F"/>
    <w:rsid w:val="002F0129"/>
    <w:rsid w:val="002F167C"/>
    <w:rsid w:val="002F5B64"/>
    <w:rsid w:val="00320D07"/>
    <w:rsid w:val="00323B43"/>
    <w:rsid w:val="00336766"/>
    <w:rsid w:val="00344AB2"/>
    <w:rsid w:val="0035293C"/>
    <w:rsid w:val="0035316C"/>
    <w:rsid w:val="003776F1"/>
    <w:rsid w:val="003934BB"/>
    <w:rsid w:val="003B57BC"/>
    <w:rsid w:val="003D26DB"/>
    <w:rsid w:val="003D37D8"/>
    <w:rsid w:val="003E31F3"/>
    <w:rsid w:val="00403CF5"/>
    <w:rsid w:val="00421506"/>
    <w:rsid w:val="00422E43"/>
    <w:rsid w:val="00423104"/>
    <w:rsid w:val="004241C7"/>
    <w:rsid w:val="00426133"/>
    <w:rsid w:val="00431B40"/>
    <w:rsid w:val="00435570"/>
    <w:rsid w:val="004358AB"/>
    <w:rsid w:val="00436AA7"/>
    <w:rsid w:val="00437623"/>
    <w:rsid w:val="0044244E"/>
    <w:rsid w:val="00457BB7"/>
    <w:rsid w:val="00485775"/>
    <w:rsid w:val="0048625A"/>
    <w:rsid w:val="00490D20"/>
    <w:rsid w:val="00494901"/>
    <w:rsid w:val="004A22DA"/>
    <w:rsid w:val="004C2CA7"/>
    <w:rsid w:val="004E73AA"/>
    <w:rsid w:val="004F03A8"/>
    <w:rsid w:val="005000F1"/>
    <w:rsid w:val="0050229C"/>
    <w:rsid w:val="0050319E"/>
    <w:rsid w:val="00515466"/>
    <w:rsid w:val="00524167"/>
    <w:rsid w:val="005356C2"/>
    <w:rsid w:val="0053571E"/>
    <w:rsid w:val="00543385"/>
    <w:rsid w:val="00545012"/>
    <w:rsid w:val="00563504"/>
    <w:rsid w:val="00566AE3"/>
    <w:rsid w:val="00595554"/>
    <w:rsid w:val="005F0883"/>
    <w:rsid w:val="00615F9D"/>
    <w:rsid w:val="00630CC5"/>
    <w:rsid w:val="00631930"/>
    <w:rsid w:val="0063222F"/>
    <w:rsid w:val="00637CF6"/>
    <w:rsid w:val="00645CDE"/>
    <w:rsid w:val="006471AD"/>
    <w:rsid w:val="006577AF"/>
    <w:rsid w:val="00677C12"/>
    <w:rsid w:val="006A700F"/>
    <w:rsid w:val="006C1704"/>
    <w:rsid w:val="006D447E"/>
    <w:rsid w:val="006F2FBB"/>
    <w:rsid w:val="00705D4E"/>
    <w:rsid w:val="00706FC2"/>
    <w:rsid w:val="00716F4C"/>
    <w:rsid w:val="00753DBB"/>
    <w:rsid w:val="00763C6D"/>
    <w:rsid w:val="007711BA"/>
    <w:rsid w:val="007738C9"/>
    <w:rsid w:val="007A0D10"/>
    <w:rsid w:val="007A3CAE"/>
    <w:rsid w:val="007A521B"/>
    <w:rsid w:val="007B42A4"/>
    <w:rsid w:val="007C49B8"/>
    <w:rsid w:val="007D047F"/>
    <w:rsid w:val="00801B63"/>
    <w:rsid w:val="00801DED"/>
    <w:rsid w:val="00803D35"/>
    <w:rsid w:val="008062BD"/>
    <w:rsid w:val="00834959"/>
    <w:rsid w:val="00851D4F"/>
    <w:rsid w:val="00872DB2"/>
    <w:rsid w:val="008B65BB"/>
    <w:rsid w:val="008B6960"/>
    <w:rsid w:val="008B7726"/>
    <w:rsid w:val="008B7819"/>
    <w:rsid w:val="008D3FCC"/>
    <w:rsid w:val="008F0E86"/>
    <w:rsid w:val="00903896"/>
    <w:rsid w:val="00903A3E"/>
    <w:rsid w:val="009056D8"/>
    <w:rsid w:val="0091244B"/>
    <w:rsid w:val="009200E2"/>
    <w:rsid w:val="009266E2"/>
    <w:rsid w:val="00934D3E"/>
    <w:rsid w:val="009407CC"/>
    <w:rsid w:val="009414CB"/>
    <w:rsid w:val="0095404B"/>
    <w:rsid w:val="009679F1"/>
    <w:rsid w:val="00994345"/>
    <w:rsid w:val="00994B3A"/>
    <w:rsid w:val="009963B4"/>
    <w:rsid w:val="00997E61"/>
    <w:rsid w:val="009B4F42"/>
    <w:rsid w:val="009C6598"/>
    <w:rsid w:val="009D1076"/>
    <w:rsid w:val="009D1AF0"/>
    <w:rsid w:val="009D5E18"/>
    <w:rsid w:val="009D6507"/>
    <w:rsid w:val="009E08DC"/>
    <w:rsid w:val="009F1643"/>
    <w:rsid w:val="00A05D8D"/>
    <w:rsid w:val="00A15A58"/>
    <w:rsid w:val="00A430CC"/>
    <w:rsid w:val="00A57C41"/>
    <w:rsid w:val="00A61689"/>
    <w:rsid w:val="00A84072"/>
    <w:rsid w:val="00A87DBF"/>
    <w:rsid w:val="00A9053E"/>
    <w:rsid w:val="00A93ECB"/>
    <w:rsid w:val="00A94652"/>
    <w:rsid w:val="00AD052A"/>
    <w:rsid w:val="00AD54D0"/>
    <w:rsid w:val="00AE1FB8"/>
    <w:rsid w:val="00AF23E2"/>
    <w:rsid w:val="00AF6521"/>
    <w:rsid w:val="00B0022C"/>
    <w:rsid w:val="00B02E12"/>
    <w:rsid w:val="00B2466A"/>
    <w:rsid w:val="00B2536A"/>
    <w:rsid w:val="00B346B9"/>
    <w:rsid w:val="00B37DA6"/>
    <w:rsid w:val="00B45FB1"/>
    <w:rsid w:val="00B62085"/>
    <w:rsid w:val="00B70897"/>
    <w:rsid w:val="00B75196"/>
    <w:rsid w:val="00B87D3C"/>
    <w:rsid w:val="00BB1BAC"/>
    <w:rsid w:val="00BB3E0C"/>
    <w:rsid w:val="00BC1BC4"/>
    <w:rsid w:val="00C076EE"/>
    <w:rsid w:val="00C14228"/>
    <w:rsid w:val="00C16747"/>
    <w:rsid w:val="00C43CD7"/>
    <w:rsid w:val="00C44C60"/>
    <w:rsid w:val="00C555F4"/>
    <w:rsid w:val="00C760E0"/>
    <w:rsid w:val="00C85252"/>
    <w:rsid w:val="00CB1E89"/>
    <w:rsid w:val="00CB4D4D"/>
    <w:rsid w:val="00CD56FC"/>
    <w:rsid w:val="00CE1278"/>
    <w:rsid w:val="00D07B0A"/>
    <w:rsid w:val="00D11250"/>
    <w:rsid w:val="00D236F9"/>
    <w:rsid w:val="00D26D31"/>
    <w:rsid w:val="00D31D50"/>
    <w:rsid w:val="00D3792A"/>
    <w:rsid w:val="00D5492D"/>
    <w:rsid w:val="00DA57B1"/>
    <w:rsid w:val="00DA5A20"/>
    <w:rsid w:val="00DA734B"/>
    <w:rsid w:val="00DD46AC"/>
    <w:rsid w:val="00E00EBA"/>
    <w:rsid w:val="00E11E8A"/>
    <w:rsid w:val="00E1648E"/>
    <w:rsid w:val="00E225AB"/>
    <w:rsid w:val="00E22C45"/>
    <w:rsid w:val="00E33301"/>
    <w:rsid w:val="00E87B06"/>
    <w:rsid w:val="00EA1FE3"/>
    <w:rsid w:val="00EA3A17"/>
    <w:rsid w:val="00EB3067"/>
    <w:rsid w:val="00EB47C5"/>
    <w:rsid w:val="00EC3880"/>
    <w:rsid w:val="00EE00E7"/>
    <w:rsid w:val="00EE38FD"/>
    <w:rsid w:val="00EE42E4"/>
    <w:rsid w:val="00EF6B79"/>
    <w:rsid w:val="00F03888"/>
    <w:rsid w:val="00F23FBE"/>
    <w:rsid w:val="00F26509"/>
    <w:rsid w:val="00F34D22"/>
    <w:rsid w:val="00F3599D"/>
    <w:rsid w:val="00F46106"/>
    <w:rsid w:val="00F46E52"/>
    <w:rsid w:val="00F5280D"/>
    <w:rsid w:val="00F615BB"/>
    <w:rsid w:val="00F61E37"/>
    <w:rsid w:val="00F912F4"/>
    <w:rsid w:val="00FA4E87"/>
    <w:rsid w:val="00FC253C"/>
    <w:rsid w:val="00FE4454"/>
    <w:rsid w:val="00FF08D0"/>
    <w:rsid w:val="00FF1A9A"/>
    <w:rsid w:val="00FF336A"/>
    <w:rsid w:val="01B25389"/>
    <w:rsid w:val="01D732A6"/>
    <w:rsid w:val="041532A2"/>
    <w:rsid w:val="04687D1B"/>
    <w:rsid w:val="055D1DD3"/>
    <w:rsid w:val="05A1711C"/>
    <w:rsid w:val="065B219E"/>
    <w:rsid w:val="0668471E"/>
    <w:rsid w:val="076C2262"/>
    <w:rsid w:val="081C344C"/>
    <w:rsid w:val="08FF767A"/>
    <w:rsid w:val="09DA60C2"/>
    <w:rsid w:val="0AB269A0"/>
    <w:rsid w:val="0B121A42"/>
    <w:rsid w:val="0C12180F"/>
    <w:rsid w:val="0C82292B"/>
    <w:rsid w:val="0CBE011B"/>
    <w:rsid w:val="0DE01497"/>
    <w:rsid w:val="0E70686C"/>
    <w:rsid w:val="0F8B27BA"/>
    <w:rsid w:val="10D91146"/>
    <w:rsid w:val="117028A0"/>
    <w:rsid w:val="136F4C96"/>
    <w:rsid w:val="1377583F"/>
    <w:rsid w:val="15043248"/>
    <w:rsid w:val="15152B76"/>
    <w:rsid w:val="153802B0"/>
    <w:rsid w:val="15682010"/>
    <w:rsid w:val="166662E2"/>
    <w:rsid w:val="16667265"/>
    <w:rsid w:val="178B2CDC"/>
    <w:rsid w:val="19BE42D5"/>
    <w:rsid w:val="1A62648E"/>
    <w:rsid w:val="1B6E4666"/>
    <w:rsid w:val="1BCB28B9"/>
    <w:rsid w:val="1C0F024E"/>
    <w:rsid w:val="1C4844E0"/>
    <w:rsid w:val="1D2621C1"/>
    <w:rsid w:val="1D3D7269"/>
    <w:rsid w:val="1E1D4585"/>
    <w:rsid w:val="1EE60DDA"/>
    <w:rsid w:val="202F7213"/>
    <w:rsid w:val="209C61B0"/>
    <w:rsid w:val="20CE01EF"/>
    <w:rsid w:val="21576CFE"/>
    <w:rsid w:val="218F4348"/>
    <w:rsid w:val="21B36EA6"/>
    <w:rsid w:val="21FA2823"/>
    <w:rsid w:val="22BF5242"/>
    <w:rsid w:val="236E4680"/>
    <w:rsid w:val="239E3ED6"/>
    <w:rsid w:val="23D35321"/>
    <w:rsid w:val="23F4590F"/>
    <w:rsid w:val="24AD640C"/>
    <w:rsid w:val="24B47693"/>
    <w:rsid w:val="24F12526"/>
    <w:rsid w:val="25037B70"/>
    <w:rsid w:val="25B8110D"/>
    <w:rsid w:val="27725DC5"/>
    <w:rsid w:val="27EE75F1"/>
    <w:rsid w:val="28670794"/>
    <w:rsid w:val="29070581"/>
    <w:rsid w:val="295300F4"/>
    <w:rsid w:val="299005B7"/>
    <w:rsid w:val="29AD6D01"/>
    <w:rsid w:val="29E4376C"/>
    <w:rsid w:val="2A2F7769"/>
    <w:rsid w:val="2AB20C5B"/>
    <w:rsid w:val="2B5B5C2C"/>
    <w:rsid w:val="2BC43D5C"/>
    <w:rsid w:val="2CD86F07"/>
    <w:rsid w:val="2D3E39E6"/>
    <w:rsid w:val="2E8343E5"/>
    <w:rsid w:val="2F124909"/>
    <w:rsid w:val="2F6A18F6"/>
    <w:rsid w:val="2F8E5ED1"/>
    <w:rsid w:val="337C5E32"/>
    <w:rsid w:val="35A97BD0"/>
    <w:rsid w:val="36817B0F"/>
    <w:rsid w:val="36B82304"/>
    <w:rsid w:val="37D5554A"/>
    <w:rsid w:val="38F03BCC"/>
    <w:rsid w:val="392B392A"/>
    <w:rsid w:val="39DB5125"/>
    <w:rsid w:val="3A1E36CB"/>
    <w:rsid w:val="3B5A1475"/>
    <w:rsid w:val="3B835F2D"/>
    <w:rsid w:val="3BDF4264"/>
    <w:rsid w:val="3C4913B0"/>
    <w:rsid w:val="3D3A7941"/>
    <w:rsid w:val="3ED11B9A"/>
    <w:rsid w:val="3F7075E6"/>
    <w:rsid w:val="3F94385C"/>
    <w:rsid w:val="40342808"/>
    <w:rsid w:val="40A06FCC"/>
    <w:rsid w:val="421D19D0"/>
    <w:rsid w:val="422C6F42"/>
    <w:rsid w:val="42924946"/>
    <w:rsid w:val="453E176E"/>
    <w:rsid w:val="46C518D2"/>
    <w:rsid w:val="483E6BD8"/>
    <w:rsid w:val="48736D31"/>
    <w:rsid w:val="49360896"/>
    <w:rsid w:val="4B455253"/>
    <w:rsid w:val="4BDA05CD"/>
    <w:rsid w:val="4D080473"/>
    <w:rsid w:val="4D2B0D3B"/>
    <w:rsid w:val="4D342671"/>
    <w:rsid w:val="4EE06AA7"/>
    <w:rsid w:val="50965048"/>
    <w:rsid w:val="530F49E7"/>
    <w:rsid w:val="542033BF"/>
    <w:rsid w:val="56245E8D"/>
    <w:rsid w:val="567216FA"/>
    <w:rsid w:val="57786CD5"/>
    <w:rsid w:val="580105CE"/>
    <w:rsid w:val="580611A1"/>
    <w:rsid w:val="59705C64"/>
    <w:rsid w:val="59F14380"/>
    <w:rsid w:val="5AC55E1C"/>
    <w:rsid w:val="5B9A4731"/>
    <w:rsid w:val="5BB01406"/>
    <w:rsid w:val="5C2146E4"/>
    <w:rsid w:val="5C843EE4"/>
    <w:rsid w:val="5CF936D6"/>
    <w:rsid w:val="5D32553A"/>
    <w:rsid w:val="5D682F5B"/>
    <w:rsid w:val="5E013860"/>
    <w:rsid w:val="5E943C67"/>
    <w:rsid w:val="5EF57C17"/>
    <w:rsid w:val="63FD16EA"/>
    <w:rsid w:val="643D7A34"/>
    <w:rsid w:val="64BE6D9E"/>
    <w:rsid w:val="65A47D37"/>
    <w:rsid w:val="66296935"/>
    <w:rsid w:val="67E06AB1"/>
    <w:rsid w:val="69BB74C6"/>
    <w:rsid w:val="6A046F3F"/>
    <w:rsid w:val="6B3524F5"/>
    <w:rsid w:val="6D175D0D"/>
    <w:rsid w:val="6E444275"/>
    <w:rsid w:val="709516BD"/>
    <w:rsid w:val="722A7AC1"/>
    <w:rsid w:val="725C185C"/>
    <w:rsid w:val="745B6486"/>
    <w:rsid w:val="74D106C3"/>
    <w:rsid w:val="75EC6147"/>
    <w:rsid w:val="76262BBD"/>
    <w:rsid w:val="765E754D"/>
    <w:rsid w:val="78D06E02"/>
    <w:rsid w:val="79D008A8"/>
    <w:rsid w:val="79FE46D4"/>
    <w:rsid w:val="7A9960BE"/>
    <w:rsid w:val="7C7E289D"/>
    <w:rsid w:val="7CED69AF"/>
    <w:rsid w:val="7D944587"/>
    <w:rsid w:val="7ED445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宋体" w:cs="Times New Roman"/>
      <w:sz w:val="22"/>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楷体_GB2312"/>
      <w:b/>
      <w:kern w:val="44"/>
      <w:sz w:val="44"/>
    </w:rPr>
  </w:style>
  <w:style w:type="paragraph" w:styleId="4">
    <w:name w:val="heading 2"/>
    <w:basedOn w:val="1"/>
    <w:next w:val="1"/>
    <w:link w:val="22"/>
    <w:qFormat/>
    <w:uiPriority w:val="9"/>
    <w:pPr>
      <w:keepNext/>
      <w:keepLines/>
      <w:spacing w:before="260" w:after="260" w:line="416" w:lineRule="auto"/>
      <w:outlineLvl w:val="1"/>
    </w:pPr>
    <w:rPr>
      <w:rFonts w:ascii="等线 Light" w:hAnsi="等线 Light" w:eastAsia="等线 Light"/>
      <w:b/>
      <w:bCs/>
      <w:sz w:val="32"/>
      <w:szCs w:val="32"/>
    </w:rPr>
  </w:style>
  <w:style w:type="paragraph" w:styleId="5">
    <w:name w:val="heading 3"/>
    <w:basedOn w:val="1"/>
    <w:next w:val="1"/>
    <w:link w:val="42"/>
    <w:qFormat/>
    <w:uiPriority w:val="99"/>
    <w:pPr>
      <w:keepNext/>
      <w:keepLines/>
      <w:widowControl w:val="0"/>
      <w:adjustRightInd/>
      <w:snapToGrid/>
      <w:spacing w:before="20" w:after="20" w:line="415" w:lineRule="auto"/>
      <w:ind w:firstLine="137" w:firstLineChars="49"/>
      <w:jc w:val="both"/>
      <w:outlineLvl w:val="2"/>
    </w:pPr>
    <w:rPr>
      <w:rFonts w:ascii="Times New Roman" w:hAnsi="黑体" w:eastAsia="黑体"/>
      <w:kern w:val="2"/>
      <w:sz w:val="24"/>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400" w:lineRule="exact"/>
    </w:pPr>
    <w:rPr>
      <w:rFonts w:ascii="楷体_GB2312"/>
      <w:sz w:val="28"/>
    </w:rPr>
  </w:style>
  <w:style w:type="paragraph" w:styleId="6">
    <w:name w:val="Normal Indent"/>
    <w:basedOn w:val="1"/>
    <w:link w:val="41"/>
    <w:qFormat/>
    <w:uiPriority w:val="0"/>
    <w:pPr>
      <w:widowControl w:val="0"/>
      <w:adjustRightInd/>
      <w:snapToGrid/>
      <w:spacing w:after="0"/>
      <w:ind w:firstLine="420"/>
      <w:jc w:val="both"/>
    </w:pPr>
    <w:rPr>
      <w:rFonts w:ascii="Times New Roman" w:hAnsi="Times New Roman"/>
      <w:kern w:val="2"/>
      <w:sz w:val="21"/>
      <w:szCs w:val="20"/>
    </w:rPr>
  </w:style>
  <w:style w:type="paragraph" w:styleId="7">
    <w:name w:val="annotation text"/>
    <w:basedOn w:val="1"/>
    <w:semiHidden/>
    <w:unhideWhenUsed/>
    <w:qFormat/>
    <w:uiPriority w:val="99"/>
  </w:style>
  <w:style w:type="paragraph" w:styleId="8">
    <w:name w:val="Body Text Indent"/>
    <w:basedOn w:val="1"/>
    <w:link w:val="28"/>
    <w:unhideWhenUsed/>
    <w:qFormat/>
    <w:uiPriority w:val="99"/>
    <w:pPr>
      <w:spacing w:after="120"/>
      <w:ind w:left="420" w:leftChars="200"/>
    </w:pPr>
  </w:style>
  <w:style w:type="paragraph" w:styleId="9">
    <w:name w:val="Plain Text"/>
    <w:basedOn w:val="1"/>
    <w:link w:val="31"/>
    <w:unhideWhenUsed/>
    <w:qFormat/>
    <w:uiPriority w:val="99"/>
    <w:pPr>
      <w:shd w:val="clear" w:color="auto" w:fill="FFFFFF"/>
      <w:adjustRightInd/>
      <w:snapToGrid/>
      <w:spacing w:before="100" w:beforeAutospacing="1" w:after="100" w:afterAutospacing="1"/>
    </w:pPr>
    <w:rPr>
      <w:rFonts w:ascii="ˎ̥" w:hAnsi="ˎ̥"/>
      <w:sz w:val="18"/>
      <w:szCs w:val="18"/>
    </w:rPr>
  </w:style>
  <w:style w:type="paragraph" w:styleId="10">
    <w:name w:val="Balloon Text"/>
    <w:basedOn w:val="1"/>
    <w:link w:val="54"/>
    <w:semiHidden/>
    <w:unhideWhenUsed/>
    <w:qFormat/>
    <w:uiPriority w:val="99"/>
    <w:pPr>
      <w:spacing w:after="0"/>
    </w:pPr>
    <w:rPr>
      <w:sz w:val="18"/>
      <w:szCs w:val="18"/>
    </w:rPr>
  </w:style>
  <w:style w:type="paragraph" w:styleId="11">
    <w:name w:val="footer"/>
    <w:basedOn w:val="1"/>
    <w:link w:val="38"/>
    <w:unhideWhenUsed/>
    <w:qFormat/>
    <w:uiPriority w:val="99"/>
    <w:pPr>
      <w:tabs>
        <w:tab w:val="center" w:pos="4153"/>
        <w:tab w:val="right" w:pos="8306"/>
      </w:tabs>
    </w:pPr>
    <w:rPr>
      <w:sz w:val="18"/>
      <w:szCs w:val="18"/>
    </w:rPr>
  </w:style>
  <w:style w:type="paragraph" w:styleId="12">
    <w:name w:val="header"/>
    <w:basedOn w:val="1"/>
    <w:link w:val="35"/>
    <w:unhideWhenUsed/>
    <w:qFormat/>
    <w:uiPriority w:val="99"/>
    <w:pPr>
      <w:pBdr>
        <w:bottom w:val="single" w:color="auto" w:sz="6" w:space="1"/>
      </w:pBdr>
      <w:tabs>
        <w:tab w:val="center" w:pos="4153"/>
        <w:tab w:val="right" w:pos="8306"/>
      </w:tabs>
      <w:jc w:val="center"/>
    </w:pPr>
    <w:rPr>
      <w:sz w:val="18"/>
      <w:szCs w:val="18"/>
    </w:rPr>
  </w:style>
  <w:style w:type="paragraph" w:styleId="13">
    <w:name w:val="toc 1"/>
    <w:basedOn w:val="1"/>
    <w:next w:val="1"/>
    <w:qFormat/>
    <w:uiPriority w:val="39"/>
    <w:pPr>
      <w:widowControl w:val="0"/>
      <w:adjustRightInd/>
      <w:snapToGrid/>
      <w:spacing w:before="120" w:after="120"/>
    </w:pPr>
    <w:rPr>
      <w:rFonts w:ascii="Times New Roman" w:hAnsi="Times New Roman" w:cs="Calibri"/>
      <w:b/>
      <w:bCs/>
      <w:caps/>
      <w:kern w:val="2"/>
      <w:sz w:val="20"/>
      <w:szCs w:val="20"/>
    </w:rPr>
  </w:style>
  <w:style w:type="paragraph" w:styleId="14">
    <w:name w:val="Normal (Web)"/>
    <w:basedOn w:val="1"/>
    <w:qFormat/>
    <w:uiPriority w:val="0"/>
    <w:pPr>
      <w:spacing w:before="100" w:beforeAutospacing="1" w:after="100" w:afterAutospacing="1"/>
    </w:pPr>
    <w:rPr>
      <w:rFonts w:ascii="Calibri" w:hAnsi="Calibri"/>
      <w:sz w:val="24"/>
      <w:szCs w:val="24"/>
    </w:rPr>
  </w:style>
  <w:style w:type="paragraph" w:styleId="15">
    <w:name w:val="Body Text First Indent"/>
    <w:basedOn w:val="2"/>
    <w:next w:val="1"/>
    <w:qFormat/>
    <w:uiPriority w:val="0"/>
    <w:pPr>
      <w:spacing w:after="120"/>
      <w:ind w:firstLine="420" w:firstLineChars="100"/>
    </w:pPr>
    <w:rPr>
      <w:rFonts w:ascii="Times New Roman" w:eastAsia="宋体"/>
      <w:szCs w:val="24"/>
    </w:rPr>
  </w:style>
  <w:style w:type="paragraph" w:styleId="16">
    <w:name w:val="Body Text First Indent 2"/>
    <w:basedOn w:val="8"/>
    <w:link w:val="30"/>
    <w:qFormat/>
    <w:uiPriority w:val="0"/>
    <w:pPr>
      <w:widowControl w:val="0"/>
      <w:adjustRightInd/>
      <w:snapToGrid/>
      <w:ind w:firstLine="420" w:firstLineChars="200"/>
      <w:jc w:val="both"/>
    </w:pPr>
    <w:rPr>
      <w:rFonts w:ascii="Times New Roman" w:hAnsi="Times New Roman"/>
      <w:kern w:val="2"/>
      <w:sz w:val="21"/>
      <w:szCs w:val="24"/>
    </w:rPr>
  </w:style>
  <w:style w:type="table" w:styleId="18">
    <w:name w:val="Table Grid"/>
    <w:basedOn w:val="17"/>
    <w:qFormat/>
    <w:uiPriority w:val="0"/>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unhideWhenUsed/>
    <w:qFormat/>
    <w:uiPriority w:val="99"/>
    <w:rPr>
      <w:color w:val="800080"/>
      <w:u w:val="none"/>
    </w:rPr>
  </w:style>
  <w:style w:type="character" w:styleId="21">
    <w:name w:val="Hyperlink"/>
    <w:unhideWhenUsed/>
    <w:qFormat/>
    <w:uiPriority w:val="99"/>
    <w:rPr>
      <w:color w:val="0000FF"/>
      <w:u w:val="none"/>
    </w:rPr>
  </w:style>
  <w:style w:type="character" w:customStyle="1" w:styleId="22">
    <w:name w:val="标题 2 Char"/>
    <w:link w:val="4"/>
    <w:semiHidden/>
    <w:qFormat/>
    <w:uiPriority w:val="9"/>
    <w:rPr>
      <w:rFonts w:ascii="等线 Light" w:hAnsi="等线 Light" w:eastAsia="等线 Light" w:cs="Times New Roman"/>
      <w:b/>
      <w:bCs/>
      <w:sz w:val="32"/>
      <w:szCs w:val="32"/>
    </w:rPr>
  </w:style>
  <w:style w:type="character" w:customStyle="1" w:styleId="23">
    <w:name w:val="标题 3 Char"/>
    <w:qFormat/>
    <w:uiPriority w:val="0"/>
    <w:rPr>
      <w:rFonts w:ascii="Times New Roman" w:hAnsi="Times New Roman" w:eastAsia="宋体" w:cs="Times New Roman"/>
      <w:b/>
      <w:bCs/>
      <w:sz w:val="32"/>
      <w:szCs w:val="32"/>
    </w:rPr>
  </w:style>
  <w:style w:type="paragraph" w:customStyle="1" w:styleId="24">
    <w:name w:val="style4"/>
    <w:basedOn w:val="1"/>
    <w:next w:val="25"/>
    <w:qFormat/>
    <w:uiPriority w:val="0"/>
    <w:pPr>
      <w:spacing w:before="280" w:after="280"/>
    </w:pPr>
    <w:rPr>
      <w:rFonts w:ascii="宋体"/>
      <w:sz w:val="18"/>
    </w:rPr>
  </w:style>
  <w:style w:type="paragraph" w:customStyle="1" w:styleId="25">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26">
    <w:name w:val="正文缩进2格 Char"/>
    <w:link w:val="27"/>
    <w:qFormat/>
    <w:locked/>
    <w:uiPriority w:val="0"/>
    <w:rPr>
      <w:rFonts w:ascii="仿宋_GB2312" w:hAnsi="宋体" w:eastAsia="仿宋_GB2312"/>
      <w:kern w:val="2"/>
      <w:sz w:val="31"/>
      <w:szCs w:val="28"/>
    </w:rPr>
  </w:style>
  <w:style w:type="paragraph" w:customStyle="1" w:styleId="27">
    <w:name w:val="正文缩进2格"/>
    <w:basedOn w:val="1"/>
    <w:link w:val="26"/>
    <w:qFormat/>
    <w:uiPriority w:val="0"/>
    <w:pPr>
      <w:widowControl w:val="0"/>
      <w:adjustRightInd/>
      <w:snapToGrid/>
      <w:spacing w:after="0" w:line="600" w:lineRule="exact"/>
      <w:ind w:firstLine="639" w:firstLineChars="206"/>
      <w:jc w:val="both"/>
    </w:pPr>
    <w:rPr>
      <w:rFonts w:ascii="仿宋_GB2312" w:hAnsi="宋体" w:eastAsia="仿宋_GB2312"/>
      <w:kern w:val="2"/>
      <w:sz w:val="31"/>
      <w:szCs w:val="28"/>
    </w:rPr>
  </w:style>
  <w:style w:type="character" w:customStyle="1" w:styleId="28">
    <w:name w:val="正文文本缩进 Char"/>
    <w:link w:val="8"/>
    <w:semiHidden/>
    <w:qFormat/>
    <w:uiPriority w:val="99"/>
    <w:rPr>
      <w:rFonts w:ascii="Tahoma" w:hAnsi="Tahoma"/>
      <w:sz w:val="22"/>
      <w:szCs w:val="22"/>
    </w:rPr>
  </w:style>
  <w:style w:type="character" w:customStyle="1" w:styleId="29">
    <w:name w:val="font01"/>
    <w:qFormat/>
    <w:uiPriority w:val="0"/>
    <w:rPr>
      <w:rFonts w:hint="default" w:ascii="Calibri" w:hAnsi="Calibri" w:cs="Calibri"/>
      <w:color w:val="000000"/>
      <w:sz w:val="21"/>
      <w:szCs w:val="21"/>
      <w:u w:val="none"/>
    </w:rPr>
  </w:style>
  <w:style w:type="character" w:customStyle="1" w:styleId="30">
    <w:name w:val="正文首行缩进 2 Char"/>
    <w:link w:val="16"/>
    <w:qFormat/>
    <w:uiPriority w:val="0"/>
    <w:rPr>
      <w:rFonts w:ascii="Times New Roman" w:hAnsi="Times New Roman"/>
      <w:kern w:val="2"/>
      <w:sz w:val="21"/>
      <w:szCs w:val="24"/>
    </w:rPr>
  </w:style>
  <w:style w:type="character" w:customStyle="1" w:styleId="31">
    <w:name w:val="纯文本 Char"/>
    <w:link w:val="9"/>
    <w:qFormat/>
    <w:uiPriority w:val="99"/>
    <w:rPr>
      <w:rFonts w:ascii="ˎ̥" w:hAnsi="ˎ̥" w:cs="宋体"/>
      <w:sz w:val="18"/>
      <w:szCs w:val="18"/>
      <w:shd w:val="clear" w:color="auto" w:fill="FFFFFF"/>
    </w:rPr>
  </w:style>
  <w:style w:type="character" w:customStyle="1" w:styleId="32">
    <w:name w:val="NormalCharacter"/>
    <w:qFormat/>
    <w:uiPriority w:val="0"/>
  </w:style>
  <w:style w:type="character" w:customStyle="1" w:styleId="33">
    <w:name w:val="font31"/>
    <w:qFormat/>
    <w:uiPriority w:val="0"/>
    <w:rPr>
      <w:rFonts w:hint="eastAsia" w:ascii="宋体" w:hAnsi="宋体" w:eastAsia="宋体" w:cs="宋体"/>
      <w:color w:val="000000"/>
      <w:sz w:val="21"/>
      <w:szCs w:val="21"/>
      <w:u w:val="none"/>
    </w:rPr>
  </w:style>
  <w:style w:type="character" w:customStyle="1" w:styleId="34">
    <w:name w:val="纯文本 Char1"/>
    <w:semiHidden/>
    <w:qFormat/>
    <w:uiPriority w:val="99"/>
    <w:rPr>
      <w:rFonts w:ascii="宋体" w:hAnsi="Courier New" w:eastAsia="宋体" w:cs="Courier New"/>
      <w:sz w:val="21"/>
      <w:szCs w:val="21"/>
    </w:rPr>
  </w:style>
  <w:style w:type="character" w:customStyle="1" w:styleId="35">
    <w:name w:val="页眉 Char"/>
    <w:link w:val="12"/>
    <w:semiHidden/>
    <w:qFormat/>
    <w:uiPriority w:val="99"/>
    <w:rPr>
      <w:rFonts w:ascii="Tahoma" w:hAnsi="Tahoma"/>
      <w:sz w:val="18"/>
      <w:szCs w:val="18"/>
    </w:rPr>
  </w:style>
  <w:style w:type="character" w:customStyle="1" w:styleId="36">
    <w:name w:val="*正文 Char"/>
    <w:link w:val="37"/>
    <w:qFormat/>
    <w:uiPriority w:val="0"/>
    <w:rPr>
      <w:rFonts w:ascii="宋体" w:hAnsi="宋体" w:eastAsia="仿宋_GB2312"/>
      <w:sz w:val="32"/>
    </w:rPr>
  </w:style>
  <w:style w:type="paragraph" w:customStyle="1" w:styleId="37">
    <w:name w:val="*正文"/>
    <w:basedOn w:val="1"/>
    <w:link w:val="36"/>
    <w:qFormat/>
    <w:uiPriority w:val="0"/>
    <w:pPr>
      <w:widowControl w:val="0"/>
      <w:adjustRightInd/>
      <w:snapToGrid/>
      <w:spacing w:after="0" w:line="580" w:lineRule="exact"/>
      <w:ind w:firstLine="200" w:firstLineChars="200"/>
      <w:jc w:val="both"/>
    </w:pPr>
    <w:rPr>
      <w:rFonts w:ascii="宋体" w:hAnsi="宋体" w:eastAsia="仿宋_GB2312"/>
      <w:sz w:val="32"/>
      <w:szCs w:val="20"/>
    </w:rPr>
  </w:style>
  <w:style w:type="character" w:customStyle="1" w:styleId="38">
    <w:name w:val="页脚 Char"/>
    <w:link w:val="11"/>
    <w:semiHidden/>
    <w:qFormat/>
    <w:uiPriority w:val="99"/>
    <w:rPr>
      <w:rFonts w:ascii="Tahoma" w:hAnsi="Tahoma"/>
      <w:sz w:val="18"/>
      <w:szCs w:val="18"/>
    </w:rPr>
  </w:style>
  <w:style w:type="character" w:customStyle="1" w:styleId="39">
    <w:name w:val="列出段落 Char"/>
    <w:link w:val="40"/>
    <w:qFormat/>
    <w:locked/>
    <w:uiPriority w:val="34"/>
    <w:rPr>
      <w:rFonts w:ascii="Calibri" w:hAnsi="Calibri" w:eastAsia="宋体" w:cs="Times New Roman"/>
      <w:kern w:val="2"/>
      <w:sz w:val="21"/>
      <w:szCs w:val="20"/>
    </w:rPr>
  </w:style>
  <w:style w:type="paragraph" w:styleId="40">
    <w:name w:val="List Paragraph"/>
    <w:basedOn w:val="1"/>
    <w:link w:val="39"/>
    <w:qFormat/>
    <w:uiPriority w:val="34"/>
    <w:pPr>
      <w:widowControl w:val="0"/>
      <w:adjustRightInd/>
      <w:snapToGrid/>
      <w:spacing w:after="0"/>
      <w:ind w:firstLine="420" w:firstLineChars="200"/>
      <w:jc w:val="both"/>
    </w:pPr>
    <w:rPr>
      <w:rFonts w:ascii="Calibri" w:hAnsi="Calibri"/>
      <w:kern w:val="2"/>
      <w:sz w:val="21"/>
      <w:szCs w:val="20"/>
    </w:rPr>
  </w:style>
  <w:style w:type="character" w:customStyle="1" w:styleId="41">
    <w:name w:val="正文缩进 Char"/>
    <w:link w:val="6"/>
    <w:qFormat/>
    <w:uiPriority w:val="0"/>
    <w:rPr>
      <w:kern w:val="2"/>
      <w:sz w:val="21"/>
    </w:rPr>
  </w:style>
  <w:style w:type="character" w:customStyle="1" w:styleId="42">
    <w:name w:val="标题 3 Char1"/>
    <w:link w:val="5"/>
    <w:qFormat/>
    <w:uiPriority w:val="99"/>
    <w:rPr>
      <w:rFonts w:ascii="Times New Roman" w:hAnsi="黑体" w:eastAsia="黑体"/>
      <w:kern w:val="2"/>
      <w:sz w:val="24"/>
    </w:rPr>
  </w:style>
  <w:style w:type="character" w:customStyle="1" w:styleId="43">
    <w:name w:val="font21"/>
    <w:qFormat/>
    <w:uiPriority w:val="0"/>
    <w:rPr>
      <w:rFonts w:hint="default" w:ascii="Times New Roman" w:hAnsi="Times New Roman" w:cs="Times New Roman"/>
      <w:color w:val="000000"/>
      <w:sz w:val="24"/>
      <w:szCs w:val="24"/>
      <w:u w:val="none"/>
    </w:rPr>
  </w:style>
  <w:style w:type="paragraph" w:customStyle="1" w:styleId="44">
    <w:name w:val="首行缩进"/>
    <w:basedOn w:val="1"/>
    <w:qFormat/>
    <w:uiPriority w:val="0"/>
    <w:pPr>
      <w:widowControl w:val="0"/>
      <w:adjustRightInd/>
      <w:snapToGrid/>
      <w:spacing w:after="0"/>
      <w:ind w:firstLine="480" w:firstLineChars="200"/>
      <w:jc w:val="both"/>
    </w:pPr>
    <w:rPr>
      <w:rFonts w:ascii="Times New Roman" w:hAnsi="Times New Roman"/>
      <w:kern w:val="2"/>
      <w:sz w:val="21"/>
      <w:szCs w:val="24"/>
      <w:lang w:val="zh-CN"/>
    </w:rPr>
  </w:style>
  <w:style w:type="paragraph" w:customStyle="1" w:styleId="45">
    <w:name w:val="BodyTextIndent"/>
    <w:basedOn w:val="1"/>
    <w:next w:val="46"/>
    <w:qFormat/>
    <w:uiPriority w:val="0"/>
    <w:pPr>
      <w:ind w:firstLine="480"/>
      <w:jc w:val="both"/>
      <w:textAlignment w:val="baseline"/>
    </w:pPr>
    <w:rPr>
      <w:rFonts w:eastAsia="楷体_GB2312"/>
      <w:kern w:val="2"/>
      <w:sz w:val="24"/>
    </w:rPr>
  </w:style>
  <w:style w:type="paragraph" w:customStyle="1" w:styleId="46">
    <w:name w:val="EnvelopeReturn"/>
    <w:basedOn w:val="1"/>
    <w:qFormat/>
    <w:uiPriority w:val="0"/>
    <w:pPr>
      <w:jc w:val="both"/>
      <w:textAlignment w:val="baseline"/>
    </w:pPr>
    <w:rPr>
      <w:rFonts w:ascii="Arial" w:hAnsi="Arial" w:eastAsia="楷体_GB2312"/>
      <w:kern w:val="2"/>
      <w:sz w:val="26"/>
    </w:rPr>
  </w:style>
  <w:style w:type="paragraph" w:customStyle="1" w:styleId="47">
    <w:name w:val="普通(网站) Char"/>
    <w:basedOn w:val="1"/>
    <w:qFormat/>
    <w:uiPriority w:val="99"/>
    <w:pPr>
      <w:adjustRightInd/>
      <w:snapToGrid/>
      <w:spacing w:before="100" w:beforeAutospacing="1" w:after="100" w:afterAutospacing="1"/>
    </w:pPr>
    <w:rPr>
      <w:rFonts w:ascii="宋体" w:hAnsi="宋体" w:cs="宋体"/>
      <w:sz w:val="24"/>
    </w:rPr>
  </w:style>
  <w:style w:type="paragraph" w:customStyle="1" w:styleId="48">
    <w:name w:val="普通正文"/>
    <w:basedOn w:val="1"/>
    <w:qFormat/>
    <w:uiPriority w:val="0"/>
    <w:pPr>
      <w:spacing w:before="120" w:after="120" w:line="360" w:lineRule="auto"/>
      <w:ind w:firstLine="480"/>
      <w:textAlignment w:val="baseline"/>
    </w:pPr>
    <w:rPr>
      <w:rFonts w:ascii="Arial" w:hAnsi="Arial"/>
      <w:sz w:val="24"/>
      <w:szCs w:val="24"/>
    </w:rPr>
  </w:style>
  <w:style w:type="paragraph" w:customStyle="1" w:styleId="49">
    <w:name w:val="无间隔1"/>
    <w:qFormat/>
    <w:uiPriority w:val="0"/>
    <w:pPr>
      <w:widowControl w:val="0"/>
      <w:spacing w:line="300" w:lineRule="auto"/>
    </w:pPr>
    <w:rPr>
      <w:rFonts w:ascii="Times New Roman" w:hAnsi="Times New Roman" w:eastAsia="华文仿宋" w:cs="Times New Roman"/>
      <w:kern w:val="2"/>
      <w:sz w:val="24"/>
      <w:szCs w:val="21"/>
      <w:lang w:val="en-US" w:eastAsia="zh-CN" w:bidi="ar-SA"/>
    </w:rPr>
  </w:style>
  <w:style w:type="paragraph" w:customStyle="1" w:styleId="50">
    <w:name w:val="Default"/>
    <w:qFormat/>
    <w:uiPriority w:val="0"/>
    <w:pPr>
      <w:autoSpaceDE w:val="0"/>
      <w:autoSpaceDN w:val="0"/>
    </w:pPr>
    <w:rPr>
      <w:rFonts w:ascii="Arial,Bold" w:hAnsi="Arial,Bold" w:eastAsia="PMingLiU" w:cs="Times New Roman"/>
      <w:lang w:val="en-US" w:eastAsia="en-US" w:bidi="ar-SA"/>
    </w:rPr>
  </w:style>
  <w:style w:type="paragraph" w:customStyle="1" w:styleId="51">
    <w:name w:val="样式 首行缩进:  0 字符"/>
    <w:basedOn w:val="1"/>
    <w:qFormat/>
    <w:uiPriority w:val="0"/>
    <w:pPr>
      <w:widowControl w:val="0"/>
      <w:adjustRightInd/>
      <w:snapToGrid/>
      <w:spacing w:after="0" w:line="360" w:lineRule="auto"/>
      <w:jc w:val="both"/>
    </w:pPr>
    <w:rPr>
      <w:rFonts w:ascii="Arial" w:hAnsi="Arial" w:cs="宋体"/>
      <w:kern w:val="2"/>
      <w:sz w:val="24"/>
      <w:szCs w:val="20"/>
    </w:rPr>
  </w:style>
  <w:style w:type="paragraph" w:customStyle="1" w:styleId="52">
    <w:name w:val="列出段落1"/>
    <w:basedOn w:val="1"/>
    <w:qFormat/>
    <w:uiPriority w:val="0"/>
    <w:pPr>
      <w:ind w:firstLine="200" w:firstLineChars="200"/>
    </w:pPr>
    <w:rPr>
      <w:rFonts w:ascii="Calibri" w:hAnsi="Calibri"/>
    </w:rPr>
  </w:style>
  <w:style w:type="paragraph" w:customStyle="1" w:styleId="53">
    <w:name w:val="BodyText1I2"/>
    <w:basedOn w:val="45"/>
    <w:qFormat/>
    <w:uiPriority w:val="0"/>
    <w:pPr>
      <w:ind w:firstLine="420" w:firstLineChars="200"/>
    </w:pPr>
  </w:style>
  <w:style w:type="character" w:customStyle="1" w:styleId="54">
    <w:name w:val="批注框文本 Char"/>
    <w:basedOn w:val="19"/>
    <w:link w:val="10"/>
    <w:semiHidden/>
    <w:qFormat/>
    <w:uiPriority w:val="99"/>
    <w:rPr>
      <w:rFonts w:ascii="Tahoma" w:hAnsi="Tahoma"/>
      <w:sz w:val="18"/>
      <w:szCs w:val="18"/>
    </w:rPr>
  </w:style>
  <w:style w:type="paragraph" w:customStyle="1" w:styleId="55">
    <w:name w:val="段"/>
    <w:next w:val="1"/>
    <w:qFormat/>
    <w:uiPriority w:val="0"/>
    <w:pPr>
      <w:autoSpaceDE w:val="0"/>
      <w:autoSpaceDN w:val="0"/>
      <w:ind w:firstLine="200" w:firstLineChars="200"/>
      <w:jc w:val="both"/>
    </w:pPr>
    <w:rPr>
      <w:rFonts w:ascii="宋体" w:hAnsi="Times New Roman" w:eastAsia="Times New Roman"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23</Pages>
  <Words>6876</Words>
  <Characters>7384</Characters>
  <Lines>62</Lines>
  <Paragraphs>17</Paragraphs>
  <TotalTime>10</TotalTime>
  <ScaleCrop>false</ScaleCrop>
  <LinksUpToDate>false</LinksUpToDate>
  <CharactersWithSpaces>7461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2021-03-09T04:59:00Z</dcterms:created>
  <dc:creator>Administrator</dc:creator>
  <cp:lastModifiedBy>钱勇</cp:lastModifiedBy>
  <cp:lastPrinted>2021-03-09T04:59:00Z</cp:lastPrinted>
  <dcterms:modified xsi:type="dcterms:W3CDTF">2025-01-20T02:30:14Z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B8F548DC02F04D26B25186A0A487731F_13</vt:lpwstr>
  </property>
  <property fmtid="{D5CDD505-2E9C-101B-9397-08002B2CF9AE}" pid="4" name="KSOTemplateDocerSaveRecord">
    <vt:lpwstr>eyJoZGlkIjoiMjAwYjMyNGU3YWFjZTc2ZmUwNjE4ZTExNGVlMDQ5NGEiLCJ1c2VySWQiOiIxMzAwNzM1NTA1In0=</vt:lpwstr>
  </property>
</Properties>
</file>