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92" w:rsidRDefault="00FA4D92" w:rsidP="00FA4D92">
      <w:pPr>
        <w:widowControl/>
        <w:jc w:val="left"/>
        <w:rPr>
          <w:rFonts w:hint="eastAsia"/>
        </w:rPr>
      </w:pPr>
      <w:r>
        <w:rPr>
          <w:rFonts w:hint="eastAsia"/>
        </w:rPr>
        <w:t>附页：</w:t>
      </w:r>
    </w:p>
    <w:tbl>
      <w:tblPr>
        <w:tblpPr w:leftFromText="180" w:rightFromText="180" w:vertAnchor="page" w:horzAnchor="page" w:tblpX="1762" w:tblpY="29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517"/>
        <w:gridCol w:w="1558"/>
        <w:gridCol w:w="720"/>
        <w:gridCol w:w="675"/>
        <w:gridCol w:w="2488"/>
      </w:tblGrid>
      <w:tr w:rsidR="00FA4D92" w:rsidTr="00456CBB">
        <w:trPr>
          <w:trHeight w:val="574"/>
        </w:trPr>
        <w:tc>
          <w:tcPr>
            <w:tcW w:w="663" w:type="dxa"/>
          </w:tcPr>
          <w:p w:rsidR="00FA4D92" w:rsidRDefault="00FA4D92" w:rsidP="00456CB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17" w:type="dxa"/>
          </w:tcPr>
          <w:p w:rsidR="00FA4D92" w:rsidRDefault="00FA4D92" w:rsidP="00456CB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58" w:type="dxa"/>
          </w:tcPr>
          <w:p w:rsidR="00FA4D92" w:rsidRDefault="00FA4D92" w:rsidP="00456CBB">
            <w:pPr>
              <w:jc w:val="center"/>
            </w:pPr>
            <w:r>
              <w:rPr>
                <w:rFonts w:hint="eastAsia"/>
              </w:rPr>
              <w:t>推荐品牌</w:t>
            </w:r>
          </w:p>
        </w:tc>
        <w:tc>
          <w:tcPr>
            <w:tcW w:w="720" w:type="dxa"/>
          </w:tcPr>
          <w:p w:rsidR="00FA4D92" w:rsidRDefault="00FA4D92" w:rsidP="00456CBB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675" w:type="dxa"/>
          </w:tcPr>
          <w:p w:rsidR="00FA4D92" w:rsidRDefault="00FA4D92" w:rsidP="00456CB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88" w:type="dxa"/>
          </w:tcPr>
          <w:p w:rsidR="00FA4D92" w:rsidRDefault="00FA4D92" w:rsidP="00456CB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A4D92" w:rsidTr="00456CBB">
        <w:trPr>
          <w:trHeight w:val="857"/>
        </w:trPr>
        <w:tc>
          <w:tcPr>
            <w:tcW w:w="663" w:type="dxa"/>
          </w:tcPr>
          <w:p w:rsidR="00FA4D92" w:rsidRDefault="00FA4D92" w:rsidP="00456CBB">
            <w:pPr>
              <w:jc w:val="center"/>
            </w:pPr>
            <w:r>
              <w:t>1</w:t>
            </w:r>
          </w:p>
        </w:tc>
        <w:tc>
          <w:tcPr>
            <w:tcW w:w="1517" w:type="dxa"/>
          </w:tcPr>
          <w:p w:rsidR="00FA4D92" w:rsidRDefault="00FA4D92" w:rsidP="00456CBB">
            <w:r>
              <w:rPr>
                <w:rFonts w:hint="eastAsia"/>
              </w:rPr>
              <w:t>局域网联网门禁</w:t>
            </w:r>
          </w:p>
        </w:tc>
        <w:tc>
          <w:tcPr>
            <w:tcW w:w="1558" w:type="dxa"/>
            <w:vAlign w:val="center"/>
          </w:tcPr>
          <w:p w:rsidR="00FA4D92" w:rsidRDefault="00FA4D92" w:rsidP="00456CBB">
            <w:pPr>
              <w:jc w:val="center"/>
            </w:pPr>
            <w:r>
              <w:rPr>
                <w:rFonts w:hint="eastAsia"/>
              </w:rPr>
              <w:t>德立云，</w:t>
            </w:r>
            <w:proofErr w:type="gramStart"/>
            <w:r>
              <w:rPr>
                <w:rFonts w:hint="eastAsia"/>
              </w:rPr>
              <w:t>银达汇智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博思高</w:t>
            </w:r>
            <w:proofErr w:type="gramEnd"/>
          </w:p>
        </w:tc>
        <w:tc>
          <w:tcPr>
            <w:tcW w:w="720" w:type="dxa"/>
            <w:vAlign w:val="center"/>
          </w:tcPr>
          <w:p w:rsidR="00FA4D92" w:rsidRDefault="00FA4D92" w:rsidP="00456CBB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675" w:type="dxa"/>
            <w:vAlign w:val="center"/>
          </w:tcPr>
          <w:p w:rsidR="00FA4D92" w:rsidRDefault="00FA4D92" w:rsidP="00456CBB">
            <w:pPr>
              <w:jc w:val="center"/>
            </w:pPr>
            <w:r>
              <w:t>30</w:t>
            </w:r>
          </w:p>
        </w:tc>
        <w:tc>
          <w:tcPr>
            <w:tcW w:w="2488" w:type="dxa"/>
            <w:vAlign w:val="center"/>
          </w:tcPr>
          <w:p w:rsidR="00FA4D92" w:rsidRDefault="00FA4D92" w:rsidP="00456CBB">
            <w:pPr>
              <w:jc w:val="center"/>
            </w:pPr>
            <w:r>
              <w:rPr>
                <w:rFonts w:hint="eastAsia"/>
              </w:rPr>
              <w:t>公共场馆室门（</w:t>
            </w:r>
            <w:proofErr w:type="gramStart"/>
            <w:r>
              <w:rPr>
                <w:rFonts w:hint="eastAsia"/>
              </w:rPr>
              <w:t>明细见</w:t>
            </w:r>
            <w:proofErr w:type="gramEnd"/>
            <w:r>
              <w:rPr>
                <w:rFonts w:hint="eastAsia"/>
              </w:rPr>
              <w:t>下表）</w:t>
            </w:r>
          </w:p>
        </w:tc>
      </w:tr>
      <w:tr w:rsidR="00FA4D92" w:rsidTr="00456CBB">
        <w:trPr>
          <w:trHeight w:val="866"/>
        </w:trPr>
        <w:tc>
          <w:tcPr>
            <w:tcW w:w="663" w:type="dxa"/>
            <w:vAlign w:val="center"/>
          </w:tcPr>
          <w:p w:rsidR="00FA4D92" w:rsidRDefault="00FA4D92" w:rsidP="00456CBB">
            <w:pPr>
              <w:jc w:val="center"/>
            </w:pPr>
            <w:r>
              <w:t>2</w:t>
            </w:r>
          </w:p>
        </w:tc>
        <w:tc>
          <w:tcPr>
            <w:tcW w:w="1517" w:type="dxa"/>
            <w:vAlign w:val="center"/>
          </w:tcPr>
          <w:p w:rsidR="00FA4D92" w:rsidRDefault="00FA4D92" w:rsidP="00456CBB">
            <w:r>
              <w:rPr>
                <w:rFonts w:hint="eastAsia"/>
              </w:rPr>
              <w:t>访客系统</w:t>
            </w:r>
          </w:p>
        </w:tc>
        <w:tc>
          <w:tcPr>
            <w:tcW w:w="1558" w:type="dxa"/>
            <w:vAlign w:val="center"/>
          </w:tcPr>
          <w:p w:rsidR="00FA4D92" w:rsidRDefault="00FA4D92" w:rsidP="00456CBB">
            <w:pPr>
              <w:widowControl/>
              <w:jc w:val="center"/>
            </w:pPr>
            <w:r>
              <w:rPr>
                <w:rFonts w:hint="eastAsia"/>
              </w:rPr>
              <w:t>德立云，</w:t>
            </w:r>
            <w:proofErr w:type="gramStart"/>
            <w:r>
              <w:rPr>
                <w:rFonts w:hint="eastAsia"/>
              </w:rPr>
              <w:t>银达汇智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博思高</w:t>
            </w:r>
            <w:proofErr w:type="gramEnd"/>
          </w:p>
        </w:tc>
        <w:tc>
          <w:tcPr>
            <w:tcW w:w="720" w:type="dxa"/>
            <w:vAlign w:val="center"/>
          </w:tcPr>
          <w:p w:rsidR="00FA4D92" w:rsidRDefault="00FA4D92" w:rsidP="00456CBB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675" w:type="dxa"/>
            <w:vAlign w:val="center"/>
          </w:tcPr>
          <w:p w:rsidR="00FA4D92" w:rsidRDefault="00FA4D92" w:rsidP="00456CB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88" w:type="dxa"/>
            <w:vAlign w:val="center"/>
          </w:tcPr>
          <w:p w:rsidR="00FA4D92" w:rsidRDefault="00FA4D92" w:rsidP="00456CBB">
            <w:r>
              <w:rPr>
                <w:rFonts w:hint="eastAsia"/>
              </w:rPr>
              <w:t>学校大门访客管理，须有公安部门备案或公安部门出具的检测报告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中标签订合同时提供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</w:tbl>
    <w:p w:rsidR="00FA4D92" w:rsidRDefault="00FA4D92" w:rsidP="00FA4D92">
      <w:pPr>
        <w:jc w:val="center"/>
        <w:rPr>
          <w:rFonts w:ascii="楷体_GB2312" w:eastAsia="楷体_GB2312" w:hAnsi="仿宋_GB2312" w:cs="仿宋_GB2312"/>
          <w:b/>
          <w:bCs/>
          <w:w w:val="90"/>
          <w:kern w:val="0"/>
          <w:sz w:val="32"/>
          <w:szCs w:val="36"/>
        </w:rPr>
      </w:pPr>
      <w:r>
        <w:rPr>
          <w:rFonts w:ascii="楷体_GB2312" w:eastAsia="楷体_GB2312" w:hAnsi="仿宋_GB2312" w:cs="仿宋_GB2312" w:hint="eastAsia"/>
          <w:b/>
          <w:bCs/>
          <w:w w:val="90"/>
          <w:kern w:val="0"/>
          <w:sz w:val="32"/>
          <w:szCs w:val="36"/>
        </w:rPr>
        <w:t>南通西藏民族中学门禁与访客系统采购项目需求与参数</w:t>
      </w:r>
    </w:p>
    <w:p w:rsidR="00FA4D92" w:rsidRDefault="00FA4D92" w:rsidP="00FA4D92">
      <w:pPr>
        <w:numPr>
          <w:ilvl w:val="0"/>
          <w:numId w:val="1"/>
        </w:numPr>
        <w:rPr>
          <w:rFonts w:ascii="楷体_GB2312" w:eastAsia="楷体_GB2312" w:hAnsi="仿宋_GB2312" w:cs="仿宋_GB2312"/>
          <w:b/>
          <w:bCs/>
          <w:w w:val="90"/>
          <w:kern w:val="0"/>
          <w:sz w:val="32"/>
          <w:szCs w:val="36"/>
        </w:rPr>
      </w:pPr>
      <w:r>
        <w:rPr>
          <w:rFonts w:ascii="楷体_GB2312" w:eastAsia="楷体_GB2312" w:hAnsi="仿宋_GB2312" w:cs="仿宋_GB2312" w:hint="eastAsia"/>
          <w:b/>
          <w:bCs/>
          <w:w w:val="90"/>
          <w:kern w:val="0"/>
          <w:sz w:val="32"/>
          <w:szCs w:val="36"/>
        </w:rPr>
        <w:t>项目需求</w:t>
      </w:r>
    </w:p>
    <w:p w:rsidR="00FA4D92" w:rsidRDefault="00FA4D92" w:rsidP="00FA4D92"/>
    <w:p w:rsidR="00FA4D92" w:rsidRDefault="00FA4D92" w:rsidP="00FA4D92"/>
    <w:p w:rsidR="00FA4D92" w:rsidRDefault="00FA4D92" w:rsidP="00FA4D92"/>
    <w:p w:rsidR="00FA4D92" w:rsidRDefault="00FA4D92" w:rsidP="00FA4D92"/>
    <w:p w:rsidR="00FA4D92" w:rsidRDefault="00FA4D92" w:rsidP="00FA4D92"/>
    <w:p w:rsidR="00FA4D92" w:rsidRDefault="00FA4D92" w:rsidP="00FA4D92"/>
    <w:p w:rsidR="00FA4D92" w:rsidRDefault="00FA4D92" w:rsidP="00FA4D92"/>
    <w:p w:rsidR="00FA4D92" w:rsidRDefault="00FA4D92" w:rsidP="00FA4D92"/>
    <w:p w:rsidR="00FA4D92" w:rsidRDefault="00FA4D92" w:rsidP="00FA4D92">
      <w:pPr>
        <w:rPr>
          <w:rFonts w:hint="eastAsia"/>
        </w:rPr>
      </w:pPr>
    </w:p>
    <w:p w:rsidR="00FA4D92" w:rsidRDefault="00FA4D92" w:rsidP="00FA4D92"/>
    <w:p w:rsidR="00FA4D92" w:rsidRDefault="00FA4D92" w:rsidP="00FA4D92">
      <w:pPr>
        <w:rPr>
          <w:rFonts w:ascii="楷体_GB2312" w:eastAsia="楷体_GB2312" w:hAnsi="仿宋_GB2312" w:cs="仿宋_GB2312"/>
          <w:b/>
          <w:bCs/>
          <w:w w:val="90"/>
          <w:kern w:val="0"/>
          <w:sz w:val="32"/>
          <w:szCs w:val="36"/>
        </w:rPr>
      </w:pPr>
      <w:r>
        <w:rPr>
          <w:rFonts w:hint="eastAsia"/>
        </w:rPr>
        <w:t>公共</w:t>
      </w:r>
      <w:proofErr w:type="gramStart"/>
      <w:r>
        <w:rPr>
          <w:rFonts w:hint="eastAsia"/>
        </w:rPr>
        <w:t>场馆室</w:t>
      </w:r>
      <w:proofErr w:type="gramEnd"/>
      <w:r>
        <w:rPr>
          <w:rFonts w:hint="eastAsia"/>
        </w:rPr>
        <w:t>门禁安装位置及数量如下：</w:t>
      </w:r>
      <w:r>
        <w:rPr>
          <w:rFonts w:ascii="楷体_GB2312" w:eastAsia="楷体_GB2312" w:hAnsi="仿宋_GB2312" w:cs="仿宋_GB2312" w:hint="eastAsia"/>
          <w:b/>
          <w:bCs/>
          <w:w w:val="90"/>
          <w:kern w:val="0"/>
          <w:sz w:val="32"/>
          <w:szCs w:val="36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552"/>
        <w:gridCol w:w="992"/>
      </w:tblGrid>
      <w:tr w:rsidR="00FA4D92" w:rsidTr="00456CBB">
        <w:tc>
          <w:tcPr>
            <w:tcW w:w="124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b/>
                <w:bCs/>
                <w:w w:val="90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b/>
                <w:bCs/>
                <w:w w:val="90"/>
                <w:sz w:val="28"/>
                <w:szCs w:val="28"/>
              </w:rPr>
              <w:t>地点</w:t>
            </w:r>
          </w:p>
        </w:tc>
        <w:tc>
          <w:tcPr>
            <w:tcW w:w="255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b/>
                <w:bCs/>
                <w:w w:val="90"/>
                <w:sz w:val="28"/>
                <w:szCs w:val="28"/>
              </w:rPr>
              <w:t>名称</w:t>
            </w:r>
          </w:p>
        </w:tc>
        <w:tc>
          <w:tcPr>
            <w:tcW w:w="99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ascii="楷体_GB2312" w:eastAsia="楷体_GB2312" w:hAnsi="仿宋_GB2312" w:cs="仿宋_GB2312" w:hint="eastAsia"/>
                <w:b/>
                <w:bCs/>
                <w:w w:val="90"/>
                <w:sz w:val="28"/>
                <w:szCs w:val="28"/>
              </w:rPr>
              <w:t>数量</w:t>
            </w:r>
          </w:p>
        </w:tc>
      </w:tr>
      <w:tr w:rsidR="00FA4D92" w:rsidTr="00456CBB">
        <w:tc>
          <w:tcPr>
            <w:tcW w:w="124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1</w:t>
            </w:r>
          </w:p>
        </w:tc>
        <w:tc>
          <w:tcPr>
            <w:tcW w:w="1276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德吉楼</w:t>
            </w:r>
          </w:p>
        </w:tc>
        <w:tc>
          <w:tcPr>
            <w:tcW w:w="255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一楼选修教室、办公室</w:t>
            </w:r>
          </w:p>
        </w:tc>
        <w:tc>
          <w:tcPr>
            <w:tcW w:w="99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/>
                <w:bCs/>
                <w:w w:val="90"/>
                <w:sz w:val="24"/>
              </w:rPr>
              <w:t>5</w:t>
            </w:r>
          </w:p>
        </w:tc>
      </w:tr>
      <w:tr w:rsidR="00FA4D92" w:rsidTr="00456CBB">
        <w:tc>
          <w:tcPr>
            <w:tcW w:w="124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2</w:t>
            </w:r>
          </w:p>
        </w:tc>
        <w:tc>
          <w:tcPr>
            <w:tcW w:w="1276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德吉楼</w:t>
            </w:r>
          </w:p>
        </w:tc>
        <w:tc>
          <w:tcPr>
            <w:tcW w:w="255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二楼报告厅</w:t>
            </w:r>
          </w:p>
        </w:tc>
        <w:tc>
          <w:tcPr>
            <w:tcW w:w="99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/>
                <w:bCs/>
                <w:w w:val="90"/>
                <w:sz w:val="24"/>
              </w:rPr>
              <w:t>3</w:t>
            </w:r>
          </w:p>
        </w:tc>
      </w:tr>
      <w:tr w:rsidR="00FA4D92" w:rsidTr="00456CBB">
        <w:tc>
          <w:tcPr>
            <w:tcW w:w="124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3</w:t>
            </w:r>
          </w:p>
        </w:tc>
        <w:tc>
          <w:tcPr>
            <w:tcW w:w="1276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德吉楼</w:t>
            </w:r>
          </w:p>
        </w:tc>
        <w:tc>
          <w:tcPr>
            <w:tcW w:w="255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三楼琴房及教室校园电视台</w:t>
            </w:r>
          </w:p>
        </w:tc>
        <w:tc>
          <w:tcPr>
            <w:tcW w:w="99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/>
                <w:bCs/>
                <w:w w:val="90"/>
                <w:sz w:val="24"/>
              </w:rPr>
              <w:t>8</w:t>
            </w:r>
          </w:p>
        </w:tc>
      </w:tr>
      <w:tr w:rsidR="00FA4D92" w:rsidTr="00456CBB">
        <w:tc>
          <w:tcPr>
            <w:tcW w:w="1242" w:type="dxa"/>
            <w:vAlign w:val="center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德吉楼</w:t>
            </w:r>
          </w:p>
        </w:tc>
        <w:tc>
          <w:tcPr>
            <w:tcW w:w="2552" w:type="dxa"/>
            <w:vAlign w:val="center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四楼党员、电子阅览、接待室</w:t>
            </w:r>
          </w:p>
        </w:tc>
        <w:tc>
          <w:tcPr>
            <w:tcW w:w="992" w:type="dxa"/>
            <w:vAlign w:val="center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/>
                <w:bCs/>
                <w:w w:val="90"/>
                <w:sz w:val="24"/>
              </w:rPr>
              <w:t>4</w:t>
            </w:r>
          </w:p>
        </w:tc>
      </w:tr>
      <w:tr w:rsidR="00FA4D92" w:rsidTr="00456CBB">
        <w:tc>
          <w:tcPr>
            <w:tcW w:w="124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5</w:t>
            </w:r>
          </w:p>
        </w:tc>
        <w:tc>
          <w:tcPr>
            <w:tcW w:w="1276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德吉楼</w:t>
            </w:r>
          </w:p>
        </w:tc>
        <w:tc>
          <w:tcPr>
            <w:tcW w:w="255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五楼舞蹈室、机房</w:t>
            </w:r>
          </w:p>
        </w:tc>
        <w:tc>
          <w:tcPr>
            <w:tcW w:w="99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/>
                <w:bCs/>
                <w:w w:val="90"/>
                <w:sz w:val="24"/>
              </w:rPr>
              <w:t>9</w:t>
            </w:r>
          </w:p>
        </w:tc>
      </w:tr>
      <w:tr w:rsidR="00FA4D92" w:rsidTr="00456CBB">
        <w:tc>
          <w:tcPr>
            <w:tcW w:w="124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/>
                <w:bCs/>
                <w:w w:val="90"/>
                <w:sz w:val="24"/>
              </w:rPr>
              <w:t>6</w:t>
            </w:r>
          </w:p>
        </w:tc>
        <w:tc>
          <w:tcPr>
            <w:tcW w:w="1276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广播室</w:t>
            </w:r>
          </w:p>
        </w:tc>
        <w:tc>
          <w:tcPr>
            <w:tcW w:w="255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广播室</w:t>
            </w:r>
          </w:p>
        </w:tc>
        <w:tc>
          <w:tcPr>
            <w:tcW w:w="99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/>
                <w:bCs/>
                <w:w w:val="90"/>
                <w:sz w:val="24"/>
              </w:rPr>
              <w:t>1</w:t>
            </w:r>
          </w:p>
        </w:tc>
      </w:tr>
      <w:tr w:rsidR="00FA4D92" w:rsidTr="00456CBB">
        <w:tc>
          <w:tcPr>
            <w:tcW w:w="5070" w:type="dxa"/>
            <w:gridSpan w:val="3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Cs/>
                <w:w w:val="90"/>
                <w:sz w:val="24"/>
              </w:rPr>
              <w:t>合计门禁数量</w:t>
            </w:r>
          </w:p>
        </w:tc>
        <w:tc>
          <w:tcPr>
            <w:tcW w:w="992" w:type="dxa"/>
          </w:tcPr>
          <w:p w:rsidR="00FA4D92" w:rsidRDefault="00FA4D92" w:rsidP="00456CBB">
            <w:pPr>
              <w:jc w:val="center"/>
              <w:rPr>
                <w:rFonts w:ascii="楷体_GB2312" w:eastAsia="楷体_GB2312" w:hAnsi="仿宋_GB2312" w:cs="仿宋_GB2312"/>
                <w:bCs/>
                <w:w w:val="90"/>
                <w:sz w:val="24"/>
              </w:rPr>
            </w:pPr>
            <w:r>
              <w:rPr>
                <w:rFonts w:ascii="楷体_GB2312" w:eastAsia="楷体_GB2312" w:hAnsi="仿宋_GB2312" w:cs="仿宋_GB2312"/>
                <w:bCs/>
                <w:w w:val="90"/>
                <w:sz w:val="24"/>
              </w:rPr>
              <w:t>30</w:t>
            </w:r>
          </w:p>
        </w:tc>
      </w:tr>
    </w:tbl>
    <w:p w:rsidR="00FA4D92" w:rsidRDefault="00FA4D92" w:rsidP="00FA4D92">
      <w:pPr>
        <w:numPr>
          <w:ilvl w:val="0"/>
          <w:numId w:val="1"/>
        </w:numPr>
        <w:rPr>
          <w:rFonts w:ascii="楷体_GB2312" w:eastAsia="楷体_GB2312" w:hAnsi="仿宋_GB2312" w:cs="仿宋_GB2312"/>
          <w:b/>
          <w:bCs/>
          <w:w w:val="90"/>
          <w:kern w:val="0"/>
          <w:sz w:val="32"/>
          <w:szCs w:val="36"/>
        </w:rPr>
      </w:pPr>
      <w:r>
        <w:rPr>
          <w:rFonts w:ascii="楷体_GB2312" w:eastAsia="楷体_GB2312" w:hAnsi="仿宋_GB2312" w:cs="仿宋_GB2312" w:hint="eastAsia"/>
          <w:b/>
          <w:bCs/>
          <w:w w:val="90"/>
          <w:kern w:val="0"/>
          <w:sz w:val="32"/>
          <w:szCs w:val="36"/>
        </w:rPr>
        <w:t>参数及要求</w:t>
      </w:r>
    </w:p>
    <w:p w:rsidR="00FA4D92" w:rsidRDefault="00FA4D92" w:rsidP="00FA4D92">
      <w:bookmarkStart w:id="0" w:name="_Toc197326831"/>
      <w:bookmarkStart w:id="1" w:name="_Toc194386791"/>
      <w:r>
        <w:rPr>
          <w:rFonts w:hint="eastAsia"/>
        </w:rPr>
        <w:t>1</w:t>
      </w:r>
      <w:r>
        <w:rPr>
          <w:rFonts w:hint="eastAsia"/>
        </w:rPr>
        <w:t>、局域网联网门禁</w:t>
      </w:r>
    </w:p>
    <w:p w:rsidR="00FA4D92" w:rsidRDefault="00FA4D92" w:rsidP="00FA4D92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（1)</w:t>
      </w:r>
      <w:bookmarkEnd w:id="0"/>
      <w:bookmarkEnd w:id="1"/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  <w:sz w:val="24"/>
        </w:rPr>
        <w:t>门禁控制器</w:t>
      </w:r>
    </w:p>
    <w:p w:rsidR="00FA4D92" w:rsidRDefault="00FA4D92" w:rsidP="00FA4D92">
      <w:pPr>
        <w:rPr>
          <w:rStyle w:val="bule1"/>
          <w:rFonts w:ascii="宋体" w:hAnsi="宋体"/>
          <w:szCs w:val="21"/>
        </w:rPr>
      </w:pPr>
      <w:bookmarkStart w:id="2" w:name="_Toc168061094"/>
      <w:r>
        <w:rPr>
          <w:rStyle w:val="bule1"/>
          <w:rFonts w:ascii="宋体" w:hAnsi="宋体" w:hint="eastAsia"/>
          <w:szCs w:val="21"/>
        </w:rPr>
        <w:t>门禁控制器是门禁系统的核心部件，功能与性能要求：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bookmarkStart w:id="3" w:name="_Toc194345562"/>
      <w:bookmarkStart w:id="4" w:name="_Toc197326833"/>
      <w:bookmarkStart w:id="5" w:name="_Toc194343604"/>
      <w:bookmarkStart w:id="6" w:name="_Toc194386793"/>
      <w:bookmarkStart w:id="7" w:name="_Toc194343101"/>
      <w:bookmarkStart w:id="8" w:name="_Toc168061095"/>
      <w:bookmarkStart w:id="9" w:name="_Toc197326840"/>
      <w:bookmarkStart w:id="10" w:name="_Toc192996650"/>
      <w:bookmarkEnd w:id="2"/>
      <w:r>
        <w:rPr>
          <w:rFonts w:ascii="宋体" w:hAnsi="宋体" w:hint="eastAsia"/>
          <w:szCs w:val="21"/>
        </w:rPr>
        <w:t>最少</w:t>
      </w:r>
      <w:proofErr w:type="gramStart"/>
      <w:r>
        <w:rPr>
          <w:rFonts w:ascii="宋体" w:hAnsi="宋体" w:hint="eastAsia"/>
          <w:szCs w:val="21"/>
        </w:rPr>
        <w:t>两路韦根读卡</w:t>
      </w:r>
      <w:proofErr w:type="gramEnd"/>
      <w:r>
        <w:rPr>
          <w:rFonts w:ascii="宋体" w:hAnsi="宋体" w:hint="eastAsia"/>
          <w:szCs w:val="21"/>
        </w:rPr>
        <w:t>器输入接口、一路开门按钮、</w:t>
      </w:r>
      <w:proofErr w:type="gramStart"/>
      <w:r>
        <w:rPr>
          <w:rFonts w:ascii="宋体" w:hAnsi="宋体" w:hint="eastAsia"/>
          <w:szCs w:val="21"/>
        </w:rPr>
        <w:t>一路门磁信号</w:t>
      </w:r>
      <w:proofErr w:type="gramEnd"/>
      <w:r>
        <w:rPr>
          <w:rFonts w:ascii="宋体" w:hAnsi="宋体" w:hint="eastAsia"/>
          <w:szCs w:val="21"/>
        </w:rPr>
        <w:t>输入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最大用户注册卡数量10000张、最大脱机记录条数100000条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可通过刷卡、刷卡+密码、输入卡号+密码、超级密码、胁迫密码等方式开门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支持首卡开门</w:t>
      </w:r>
      <w:proofErr w:type="gramEnd"/>
      <w:r>
        <w:rPr>
          <w:rFonts w:ascii="宋体" w:hAnsi="宋体" w:hint="eastAsia"/>
          <w:szCs w:val="21"/>
        </w:rPr>
        <w:t>功能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可灵活控制电磁锁、</w:t>
      </w:r>
      <w:proofErr w:type="gramStart"/>
      <w:r>
        <w:rPr>
          <w:rFonts w:ascii="宋体" w:hAnsi="宋体" w:hint="eastAsia"/>
          <w:szCs w:val="21"/>
        </w:rPr>
        <w:t>电插锁</w:t>
      </w:r>
      <w:proofErr w:type="gramEnd"/>
      <w:r>
        <w:rPr>
          <w:rFonts w:ascii="宋体" w:hAnsi="宋体" w:hint="eastAsia"/>
          <w:szCs w:val="21"/>
        </w:rPr>
        <w:t>、电控锁等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开门延时1~600秒可调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可实现远程和强制开关门功能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可通过</w:t>
      </w:r>
      <w:r>
        <w:rPr>
          <w:rFonts w:ascii="宋体" w:hAnsi="宋体"/>
          <w:szCs w:val="21"/>
        </w:rPr>
        <w:t>TCP/IP</w:t>
      </w:r>
      <w:r>
        <w:rPr>
          <w:rFonts w:ascii="宋体" w:hAnsi="宋体" w:hint="eastAsia"/>
          <w:szCs w:val="21"/>
        </w:rPr>
        <w:t>方式与上位机电脑通信，局域网内可跨网段访问。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可通过U</w:t>
      </w:r>
      <w:proofErr w:type="gramStart"/>
      <w:r>
        <w:rPr>
          <w:rFonts w:ascii="宋体" w:hAnsi="宋体" w:hint="eastAsia"/>
          <w:szCs w:val="21"/>
        </w:rPr>
        <w:t>盘修改</w:t>
      </w:r>
      <w:proofErr w:type="gramEnd"/>
      <w:r>
        <w:rPr>
          <w:rFonts w:ascii="宋体" w:hAnsi="宋体" w:hint="eastAsia"/>
          <w:szCs w:val="21"/>
        </w:rPr>
        <w:t>设备的网络通讯参数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实现对门的时段管理，对用户的权限管理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支持胁迫报警、非法闯入报警、长时间未关门报警、非法卡报警等报警处理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可选配铅酸电池，使门控器不受断电影响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支持</w:t>
      </w:r>
      <w:proofErr w:type="gramStart"/>
      <w:r>
        <w:rPr>
          <w:rFonts w:ascii="宋体" w:hAnsi="宋体" w:hint="eastAsia"/>
          <w:szCs w:val="21"/>
        </w:rPr>
        <w:t>通用韦根</w:t>
      </w:r>
      <w:proofErr w:type="gramEnd"/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数据格式，并可通过客户端软件或</w:t>
      </w:r>
      <w:proofErr w:type="gramStart"/>
      <w:r>
        <w:rPr>
          <w:rFonts w:ascii="宋体" w:hAnsi="宋体" w:hint="eastAsia"/>
          <w:szCs w:val="21"/>
        </w:rPr>
        <w:t>更改韦根读头</w:t>
      </w:r>
      <w:proofErr w:type="gramEnd"/>
      <w:r>
        <w:rPr>
          <w:rFonts w:ascii="宋体" w:hAnsi="宋体" w:hint="eastAsia"/>
          <w:szCs w:val="21"/>
        </w:rPr>
        <w:t>，对数据格式进行匹配与调整。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可支持LED屏扩展显示，LCD屏扩展显示。其中，LED屏扩展显示（支持显示已刷卡总人数、各班级实到人数等，便于学校后期智慧校园建设中的电子</w:t>
      </w:r>
      <w:proofErr w:type="gramStart"/>
      <w:r>
        <w:rPr>
          <w:rFonts w:ascii="宋体" w:hAnsi="宋体" w:hint="eastAsia"/>
          <w:szCs w:val="21"/>
        </w:rPr>
        <w:t>班牌应用</w:t>
      </w:r>
      <w:proofErr w:type="gramEnd"/>
      <w:r>
        <w:rPr>
          <w:rFonts w:ascii="宋体" w:hAnsi="宋体" w:hint="eastAsia"/>
          <w:szCs w:val="21"/>
        </w:rPr>
        <w:t>和现有的选修课或者</w:t>
      </w:r>
      <w:proofErr w:type="gramStart"/>
      <w:r>
        <w:rPr>
          <w:rFonts w:ascii="宋体" w:hAnsi="宋体" w:hint="eastAsia"/>
          <w:szCs w:val="21"/>
        </w:rPr>
        <w:t>走班课</w:t>
      </w:r>
      <w:proofErr w:type="gramEnd"/>
      <w:r>
        <w:rPr>
          <w:rFonts w:ascii="宋体" w:hAnsi="宋体" w:hint="eastAsia"/>
          <w:szCs w:val="21"/>
        </w:rPr>
        <w:t>考勤。</w:t>
      </w:r>
    </w:p>
    <w:p w:rsidR="00FA4D92" w:rsidRDefault="00FA4D92" w:rsidP="00FA4D9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支持联动IPC，刷卡事件的同时抓拍图片或者录像。用于重要场所的刷卡事件的确认和比对。</w:t>
      </w:r>
    </w:p>
    <w:p w:rsidR="00FA4D92" w:rsidRDefault="00FA4D92" w:rsidP="00FA4D92">
      <w:pPr>
        <w:spacing w:line="360" w:lineRule="auto"/>
        <w:ind w:left="84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注：第1</w:t>
      </w:r>
      <w:r>
        <w:rPr>
          <w:rFonts w:ascii="宋体" w:hAnsi="宋体"/>
          <w:b/>
          <w:szCs w:val="21"/>
        </w:rPr>
        <w:t>0</w:t>
      </w:r>
      <w:r>
        <w:rPr>
          <w:rFonts w:ascii="宋体" w:hAnsi="宋体" w:hint="eastAsia"/>
          <w:b/>
          <w:szCs w:val="21"/>
        </w:rPr>
        <w:t>），1</w:t>
      </w:r>
      <w:r>
        <w:rPr>
          <w:rFonts w:ascii="宋体" w:hAnsi="宋体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），1</w:t>
      </w:r>
      <w:r>
        <w:rPr>
          <w:rFonts w:ascii="宋体" w:hAnsi="宋体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）参数要求不允许负偏离。</w:t>
      </w:r>
    </w:p>
    <w:bookmarkEnd w:id="3"/>
    <w:bookmarkEnd w:id="4"/>
    <w:bookmarkEnd w:id="5"/>
    <w:bookmarkEnd w:id="6"/>
    <w:bookmarkEnd w:id="7"/>
    <w:p w:rsidR="00FA4D92" w:rsidRDefault="00FA4D92" w:rsidP="00FA4D92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）电锁</w:t>
      </w:r>
      <w:bookmarkEnd w:id="8"/>
      <w:bookmarkEnd w:id="9"/>
      <w:bookmarkEnd w:id="10"/>
    </w:p>
    <w:p w:rsidR="00FA4D92" w:rsidRDefault="00FA4D92" w:rsidP="00FA4D92">
      <w:pPr>
        <w:pStyle w:val="a3"/>
        <w:spacing w:before="0" w:beforeAutospacing="0" w:after="0" w:afterAutospacing="0" w:line="360" w:lineRule="auto"/>
      </w:pPr>
      <w:r>
        <w:rPr>
          <w:rFonts w:hint="eastAsia"/>
        </w:rPr>
        <w:t>学校门禁安装涉及玻璃门、木门、铝合金门、防火门，</w:t>
      </w:r>
      <w:proofErr w:type="gramStart"/>
      <w:r>
        <w:rPr>
          <w:rFonts w:hint="eastAsia"/>
        </w:rPr>
        <w:t>常用电锁的</w:t>
      </w:r>
      <w:proofErr w:type="gramEnd"/>
      <w:r>
        <w:rPr>
          <w:rFonts w:hint="eastAsia"/>
        </w:rPr>
        <w:t>种类有明装</w:t>
      </w:r>
      <w:proofErr w:type="gramStart"/>
      <w:r>
        <w:rPr>
          <w:rFonts w:hint="eastAsia"/>
        </w:rPr>
        <w:t>电插锁</w:t>
      </w:r>
      <w:proofErr w:type="gramEnd"/>
      <w:r>
        <w:rPr>
          <w:rFonts w:hint="eastAsia"/>
        </w:rPr>
        <w:t>、暗装</w:t>
      </w:r>
      <w:proofErr w:type="gramStart"/>
      <w:r>
        <w:rPr>
          <w:rFonts w:hint="eastAsia"/>
        </w:rPr>
        <w:t>电插锁</w:t>
      </w:r>
      <w:proofErr w:type="gramEnd"/>
      <w:r>
        <w:rPr>
          <w:rFonts w:hint="eastAsia"/>
        </w:rPr>
        <w:t>、磁力锁、电控锁等。安装条件、要求与使用场合也不尽相同，请供应</w:t>
      </w:r>
      <w:proofErr w:type="gramStart"/>
      <w:r>
        <w:rPr>
          <w:rFonts w:hint="eastAsia"/>
        </w:rPr>
        <w:t>商现场</w:t>
      </w:r>
      <w:proofErr w:type="gramEnd"/>
      <w:r>
        <w:rPr>
          <w:rFonts w:hint="eastAsia"/>
        </w:rPr>
        <w:t>勘察，确定</w:t>
      </w:r>
      <w:proofErr w:type="gramStart"/>
      <w:r>
        <w:rPr>
          <w:rFonts w:hint="eastAsia"/>
        </w:rPr>
        <w:t>具体电锁类型</w:t>
      </w:r>
      <w:proofErr w:type="gramEnd"/>
      <w:r>
        <w:rPr>
          <w:rFonts w:hint="eastAsia"/>
        </w:rPr>
        <w:t>。</w:t>
      </w:r>
      <w:r>
        <w:rPr>
          <w:rFonts w:hint="eastAsia"/>
          <w:b/>
        </w:rPr>
        <w:t>所有</w:t>
      </w:r>
      <w:proofErr w:type="gramStart"/>
      <w:r>
        <w:rPr>
          <w:rFonts w:hint="eastAsia"/>
          <w:b/>
        </w:rPr>
        <w:t>门禁均</w:t>
      </w:r>
      <w:proofErr w:type="gramEnd"/>
      <w:r>
        <w:rPr>
          <w:rFonts w:hint="eastAsia"/>
          <w:b/>
        </w:rPr>
        <w:t>要求在断电状态下，关锁状态能够保持、可控制开锁。</w:t>
      </w:r>
    </w:p>
    <w:p w:rsidR="00FA4D92" w:rsidRDefault="00FA4D92" w:rsidP="00FA4D92">
      <w:pPr>
        <w:pStyle w:val="a3"/>
        <w:spacing w:before="0" w:beforeAutospacing="0" w:after="0" w:afterAutospacing="0" w:line="360" w:lineRule="auto"/>
      </w:pPr>
      <w:r>
        <w:rPr>
          <w:rFonts w:hint="eastAsia"/>
        </w:rPr>
        <w:t>（3）电源控制箱</w:t>
      </w:r>
    </w:p>
    <w:p w:rsidR="00FA4D92" w:rsidRDefault="00FA4D92" w:rsidP="00FA4D92">
      <w:pPr>
        <w:pStyle w:val="a3"/>
        <w:spacing w:before="0" w:beforeAutospacing="0" w:after="0" w:afterAutospacing="0" w:line="360" w:lineRule="auto"/>
      </w:pPr>
      <w:r>
        <w:rPr>
          <w:rFonts w:hint="eastAsia"/>
        </w:rPr>
        <w:t>门禁控制器应安装在专用电源控制箱内，有专用蓄电池作为后备电源防止门禁系统断电。</w:t>
      </w:r>
    </w:p>
    <w:p w:rsidR="00FA4D92" w:rsidRDefault="00FA4D92" w:rsidP="00FA4D92">
      <w:pPr>
        <w:pStyle w:val="a3"/>
        <w:spacing w:before="0" w:beforeAutospacing="0" w:after="0" w:afterAutospacing="0"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1717675" cy="2449195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>
            <wp:extent cx="2504440" cy="2449195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92" w:rsidRDefault="00FA4D92" w:rsidP="00FA4D92">
      <w:pPr>
        <w:pStyle w:val="a3"/>
        <w:spacing w:before="0" w:beforeAutospacing="0" w:after="0" w:afterAutospacing="0" w:line="360" w:lineRule="auto"/>
      </w:pPr>
      <w:r>
        <w:t xml:space="preserve">(3) </w:t>
      </w:r>
      <w:r>
        <w:rPr>
          <w:rFonts w:hint="eastAsia"/>
        </w:rPr>
        <w:t>安装及施工要求</w:t>
      </w:r>
    </w:p>
    <w:p w:rsidR="00FA4D92" w:rsidRDefault="00FA4D92" w:rsidP="00FA4D92">
      <w:pPr>
        <w:pStyle w:val="a3"/>
        <w:spacing w:before="0" w:beforeAutospacing="0" w:after="0" w:afterAutospacing="0" w:line="360" w:lineRule="auto"/>
      </w:pPr>
      <w:r>
        <w:rPr>
          <w:rFonts w:hint="eastAsia"/>
        </w:rPr>
        <w:t>供应商需勘察现场，规范布线，隐蔽安装。安装前提供施工方案，校方确认后方可施工。</w:t>
      </w:r>
    </w:p>
    <w:p w:rsidR="00FA4D92" w:rsidRDefault="00FA4D92" w:rsidP="00FA4D92">
      <w:pPr>
        <w:pStyle w:val="a3"/>
        <w:spacing w:before="0" w:beforeAutospacing="0" w:after="0" w:afterAutospacing="0" w:line="360" w:lineRule="auto"/>
      </w:pPr>
      <w:r>
        <w:rPr>
          <w:rFonts w:hint="eastAsia"/>
        </w:rPr>
        <w:t>部分安装配件请参照以下图例。其中，门禁读头8</w:t>
      </w:r>
      <w:r>
        <w:t>6</w:t>
      </w:r>
      <w:r>
        <w:rPr>
          <w:rFonts w:hint="eastAsia"/>
        </w:rPr>
        <w:t>型面板尺寸，厚度不超过1</w:t>
      </w:r>
      <w:r>
        <w:t>0mm,</w:t>
      </w:r>
      <w:r>
        <w:rPr>
          <w:rFonts w:hint="eastAsia"/>
        </w:rPr>
        <w:t>材质为钢化玻璃</w:t>
      </w:r>
      <w:r>
        <w:t>.</w:t>
      </w:r>
    </w:p>
    <w:p w:rsidR="00FA4D92" w:rsidRDefault="00FA4D92" w:rsidP="00FA4D92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844675" cy="1884680"/>
            <wp:effectExtent l="0" t="0" r="317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2162810" cy="1670050"/>
            <wp:effectExtent l="0" t="0" r="889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</w:p>
    <w:p w:rsidR="00FA4D92" w:rsidRDefault="00FA4D92" w:rsidP="00FA4D92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</w:p>
    <w:p w:rsidR="00FA4D92" w:rsidRDefault="00FA4D92" w:rsidP="00FA4D92">
      <w:pPr>
        <w:pStyle w:val="a3"/>
        <w:spacing w:before="0" w:beforeAutospacing="0" w:after="0" w:afterAutospacing="0" w:line="360" w:lineRule="auto"/>
        <w:rPr>
          <w:rFonts w:hint="eastAsia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298065" cy="1837055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FA4D92" w:rsidRDefault="00FA4D92" w:rsidP="00FA4D92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.访客管理系统</w:t>
      </w:r>
    </w:p>
    <w:p w:rsidR="00FA4D92" w:rsidRDefault="00FA4D92" w:rsidP="00FA4D92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智能访客机、自助访客机、扫描打印访客一体机，访客系统通过IC卡感应、图片采集、物联网等技术为访客管理从传统的经验向现代化、网络化、动态立体化的科学管理型转变提供信息共享的有效手段，以最适用的技术体系，结合最新的人脸比对，达到人证合一，数据实时上传到综合平台，最终实现的配置方案，切实满足当前业务需求。</w:t>
      </w:r>
    </w:p>
    <w:p w:rsidR="00FA4D92" w:rsidRDefault="00FA4D92" w:rsidP="00FA4D92">
      <w:pPr>
        <w:pStyle w:val="a3"/>
        <w:spacing w:before="240" w:beforeAutospacing="0" w:after="0" w:afterAutospacing="0" w:line="360" w:lineRule="auto"/>
        <w:rPr>
          <w:b/>
        </w:rPr>
      </w:pPr>
      <w:r>
        <w:rPr>
          <w:b/>
        </w:rPr>
        <w:t>(1)</w:t>
      </w:r>
      <w:r>
        <w:rPr>
          <w:rFonts w:hint="eastAsia"/>
          <w:b/>
        </w:rPr>
        <w:t>访客系统功能：</w:t>
      </w:r>
    </w:p>
    <w:p w:rsidR="00FA4D92" w:rsidRDefault="00FA4D92" w:rsidP="00FA4D92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hint="eastAsia"/>
        </w:rPr>
        <w:t>有效解决传统手工登记以下缺点：查询工作量大、登记时间长、登记信息不准、保存困难等；</w:t>
      </w:r>
    </w:p>
    <w:p w:rsidR="00FA4D92" w:rsidRDefault="00FA4D92" w:rsidP="00FA4D92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hint="eastAsia"/>
        </w:rPr>
        <w:t>利用信息化手段有效提高学校治安手段和防范能力；</w:t>
      </w:r>
    </w:p>
    <w:p w:rsidR="00FA4D92" w:rsidRDefault="00FA4D92" w:rsidP="00FA4D92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hint="eastAsia"/>
        </w:rPr>
        <w:t>对来访宾客进行证件与人物照片实体登记管理，全面多方位堵截安全事件的发生。</w:t>
      </w:r>
    </w:p>
    <w:p w:rsidR="00FA4D92" w:rsidRDefault="00FA4D92" w:rsidP="00FA4D92">
      <w:pPr>
        <w:pStyle w:val="a3"/>
        <w:spacing w:before="240" w:beforeAutospacing="0" w:after="0" w:afterAutospacing="0" w:line="360" w:lineRule="auto"/>
        <w:rPr>
          <w:b/>
        </w:rPr>
      </w:pPr>
      <w:r>
        <w:rPr>
          <w:b/>
        </w:rPr>
        <w:t>(2)</w:t>
      </w:r>
      <w:r>
        <w:rPr>
          <w:rFonts w:hint="eastAsia"/>
          <w:b/>
        </w:rPr>
        <w:t>访客管理系统参数</w:t>
      </w:r>
    </w:p>
    <w:p w:rsidR="00FA4D92" w:rsidRDefault="00FA4D92" w:rsidP="00FA4D92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</w:rPr>
        <w:t>所有外来人员必须实名登记；</w:t>
      </w:r>
    </w:p>
    <w:p w:rsidR="00FA4D92" w:rsidRDefault="00FA4D92" w:rsidP="00FA4D92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</w:rPr>
        <w:t>实名登记支持身份证或手机号码加短信验证码两种模式；</w:t>
      </w:r>
    </w:p>
    <w:p w:rsidR="00FA4D92" w:rsidRDefault="00FA4D92" w:rsidP="00FA4D92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</w:rPr>
        <w:t>来访通过访客机上的二代身份证读卡器登记信息；</w:t>
      </w:r>
    </w:p>
    <w:p w:rsidR="00FA4D92" w:rsidRDefault="00FA4D92" w:rsidP="00FA4D92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</w:rPr>
        <w:t>登记后，接待人会收到一条包含有访客基本信息和照片</w:t>
      </w:r>
      <w:proofErr w:type="gramStart"/>
      <w:r>
        <w:rPr>
          <w:rFonts w:hint="eastAsia"/>
        </w:rPr>
        <w:t>的微信推送</w:t>
      </w:r>
      <w:proofErr w:type="gramEnd"/>
      <w:r>
        <w:rPr>
          <w:rFonts w:hint="eastAsia"/>
        </w:rPr>
        <w:t>，接待人点击该消息</w:t>
      </w:r>
      <w:proofErr w:type="gramStart"/>
      <w:r>
        <w:rPr>
          <w:rFonts w:hint="eastAsia"/>
        </w:rPr>
        <w:t>可以可以</w:t>
      </w:r>
      <w:proofErr w:type="gramEnd"/>
      <w:r>
        <w:rPr>
          <w:rFonts w:hint="eastAsia"/>
        </w:rPr>
        <w:t>进行是否接待确认；</w:t>
      </w:r>
    </w:p>
    <w:p w:rsidR="00FA4D92" w:rsidRDefault="00FA4D92" w:rsidP="00FA4D92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</w:rPr>
        <w:t>接待人确认后，门卫室实名制访客系统会进行语音播报，安保人员根据语音提示决定是否放行；</w:t>
      </w:r>
    </w:p>
    <w:p w:rsidR="00FA4D92" w:rsidRDefault="00FA4D92" w:rsidP="00FA4D92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</w:rPr>
        <w:t>可以打印访客单，手工签字；</w:t>
      </w:r>
    </w:p>
    <w:p w:rsidR="00FA4D92" w:rsidRDefault="00FA4D92" w:rsidP="00FA4D92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</w:rPr>
        <w:t>可以通过手机完成电子化访客单（无纸化）；</w:t>
      </w:r>
    </w:p>
    <w:p w:rsidR="00FA4D92" w:rsidRDefault="00FA4D92" w:rsidP="00FA4D92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</w:rPr>
        <w:t>出门时出示登记</w:t>
      </w:r>
      <w:proofErr w:type="gramStart"/>
      <w:r>
        <w:rPr>
          <w:rFonts w:hint="eastAsia"/>
        </w:rPr>
        <w:t>时相关</w:t>
      </w:r>
      <w:proofErr w:type="gramEnd"/>
      <w:r>
        <w:rPr>
          <w:rFonts w:hint="eastAsia"/>
        </w:rPr>
        <w:t>凭证（身份证、手机号码或访客单单据号）。</w:t>
      </w:r>
    </w:p>
    <w:p w:rsidR="00FA4D92" w:rsidRDefault="00FA4D92" w:rsidP="00FA4D92">
      <w:pPr>
        <w:pStyle w:val="a3"/>
        <w:spacing w:before="240" w:beforeAutospacing="0" w:after="0" w:afterAutospacing="0" w:line="360" w:lineRule="auto"/>
        <w:rPr>
          <w:b/>
        </w:rPr>
      </w:pPr>
      <w:r>
        <w:rPr>
          <w:b/>
        </w:rPr>
        <w:t>(3)</w:t>
      </w:r>
      <w:r>
        <w:rPr>
          <w:rFonts w:hint="eastAsia"/>
          <w:b/>
        </w:rPr>
        <w:t>实名制访客系统设备清单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936"/>
        <w:gridCol w:w="700"/>
        <w:gridCol w:w="3758"/>
        <w:gridCol w:w="567"/>
        <w:gridCol w:w="851"/>
      </w:tblGrid>
      <w:tr w:rsidR="00FA4D92" w:rsidTr="00456CBB">
        <w:trPr>
          <w:trHeight w:val="27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spacing w:before="24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模块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单位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数量　</w:t>
            </w:r>
          </w:p>
        </w:tc>
      </w:tr>
      <w:tr w:rsidR="00FA4D92" w:rsidTr="00456CBB">
        <w:trPr>
          <w:trHeight w:val="2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一、实名制访客系统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A4D92" w:rsidTr="00456CBB">
        <w:trPr>
          <w:trHeight w:val="270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实名访客一体机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1) 2G内存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A4D92" w:rsidTr="00456CBB">
        <w:trPr>
          <w:trHeight w:val="27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2) 120G固态硬盘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4D92" w:rsidTr="00456CBB">
        <w:trPr>
          <w:trHeight w:val="27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3)屏幕类型：电阻屏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4D92" w:rsidTr="00456CBB">
        <w:trPr>
          <w:trHeight w:val="27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4)Intel工控系列处理器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4D92" w:rsidTr="00456CBB">
        <w:trPr>
          <w:trHeight w:val="1350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身份证阅读器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1) 射频技术符合ISO14443 Type B标准,以及《GA 450-2003台式居民身份证阅读器通用技术要求》、《1GA450-2003台式居民身份证阅读器通用技术要求第一号修改单(草案)》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A4D92" w:rsidTr="00456CBB">
        <w:trPr>
          <w:trHeight w:val="27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2)读取时间 &lt;1s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4D92" w:rsidTr="00456CBB">
        <w:trPr>
          <w:trHeight w:val="27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3) 读卡距离 0-50mm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4D92" w:rsidTr="00456CBB">
        <w:trPr>
          <w:trHeight w:val="27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4) 接口符合USB2.0标准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4D92" w:rsidTr="00456CBB">
        <w:trPr>
          <w:trHeight w:val="27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访客单打印机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打印纸宽度:58MM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A4D92" w:rsidTr="00456CBB">
        <w:trPr>
          <w:trHeight w:val="27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语音提示器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集成在访客一体机内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A4D92" w:rsidTr="00456CBB">
        <w:trPr>
          <w:trHeight w:val="29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实现访客管理系统参数的配套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入口及客户端软件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92" w:rsidRDefault="00FA4D92" w:rsidP="00456C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FA4D92" w:rsidRDefault="00FA4D92" w:rsidP="00FA4D92">
      <w:pPr>
        <w:pStyle w:val="a3"/>
        <w:spacing w:before="240" w:beforeAutospacing="0" w:after="0" w:afterAutospacing="0" w:line="360" w:lineRule="auto"/>
        <w:rPr>
          <w:b/>
        </w:rPr>
      </w:pPr>
      <w:r>
        <w:rPr>
          <w:b/>
        </w:rPr>
        <w:t>(4)</w:t>
      </w:r>
      <w:r>
        <w:rPr>
          <w:rFonts w:hint="eastAsia"/>
          <w:b/>
        </w:rPr>
        <w:t>访客系统组成</w:t>
      </w:r>
    </w:p>
    <w:p w:rsidR="00FA4D92" w:rsidRDefault="00FA4D92" w:rsidP="00FA4D92">
      <w:pPr>
        <w:pStyle w:val="a3"/>
        <w:spacing w:before="0" w:beforeAutospacing="0" w:after="0" w:afterAutospacing="0" w:line="360" w:lineRule="auto"/>
        <w:ind w:firstLineChars="196" w:firstLine="470"/>
      </w:pPr>
      <w:r>
        <w:rPr>
          <w:rFonts w:hint="eastAsia"/>
        </w:rPr>
        <w:t>系统主要由二代身份证读卡器、摄像机、触摸屏、</w:t>
      </w:r>
      <w:r>
        <w:t>证件扫描仪、条码扫描枪</w:t>
      </w:r>
      <w:r>
        <w:rPr>
          <w:rFonts w:hint="eastAsia"/>
        </w:rPr>
        <w:t>、电源、网络、打印机、软件等组成。</w:t>
      </w:r>
    </w:p>
    <w:p w:rsidR="00FA4D92" w:rsidRDefault="00FA4D92" w:rsidP="00FA4D92">
      <w:pPr>
        <w:pStyle w:val="a3"/>
        <w:spacing w:before="50" w:after="0" w:afterAutospacing="0"/>
        <w:rPr>
          <w:b/>
        </w:rPr>
      </w:pPr>
      <w:r>
        <w:rPr>
          <w:rFonts w:hint="eastAsia"/>
          <w:b/>
        </w:rPr>
        <w:t>5、系统工作流程</w:t>
      </w:r>
    </w:p>
    <w:p w:rsidR="00FA4D92" w:rsidRDefault="00FA4D92" w:rsidP="00FA4D92">
      <w:pPr>
        <w:pStyle w:val="a3"/>
        <w:spacing w:before="50" w:after="0" w:afterAutospacing="0"/>
        <w:rPr>
          <w:b/>
        </w:rPr>
      </w:pPr>
      <w:r>
        <w:rPr>
          <w:rFonts w:hint="eastAsia"/>
        </w:rPr>
        <w:t>访客来访;门卫联系被访对象;访客出示证件;门卫登记来访时间、访客信息、被访对象信息、来访事由、压扣证件或物品;访客入校;访客出校;门卫刷身份证系统自动登记访客离校时间；也可手动输入离校时间;退还压扣证件或物品;访客离校</w:t>
      </w:r>
    </w:p>
    <w:p w:rsidR="00FA4D92" w:rsidRDefault="00FA4D92" w:rsidP="00FA4D92">
      <w:pPr>
        <w:pStyle w:val="a3"/>
        <w:spacing w:before="0" w:beforeAutospacing="0" w:after="0" w:afterAutospacing="0" w:line="360" w:lineRule="auto"/>
        <w:rPr>
          <w:b/>
        </w:rPr>
      </w:pPr>
      <w:r>
        <w:rPr>
          <w:rFonts w:hint="eastAsia"/>
          <w:b/>
        </w:rPr>
        <w:t>6、访客软件要求</w:t>
      </w:r>
    </w:p>
    <w:p w:rsidR="00FA4D92" w:rsidRDefault="00FA4D92" w:rsidP="00FA4D92">
      <w:pPr>
        <w:pStyle w:val="a3"/>
        <w:spacing w:before="0" w:beforeAutospacing="0" w:after="0" w:afterAutospacing="0" w:line="360" w:lineRule="auto"/>
        <w:ind w:firstLineChars="150" w:firstLine="360"/>
      </w:pPr>
      <w:r>
        <w:rPr>
          <w:rFonts w:hint="eastAsia"/>
        </w:rPr>
        <w:t>每天自动形成访客明细表，主要包括来访时间、访客信息、被访对象信息、来访事由、压扣证件或物品、备注等信息，查询条件包括：来访时间、访客信息、被访对象信息、来访事由。</w:t>
      </w:r>
    </w:p>
    <w:p w:rsidR="00FA4D92" w:rsidRDefault="00FA4D92" w:rsidP="00FA4D92">
      <w:pPr>
        <w:pStyle w:val="a3"/>
        <w:spacing w:before="0" w:beforeAutospacing="0" w:after="0" w:afterAutospacing="0" w:line="360" w:lineRule="auto"/>
        <w:ind w:firstLineChars="150" w:firstLine="360"/>
        <w:rPr>
          <w:rFonts w:ascii="楷体_GB2312" w:eastAsia="楷体_GB2312" w:hAnsi="仿宋_GB2312" w:cs="仿宋_GB2312"/>
          <w:b/>
          <w:bCs/>
          <w:w w:val="90"/>
          <w:sz w:val="32"/>
          <w:szCs w:val="36"/>
        </w:rPr>
      </w:pPr>
      <w:r>
        <w:rPr>
          <w:rFonts w:hint="eastAsia"/>
        </w:rPr>
        <w:t>自动形成汇总报表：可按照访客或被访对象形成汇总报表，也可自动形成整个学校访客汇总报表。</w:t>
      </w:r>
    </w:p>
    <w:p w:rsidR="00FA4D92" w:rsidRDefault="00FA4D92" w:rsidP="00FA4D92">
      <w:pPr>
        <w:widowControl/>
        <w:jc w:val="left"/>
        <w:rPr>
          <w:rFonts w:hint="eastAsia"/>
        </w:rPr>
      </w:pPr>
    </w:p>
    <w:p w:rsidR="00074B4A" w:rsidRPr="00FA4D92" w:rsidRDefault="00074B4A">
      <w:bookmarkStart w:id="11" w:name="_GoBack"/>
      <w:bookmarkEnd w:id="11"/>
    </w:p>
    <w:sectPr w:rsidR="00074B4A" w:rsidRPr="00FA4D92">
      <w:pgSz w:w="11906" w:h="16838"/>
      <w:pgMar w:top="1134" w:right="1418" w:bottom="1134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43FA18"/>
    <w:multiLevelType w:val="singleLevel"/>
    <w:tmpl w:val="BA43FA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164EC7"/>
    <w:multiLevelType w:val="multilevel"/>
    <w:tmpl w:val="09164EC7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7F54785"/>
    <w:multiLevelType w:val="multilevel"/>
    <w:tmpl w:val="77F5478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A462C20"/>
    <w:multiLevelType w:val="multilevel"/>
    <w:tmpl w:val="7A462C20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92"/>
    <w:rsid w:val="00074B4A"/>
    <w:rsid w:val="00F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e1">
    <w:name w:val="bule1"/>
    <w:rsid w:val="00FA4D92"/>
    <w:rPr>
      <w:rFonts w:ascii="Arial" w:hAnsi="Arial" w:hint="default"/>
      <w:b/>
      <w:color w:val="222222"/>
      <w:sz w:val="20"/>
      <w:u w:val="none"/>
    </w:rPr>
  </w:style>
  <w:style w:type="paragraph" w:styleId="a3">
    <w:name w:val="Normal (Web)"/>
    <w:basedOn w:val="a"/>
    <w:uiPriority w:val="99"/>
    <w:rsid w:val="00FA4D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FA4D92"/>
    <w:rPr>
      <w:rFonts w:ascii="宋体" w:hAnsi="宋体"/>
      <w:kern w:val="0"/>
      <w:szCs w:val="21"/>
    </w:rPr>
  </w:style>
  <w:style w:type="table" w:styleId="a4">
    <w:name w:val="Table Grid"/>
    <w:basedOn w:val="a1"/>
    <w:rsid w:val="00FA4D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A4D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4D9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e1">
    <w:name w:val="bule1"/>
    <w:rsid w:val="00FA4D92"/>
    <w:rPr>
      <w:rFonts w:ascii="Arial" w:hAnsi="Arial" w:hint="default"/>
      <w:b/>
      <w:color w:val="222222"/>
      <w:sz w:val="20"/>
      <w:u w:val="none"/>
    </w:rPr>
  </w:style>
  <w:style w:type="paragraph" w:styleId="a3">
    <w:name w:val="Normal (Web)"/>
    <w:basedOn w:val="a"/>
    <w:uiPriority w:val="99"/>
    <w:rsid w:val="00FA4D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FA4D92"/>
    <w:rPr>
      <w:rFonts w:ascii="宋体" w:hAnsi="宋体"/>
      <w:kern w:val="0"/>
      <w:szCs w:val="21"/>
    </w:rPr>
  </w:style>
  <w:style w:type="table" w:styleId="a4">
    <w:name w:val="Table Grid"/>
    <w:basedOn w:val="a1"/>
    <w:rsid w:val="00FA4D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A4D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4D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2018-10-08T07:16:00Z</dcterms:created>
  <dcterms:modified xsi:type="dcterms:W3CDTF">2018-10-08T07:33:00Z</dcterms:modified>
</cp:coreProperties>
</file>