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rPr>
          <w:rFonts w:ascii="宋体" w:cs="宋体"/>
          <w:color w:val="000000"/>
          <w:w w:val="80"/>
          <w:sz w:val="24"/>
          <w:szCs w:val="24"/>
          <w:highlight w:val="none"/>
        </w:rPr>
      </w:pPr>
    </w:p>
    <w:p>
      <w:pPr>
        <w:tabs>
          <w:tab w:val="left" w:pos="6300"/>
        </w:tabs>
        <w:snapToGrid w:val="0"/>
        <w:spacing w:line="300" w:lineRule="auto"/>
        <w:jc w:val="center"/>
        <w:rPr>
          <w:rFonts w:ascii="宋体" w:cs="宋体"/>
          <w:b/>
          <w:w w:val="80"/>
          <w:sz w:val="24"/>
          <w:szCs w:val="24"/>
          <w:highlight w:val="none"/>
        </w:rPr>
      </w:pPr>
    </w:p>
    <w:p>
      <w:pPr>
        <w:tabs>
          <w:tab w:val="left" w:pos="6300"/>
        </w:tabs>
        <w:snapToGrid w:val="0"/>
        <w:spacing w:line="300" w:lineRule="auto"/>
        <w:jc w:val="center"/>
        <w:rPr>
          <w:b/>
          <w:sz w:val="52"/>
          <w:szCs w:val="52"/>
          <w:highlight w:val="none"/>
          <w:lang w:val="zh-CN"/>
        </w:rPr>
      </w:pPr>
    </w:p>
    <w:p>
      <w:pPr>
        <w:tabs>
          <w:tab w:val="left" w:pos="6300"/>
        </w:tabs>
        <w:snapToGrid w:val="0"/>
        <w:spacing w:line="300" w:lineRule="auto"/>
        <w:jc w:val="center"/>
        <w:rPr>
          <w:rFonts w:ascii="宋体" w:cs="宋体"/>
          <w:b/>
          <w:color w:val="000000"/>
          <w:w w:val="80"/>
          <w:sz w:val="44"/>
          <w:szCs w:val="44"/>
          <w:highlight w:val="none"/>
        </w:rPr>
      </w:pPr>
      <w:r>
        <w:rPr>
          <w:rFonts w:hint="eastAsia"/>
          <w:b/>
          <w:sz w:val="52"/>
          <w:szCs w:val="52"/>
          <w:highlight w:val="none"/>
          <w:lang w:val="zh-CN"/>
        </w:rPr>
        <w:t>南通市教育局直属学校毕业证书采购项目</w:t>
      </w:r>
    </w:p>
    <w:p>
      <w:pPr>
        <w:pStyle w:val="2"/>
        <w:ind w:firstLine="712"/>
        <w:rPr>
          <w:rFonts w:ascii="宋体" w:cs="宋体"/>
          <w:b/>
          <w:color w:val="000000"/>
          <w:w w:val="80"/>
          <w:sz w:val="44"/>
          <w:szCs w:val="44"/>
          <w:highlight w:val="none"/>
        </w:rPr>
      </w:pPr>
    </w:p>
    <w:p>
      <w:pPr>
        <w:tabs>
          <w:tab w:val="left" w:pos="6300"/>
        </w:tabs>
        <w:snapToGrid w:val="0"/>
        <w:spacing w:line="300" w:lineRule="auto"/>
        <w:jc w:val="center"/>
        <w:rPr>
          <w:rFonts w:ascii="宋体" w:cs="宋体"/>
          <w:b/>
          <w:w w:val="80"/>
          <w:sz w:val="96"/>
          <w:szCs w:val="96"/>
          <w:highlight w:val="none"/>
        </w:rPr>
      </w:pPr>
      <w:r>
        <w:rPr>
          <w:rFonts w:hint="eastAsia" w:ascii="宋体" w:hAnsi="宋体" w:cs="宋体"/>
          <w:b/>
          <w:w w:val="80"/>
          <w:sz w:val="84"/>
          <w:szCs w:val="84"/>
          <w:highlight w:val="none"/>
        </w:rPr>
        <w:t>竞争性磋商文件</w:t>
      </w:r>
    </w:p>
    <w:p>
      <w:pPr>
        <w:jc w:val="center"/>
        <w:rPr>
          <w:rFonts w:ascii="宋体" w:cs="宋体"/>
          <w:b/>
          <w:color w:val="000000"/>
          <w:sz w:val="24"/>
          <w:szCs w:val="24"/>
          <w:highlight w:val="none"/>
        </w:rPr>
      </w:pPr>
    </w:p>
    <w:p>
      <w:pPr>
        <w:snapToGrid w:val="0"/>
        <w:spacing w:line="640" w:lineRule="exact"/>
        <w:rPr>
          <w:rFonts w:ascii="宋体"/>
          <w:b/>
          <w:bCs/>
          <w:sz w:val="24"/>
          <w:szCs w:val="24"/>
          <w:highlight w:val="none"/>
        </w:rPr>
      </w:pPr>
    </w:p>
    <w:p>
      <w:pPr>
        <w:snapToGrid w:val="0"/>
        <w:spacing w:line="640" w:lineRule="exact"/>
        <w:jc w:val="center"/>
        <w:rPr>
          <w:rFonts w:ascii="宋体" w:cs="宋体"/>
          <w:b/>
          <w:sz w:val="24"/>
          <w:szCs w:val="24"/>
          <w:highlight w:val="none"/>
        </w:rPr>
      </w:pPr>
    </w:p>
    <w:p>
      <w:pPr>
        <w:pStyle w:val="2"/>
        <w:ind w:firstLine="482"/>
        <w:rPr>
          <w:rFonts w:ascii="宋体" w:cs="宋体"/>
          <w:b/>
          <w:color w:val="000000"/>
          <w:szCs w:val="24"/>
          <w:highlight w:val="none"/>
        </w:rPr>
      </w:pPr>
    </w:p>
    <w:p>
      <w:pPr>
        <w:pStyle w:val="2"/>
        <w:ind w:firstLine="482"/>
        <w:rPr>
          <w:rFonts w:ascii="宋体" w:cs="宋体"/>
          <w:b/>
          <w:color w:val="000000"/>
          <w:szCs w:val="24"/>
          <w:highlight w:val="none"/>
        </w:rPr>
      </w:pPr>
    </w:p>
    <w:p>
      <w:pPr>
        <w:snapToGrid w:val="0"/>
        <w:spacing w:line="360" w:lineRule="auto"/>
        <w:rPr>
          <w:rFonts w:ascii="宋体" w:cs="宋体"/>
          <w:b/>
          <w:color w:val="000000"/>
          <w:sz w:val="24"/>
          <w:szCs w:val="24"/>
          <w:highlight w:val="none"/>
        </w:rPr>
      </w:pPr>
    </w:p>
    <w:p>
      <w:pPr>
        <w:adjustRightInd w:val="0"/>
        <w:snapToGrid w:val="0"/>
        <w:spacing w:line="360" w:lineRule="auto"/>
        <w:jc w:val="center"/>
        <w:rPr>
          <w:rFonts w:ascii="宋体" w:cs="宋体"/>
          <w:b/>
          <w:sz w:val="30"/>
          <w:szCs w:val="30"/>
          <w:highlight w:val="none"/>
        </w:rPr>
      </w:pPr>
    </w:p>
    <w:p>
      <w:pPr>
        <w:adjustRightInd w:val="0"/>
        <w:snapToGrid w:val="0"/>
        <w:spacing w:line="360" w:lineRule="auto"/>
        <w:jc w:val="left"/>
        <w:rPr>
          <w:rFonts w:ascii="宋体" w:cs="宋体"/>
          <w:b/>
          <w:sz w:val="30"/>
          <w:szCs w:val="30"/>
          <w:highlight w:val="none"/>
        </w:rPr>
      </w:pPr>
      <w:bookmarkStart w:id="0" w:name="_Toc94544743"/>
      <w:bookmarkStart w:id="1" w:name="_Toc11500279"/>
      <w:bookmarkStart w:id="2" w:name="_Toc521201596"/>
      <w:bookmarkStart w:id="3" w:name="_Toc11554638"/>
      <w:bookmarkStart w:id="4" w:name="_Toc94585339"/>
      <w:bookmarkStart w:id="5" w:name="_Toc8895738"/>
      <w:bookmarkStart w:id="6" w:name="_Toc521203417"/>
      <w:bookmarkStart w:id="7" w:name="_Toc12670502"/>
      <w:bookmarkStart w:id="8" w:name="_Toc94544827"/>
      <w:bookmarkStart w:id="9" w:name="_Toc11499583"/>
    </w:p>
    <w:p>
      <w:pPr>
        <w:adjustRightInd w:val="0"/>
        <w:snapToGrid w:val="0"/>
        <w:spacing w:line="360" w:lineRule="auto"/>
        <w:jc w:val="left"/>
        <w:rPr>
          <w:rFonts w:ascii="宋体" w:cs="宋体"/>
          <w:b/>
          <w:sz w:val="30"/>
          <w:szCs w:val="30"/>
          <w:highlight w:val="none"/>
        </w:rPr>
      </w:pPr>
    </w:p>
    <w:p>
      <w:pPr>
        <w:adjustRightInd w:val="0"/>
        <w:snapToGrid w:val="0"/>
        <w:spacing w:line="360" w:lineRule="auto"/>
        <w:jc w:val="center"/>
        <w:rPr>
          <w:rFonts w:hint="eastAsia" w:ascii="宋体" w:eastAsia="宋体" w:cs="宋体"/>
          <w:b/>
          <w:sz w:val="30"/>
          <w:szCs w:val="30"/>
          <w:highlight w:val="none"/>
          <w:lang w:eastAsia="zh-CN"/>
        </w:rPr>
      </w:pPr>
      <w:r>
        <w:rPr>
          <w:rFonts w:hint="eastAsia" w:ascii="宋体" w:hAnsi="宋体" w:cs="宋体"/>
          <w:b/>
          <w:sz w:val="30"/>
          <w:szCs w:val="30"/>
          <w:highlight w:val="none"/>
        </w:rPr>
        <w:t>采购单位：</w:t>
      </w:r>
      <w:r>
        <w:rPr>
          <w:rFonts w:hint="eastAsia" w:ascii="宋体" w:hAnsi="宋体" w:cs="宋体"/>
          <w:b/>
          <w:sz w:val="30"/>
          <w:szCs w:val="30"/>
          <w:highlight w:val="none"/>
          <w:lang w:eastAsia="zh-CN"/>
        </w:rPr>
        <w:t>南通市教育局</w:t>
      </w:r>
    </w:p>
    <w:p>
      <w:pPr>
        <w:adjustRightInd w:val="0"/>
        <w:snapToGrid w:val="0"/>
        <w:spacing w:line="360" w:lineRule="auto"/>
        <w:jc w:val="center"/>
        <w:rPr>
          <w:rFonts w:ascii="宋体" w:cs="宋体"/>
          <w:b/>
          <w:sz w:val="30"/>
          <w:szCs w:val="30"/>
          <w:highlight w:val="none"/>
        </w:rPr>
      </w:pPr>
      <w:r>
        <w:rPr>
          <w:rFonts w:hint="eastAsia" w:ascii="宋体" w:hAnsi="宋体" w:cs="宋体"/>
          <w:b/>
          <w:sz w:val="30"/>
          <w:szCs w:val="30"/>
          <w:highlight w:val="none"/>
        </w:rPr>
        <w:t>代理机构：江苏正扬招标代理有限公司</w:t>
      </w:r>
    </w:p>
    <w:p>
      <w:pPr>
        <w:adjustRightInd w:val="0"/>
        <w:snapToGrid w:val="0"/>
        <w:spacing w:line="360" w:lineRule="auto"/>
        <w:jc w:val="center"/>
        <w:rPr>
          <w:rFonts w:ascii="宋体" w:cs="宋体"/>
          <w:b/>
          <w:sz w:val="30"/>
          <w:szCs w:val="30"/>
          <w:highlight w:val="none"/>
        </w:rPr>
      </w:pPr>
      <w:r>
        <w:rPr>
          <w:rFonts w:hint="eastAsia" w:ascii="宋体" w:hAnsi="宋体" w:cs="宋体"/>
          <w:b/>
          <w:sz w:val="30"/>
          <w:szCs w:val="30"/>
          <w:highlight w:val="none"/>
        </w:rPr>
        <w:t>二〇二一年</w:t>
      </w:r>
      <w:r>
        <w:rPr>
          <w:rFonts w:hint="eastAsia" w:ascii="宋体" w:hAnsi="宋体" w:cs="宋体"/>
          <w:b/>
          <w:sz w:val="30"/>
          <w:szCs w:val="30"/>
          <w:highlight w:val="none"/>
          <w:lang w:val="en-US" w:eastAsia="zh-CN"/>
        </w:rPr>
        <w:t>三</w:t>
      </w:r>
      <w:r>
        <w:rPr>
          <w:rFonts w:hint="eastAsia" w:ascii="宋体" w:hAnsi="宋体" w:cs="宋体"/>
          <w:b/>
          <w:sz w:val="30"/>
          <w:szCs w:val="30"/>
          <w:highlight w:val="none"/>
        </w:rPr>
        <w:t>月</w:t>
      </w:r>
      <w:r>
        <w:rPr>
          <w:rFonts w:hint="eastAsia" w:ascii="宋体" w:hAnsi="宋体" w:cs="宋体"/>
          <w:b/>
          <w:sz w:val="30"/>
          <w:szCs w:val="30"/>
          <w:highlight w:val="none"/>
          <w:lang w:val="en-US" w:eastAsia="zh-CN"/>
        </w:rPr>
        <w:t>二十六</w:t>
      </w:r>
      <w:r>
        <w:rPr>
          <w:rFonts w:hint="eastAsia" w:ascii="宋体" w:hAnsi="宋体" w:cs="宋体"/>
          <w:b/>
          <w:sz w:val="30"/>
          <w:szCs w:val="30"/>
          <w:highlight w:val="none"/>
        </w:rPr>
        <w:t>日</w:t>
      </w:r>
    </w:p>
    <w:p>
      <w:pPr>
        <w:adjustRightInd w:val="0"/>
        <w:snapToGrid w:val="0"/>
        <w:spacing w:line="360" w:lineRule="auto"/>
        <w:jc w:val="center"/>
        <w:rPr>
          <w:rFonts w:ascii="宋体" w:cs="宋体"/>
          <w:b/>
          <w:sz w:val="30"/>
          <w:szCs w:val="30"/>
          <w:highlight w:val="none"/>
        </w:rPr>
        <w:sectPr>
          <w:footerReference r:id="rId7" w:type="first"/>
          <w:headerReference r:id="rId3" w:type="default"/>
          <w:footerReference r:id="rId5" w:type="default"/>
          <w:headerReference r:id="rId4" w:type="even"/>
          <w:footerReference r:id="rId6" w:type="even"/>
          <w:type w:val="continuous"/>
          <w:pgSz w:w="11906" w:h="16838"/>
          <w:pgMar w:top="1247" w:right="1113" w:bottom="1134" w:left="1255" w:header="851" w:footer="992" w:gutter="0"/>
          <w:pgNumType w:fmt="numberInDash" w:start="1"/>
          <w:cols w:space="720" w:num="1"/>
          <w:titlePg/>
          <w:docGrid w:linePitch="380" w:charSpace="-5735"/>
        </w:sectPr>
      </w:pPr>
    </w:p>
    <w:p>
      <w:pPr>
        <w:jc w:val="center"/>
        <w:rPr>
          <w:rFonts w:ascii="宋体" w:cs="宋体"/>
          <w:b/>
          <w:sz w:val="24"/>
          <w:szCs w:val="24"/>
          <w:highlight w:val="none"/>
        </w:rPr>
      </w:pPr>
    </w:p>
    <w:p>
      <w:pPr>
        <w:pStyle w:val="2"/>
        <w:ind w:firstLine="482"/>
        <w:rPr>
          <w:rFonts w:ascii="宋体" w:cs="宋体"/>
          <w:b/>
          <w:szCs w:val="24"/>
          <w:highlight w:val="none"/>
        </w:rPr>
      </w:pPr>
    </w:p>
    <w:p>
      <w:pPr>
        <w:jc w:val="center"/>
        <w:rPr>
          <w:rFonts w:ascii="宋体" w:cs="宋体"/>
          <w:b/>
          <w:sz w:val="44"/>
          <w:szCs w:val="44"/>
          <w:highlight w:val="none"/>
        </w:rPr>
      </w:pPr>
      <w:r>
        <w:rPr>
          <w:rFonts w:ascii="宋体" w:cs="宋体"/>
          <w:b/>
          <w:sz w:val="44"/>
          <w:szCs w:val="44"/>
          <w:highlight w:val="none"/>
        </w:rPr>
        <w:br w:type="page"/>
      </w:r>
      <w:r>
        <w:rPr>
          <w:rFonts w:hint="eastAsia" w:ascii="宋体" w:hAnsi="宋体" w:cs="宋体"/>
          <w:b/>
          <w:sz w:val="44"/>
          <w:szCs w:val="44"/>
          <w:highlight w:val="none"/>
        </w:rPr>
        <w:t>竞争性磋商文件备案表</w:t>
      </w:r>
    </w:p>
    <w:p>
      <w:pPr>
        <w:jc w:val="center"/>
        <w:rPr>
          <w:rFonts w:ascii="宋体" w:cs="宋体"/>
          <w:b/>
          <w:sz w:val="24"/>
          <w:szCs w:val="24"/>
          <w:highlight w:val="none"/>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1" w:hRule="atLeast"/>
          <w:jc w:val="center"/>
        </w:trPr>
        <w:tc>
          <w:tcPr>
            <w:tcW w:w="9180" w:type="dxa"/>
            <w:vAlign w:val="center"/>
          </w:tcPr>
          <w:p>
            <w:pPr>
              <w:spacing w:line="360" w:lineRule="auto"/>
              <w:jc w:val="center"/>
              <w:rPr>
                <w:rFonts w:ascii="宋体" w:cs="宋体"/>
                <w:position w:val="-48"/>
                <w:sz w:val="24"/>
                <w:szCs w:val="24"/>
                <w:highlight w:val="none"/>
              </w:rPr>
            </w:pPr>
            <w:r>
              <w:rPr>
                <w:rFonts w:hint="eastAsia" w:ascii="宋体" w:hAnsi="宋体" w:cs="宋体"/>
                <w:position w:val="-48"/>
                <w:sz w:val="24"/>
                <w:szCs w:val="24"/>
                <w:highlight w:val="none"/>
              </w:rPr>
              <w:t>编制人：李艳梅</w:t>
            </w:r>
          </w:p>
          <w:p>
            <w:pPr>
              <w:tabs>
                <w:tab w:val="left" w:pos="3492"/>
              </w:tabs>
              <w:spacing w:line="360" w:lineRule="auto"/>
              <w:jc w:val="center"/>
              <w:rPr>
                <w:rFonts w:ascii="宋体" w:cs="宋体"/>
                <w:position w:val="-48"/>
                <w:sz w:val="24"/>
                <w:szCs w:val="24"/>
                <w:highlight w:val="none"/>
              </w:rPr>
            </w:pPr>
            <w:r>
              <w:rPr>
                <w:rFonts w:hint="eastAsia" w:ascii="宋体" w:hAnsi="宋体" w:cs="宋体"/>
                <w:position w:val="-48"/>
                <w:sz w:val="24"/>
                <w:szCs w:val="24"/>
                <w:highlight w:val="none"/>
              </w:rPr>
              <w:t>日</w:t>
            </w:r>
            <w:r>
              <w:rPr>
                <w:rFonts w:ascii="宋体" w:hAnsi="宋体" w:cs="宋体"/>
                <w:position w:val="-48"/>
                <w:sz w:val="24"/>
                <w:szCs w:val="24"/>
                <w:highlight w:val="none"/>
              </w:rPr>
              <w:t xml:space="preserve">  </w:t>
            </w:r>
            <w:r>
              <w:rPr>
                <w:rFonts w:hint="eastAsia" w:ascii="宋体" w:hAnsi="宋体" w:cs="宋体"/>
                <w:position w:val="-48"/>
                <w:sz w:val="24"/>
                <w:szCs w:val="24"/>
                <w:highlight w:val="none"/>
              </w:rPr>
              <w:t>期：</w:t>
            </w:r>
            <w:r>
              <w:rPr>
                <w:rFonts w:ascii="宋体" w:hAnsi="宋体" w:cs="宋体"/>
                <w:position w:val="-48"/>
                <w:sz w:val="24"/>
                <w:szCs w:val="24"/>
                <w:highlight w:val="none"/>
              </w:rPr>
              <w:t>2021</w:t>
            </w:r>
            <w:r>
              <w:rPr>
                <w:rFonts w:hint="eastAsia" w:ascii="宋体" w:hAnsi="宋体" w:cs="宋体"/>
                <w:position w:val="-48"/>
                <w:sz w:val="24"/>
                <w:szCs w:val="24"/>
                <w:highlight w:val="none"/>
              </w:rPr>
              <w:t>年</w:t>
            </w:r>
            <w:r>
              <w:rPr>
                <w:rFonts w:hint="eastAsia" w:ascii="宋体" w:hAnsi="宋体" w:cs="宋体"/>
                <w:position w:val="-48"/>
                <w:sz w:val="24"/>
                <w:szCs w:val="24"/>
                <w:highlight w:val="none"/>
                <w:lang w:val="en-US" w:eastAsia="zh-CN"/>
              </w:rPr>
              <w:t>3</w:t>
            </w:r>
            <w:r>
              <w:rPr>
                <w:rFonts w:hint="eastAsia" w:ascii="宋体" w:hAnsi="宋体" w:cs="宋体"/>
                <w:position w:val="-48"/>
                <w:sz w:val="24"/>
                <w:szCs w:val="24"/>
                <w:highlight w:val="none"/>
              </w:rPr>
              <w:t>月</w:t>
            </w:r>
            <w:r>
              <w:rPr>
                <w:rFonts w:hint="eastAsia" w:ascii="宋体" w:hAnsi="宋体" w:cs="宋体"/>
                <w:position w:val="-48"/>
                <w:sz w:val="24"/>
                <w:szCs w:val="24"/>
                <w:highlight w:val="none"/>
                <w:lang w:val="en-US" w:eastAsia="zh-CN"/>
              </w:rPr>
              <w:t>26</w:t>
            </w:r>
            <w:r>
              <w:rPr>
                <w:rFonts w:hint="eastAsia" w:ascii="宋体" w:hAnsi="宋体" w:cs="宋体"/>
                <w:position w:val="-48"/>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7" w:hRule="atLeast"/>
          <w:jc w:val="center"/>
        </w:trPr>
        <w:tc>
          <w:tcPr>
            <w:tcW w:w="9180" w:type="dxa"/>
          </w:tcPr>
          <w:p>
            <w:pPr>
              <w:spacing w:line="360" w:lineRule="auto"/>
              <w:rPr>
                <w:rFonts w:ascii="宋体" w:cs="宋体"/>
                <w:position w:val="-48"/>
                <w:sz w:val="24"/>
                <w:szCs w:val="24"/>
                <w:highlight w:val="none"/>
              </w:rPr>
            </w:pPr>
          </w:p>
          <w:p>
            <w:pPr>
              <w:spacing w:line="360" w:lineRule="auto"/>
              <w:ind w:firstLine="600" w:firstLineChars="250"/>
              <w:jc w:val="center"/>
              <w:rPr>
                <w:rFonts w:ascii="宋体" w:hAnsi="宋体" w:cs="宋体"/>
                <w:position w:val="-48"/>
                <w:sz w:val="24"/>
                <w:szCs w:val="24"/>
                <w:highlight w:val="none"/>
              </w:rPr>
            </w:pPr>
          </w:p>
          <w:p>
            <w:pPr>
              <w:spacing w:line="360" w:lineRule="auto"/>
              <w:jc w:val="center"/>
              <w:rPr>
                <w:rFonts w:ascii="宋体" w:cs="宋体"/>
                <w:position w:val="-48"/>
                <w:sz w:val="24"/>
                <w:szCs w:val="24"/>
                <w:highlight w:val="none"/>
              </w:rPr>
            </w:pPr>
            <w:r>
              <w:rPr>
                <w:rFonts w:hint="eastAsia" w:ascii="宋体" w:hAnsi="宋体" w:cs="宋体"/>
                <w:position w:val="-48"/>
                <w:sz w:val="24"/>
                <w:szCs w:val="24"/>
                <w:highlight w:val="none"/>
              </w:rPr>
              <w:t>采购单位（盖章）</w:t>
            </w:r>
          </w:p>
          <w:p>
            <w:pPr>
              <w:spacing w:line="360" w:lineRule="auto"/>
              <w:rPr>
                <w:rFonts w:ascii="宋体" w:cs="宋体"/>
                <w:position w:val="-48"/>
                <w:sz w:val="24"/>
                <w:szCs w:val="24"/>
                <w:highlight w:val="none"/>
              </w:rPr>
            </w:pPr>
          </w:p>
          <w:p>
            <w:pPr>
              <w:spacing w:line="360" w:lineRule="auto"/>
              <w:jc w:val="center"/>
              <w:rPr>
                <w:rFonts w:ascii="宋体" w:cs="宋体"/>
                <w:position w:val="-48"/>
                <w:sz w:val="24"/>
                <w:szCs w:val="24"/>
                <w:highlight w:val="none"/>
              </w:rPr>
            </w:pPr>
            <w:r>
              <w:rPr>
                <w:rFonts w:hint="eastAsia" w:ascii="宋体" w:hAnsi="宋体" w:cs="宋体"/>
                <w:position w:val="-48"/>
                <w:sz w:val="24"/>
                <w:szCs w:val="24"/>
                <w:highlight w:val="none"/>
              </w:rPr>
              <w:t>代理机构（盖章）</w:t>
            </w:r>
          </w:p>
          <w:p>
            <w:pPr>
              <w:spacing w:line="360" w:lineRule="auto"/>
              <w:rPr>
                <w:rFonts w:ascii="宋体" w:cs="宋体"/>
                <w:position w:val="-48"/>
                <w:sz w:val="24"/>
                <w:szCs w:val="24"/>
                <w:highlight w:val="none"/>
              </w:rPr>
            </w:pPr>
          </w:p>
          <w:p>
            <w:pPr>
              <w:spacing w:line="360" w:lineRule="auto"/>
              <w:jc w:val="center"/>
              <w:rPr>
                <w:rFonts w:ascii="宋体" w:cs="宋体"/>
                <w:position w:val="-48"/>
                <w:sz w:val="24"/>
                <w:szCs w:val="24"/>
                <w:highlight w:val="none"/>
              </w:rPr>
            </w:pPr>
            <w:r>
              <w:rPr>
                <w:rFonts w:hint="eastAsia" w:ascii="宋体" w:hAnsi="宋体" w:cs="宋体"/>
                <w:position w:val="-48"/>
                <w:sz w:val="24"/>
                <w:szCs w:val="24"/>
                <w:highlight w:val="none"/>
              </w:rPr>
              <w:t>日</w:t>
            </w:r>
            <w:r>
              <w:rPr>
                <w:rFonts w:ascii="宋体" w:hAnsi="宋体" w:cs="宋体"/>
                <w:position w:val="-48"/>
                <w:sz w:val="24"/>
                <w:szCs w:val="24"/>
                <w:highlight w:val="none"/>
              </w:rPr>
              <w:t xml:space="preserve">  </w:t>
            </w:r>
            <w:r>
              <w:rPr>
                <w:rFonts w:hint="eastAsia" w:ascii="宋体" w:hAnsi="宋体" w:cs="宋体"/>
                <w:position w:val="-48"/>
                <w:sz w:val="24"/>
                <w:szCs w:val="24"/>
                <w:highlight w:val="none"/>
              </w:rPr>
              <w:t>期：</w:t>
            </w:r>
            <w:r>
              <w:rPr>
                <w:rFonts w:ascii="宋体" w:hAnsi="宋体" w:cs="宋体"/>
                <w:position w:val="-48"/>
                <w:sz w:val="24"/>
                <w:szCs w:val="24"/>
                <w:highlight w:val="none"/>
              </w:rPr>
              <w:t>2021</w:t>
            </w:r>
            <w:r>
              <w:rPr>
                <w:rFonts w:hint="eastAsia" w:ascii="宋体" w:hAnsi="宋体" w:cs="宋体"/>
                <w:position w:val="-48"/>
                <w:sz w:val="24"/>
                <w:szCs w:val="24"/>
                <w:highlight w:val="none"/>
              </w:rPr>
              <w:t>年</w:t>
            </w:r>
            <w:r>
              <w:rPr>
                <w:rFonts w:hint="eastAsia" w:ascii="宋体" w:hAnsi="宋体" w:cs="宋体"/>
                <w:position w:val="-48"/>
                <w:sz w:val="24"/>
                <w:szCs w:val="24"/>
                <w:highlight w:val="none"/>
                <w:lang w:val="en-US" w:eastAsia="zh-CN"/>
              </w:rPr>
              <w:t>3</w:t>
            </w:r>
            <w:r>
              <w:rPr>
                <w:rFonts w:hint="eastAsia" w:ascii="宋体" w:hAnsi="宋体" w:cs="宋体"/>
                <w:position w:val="-48"/>
                <w:sz w:val="24"/>
                <w:szCs w:val="24"/>
                <w:highlight w:val="none"/>
              </w:rPr>
              <w:t>月</w:t>
            </w:r>
            <w:r>
              <w:rPr>
                <w:rFonts w:hint="eastAsia" w:ascii="宋体" w:hAnsi="宋体" w:cs="宋体"/>
                <w:position w:val="-48"/>
                <w:sz w:val="24"/>
                <w:szCs w:val="24"/>
                <w:highlight w:val="none"/>
                <w:lang w:val="en-US" w:eastAsia="zh-CN"/>
              </w:rPr>
              <w:t>26</w:t>
            </w:r>
            <w:r>
              <w:rPr>
                <w:rFonts w:hint="eastAsia" w:ascii="宋体" w:hAnsi="宋体" w:cs="宋体"/>
                <w:position w:val="-48"/>
                <w:sz w:val="24"/>
                <w:szCs w:val="24"/>
                <w:highlight w:val="none"/>
              </w:rPr>
              <w:t>日</w:t>
            </w:r>
          </w:p>
        </w:tc>
      </w:tr>
    </w:tbl>
    <w:p>
      <w:pPr>
        <w:adjustRightInd w:val="0"/>
        <w:snapToGrid w:val="0"/>
        <w:spacing w:line="360" w:lineRule="auto"/>
        <w:jc w:val="center"/>
        <w:rPr>
          <w:rFonts w:ascii="宋体" w:cs="宋体"/>
          <w:color w:val="000000"/>
          <w:w w:val="80"/>
          <w:sz w:val="24"/>
          <w:szCs w:val="24"/>
          <w:highlight w:val="none"/>
        </w:rPr>
      </w:pPr>
    </w:p>
    <w:p>
      <w:pPr>
        <w:pStyle w:val="24"/>
        <w:tabs>
          <w:tab w:val="left" w:pos="1050"/>
          <w:tab w:val="right" w:leader="dot" w:pos="9402"/>
        </w:tabs>
        <w:spacing w:line="960" w:lineRule="exact"/>
        <w:ind w:left="0"/>
        <w:jc w:val="center"/>
        <w:outlineLvl w:val="0"/>
        <w:rPr>
          <w:rFonts w:ascii="宋体" w:cs="宋体"/>
          <w:b/>
          <w:i w:val="0"/>
          <w:color w:val="000000"/>
          <w:w w:val="80"/>
          <w:sz w:val="52"/>
          <w:szCs w:val="52"/>
          <w:highlight w:val="none"/>
        </w:rPr>
      </w:pPr>
      <w:r>
        <w:rPr>
          <w:rFonts w:ascii="宋体" w:cs="宋体"/>
          <w:b/>
          <w:i w:val="0"/>
          <w:color w:val="000000"/>
          <w:w w:val="80"/>
          <w:sz w:val="24"/>
          <w:szCs w:val="24"/>
          <w:highlight w:val="none"/>
        </w:rPr>
        <w:br w:type="page"/>
      </w:r>
      <w:r>
        <w:rPr>
          <w:rFonts w:hint="eastAsia" w:ascii="宋体" w:cs="宋体"/>
          <w:b/>
          <w:i w:val="0"/>
          <w:color w:val="000000"/>
          <w:w w:val="80"/>
          <w:sz w:val="52"/>
          <w:szCs w:val="52"/>
          <w:highlight w:val="none"/>
        </w:rPr>
        <w:t>目</w:t>
      </w:r>
      <w:r>
        <w:rPr>
          <w:rFonts w:ascii="宋体" w:cs="宋体"/>
          <w:b/>
          <w:i w:val="0"/>
          <w:color w:val="000000"/>
          <w:w w:val="80"/>
          <w:sz w:val="52"/>
          <w:szCs w:val="52"/>
          <w:highlight w:val="none"/>
        </w:rPr>
        <w:t xml:space="preserve">   </w:t>
      </w:r>
      <w:r>
        <w:rPr>
          <w:rFonts w:hint="eastAsia" w:ascii="宋体" w:cs="宋体"/>
          <w:b/>
          <w:i w:val="0"/>
          <w:color w:val="000000"/>
          <w:w w:val="80"/>
          <w:sz w:val="52"/>
          <w:szCs w:val="52"/>
          <w:highlight w:val="none"/>
        </w:rPr>
        <w:t>录</w:t>
      </w:r>
    </w:p>
    <w:p>
      <w:pPr>
        <w:spacing w:line="800" w:lineRule="exact"/>
        <w:jc w:val="center"/>
        <w:rPr>
          <w:rFonts w:ascii="宋体" w:cs="宋体"/>
          <w:b/>
          <w:color w:val="000000"/>
          <w:sz w:val="24"/>
          <w:szCs w:val="24"/>
          <w:highlight w:val="none"/>
        </w:rPr>
      </w:pPr>
    </w:p>
    <w:p>
      <w:pPr>
        <w:pStyle w:val="24"/>
        <w:tabs>
          <w:tab w:val="left" w:pos="1050"/>
          <w:tab w:val="right" w:leader="dot" w:pos="9402"/>
        </w:tabs>
        <w:spacing w:line="520" w:lineRule="exact"/>
        <w:ind w:left="0"/>
        <w:rPr>
          <w:rFonts w:ascii="宋体" w:cs="宋体"/>
          <w:i w:val="0"/>
          <w:color w:val="000000"/>
          <w:w w:val="80"/>
          <w:sz w:val="36"/>
          <w:szCs w:val="36"/>
          <w:highlight w:val="none"/>
        </w:rPr>
      </w:pPr>
      <w:r>
        <w:rPr>
          <w:rFonts w:hint="eastAsia" w:ascii="宋体" w:hAnsi="宋体" w:cs="宋体"/>
          <w:i w:val="0"/>
          <w:color w:val="000000"/>
          <w:w w:val="80"/>
          <w:sz w:val="36"/>
          <w:szCs w:val="36"/>
          <w:highlight w:val="none"/>
        </w:rPr>
        <w:t>第一章</w:t>
      </w: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竞争性磋商公告</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tabs>
          <w:tab w:val="left" w:pos="1050"/>
          <w:tab w:val="right" w:leader="dot" w:pos="9402"/>
        </w:tabs>
        <w:spacing w:line="520" w:lineRule="exact"/>
        <w:ind w:left="0"/>
        <w:rPr>
          <w:rFonts w:ascii="宋体" w:cs="宋体"/>
          <w:i w:val="0"/>
          <w:color w:val="000000"/>
          <w:w w:val="80"/>
          <w:sz w:val="36"/>
          <w:szCs w:val="36"/>
          <w:highlight w:val="none"/>
        </w:rPr>
      </w:pPr>
      <w:r>
        <w:rPr>
          <w:rFonts w:hint="eastAsia" w:ascii="宋体" w:hAnsi="宋体" w:cs="宋体"/>
          <w:i w:val="0"/>
          <w:color w:val="000000"/>
          <w:w w:val="80"/>
          <w:sz w:val="36"/>
          <w:szCs w:val="36"/>
          <w:highlight w:val="none"/>
        </w:rPr>
        <w:t>第二章</w:t>
      </w: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磋商供应商须知</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tabs>
          <w:tab w:val="left" w:pos="1050"/>
          <w:tab w:val="right" w:leader="dot" w:pos="9402"/>
        </w:tabs>
        <w:spacing w:line="520" w:lineRule="exact"/>
        <w:ind w:left="0"/>
        <w:rPr>
          <w:rFonts w:ascii="宋体" w:cs="宋体"/>
          <w:i w:val="0"/>
          <w:color w:val="000000"/>
          <w:w w:val="80"/>
          <w:sz w:val="36"/>
          <w:szCs w:val="36"/>
          <w:highlight w:val="none"/>
        </w:rPr>
      </w:pPr>
      <w:r>
        <w:rPr>
          <w:rFonts w:hint="eastAsia" w:ascii="宋体" w:hAnsi="宋体" w:cs="宋体"/>
          <w:i w:val="0"/>
          <w:color w:val="000000"/>
          <w:w w:val="80"/>
          <w:sz w:val="36"/>
          <w:szCs w:val="36"/>
          <w:highlight w:val="none"/>
        </w:rPr>
        <w:t>第三章</w:t>
      </w: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项目需求</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numPr>
          <w:ilvl w:val="0"/>
          <w:numId w:val="1"/>
        </w:numPr>
        <w:tabs>
          <w:tab w:val="left" w:pos="1050"/>
          <w:tab w:val="right" w:leader="dot" w:pos="9402"/>
        </w:tabs>
        <w:spacing w:line="520" w:lineRule="exact"/>
        <w:ind w:left="0"/>
        <w:rPr>
          <w:rFonts w:ascii="宋体" w:cs="宋体"/>
          <w:i w:val="0"/>
          <w:color w:val="000000"/>
          <w:w w:val="80"/>
          <w:sz w:val="36"/>
          <w:szCs w:val="36"/>
          <w:highlight w:val="none"/>
        </w:rPr>
      </w:pP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评审方法和程序</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numPr>
          <w:ilvl w:val="0"/>
          <w:numId w:val="1"/>
        </w:numPr>
        <w:tabs>
          <w:tab w:val="left" w:pos="1050"/>
          <w:tab w:val="right" w:leader="dot" w:pos="9402"/>
        </w:tabs>
        <w:spacing w:line="520" w:lineRule="exact"/>
        <w:ind w:left="0"/>
        <w:rPr>
          <w:rFonts w:ascii="宋体" w:cs="宋体"/>
          <w:i w:val="0"/>
          <w:color w:val="000000"/>
          <w:w w:val="80"/>
          <w:sz w:val="36"/>
          <w:szCs w:val="36"/>
          <w:highlight w:val="none"/>
        </w:rPr>
      </w:pP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合同授予</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numPr>
          <w:ilvl w:val="0"/>
          <w:numId w:val="1"/>
        </w:numPr>
        <w:tabs>
          <w:tab w:val="left" w:pos="1050"/>
          <w:tab w:val="right" w:leader="dot" w:pos="9402"/>
        </w:tabs>
        <w:spacing w:line="520" w:lineRule="exact"/>
        <w:ind w:left="0"/>
        <w:rPr>
          <w:rFonts w:ascii="宋体" w:cs="宋体"/>
          <w:i w:val="0"/>
          <w:color w:val="000000"/>
          <w:w w:val="80"/>
          <w:sz w:val="36"/>
          <w:szCs w:val="36"/>
          <w:highlight w:val="none"/>
        </w:rPr>
      </w:pP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质疑提出和处理</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numPr>
          <w:ilvl w:val="0"/>
          <w:numId w:val="1"/>
        </w:numPr>
        <w:tabs>
          <w:tab w:val="left" w:pos="1050"/>
          <w:tab w:val="right" w:leader="dot" w:pos="9402"/>
        </w:tabs>
        <w:spacing w:line="520" w:lineRule="exact"/>
        <w:ind w:left="0"/>
        <w:rPr>
          <w:rFonts w:ascii="宋体" w:cs="宋体"/>
          <w:i w:val="0"/>
          <w:color w:val="000000"/>
          <w:w w:val="80"/>
          <w:sz w:val="36"/>
          <w:szCs w:val="36"/>
          <w:highlight w:val="none"/>
        </w:rPr>
      </w:pPr>
      <w:r>
        <w:rPr>
          <w:rFonts w:ascii="宋体" w:hAnsi="宋体" w:cs="宋体"/>
          <w:i w:val="0"/>
          <w:color w:val="000000"/>
          <w:w w:val="80"/>
          <w:sz w:val="36"/>
          <w:szCs w:val="36"/>
          <w:highlight w:val="none"/>
        </w:rPr>
        <w:t xml:space="preserve">      </w:t>
      </w:r>
      <w:r>
        <w:rPr>
          <w:rFonts w:hint="eastAsia" w:ascii="宋体" w:hAnsi="宋体" w:cs="宋体"/>
          <w:i w:val="0"/>
          <w:color w:val="000000"/>
          <w:w w:val="80"/>
          <w:sz w:val="36"/>
          <w:szCs w:val="36"/>
          <w:highlight w:val="none"/>
        </w:rPr>
        <w:t>响应文件组成及格式</w:t>
      </w: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pStyle w:val="24"/>
        <w:tabs>
          <w:tab w:val="left" w:pos="1050"/>
          <w:tab w:val="right" w:leader="dot" w:pos="9402"/>
        </w:tabs>
        <w:spacing w:line="520" w:lineRule="exact"/>
        <w:ind w:left="0"/>
        <w:rPr>
          <w:rFonts w:ascii="宋体" w:cs="宋体"/>
          <w:i w:val="0"/>
          <w:color w:val="000000"/>
          <w:w w:val="80"/>
          <w:sz w:val="36"/>
          <w:szCs w:val="36"/>
          <w:highlight w:val="none"/>
        </w:rPr>
      </w:pPr>
    </w:p>
    <w:p>
      <w:pPr>
        <w:snapToGrid w:val="0"/>
        <w:spacing w:line="360" w:lineRule="auto"/>
        <w:rPr>
          <w:rFonts w:ascii="宋体" w:cs="宋体"/>
          <w:b/>
          <w:color w:val="000000"/>
          <w:sz w:val="24"/>
          <w:szCs w:val="24"/>
          <w:highlight w:val="none"/>
        </w:rPr>
      </w:pPr>
      <w:r>
        <w:rPr>
          <w:rFonts w:ascii="宋体" w:cs="宋体"/>
          <w:b/>
          <w:color w:val="000000"/>
          <w:sz w:val="24"/>
          <w:szCs w:val="24"/>
          <w:highlight w:val="none"/>
        </w:rPr>
        <w:br w:type="page"/>
      </w:r>
      <w:r>
        <w:rPr>
          <w:rFonts w:hint="eastAsia" w:ascii="宋体" w:hAnsi="宋体" w:cs="宋体"/>
          <w:b/>
          <w:color w:val="000000"/>
          <w:sz w:val="24"/>
          <w:szCs w:val="24"/>
          <w:highlight w:val="none"/>
        </w:rPr>
        <w:t>尊敬的磋商供应商：</w:t>
      </w:r>
    </w:p>
    <w:p>
      <w:pPr>
        <w:snapToGrid w:val="0"/>
        <w:spacing w:line="360" w:lineRule="auto"/>
        <w:ind w:firstLine="482" w:firstLineChars="200"/>
        <w:rPr>
          <w:rFonts w:ascii="宋体" w:cs="宋体"/>
          <w:b/>
          <w:color w:val="000000"/>
          <w:sz w:val="24"/>
          <w:szCs w:val="24"/>
          <w:highlight w:val="none"/>
        </w:rPr>
      </w:pPr>
      <w:r>
        <w:rPr>
          <w:rFonts w:hint="eastAsia" w:ascii="宋体" w:hAnsi="宋体" w:cs="宋体"/>
          <w:b/>
          <w:color w:val="000000"/>
          <w:sz w:val="24"/>
          <w:szCs w:val="24"/>
          <w:highlight w:val="none"/>
        </w:rPr>
        <w:t>欢迎参加本采购项目的竞争性磋商。为了保证本次磋商项目顺利进行，请在制作响应文件之前，仔细阅读本竞争性磋商文件的各项条款，并按要求制作和递交响应文件。谢谢合作！</w:t>
      </w:r>
    </w:p>
    <w:p>
      <w:pPr>
        <w:pStyle w:val="24"/>
        <w:tabs>
          <w:tab w:val="left" w:pos="1050"/>
          <w:tab w:val="right" w:leader="dot" w:pos="9402"/>
        </w:tabs>
        <w:spacing w:line="360" w:lineRule="auto"/>
        <w:ind w:left="0"/>
        <w:jc w:val="center"/>
        <w:outlineLvl w:val="0"/>
        <w:rPr>
          <w:rFonts w:ascii="宋体" w:cs="宋体"/>
          <w:b/>
          <w:i w:val="0"/>
          <w:color w:val="000000"/>
          <w:w w:val="80"/>
          <w:sz w:val="44"/>
          <w:szCs w:val="44"/>
          <w:highlight w:val="none"/>
        </w:rPr>
      </w:pPr>
      <w:bookmarkStart w:id="10" w:name="_Toc363573853"/>
      <w:r>
        <w:rPr>
          <w:rFonts w:hint="eastAsia" w:ascii="宋体" w:hAnsi="宋体" w:cs="宋体"/>
          <w:b/>
          <w:i w:val="0"/>
          <w:color w:val="000000"/>
          <w:w w:val="80"/>
          <w:sz w:val="44"/>
          <w:szCs w:val="44"/>
          <w:highlight w:val="none"/>
        </w:rPr>
        <w:t>第一章</w:t>
      </w:r>
      <w:r>
        <w:rPr>
          <w:rFonts w:ascii="宋体" w:hAnsi="宋体" w:cs="宋体"/>
          <w:b/>
          <w:i w:val="0"/>
          <w:color w:val="000000"/>
          <w:w w:val="80"/>
          <w:sz w:val="44"/>
          <w:szCs w:val="44"/>
          <w:highlight w:val="none"/>
        </w:rPr>
        <w:t xml:space="preserve">  </w:t>
      </w:r>
      <w:r>
        <w:rPr>
          <w:rFonts w:hint="eastAsia" w:ascii="宋体" w:hAnsi="宋体" w:cs="宋体"/>
          <w:b/>
          <w:i w:val="0"/>
          <w:color w:val="000000"/>
          <w:w w:val="80"/>
          <w:sz w:val="44"/>
          <w:szCs w:val="44"/>
          <w:highlight w:val="none"/>
        </w:rPr>
        <w:t>竞争性磋商公</w:t>
      </w:r>
      <w:bookmarkEnd w:id="0"/>
      <w:bookmarkEnd w:id="1"/>
      <w:bookmarkEnd w:id="2"/>
      <w:bookmarkEnd w:id="3"/>
      <w:bookmarkEnd w:id="4"/>
      <w:bookmarkEnd w:id="5"/>
      <w:bookmarkEnd w:id="6"/>
      <w:bookmarkEnd w:id="7"/>
      <w:bookmarkEnd w:id="8"/>
      <w:bookmarkEnd w:id="9"/>
      <w:r>
        <w:rPr>
          <w:rFonts w:hint="eastAsia" w:ascii="宋体" w:hAnsi="宋体" w:cs="宋体"/>
          <w:b/>
          <w:i w:val="0"/>
          <w:color w:val="000000"/>
          <w:w w:val="80"/>
          <w:sz w:val="44"/>
          <w:szCs w:val="44"/>
          <w:highlight w:val="none"/>
        </w:rPr>
        <w:t>告</w:t>
      </w:r>
      <w:bookmarkEnd w:id="10"/>
    </w:p>
    <w:p>
      <w:pPr>
        <w:tabs>
          <w:tab w:val="left" w:pos="6300"/>
        </w:tabs>
        <w:snapToGrid w:val="0"/>
        <w:spacing w:line="360" w:lineRule="auto"/>
        <w:jc w:val="left"/>
        <w:rPr>
          <w:rFonts w:ascii="宋体" w:hAnsi="宋体" w:cs="宋体"/>
          <w:sz w:val="24"/>
          <w:szCs w:val="24"/>
          <w:highlight w:val="none"/>
        </w:rPr>
      </w:pPr>
      <w:bookmarkStart w:id="11" w:name="_Toc94544744"/>
      <w:bookmarkStart w:id="12" w:name="_Toc12670503"/>
      <w:bookmarkStart w:id="13" w:name="_Toc11500280"/>
      <w:bookmarkStart w:id="14" w:name="_Toc8895739"/>
      <w:bookmarkStart w:id="15" w:name="_Toc94585340"/>
      <w:bookmarkStart w:id="16" w:name="_Toc94544828"/>
      <w:bookmarkStart w:id="17" w:name="_Toc11554639"/>
      <w:bookmarkStart w:id="18" w:name="_Toc521201597"/>
      <w:bookmarkStart w:id="19" w:name="_Toc11499584"/>
      <w:bookmarkStart w:id="20" w:name="_Toc521203418"/>
      <w:bookmarkStart w:id="21" w:name="_Toc363573854"/>
      <w:r>
        <w:rPr>
          <w:sz w:val="24"/>
          <w:szCs w:val="24"/>
          <w:highlight w:val="none"/>
        </w:rPr>
        <w:t xml:space="preserve"> </w:t>
      </w:r>
      <w:r>
        <w:rPr>
          <w:rFonts w:hint="eastAsia"/>
          <w:sz w:val="24"/>
          <w:szCs w:val="24"/>
          <w:highlight w:val="none"/>
          <w:lang w:val="en-US" w:eastAsia="zh-CN"/>
        </w:rPr>
        <w:t xml:space="preserve">    </w:t>
      </w:r>
      <w:r>
        <w:rPr>
          <w:rFonts w:hint="eastAsia" w:ascii="宋体" w:hAnsi="宋体" w:cs="宋体"/>
          <w:sz w:val="24"/>
          <w:szCs w:val="24"/>
          <w:highlight w:val="none"/>
        </w:rPr>
        <w:t>江苏正扬招标代理有限公司（以下称代理机构）受</w:t>
      </w:r>
      <w:r>
        <w:rPr>
          <w:rFonts w:hint="eastAsia" w:ascii="宋体" w:hAnsi="宋体" w:cs="宋体"/>
          <w:sz w:val="24"/>
          <w:szCs w:val="24"/>
          <w:highlight w:val="none"/>
          <w:lang w:eastAsia="zh-CN"/>
        </w:rPr>
        <w:t>南通市教育局</w:t>
      </w:r>
      <w:r>
        <w:rPr>
          <w:rFonts w:hint="eastAsia" w:ascii="宋体" w:hAnsi="宋体" w:cs="宋体"/>
          <w:sz w:val="24"/>
          <w:szCs w:val="24"/>
          <w:highlight w:val="none"/>
        </w:rPr>
        <w:t>（以下简称采购单位）的委托，对</w:t>
      </w:r>
      <w:r>
        <w:rPr>
          <w:rFonts w:hint="eastAsia" w:ascii="宋体" w:hAnsi="宋体" w:cs="宋体"/>
          <w:sz w:val="24"/>
          <w:szCs w:val="24"/>
          <w:highlight w:val="none"/>
          <w:lang w:eastAsia="zh-CN"/>
        </w:rPr>
        <w:t>南通市教育局直属学校毕业证书采购项目</w:t>
      </w:r>
      <w:r>
        <w:rPr>
          <w:rFonts w:hint="eastAsia" w:ascii="宋体" w:hAnsi="宋体" w:cs="宋体"/>
          <w:sz w:val="24"/>
          <w:szCs w:val="24"/>
          <w:highlight w:val="none"/>
        </w:rPr>
        <w:t>拟用竞争性磋商方式组织采购。现公告如下：</w:t>
      </w:r>
    </w:p>
    <w:p>
      <w:pPr>
        <w:pStyle w:val="6"/>
        <w:spacing w:before="0" w:after="0" w:line="360" w:lineRule="auto"/>
        <w:ind w:firstLine="482" w:firstLineChars="200"/>
        <w:rPr>
          <w:rFonts w:ascii="宋体" w:hAnsi="宋体" w:eastAsia="宋体" w:cs="宋体"/>
          <w:sz w:val="24"/>
          <w:szCs w:val="24"/>
          <w:highlight w:val="none"/>
        </w:rPr>
      </w:pPr>
      <w:bookmarkStart w:id="22" w:name="_Toc28359012"/>
      <w:bookmarkStart w:id="23" w:name="_Toc35393629"/>
      <w:bookmarkStart w:id="24" w:name="_Toc28359089"/>
      <w:bookmarkStart w:id="25" w:name="_Toc35393798"/>
      <w:r>
        <w:rPr>
          <w:rFonts w:hint="eastAsia" w:ascii="宋体" w:hAnsi="宋体" w:eastAsia="宋体" w:cs="宋体"/>
          <w:sz w:val="24"/>
          <w:szCs w:val="24"/>
          <w:highlight w:val="none"/>
        </w:rPr>
        <w:t>一、项目基本情况</w:t>
      </w:r>
      <w:bookmarkEnd w:id="22"/>
      <w:bookmarkEnd w:id="23"/>
      <w:bookmarkEnd w:id="24"/>
      <w:bookmarkEnd w:id="25"/>
    </w:p>
    <w:p>
      <w:pPr>
        <w:snapToGrid w:val="0"/>
        <w:spacing w:line="360" w:lineRule="auto"/>
        <w:ind w:firstLine="480" w:firstLineChars="200"/>
        <w:jc w:val="left"/>
        <w:rPr>
          <w:rFonts w:hint="eastAsia" w:ascii="宋体" w:hAnsi="宋体" w:cs="宋体"/>
          <w:sz w:val="24"/>
          <w:szCs w:val="24"/>
          <w:highlight w:val="none"/>
          <w:lang w:eastAsia="zh-CN"/>
        </w:rPr>
      </w:pPr>
      <w:r>
        <w:rPr>
          <w:rFonts w:hint="eastAsia" w:ascii="宋体" w:hAnsi="宋体" w:cs="宋体"/>
          <w:sz w:val="24"/>
          <w:szCs w:val="24"/>
          <w:highlight w:val="none"/>
        </w:rPr>
        <w:t>1、项目名称：</w:t>
      </w:r>
      <w:r>
        <w:rPr>
          <w:rFonts w:hint="eastAsia" w:ascii="宋体" w:hAnsi="宋体" w:cs="宋体"/>
          <w:sz w:val="24"/>
          <w:szCs w:val="24"/>
          <w:highlight w:val="none"/>
          <w:lang w:eastAsia="zh-CN"/>
        </w:rPr>
        <w:t>南通市教育局直属学校毕业证书采购项目</w:t>
      </w:r>
    </w:p>
    <w:p>
      <w:pPr>
        <w:snapToGri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2、采购方式：竞争性磋商</w:t>
      </w:r>
    </w:p>
    <w:p>
      <w:pPr>
        <w:pStyle w:val="2"/>
        <w:rPr>
          <w:rFonts w:hint="default" w:eastAsia="宋体"/>
          <w:highlight w:val="none"/>
          <w:lang w:val="en-US" w:eastAsia="zh-CN"/>
        </w:rPr>
      </w:pPr>
      <w:r>
        <w:rPr>
          <w:rFonts w:hint="eastAsia" w:ascii="宋体" w:hAnsi="宋体" w:cs="宋体"/>
          <w:sz w:val="24"/>
          <w:szCs w:val="24"/>
          <w:highlight w:val="none"/>
        </w:rPr>
        <w:t>3、项目预算：</w:t>
      </w:r>
      <w:r>
        <w:rPr>
          <w:rFonts w:hint="eastAsia" w:ascii="宋体" w:hAnsi="宋体" w:cs="宋体"/>
          <w:sz w:val="24"/>
          <w:szCs w:val="24"/>
          <w:highlight w:val="none"/>
          <w:lang w:val="en-US" w:eastAsia="zh-CN"/>
        </w:rPr>
        <w:t>15万元</w:t>
      </w:r>
    </w:p>
    <w:p>
      <w:pPr>
        <w:pStyle w:val="2"/>
        <w:rPr>
          <w:rFonts w:hint="eastAsia" w:ascii="宋体" w:hAns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最高限价：</w:t>
      </w:r>
      <w:r>
        <w:rPr>
          <w:rFonts w:hint="eastAsia" w:ascii="宋体" w:hAnsi="宋体" w:cs="宋体"/>
          <w:sz w:val="24"/>
          <w:szCs w:val="24"/>
          <w:highlight w:val="none"/>
          <w:lang w:val="en-US" w:eastAsia="zh-CN"/>
        </w:rPr>
        <w:t>15万元</w:t>
      </w:r>
    </w:p>
    <w:p>
      <w:pPr>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5、采购需求：</w:t>
      </w:r>
      <w:r>
        <w:rPr>
          <w:rFonts w:hint="eastAsia" w:ascii="宋体" w:hAnsi="宋体" w:cs="宋体"/>
          <w:sz w:val="24"/>
          <w:szCs w:val="24"/>
          <w:highlight w:val="none"/>
          <w:lang w:eastAsia="zh-CN"/>
        </w:rPr>
        <w:t>南通市教育局</w:t>
      </w:r>
      <w:r>
        <w:rPr>
          <w:rFonts w:hint="eastAsia" w:ascii="宋体" w:hAnsi="宋体" w:cs="宋体"/>
          <w:sz w:val="24"/>
          <w:szCs w:val="24"/>
          <w:highlight w:val="none"/>
          <w:lang w:val="en-US" w:eastAsia="zh-CN"/>
        </w:rPr>
        <w:t>采购</w:t>
      </w:r>
      <w:r>
        <w:rPr>
          <w:rFonts w:hint="eastAsia" w:ascii="宋体" w:hAnsi="宋体" w:cs="宋体"/>
          <w:sz w:val="24"/>
          <w:szCs w:val="24"/>
          <w:highlight w:val="none"/>
          <w:lang w:eastAsia="zh-CN"/>
        </w:rPr>
        <w:t>直属学校毕业证书</w:t>
      </w:r>
      <w:r>
        <w:rPr>
          <w:rFonts w:hint="eastAsia" w:ascii="宋体" w:hAnsi="宋体" w:cs="宋体"/>
          <w:sz w:val="24"/>
          <w:szCs w:val="24"/>
          <w:highlight w:val="none"/>
        </w:rPr>
        <w:t>，详见</w:t>
      </w:r>
      <w:r>
        <w:rPr>
          <w:rFonts w:hint="eastAsia" w:ascii="宋体" w:hAnsi="宋体" w:cs="宋体"/>
          <w:sz w:val="24"/>
          <w:szCs w:val="24"/>
          <w:highlight w:val="none"/>
          <w:lang w:val="en-US" w:eastAsia="zh-CN"/>
        </w:rPr>
        <w:t>第三章项目需求</w:t>
      </w:r>
      <w:r>
        <w:rPr>
          <w:rFonts w:hint="eastAsia" w:ascii="宋体" w:hAnsi="宋体" w:cs="宋体"/>
          <w:sz w:val="24"/>
          <w:szCs w:val="24"/>
          <w:highlight w:val="none"/>
        </w:rPr>
        <w:t>。</w:t>
      </w:r>
    </w:p>
    <w:p>
      <w:pPr>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6、供货期：签订合同后一个月内，按采购单位要求分学段包装，配送至各县（市、区）教育行政部门及市直学校。</w:t>
      </w:r>
    </w:p>
    <w:p>
      <w:pPr>
        <w:snapToGrid w:val="0"/>
        <w:spacing w:line="360" w:lineRule="auto"/>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7、本项目不接受任何形式的联合体竞争性磋商。</w:t>
      </w:r>
    </w:p>
    <w:p>
      <w:pPr>
        <w:spacing w:line="360" w:lineRule="auto"/>
        <w:ind w:firstLine="354" w:firstLineChars="147"/>
        <w:jc w:val="left"/>
        <w:rPr>
          <w:rFonts w:ascii="宋体" w:hAnsi="宋体" w:cs="宋体"/>
          <w:b/>
          <w:sz w:val="24"/>
          <w:szCs w:val="24"/>
          <w:highlight w:val="none"/>
        </w:rPr>
      </w:pPr>
      <w:r>
        <w:rPr>
          <w:rFonts w:hint="eastAsia" w:ascii="宋体" w:hAnsi="宋体" w:cs="宋体"/>
          <w:b/>
          <w:sz w:val="24"/>
          <w:szCs w:val="24"/>
          <w:highlight w:val="none"/>
        </w:rPr>
        <w:t xml:space="preserve"> 二、</w:t>
      </w:r>
      <w:r>
        <w:rPr>
          <w:rFonts w:hint="eastAsia" w:ascii="宋体" w:hAnsi="宋体" w:cs="宋体"/>
          <w:b/>
          <w:bCs/>
          <w:sz w:val="24"/>
          <w:szCs w:val="24"/>
          <w:highlight w:val="none"/>
        </w:rPr>
        <w:t>供应商资格要求</w:t>
      </w:r>
      <w:r>
        <w:rPr>
          <w:rFonts w:hint="eastAsia" w:ascii="宋体" w:hAnsi="宋体" w:cs="宋体"/>
          <w:b/>
          <w:sz w:val="24"/>
          <w:szCs w:val="24"/>
          <w:highlight w:val="none"/>
        </w:rPr>
        <w:t>：</w:t>
      </w:r>
    </w:p>
    <w:p>
      <w:pPr>
        <w:snapToGri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1、符合《政府采购法》第二十二条之规定。</w:t>
      </w:r>
    </w:p>
    <w:p>
      <w:pPr>
        <w:snapToGri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为同一个人的两个及两个以上法人，母公司、全资子公司及其控股公司，都不得在同一采购项目相同标段中同时参加竞争性磋商，一经发现，将视同围标处理。</w:t>
      </w:r>
    </w:p>
    <w:p>
      <w:pPr>
        <w:snapToGrid w:val="0"/>
        <w:spacing w:line="360" w:lineRule="auto"/>
        <w:ind w:firstLine="482" w:firstLineChars="200"/>
        <w:jc w:val="left"/>
        <w:rPr>
          <w:rFonts w:ascii="宋体" w:hAnsi="宋体" w:cs="宋体"/>
          <w:b/>
          <w:sz w:val="24"/>
          <w:szCs w:val="24"/>
          <w:highlight w:val="none"/>
        </w:rPr>
      </w:pPr>
      <w:r>
        <w:rPr>
          <w:rFonts w:hint="eastAsia" w:ascii="宋体" w:hAnsi="宋体" w:cs="宋体"/>
          <w:b/>
          <w:sz w:val="24"/>
          <w:szCs w:val="24"/>
          <w:highlight w:val="none"/>
        </w:rPr>
        <w:t>供应商其他资格要求：</w:t>
      </w:r>
    </w:p>
    <w:p>
      <w:pPr>
        <w:numPr>
          <w:ilvl w:val="0"/>
          <w:numId w:val="0"/>
        </w:numPr>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color w:val="000000"/>
          <w:sz w:val="24"/>
          <w:szCs w:val="24"/>
          <w:highlight w:val="none"/>
          <w:lang w:val="en-US" w:eastAsia="zh-CN"/>
        </w:rPr>
        <w:t>3、</w:t>
      </w:r>
      <w:r>
        <w:rPr>
          <w:rFonts w:hint="eastAsia" w:hAnsi="宋体"/>
          <w:sz w:val="24"/>
          <w:szCs w:val="24"/>
          <w:highlight w:val="none"/>
        </w:rPr>
        <w:t>投标供应商必须具有独立的法人资格，提供有效的营业执照及税务登记证（或者是三证合一的营业执照），有能力提供本次采购项目所要求的服务。</w:t>
      </w:r>
    </w:p>
    <w:p>
      <w:pPr>
        <w:numPr>
          <w:ilvl w:val="0"/>
          <w:numId w:val="0"/>
        </w:numPr>
        <w:snapToGrid w:val="0"/>
        <w:spacing w:line="360" w:lineRule="auto"/>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4、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与投标供应商签订的有效劳动合同复印件】。</w:t>
      </w:r>
    </w:p>
    <w:p>
      <w:pPr>
        <w:numPr>
          <w:ilvl w:val="0"/>
          <w:numId w:val="0"/>
        </w:numPr>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5、投标供应商须提供参与本次项目政府采购活动前三年内，在经营活动中没有重大违法记录的书面《无重大违法记录声明函》（格式参见第七章）。</w:t>
      </w:r>
    </w:p>
    <w:p>
      <w:pPr>
        <w:numPr>
          <w:ilvl w:val="0"/>
          <w:numId w:val="0"/>
        </w:numPr>
        <w:snapToGrid w:val="0"/>
        <w:spacing w:line="360" w:lineRule="auto"/>
        <w:ind w:left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6、关于资格文件的声明函（格式参见第七章）。</w:t>
      </w:r>
    </w:p>
    <w:p>
      <w:pPr>
        <w:widowControl/>
        <w:snapToGrid w:val="0"/>
        <w:spacing w:line="360" w:lineRule="auto"/>
        <w:ind w:firstLine="472" w:firstLineChars="196"/>
        <w:jc w:val="left"/>
        <w:rPr>
          <w:rFonts w:ascii="宋体" w:hAnsi="宋体" w:cs="宋体"/>
          <w:b/>
          <w:sz w:val="24"/>
          <w:szCs w:val="24"/>
          <w:highlight w:val="none"/>
          <w:u w:val="single"/>
        </w:rPr>
      </w:pPr>
      <w:r>
        <w:rPr>
          <w:rFonts w:hint="eastAsia" w:ascii="宋体" w:hAnsi="宋体" w:cs="宋体"/>
          <w:b/>
          <w:sz w:val="24"/>
          <w:szCs w:val="24"/>
          <w:highlight w:val="none"/>
          <w:u w:val="single"/>
        </w:rPr>
        <w:t>具体资格要求详见第</w:t>
      </w:r>
      <w:r>
        <w:rPr>
          <w:rFonts w:hint="eastAsia" w:ascii="宋体" w:hAnsi="宋体" w:cs="宋体"/>
          <w:b/>
          <w:sz w:val="24"/>
          <w:szCs w:val="24"/>
          <w:highlight w:val="none"/>
          <w:u w:val="single"/>
          <w:lang w:val="en-US" w:eastAsia="zh-CN"/>
        </w:rPr>
        <w:t>七</w:t>
      </w:r>
      <w:r>
        <w:rPr>
          <w:rFonts w:hint="eastAsia" w:ascii="宋体" w:hAnsi="宋体" w:cs="宋体"/>
          <w:b/>
          <w:sz w:val="24"/>
          <w:szCs w:val="24"/>
          <w:highlight w:val="none"/>
          <w:u w:val="single"/>
        </w:rPr>
        <w:t xml:space="preserve">章中的“资格审查文件”。 </w:t>
      </w:r>
    </w:p>
    <w:p>
      <w:pPr>
        <w:widowControl/>
        <w:snapToGrid w:val="0"/>
        <w:spacing w:line="360" w:lineRule="auto"/>
        <w:ind w:firstLine="472" w:firstLineChars="196"/>
        <w:jc w:val="left"/>
        <w:rPr>
          <w:rFonts w:ascii="宋体" w:hAnsi="宋体" w:cs="宋体"/>
          <w:b/>
          <w:bCs/>
          <w:kern w:val="0"/>
          <w:sz w:val="24"/>
          <w:szCs w:val="24"/>
          <w:highlight w:val="none"/>
        </w:rPr>
      </w:pPr>
      <w:r>
        <w:rPr>
          <w:rFonts w:hint="eastAsia" w:ascii="宋体" w:hAnsi="宋体" w:cs="宋体"/>
          <w:b/>
          <w:bCs/>
          <w:kern w:val="0"/>
          <w:sz w:val="24"/>
          <w:szCs w:val="24"/>
          <w:highlight w:val="none"/>
        </w:rPr>
        <w:t>请</w:t>
      </w:r>
      <w:r>
        <w:rPr>
          <w:rFonts w:hint="eastAsia" w:ascii="宋体" w:hAnsi="宋体" w:cs="宋体"/>
          <w:b/>
          <w:bCs/>
          <w:kern w:val="0"/>
          <w:sz w:val="24"/>
          <w:szCs w:val="24"/>
          <w:highlight w:val="none"/>
          <w:lang w:eastAsia="zh-CN"/>
        </w:rPr>
        <w:t>投标供应商</w:t>
      </w:r>
      <w:r>
        <w:rPr>
          <w:rFonts w:hint="eastAsia" w:ascii="宋体" w:hAnsi="宋体" w:cs="宋体"/>
          <w:b/>
          <w:bCs/>
          <w:kern w:val="0"/>
          <w:sz w:val="24"/>
          <w:szCs w:val="24"/>
          <w:highlight w:val="none"/>
        </w:rPr>
        <w:t>认真对照资格条件，如不符合要求的，无意或故意参与投标所产生的一切后果由</w:t>
      </w:r>
      <w:r>
        <w:rPr>
          <w:rFonts w:hint="eastAsia" w:ascii="宋体" w:hAnsi="宋体" w:cs="宋体"/>
          <w:b/>
          <w:bCs/>
          <w:kern w:val="0"/>
          <w:sz w:val="24"/>
          <w:szCs w:val="24"/>
          <w:highlight w:val="none"/>
          <w:lang w:eastAsia="zh-CN"/>
        </w:rPr>
        <w:t>投标供应商</w:t>
      </w:r>
      <w:r>
        <w:rPr>
          <w:rFonts w:hint="eastAsia" w:ascii="宋体" w:hAnsi="宋体" w:cs="宋体"/>
          <w:b/>
          <w:bCs/>
          <w:kern w:val="0"/>
          <w:sz w:val="24"/>
          <w:szCs w:val="24"/>
          <w:highlight w:val="none"/>
        </w:rPr>
        <w:t>自行承担，开标过程中，</w:t>
      </w:r>
      <w:r>
        <w:rPr>
          <w:rFonts w:hint="eastAsia" w:ascii="宋体" w:hAnsi="宋体" w:cs="宋体"/>
          <w:b/>
          <w:bCs/>
          <w:kern w:val="0"/>
          <w:sz w:val="24"/>
          <w:szCs w:val="24"/>
          <w:highlight w:val="none"/>
          <w:lang w:eastAsia="zh-CN"/>
        </w:rPr>
        <w:t>投标供应商</w:t>
      </w:r>
      <w:r>
        <w:rPr>
          <w:rFonts w:hint="eastAsia" w:ascii="宋体" w:hAnsi="宋体" w:cs="宋体"/>
          <w:b/>
          <w:bCs/>
          <w:kern w:val="0"/>
          <w:sz w:val="24"/>
          <w:szCs w:val="24"/>
          <w:highlight w:val="none"/>
        </w:rPr>
        <w:t>提供的相关证件为虚假或伪造，或者其他人员持</w:t>
      </w:r>
      <w:r>
        <w:rPr>
          <w:rFonts w:hint="eastAsia" w:ascii="宋体" w:hAnsi="宋体" w:cs="宋体"/>
          <w:b/>
          <w:bCs/>
          <w:kern w:val="0"/>
          <w:sz w:val="24"/>
          <w:szCs w:val="24"/>
          <w:highlight w:val="none"/>
          <w:lang w:eastAsia="zh-CN"/>
        </w:rPr>
        <w:t>法定代表人</w:t>
      </w:r>
      <w:r>
        <w:rPr>
          <w:rFonts w:hint="eastAsia" w:ascii="宋体" w:hAnsi="宋体" w:cs="宋体"/>
          <w:b/>
          <w:bCs/>
          <w:kern w:val="0"/>
          <w:sz w:val="24"/>
          <w:szCs w:val="24"/>
          <w:highlight w:val="none"/>
        </w:rPr>
        <w:t>或授权委托人的身份证参与投标，一经发现则取消</w:t>
      </w:r>
      <w:r>
        <w:rPr>
          <w:rFonts w:hint="eastAsia" w:ascii="宋体" w:hAnsi="宋体" w:cs="宋体"/>
          <w:b/>
          <w:bCs/>
          <w:kern w:val="0"/>
          <w:sz w:val="24"/>
          <w:szCs w:val="24"/>
          <w:highlight w:val="none"/>
          <w:lang w:eastAsia="zh-CN"/>
        </w:rPr>
        <w:t>投标供应商</w:t>
      </w:r>
      <w:r>
        <w:rPr>
          <w:rFonts w:hint="eastAsia" w:ascii="宋体" w:hAnsi="宋体" w:cs="宋体"/>
          <w:b/>
          <w:bCs/>
          <w:kern w:val="0"/>
          <w:sz w:val="24"/>
          <w:szCs w:val="24"/>
          <w:highlight w:val="none"/>
        </w:rPr>
        <w:t>资格，该</w:t>
      </w:r>
      <w:r>
        <w:rPr>
          <w:rFonts w:hint="eastAsia" w:ascii="宋体" w:hAnsi="宋体" w:cs="宋体"/>
          <w:b/>
          <w:bCs/>
          <w:kern w:val="0"/>
          <w:sz w:val="24"/>
          <w:szCs w:val="24"/>
          <w:highlight w:val="none"/>
          <w:lang w:eastAsia="zh-CN"/>
        </w:rPr>
        <w:t>投标供应商</w:t>
      </w:r>
      <w:r>
        <w:rPr>
          <w:rFonts w:hint="eastAsia" w:ascii="宋体" w:hAnsi="宋体" w:cs="宋体"/>
          <w:b/>
          <w:bCs/>
          <w:kern w:val="0"/>
          <w:sz w:val="24"/>
          <w:szCs w:val="24"/>
          <w:highlight w:val="none"/>
        </w:rPr>
        <w:t>将记入不良记录，并报财政部门后将其列入政府采购黑名单。</w:t>
      </w:r>
    </w:p>
    <w:p>
      <w:pPr>
        <w:widowControl/>
        <w:snapToGrid w:val="0"/>
        <w:spacing w:line="360" w:lineRule="auto"/>
        <w:ind w:firstLine="472" w:firstLineChars="196"/>
        <w:jc w:val="left"/>
        <w:rPr>
          <w:rFonts w:ascii="宋体" w:hAnsi="宋体" w:cs="宋体"/>
          <w:b/>
          <w:bCs/>
          <w:kern w:val="0"/>
          <w:sz w:val="24"/>
          <w:szCs w:val="24"/>
          <w:highlight w:val="none"/>
        </w:rPr>
      </w:pPr>
      <w:r>
        <w:rPr>
          <w:rFonts w:hint="eastAsia" w:ascii="宋体" w:hAnsi="宋体" w:cs="宋体"/>
          <w:b/>
          <w:bCs/>
          <w:kern w:val="0"/>
          <w:sz w:val="24"/>
          <w:szCs w:val="24"/>
          <w:highlight w:val="none"/>
        </w:rPr>
        <w:t>非采购人原因</w:t>
      </w:r>
      <w:r>
        <w:rPr>
          <w:rFonts w:hint="eastAsia" w:ascii="宋体" w:hAnsi="宋体" w:cs="宋体"/>
          <w:b/>
          <w:bCs/>
          <w:kern w:val="0"/>
          <w:sz w:val="24"/>
          <w:szCs w:val="24"/>
          <w:highlight w:val="none"/>
          <w:lang w:eastAsia="zh-CN"/>
        </w:rPr>
        <w:t>成交供应商</w:t>
      </w:r>
      <w:r>
        <w:rPr>
          <w:rFonts w:hint="eastAsia" w:ascii="宋体" w:hAnsi="宋体" w:cs="宋体"/>
          <w:b/>
          <w:bCs/>
          <w:kern w:val="0"/>
          <w:sz w:val="24"/>
          <w:szCs w:val="24"/>
          <w:highlight w:val="none"/>
        </w:rPr>
        <w:t>放弃成交资格的，报财政部门将其列入政府采购黑名单。</w:t>
      </w:r>
    </w:p>
    <w:p>
      <w:pPr>
        <w:snapToGrid w:val="0"/>
        <w:spacing w:line="360" w:lineRule="auto"/>
        <w:ind w:firstLine="482" w:firstLineChars="200"/>
        <w:contextualSpacing/>
        <w:rPr>
          <w:rFonts w:ascii="宋体" w:hAnsi="宋体" w:cs="宋体"/>
          <w:b/>
          <w:bCs/>
          <w:sz w:val="24"/>
          <w:szCs w:val="24"/>
          <w:highlight w:val="none"/>
        </w:rPr>
      </w:pPr>
      <w:r>
        <w:rPr>
          <w:rFonts w:hint="eastAsia" w:ascii="宋体" w:hAnsi="宋体" w:cs="宋体"/>
          <w:b/>
          <w:bCs/>
          <w:sz w:val="24"/>
          <w:szCs w:val="24"/>
          <w:highlight w:val="none"/>
        </w:rPr>
        <w:t>三、获取采购文件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bookmarkStart w:id="26" w:name="_Toc28359015"/>
      <w:bookmarkStart w:id="27" w:name="_Toc35393632"/>
      <w:bookmarkStart w:id="28" w:name="_Toc35393801"/>
      <w:bookmarkStart w:id="29" w:name="_Toc28359092"/>
      <w:r>
        <w:rPr>
          <w:rFonts w:hint="eastAsia" w:ascii="宋体" w:hAnsi="宋体" w:eastAsia="宋体" w:cs="宋体"/>
          <w:color w:val="auto"/>
          <w:sz w:val="24"/>
          <w:szCs w:val="24"/>
          <w:highlight w:val="none"/>
        </w:rPr>
        <w:t>1、时间：202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26</w:t>
      </w:r>
      <w:r>
        <w:rPr>
          <w:rFonts w:hint="eastAsia" w:ascii="宋体" w:hAnsi="宋体" w:eastAsia="宋体" w:cs="宋体"/>
          <w:color w:val="auto"/>
          <w:sz w:val="24"/>
          <w:szCs w:val="24"/>
          <w:highlight w:val="none"/>
        </w:rPr>
        <w:t>日至202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日，每天上午9时30分至11时30分，下午14时至17时（北京时间，法定节假日除外），202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日17时后不再发</w:t>
      </w:r>
      <w:r>
        <w:rPr>
          <w:rFonts w:hint="eastAsia" w:ascii="宋体" w:hAnsi="宋体" w:cs="宋体"/>
          <w:color w:val="auto"/>
          <w:sz w:val="24"/>
          <w:szCs w:val="24"/>
          <w:highlight w:val="none"/>
          <w:lang w:val="en-US" w:eastAsia="zh-CN"/>
        </w:rPr>
        <w:t>售磋商</w:t>
      </w:r>
      <w:r>
        <w:rPr>
          <w:rFonts w:hint="eastAsia" w:ascii="宋体" w:hAnsi="宋体" w:eastAsia="宋体" w:cs="宋体"/>
          <w:color w:val="auto"/>
          <w:sz w:val="24"/>
          <w:szCs w:val="24"/>
          <w:highlight w:val="none"/>
        </w:rPr>
        <w:t>文件。</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2、地点：南通市崇川区青年中路153号4号楼213室</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3、方式：现场领取（或联系代理公司工作人员办理，联系电话17778751998）</w:t>
      </w:r>
      <w:r>
        <w:rPr>
          <w:rFonts w:hint="eastAsia" w:ascii="宋体" w:hAnsi="宋体" w:eastAsia="宋体" w:cs="宋体"/>
          <w:color w:val="auto"/>
          <w:sz w:val="24"/>
          <w:szCs w:val="24"/>
          <w:highlight w:val="none"/>
          <w:lang w:eastAsia="zh-CN"/>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4、售价：</w:t>
      </w:r>
      <w:r>
        <w:rPr>
          <w:rFonts w:hint="eastAsia" w:ascii="宋体" w:hAnsi="宋体" w:cs="宋体"/>
          <w:color w:val="auto"/>
          <w:sz w:val="24"/>
          <w:szCs w:val="24"/>
          <w:highlight w:val="none"/>
          <w:lang w:val="en-US" w:eastAsia="zh-CN"/>
        </w:rPr>
        <w:t>300元</w:t>
      </w:r>
      <w:r>
        <w:rPr>
          <w:rFonts w:hint="eastAsia" w:ascii="宋体" w:hAnsi="宋体" w:eastAsia="宋体" w:cs="宋体"/>
          <w:color w:val="auto"/>
          <w:sz w:val="24"/>
          <w:szCs w:val="24"/>
          <w:highlight w:val="none"/>
        </w:rPr>
        <w:t>。</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5、未按要求获取</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文件的供应商不得参与本项目投标。</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6、有关本次招标的事项若存在变动或修改，敬请及时关注“</w:t>
      </w:r>
      <w:r>
        <w:rPr>
          <w:rFonts w:hint="eastAsia" w:ascii="宋体" w:hAnsi="宋体" w:cs="宋体"/>
          <w:b/>
          <w:bCs/>
          <w:sz w:val="24"/>
          <w:szCs w:val="24"/>
          <w:highlight w:val="none"/>
          <w:lang w:eastAsia="zh-CN"/>
        </w:rPr>
        <w:t>南通市教育局官网</w:t>
      </w:r>
      <w:r>
        <w:rPr>
          <w:rFonts w:hint="eastAsia" w:ascii="宋体" w:hAnsi="宋体" w:eastAsia="宋体" w:cs="宋体"/>
          <w:color w:val="auto"/>
          <w:sz w:val="24"/>
          <w:szCs w:val="24"/>
          <w:highlight w:val="none"/>
        </w:rPr>
        <w:t>”发布的信息更正公告，恕不另行通知，如有遗漏招标采购单位概不负责。</w:t>
      </w:r>
    </w:p>
    <w:p>
      <w:pPr>
        <w:pStyle w:val="6"/>
        <w:spacing w:before="0" w:after="0" w:line="360" w:lineRule="auto"/>
        <w:ind w:firstLine="482" w:firstLineChars="200"/>
        <w:rPr>
          <w:rFonts w:ascii="宋体" w:hAnsi="宋体" w:eastAsia="宋体" w:cs="宋体"/>
          <w:sz w:val="24"/>
          <w:szCs w:val="24"/>
          <w:highlight w:val="none"/>
        </w:rPr>
      </w:pPr>
      <w:r>
        <w:rPr>
          <w:rFonts w:hint="eastAsia" w:ascii="宋体" w:hAnsi="宋体" w:eastAsia="宋体" w:cs="宋体"/>
          <w:sz w:val="24"/>
          <w:szCs w:val="24"/>
          <w:highlight w:val="none"/>
        </w:rPr>
        <w:t>四、响应文件提交</w:t>
      </w:r>
      <w:bookmarkEnd w:id="26"/>
      <w:bookmarkEnd w:id="27"/>
      <w:bookmarkEnd w:id="28"/>
      <w:bookmarkEnd w:id="29"/>
    </w:p>
    <w:p>
      <w:pPr>
        <w:snapToGrid w:val="0"/>
        <w:spacing w:line="360" w:lineRule="auto"/>
        <w:ind w:firstLine="480" w:firstLineChars="200"/>
        <w:outlineLvl w:val="1"/>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000000"/>
          <w:kern w:val="0"/>
          <w:sz w:val="24"/>
          <w:szCs w:val="24"/>
          <w:highlight w:val="none"/>
        </w:rPr>
        <w:t>竞争性磋商响应文件接收截止及评审开始时间</w:t>
      </w:r>
      <w:r>
        <w:rPr>
          <w:rFonts w:hint="eastAsia" w:ascii="宋体" w:hAnsi="宋体" w:cs="宋体"/>
          <w:b/>
          <w:bCs/>
          <w:color w:val="000000"/>
          <w:kern w:val="0"/>
          <w:sz w:val="24"/>
          <w:szCs w:val="24"/>
          <w:highlight w:val="none"/>
        </w:rPr>
        <w:t>：</w:t>
      </w:r>
      <w:r>
        <w:rPr>
          <w:rFonts w:hint="eastAsia" w:ascii="宋体" w:hAnsi="宋体" w:cs="宋体"/>
          <w:b/>
          <w:bCs/>
          <w:sz w:val="24"/>
          <w:szCs w:val="24"/>
          <w:highlight w:val="none"/>
        </w:rPr>
        <w:t>2021年</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月</w:t>
      </w:r>
      <w:r>
        <w:rPr>
          <w:rFonts w:hint="eastAsia" w:ascii="宋体" w:hAnsi="宋体" w:cs="宋体"/>
          <w:b/>
          <w:bCs/>
          <w:sz w:val="24"/>
          <w:szCs w:val="24"/>
          <w:highlight w:val="none"/>
          <w:lang w:val="en-US" w:eastAsia="zh-CN"/>
        </w:rPr>
        <w:t>8</w:t>
      </w:r>
      <w:r>
        <w:rPr>
          <w:rFonts w:hint="eastAsia" w:ascii="宋体" w:hAnsi="宋体" w:cs="宋体"/>
          <w:b/>
          <w:bCs/>
          <w:sz w:val="24"/>
          <w:szCs w:val="24"/>
          <w:highlight w:val="none"/>
        </w:rPr>
        <w:t>日</w:t>
      </w:r>
      <w:r>
        <w:rPr>
          <w:rFonts w:hint="eastAsia" w:ascii="宋体" w:hAnsi="宋体" w:cs="宋体"/>
          <w:b/>
          <w:bCs/>
          <w:sz w:val="24"/>
          <w:szCs w:val="24"/>
          <w:highlight w:val="none"/>
          <w:lang w:val="en-US" w:eastAsia="zh-CN"/>
        </w:rPr>
        <w:t>14</w:t>
      </w:r>
      <w:r>
        <w:rPr>
          <w:rFonts w:hint="eastAsia" w:ascii="宋体" w:hAnsi="宋体" w:cs="宋体"/>
          <w:b/>
          <w:bCs/>
          <w:sz w:val="24"/>
          <w:szCs w:val="24"/>
          <w:highlight w:val="none"/>
        </w:rPr>
        <w:t>时30分</w:t>
      </w:r>
      <w:r>
        <w:rPr>
          <w:rFonts w:hint="eastAsia" w:ascii="宋体" w:hAnsi="宋体" w:cs="宋体"/>
          <w:sz w:val="24"/>
          <w:szCs w:val="24"/>
          <w:highlight w:val="none"/>
        </w:rPr>
        <w:t>（北京时间）</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2、竞争性磋商响应文件递交地址：</w:t>
      </w:r>
      <w:r>
        <w:rPr>
          <w:rFonts w:hint="eastAsia" w:ascii="宋体" w:hAnsi="宋体" w:cs="宋体"/>
          <w:sz w:val="24"/>
          <w:szCs w:val="24"/>
          <w:highlight w:val="none"/>
          <w:lang w:val="en-US" w:eastAsia="zh-CN"/>
        </w:rPr>
        <w:t>南通市行政中心938会议室（南通市崇川区世纪大道6号）</w:t>
      </w:r>
      <w:r>
        <w:rPr>
          <w:rFonts w:hint="eastAsia" w:ascii="宋体" w:hAnsi="宋体" w:cs="宋体"/>
          <w:sz w:val="24"/>
          <w:szCs w:val="24"/>
          <w:highlight w:val="none"/>
        </w:rPr>
        <w:t>，如有变动另行通知。</w:t>
      </w:r>
    </w:p>
    <w:p>
      <w:pPr>
        <w:widowControl/>
        <w:snapToGri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特别提醒：参加投标的人员，请配合现场工作人员的调度安排，携带有效身份证件，规范佩戴口罩，接受实名登记和体温检测后按规定入口进入。</w:t>
      </w:r>
    </w:p>
    <w:p>
      <w:pPr>
        <w:widowControl/>
        <w:numPr>
          <w:ilvl w:val="0"/>
          <w:numId w:val="0"/>
        </w:numPr>
        <w:spacing w:line="360" w:lineRule="auto"/>
        <w:ind w:firstLine="482" w:firstLineChars="200"/>
        <w:jc w:val="lef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五、样品要求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样品接收截止时间：</w:t>
      </w:r>
      <w:r>
        <w:rPr>
          <w:rFonts w:hint="eastAsia" w:ascii="宋体" w:hAnsi="宋体" w:eastAsia="宋体" w:cs="宋体"/>
          <w:b/>
          <w:bCs/>
          <w:color w:val="auto"/>
          <w:sz w:val="24"/>
          <w:szCs w:val="24"/>
          <w:highlight w:val="none"/>
        </w:rPr>
        <w:t>2021年</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日</w:t>
      </w:r>
      <w:r>
        <w:rPr>
          <w:rFonts w:hint="eastAsia" w:ascii="宋体" w:hAnsi="宋体" w:eastAsia="宋体" w:cs="宋体"/>
          <w:b/>
          <w:bCs/>
          <w:color w:val="auto"/>
          <w:sz w:val="24"/>
          <w:szCs w:val="24"/>
          <w:highlight w:val="none"/>
          <w:lang w:val="en-US" w:eastAsia="zh-CN"/>
        </w:rPr>
        <w:t>14</w:t>
      </w:r>
      <w:r>
        <w:rPr>
          <w:rFonts w:hint="eastAsia" w:ascii="宋体" w:hAnsi="宋体" w:eastAsia="宋体" w:cs="宋体"/>
          <w:b/>
          <w:bCs/>
          <w:color w:val="auto"/>
          <w:sz w:val="24"/>
          <w:szCs w:val="24"/>
          <w:highlight w:val="none"/>
        </w:rPr>
        <w:t>时30分</w:t>
      </w:r>
      <w:r>
        <w:rPr>
          <w:rFonts w:hint="eastAsia" w:ascii="宋体" w:hAnsi="宋体" w:eastAsia="宋体" w:cs="宋体"/>
          <w:color w:val="auto"/>
          <w:sz w:val="24"/>
          <w:szCs w:val="24"/>
          <w:highlight w:val="none"/>
        </w:rPr>
        <w:t>（北京时间）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样品接收地点：</w:t>
      </w:r>
      <w:r>
        <w:rPr>
          <w:rFonts w:hint="eastAsia" w:ascii="宋体" w:hAnsi="宋体" w:cs="宋体"/>
          <w:color w:val="auto"/>
          <w:sz w:val="24"/>
          <w:szCs w:val="24"/>
          <w:highlight w:val="none"/>
          <w:lang w:val="en-US" w:eastAsia="zh-CN"/>
        </w:rPr>
        <w:t>南通市行政中心938会议室（南通市崇川区世纪大道6号）</w:t>
      </w:r>
      <w:r>
        <w:rPr>
          <w:rFonts w:hint="eastAsia" w:ascii="宋体" w:hAnsi="宋体" w:cs="宋体"/>
          <w:sz w:val="24"/>
          <w:szCs w:val="24"/>
          <w:highlight w:val="none"/>
        </w:rPr>
        <w:t>，如有变动另行通知</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、样品要求：</w:t>
      </w:r>
      <w:r>
        <w:rPr>
          <w:rFonts w:hint="eastAsia" w:ascii="宋体" w:hAnsi="宋体" w:eastAsia="宋体" w:cs="宋体"/>
          <w:sz w:val="24"/>
          <w:szCs w:val="24"/>
          <w:highlight w:val="none"/>
          <w:lang w:val="en-US" w:eastAsia="zh-CN"/>
        </w:rPr>
        <w:t>供应商须提供符合《技术要求一览表》</w:t>
      </w:r>
      <w:r>
        <w:rPr>
          <w:rFonts w:hint="eastAsia" w:ascii="宋体" w:hAnsi="宋体" w:cs="宋体"/>
          <w:sz w:val="24"/>
          <w:szCs w:val="24"/>
          <w:highlight w:val="none"/>
          <w:lang w:val="en-US" w:eastAsia="zh-CN"/>
        </w:rPr>
        <w:t>要求</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小学、初中、高中毕业证书各一套</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样品必须有</w:t>
      </w:r>
      <w:r>
        <w:rPr>
          <w:rFonts w:hint="eastAsia" w:ascii="宋体" w:hAnsi="宋体" w:cs="宋体"/>
          <w:color w:val="000000"/>
          <w:sz w:val="24"/>
          <w:szCs w:val="24"/>
          <w:highlight w:val="none"/>
        </w:rPr>
        <w:t>两</w:t>
      </w:r>
      <w:r>
        <w:rPr>
          <w:rFonts w:hint="eastAsia" w:ascii="宋体" w:hAnsi="宋体" w:cs="宋体"/>
          <w:color w:val="000000"/>
          <w:sz w:val="24"/>
          <w:szCs w:val="24"/>
          <w:highlight w:val="none"/>
          <w:lang w:val="en-US" w:eastAsia="zh-CN"/>
        </w:rPr>
        <w:t>种及</w:t>
      </w:r>
      <w:r>
        <w:rPr>
          <w:rFonts w:hint="eastAsia" w:ascii="宋体" w:hAnsi="宋体" w:cs="宋体"/>
          <w:color w:val="000000"/>
          <w:sz w:val="24"/>
          <w:szCs w:val="24"/>
          <w:highlight w:val="none"/>
        </w:rPr>
        <w:t>以上的防伪标记</w:t>
      </w:r>
      <w:r>
        <w:rPr>
          <w:rFonts w:hint="eastAsia" w:ascii="宋体" w:hAnsi="宋体" w:cs="宋体"/>
          <w:sz w:val="24"/>
          <w:szCs w:val="24"/>
          <w:highlight w:val="none"/>
          <w:lang w:val="en-US" w:eastAsia="zh-CN"/>
        </w:rPr>
        <w:t>（</w:t>
      </w:r>
      <w:r>
        <w:rPr>
          <w:rFonts w:cs="Arial" w:asciiTheme="minorEastAsia" w:hAnsiTheme="minorEastAsia"/>
          <w:kern w:val="0"/>
          <w:sz w:val="24"/>
          <w:szCs w:val="24"/>
          <w:highlight w:val="none"/>
        </w:rPr>
        <w:t>防伪要求以</w:t>
      </w:r>
      <w:r>
        <w:rPr>
          <w:rFonts w:hint="eastAsia" w:ascii="宋体" w:hAnsi="宋体" w:eastAsia="宋体" w:cs="宋体"/>
          <w:b w:val="0"/>
          <w:bCs w:val="0"/>
          <w:sz w:val="24"/>
          <w:szCs w:val="24"/>
          <w:highlight w:val="none"/>
        </w:rPr>
        <w:t>采购人</w:t>
      </w:r>
      <w:r>
        <w:rPr>
          <w:rFonts w:cs="Arial" w:asciiTheme="minorEastAsia" w:hAnsiTheme="minorEastAsia"/>
          <w:kern w:val="0"/>
          <w:sz w:val="24"/>
          <w:szCs w:val="24"/>
          <w:highlight w:val="none"/>
        </w:rPr>
        <w:t>的</w:t>
      </w:r>
      <w:r>
        <w:rPr>
          <w:rFonts w:hint="eastAsia" w:cs="Arial" w:asciiTheme="minorEastAsia" w:hAnsiTheme="minorEastAsia"/>
          <w:kern w:val="0"/>
          <w:sz w:val="24"/>
          <w:szCs w:val="24"/>
          <w:highlight w:val="none"/>
          <w:lang w:val="en-US" w:eastAsia="zh-CN"/>
        </w:rPr>
        <w:t>样册</w:t>
      </w:r>
      <w:r>
        <w:rPr>
          <w:rFonts w:cs="Arial" w:asciiTheme="minorEastAsia" w:hAnsiTheme="minorEastAsia"/>
          <w:kern w:val="0"/>
          <w:sz w:val="24"/>
          <w:szCs w:val="24"/>
          <w:highlight w:val="none"/>
        </w:rPr>
        <w:t>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highlight w:val="none"/>
          <w:u w:val="double"/>
          <w:lang w:val="en-US" w:eastAsia="zh-CN"/>
        </w:rPr>
        <w:t>各潜在供应商</w:t>
      </w:r>
      <w:r>
        <w:rPr>
          <w:rFonts w:hint="eastAsia" w:ascii="宋体" w:hAnsi="宋体" w:cs="宋体"/>
          <w:b/>
          <w:bCs/>
          <w:color w:val="auto"/>
          <w:sz w:val="24"/>
          <w:szCs w:val="24"/>
          <w:highlight w:val="none"/>
          <w:u w:val="double"/>
          <w:lang w:val="en-US" w:eastAsia="zh-CN"/>
        </w:rPr>
        <w:t>请</w:t>
      </w:r>
      <w:r>
        <w:rPr>
          <w:rFonts w:hint="eastAsia" w:ascii="宋体" w:hAnsi="宋体" w:eastAsia="宋体" w:cs="宋体"/>
          <w:b/>
          <w:bCs/>
          <w:color w:val="auto"/>
          <w:sz w:val="24"/>
          <w:szCs w:val="24"/>
          <w:highlight w:val="none"/>
          <w:u w:val="double"/>
          <w:lang w:val="en-US" w:eastAsia="zh-CN"/>
        </w:rPr>
        <w:t>于2021年</w:t>
      </w:r>
      <w:r>
        <w:rPr>
          <w:rFonts w:hint="eastAsia" w:ascii="宋体" w:hAnsi="宋体" w:cs="宋体"/>
          <w:b/>
          <w:bCs/>
          <w:color w:val="auto"/>
          <w:sz w:val="24"/>
          <w:szCs w:val="24"/>
          <w:highlight w:val="none"/>
          <w:u w:val="double"/>
          <w:lang w:val="en-US" w:eastAsia="zh-CN"/>
        </w:rPr>
        <w:t>3</w:t>
      </w:r>
      <w:r>
        <w:rPr>
          <w:rFonts w:hint="eastAsia" w:ascii="宋体" w:hAnsi="宋体" w:eastAsia="宋体" w:cs="宋体"/>
          <w:b/>
          <w:bCs/>
          <w:color w:val="auto"/>
          <w:sz w:val="24"/>
          <w:szCs w:val="24"/>
          <w:highlight w:val="none"/>
          <w:u w:val="double"/>
          <w:lang w:val="en-US" w:eastAsia="zh-CN"/>
        </w:rPr>
        <w:t>月</w:t>
      </w:r>
      <w:r>
        <w:rPr>
          <w:rFonts w:hint="eastAsia" w:ascii="宋体" w:hAnsi="宋体" w:cs="宋体"/>
          <w:b/>
          <w:bCs/>
          <w:color w:val="auto"/>
          <w:sz w:val="24"/>
          <w:szCs w:val="24"/>
          <w:highlight w:val="none"/>
          <w:u w:val="double"/>
          <w:lang w:val="en-US" w:eastAsia="zh-CN"/>
        </w:rPr>
        <w:t>31</w:t>
      </w:r>
      <w:r>
        <w:rPr>
          <w:rFonts w:hint="eastAsia" w:ascii="宋体" w:hAnsi="宋体" w:eastAsia="宋体" w:cs="宋体"/>
          <w:b/>
          <w:bCs/>
          <w:color w:val="auto"/>
          <w:sz w:val="24"/>
          <w:szCs w:val="24"/>
          <w:highlight w:val="none"/>
          <w:u w:val="double"/>
          <w:lang w:val="en-US" w:eastAsia="zh-CN"/>
        </w:rPr>
        <w:t>日上午9：30至下午5：00前往</w:t>
      </w:r>
      <w:r>
        <w:rPr>
          <w:rFonts w:hint="eastAsia" w:ascii="宋体" w:hAnsi="宋体" w:eastAsia="宋体" w:cs="宋体"/>
          <w:b/>
          <w:bCs/>
          <w:color w:val="auto"/>
          <w:sz w:val="24"/>
          <w:szCs w:val="24"/>
          <w:highlight w:val="none"/>
          <w:u w:val="double"/>
        </w:rPr>
        <w:t>南通市崇川区青年中路153号4号楼213室</w:t>
      </w:r>
      <w:r>
        <w:rPr>
          <w:rFonts w:hint="eastAsia" w:ascii="宋体" w:hAnsi="宋体" w:eastAsia="宋体" w:cs="宋体"/>
          <w:b/>
          <w:bCs/>
          <w:color w:val="auto"/>
          <w:sz w:val="24"/>
          <w:szCs w:val="24"/>
          <w:highlight w:val="none"/>
          <w:u w:val="double"/>
          <w:lang w:val="en-US" w:eastAsia="zh-CN"/>
        </w:rPr>
        <w:t>看样册</w:t>
      </w:r>
      <w:r>
        <w:rPr>
          <w:rFonts w:hint="eastAsia" w:ascii="宋体" w:hAnsi="宋体" w:cs="宋体"/>
          <w:b/>
          <w:bCs/>
          <w:color w:val="auto"/>
          <w:sz w:val="24"/>
          <w:szCs w:val="24"/>
          <w:highlight w:val="none"/>
          <w:u w:val="double"/>
          <w:lang w:val="en-US" w:eastAsia="zh-CN"/>
        </w:rPr>
        <w:t>，联系电话17778751998。</w:t>
      </w:r>
    </w:p>
    <w:p>
      <w:pPr>
        <w:keepNext w:val="0"/>
        <w:keepLines w:val="0"/>
        <w:pageBreakBefore w:val="0"/>
        <w:widowControl/>
        <w:kinsoku/>
        <w:wordWrap/>
        <w:overflowPunct/>
        <w:topLinePunct w:val="0"/>
        <w:autoSpaceDE/>
        <w:autoSpaceDN/>
        <w:bidi w:val="0"/>
        <w:adjustRightInd/>
        <w:snapToGrid/>
        <w:spacing w:line="360" w:lineRule="auto"/>
        <w:ind w:left="1"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b/>
          <w:bCs/>
          <w:sz w:val="24"/>
          <w:szCs w:val="24"/>
          <w:highlight w:val="none"/>
          <w:u w:val="double"/>
        </w:rPr>
        <w:t>样品不能出现供应商的任何标志、标记，样品上涉及供应商的标志及标记请做遮挡或封存，否则：在评标环节的“样品”评审中将不得分，请供应商提前处理好各自相应的样品。</w:t>
      </w:r>
    </w:p>
    <w:p>
      <w:pPr>
        <w:keepNext w:val="0"/>
        <w:keepLines w:val="0"/>
        <w:pageBreakBefore w:val="0"/>
        <w:widowControl/>
        <w:kinsoku/>
        <w:wordWrap/>
        <w:overflowPunct/>
        <w:topLinePunct w:val="0"/>
        <w:autoSpaceDE/>
        <w:autoSpaceDN/>
        <w:bidi w:val="0"/>
        <w:adjustRightInd/>
        <w:snapToGrid/>
        <w:spacing w:line="360" w:lineRule="auto"/>
        <w:ind w:left="1" w:firstLine="480" w:firstLineChars="20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采购人将对成交供应商的样品进行封存，作为货物验收的标准之一。无论中标与否，各投标人自行承担相关样品制作、运输等费用。</w:t>
      </w:r>
    </w:p>
    <w:p>
      <w:pPr>
        <w:keepNext w:val="0"/>
        <w:keepLines w:val="0"/>
        <w:pageBreakBefore w:val="0"/>
        <w:widowControl/>
        <w:kinsoku/>
        <w:wordWrap/>
        <w:overflowPunct/>
        <w:topLinePunct w:val="0"/>
        <w:autoSpaceDE/>
        <w:autoSpaceDN/>
        <w:bidi w:val="0"/>
        <w:adjustRightInd/>
        <w:snapToGrid/>
        <w:spacing w:line="360" w:lineRule="auto"/>
        <w:ind w:left="1" w:firstLine="480" w:firstLineChars="20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7、</w:t>
      </w:r>
      <w:r>
        <w:rPr>
          <w:rFonts w:hint="eastAsia" w:ascii="宋体" w:hAnsi="宋体" w:eastAsia="宋体" w:cs="宋体"/>
          <w:b w:val="0"/>
          <w:bCs w:val="0"/>
          <w:sz w:val="24"/>
          <w:szCs w:val="24"/>
          <w:highlight w:val="none"/>
        </w:rPr>
        <w:t>未成交供应商的样品必须于开标后及时搬离，采购单位不承担样品的保管责任。</w:t>
      </w:r>
    </w:p>
    <w:p>
      <w:pPr>
        <w:widowControl/>
        <w:spacing w:line="360" w:lineRule="auto"/>
        <w:ind w:left="1" w:firstLine="482" w:firstLineChars="200"/>
        <w:jc w:val="left"/>
        <w:rPr>
          <w:rFonts w:ascii="宋体" w:hAnsi="宋体" w:cs="宋体"/>
          <w:b/>
          <w:bCs/>
          <w:sz w:val="24"/>
          <w:szCs w:val="24"/>
          <w:highlight w:val="none"/>
        </w:rPr>
      </w:pPr>
      <w:r>
        <w:rPr>
          <w:rFonts w:hint="eastAsia" w:ascii="宋体" w:hAnsi="宋体" w:cs="宋体"/>
          <w:b/>
          <w:bCs/>
          <w:sz w:val="24"/>
          <w:szCs w:val="24"/>
          <w:highlight w:val="none"/>
          <w:lang w:val="en-US" w:eastAsia="zh-CN"/>
        </w:rPr>
        <w:t>六</w:t>
      </w:r>
      <w:r>
        <w:rPr>
          <w:rFonts w:hint="eastAsia" w:ascii="宋体" w:hAnsi="宋体" w:cs="宋体"/>
          <w:b/>
          <w:bCs/>
          <w:sz w:val="24"/>
          <w:szCs w:val="24"/>
          <w:highlight w:val="none"/>
        </w:rPr>
        <w:t>、开启</w:t>
      </w:r>
    </w:p>
    <w:p>
      <w:pPr>
        <w:snapToGrid w:val="0"/>
        <w:spacing w:line="360" w:lineRule="auto"/>
        <w:ind w:firstLine="480" w:firstLineChars="200"/>
        <w:outlineLvl w:val="1"/>
        <w:rPr>
          <w:rFonts w:ascii="宋体" w:hAnsi="宋体" w:cs="宋体"/>
          <w:sz w:val="24"/>
          <w:szCs w:val="24"/>
          <w:highlight w:val="none"/>
        </w:rPr>
      </w:pPr>
      <w:r>
        <w:rPr>
          <w:rFonts w:hint="eastAsia" w:ascii="宋体" w:hAnsi="宋体" w:cs="宋体"/>
          <w:sz w:val="24"/>
          <w:szCs w:val="24"/>
          <w:highlight w:val="none"/>
        </w:rPr>
        <w:t>1、</w:t>
      </w:r>
      <w:r>
        <w:rPr>
          <w:rFonts w:hint="eastAsia" w:ascii="宋体" w:hAnsi="宋体" w:cs="宋体"/>
          <w:color w:val="000000"/>
          <w:kern w:val="0"/>
          <w:sz w:val="24"/>
          <w:szCs w:val="24"/>
          <w:highlight w:val="none"/>
        </w:rPr>
        <w:t>竞争性磋商</w:t>
      </w:r>
      <w:r>
        <w:rPr>
          <w:rFonts w:hint="eastAsia" w:ascii="宋体" w:hAnsi="宋体" w:cs="宋体"/>
          <w:sz w:val="24"/>
          <w:szCs w:val="24"/>
          <w:highlight w:val="none"/>
        </w:rPr>
        <w:t>响应文件开启时间：</w:t>
      </w:r>
      <w:r>
        <w:rPr>
          <w:rFonts w:hint="eastAsia" w:ascii="宋体" w:hAnsi="宋体" w:cs="宋体"/>
          <w:b/>
          <w:bCs/>
          <w:sz w:val="24"/>
          <w:szCs w:val="24"/>
          <w:highlight w:val="none"/>
        </w:rPr>
        <w:t>2021年</w:t>
      </w:r>
      <w:r>
        <w:rPr>
          <w:rFonts w:hint="eastAsia" w:ascii="宋体" w:hAnsi="宋体" w:cs="宋体"/>
          <w:b/>
          <w:bCs/>
          <w:sz w:val="24"/>
          <w:szCs w:val="24"/>
          <w:highlight w:val="none"/>
          <w:lang w:val="en-US" w:eastAsia="zh-CN"/>
        </w:rPr>
        <w:t>4</w:t>
      </w:r>
      <w:r>
        <w:rPr>
          <w:rFonts w:hint="eastAsia" w:ascii="宋体" w:hAnsi="宋体" w:cs="宋体"/>
          <w:b/>
          <w:bCs/>
          <w:sz w:val="24"/>
          <w:szCs w:val="24"/>
          <w:highlight w:val="none"/>
        </w:rPr>
        <w:t>月</w:t>
      </w:r>
      <w:r>
        <w:rPr>
          <w:rFonts w:hint="eastAsia" w:ascii="宋体" w:hAnsi="宋体" w:cs="宋体"/>
          <w:b/>
          <w:bCs/>
          <w:sz w:val="24"/>
          <w:szCs w:val="24"/>
          <w:highlight w:val="none"/>
          <w:lang w:val="en-US" w:eastAsia="zh-CN"/>
        </w:rPr>
        <w:t>8</w:t>
      </w:r>
      <w:r>
        <w:rPr>
          <w:rFonts w:hint="eastAsia" w:ascii="宋体" w:hAnsi="宋体" w:cs="宋体"/>
          <w:b/>
          <w:bCs/>
          <w:sz w:val="24"/>
          <w:szCs w:val="24"/>
          <w:highlight w:val="none"/>
        </w:rPr>
        <w:t>日</w:t>
      </w:r>
      <w:r>
        <w:rPr>
          <w:rFonts w:hint="eastAsia" w:ascii="宋体" w:hAnsi="宋体" w:cs="宋体"/>
          <w:b/>
          <w:bCs/>
          <w:sz w:val="24"/>
          <w:szCs w:val="24"/>
          <w:highlight w:val="none"/>
          <w:lang w:val="en-US" w:eastAsia="zh-CN"/>
        </w:rPr>
        <w:t>14</w:t>
      </w:r>
      <w:r>
        <w:rPr>
          <w:rFonts w:hint="eastAsia" w:ascii="宋体" w:hAnsi="宋体" w:cs="宋体"/>
          <w:b/>
          <w:bCs/>
          <w:sz w:val="24"/>
          <w:szCs w:val="24"/>
          <w:highlight w:val="none"/>
        </w:rPr>
        <w:t>时30分</w:t>
      </w:r>
      <w:r>
        <w:rPr>
          <w:rFonts w:hint="eastAsia" w:ascii="宋体" w:hAnsi="宋体" w:cs="宋体"/>
          <w:sz w:val="24"/>
          <w:szCs w:val="24"/>
          <w:highlight w:val="none"/>
        </w:rPr>
        <w:t>（北京时间）</w:t>
      </w:r>
    </w:p>
    <w:p>
      <w:pPr>
        <w:autoSpaceDE w:val="0"/>
        <w:autoSpaceDN w:val="0"/>
        <w:adjustRightIn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2、</w:t>
      </w:r>
      <w:r>
        <w:rPr>
          <w:rFonts w:hint="eastAsia" w:ascii="宋体" w:hAnsi="宋体" w:cs="宋体"/>
          <w:color w:val="000000"/>
          <w:kern w:val="0"/>
          <w:sz w:val="24"/>
          <w:szCs w:val="24"/>
          <w:highlight w:val="none"/>
        </w:rPr>
        <w:t>竞争性磋商</w:t>
      </w:r>
      <w:r>
        <w:rPr>
          <w:rFonts w:hint="eastAsia" w:ascii="宋体" w:hAnsi="宋体" w:cs="宋体"/>
          <w:sz w:val="24"/>
          <w:szCs w:val="24"/>
          <w:highlight w:val="none"/>
        </w:rPr>
        <w:t>响应文件开启地点：</w:t>
      </w:r>
      <w:r>
        <w:rPr>
          <w:rFonts w:hint="eastAsia" w:ascii="宋体" w:hAnsi="宋体" w:cs="宋体"/>
          <w:sz w:val="24"/>
          <w:szCs w:val="24"/>
          <w:highlight w:val="none"/>
          <w:lang w:val="en-US" w:eastAsia="zh-CN"/>
        </w:rPr>
        <w:t>南通市行政中心938会议室（南通市崇川区世纪大道6号）</w:t>
      </w:r>
      <w:r>
        <w:rPr>
          <w:rFonts w:hint="eastAsia" w:ascii="宋体" w:hAnsi="宋体" w:cs="宋体"/>
          <w:sz w:val="24"/>
          <w:szCs w:val="24"/>
          <w:highlight w:val="none"/>
        </w:rPr>
        <w:t>，如有变动另行通知。</w:t>
      </w:r>
    </w:p>
    <w:p>
      <w:pPr>
        <w:snapToGrid w:val="0"/>
        <w:spacing w:line="360" w:lineRule="auto"/>
        <w:ind w:firstLine="482" w:firstLineChars="200"/>
        <w:outlineLvl w:val="1"/>
        <w:rPr>
          <w:rFonts w:ascii="宋体" w:hAnsi="宋体" w:cs="宋体"/>
          <w:sz w:val="24"/>
          <w:szCs w:val="24"/>
          <w:highlight w:val="none"/>
        </w:rPr>
      </w:pPr>
      <w:r>
        <w:rPr>
          <w:rFonts w:hint="eastAsia" w:ascii="宋体" w:hAnsi="宋体" w:cs="宋体"/>
          <w:b/>
          <w:bCs/>
          <w:sz w:val="24"/>
          <w:szCs w:val="24"/>
          <w:highlight w:val="none"/>
          <w:lang w:val="en-US" w:eastAsia="zh-CN"/>
        </w:rPr>
        <w:t>七</w:t>
      </w:r>
      <w:r>
        <w:rPr>
          <w:rFonts w:hint="eastAsia" w:ascii="宋体" w:hAnsi="宋体" w:cs="宋体"/>
          <w:b/>
          <w:bCs/>
          <w:sz w:val="24"/>
          <w:szCs w:val="24"/>
          <w:highlight w:val="none"/>
        </w:rPr>
        <w:t>、公告期限：</w:t>
      </w:r>
      <w:r>
        <w:rPr>
          <w:rFonts w:hint="eastAsia" w:ascii="宋体" w:hAnsi="宋体" w:cs="宋体"/>
          <w:sz w:val="24"/>
          <w:szCs w:val="24"/>
          <w:highlight w:val="none"/>
        </w:rPr>
        <w:t>自本公告发布之日起3个工作日。</w:t>
      </w:r>
    </w:p>
    <w:p>
      <w:pPr>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lang w:val="en-US" w:eastAsia="zh-CN"/>
        </w:rPr>
        <w:t>八</w:t>
      </w:r>
      <w:r>
        <w:rPr>
          <w:rFonts w:hint="eastAsia" w:ascii="宋体" w:hAnsi="宋体" w:cs="宋体"/>
          <w:b/>
          <w:bCs/>
          <w:sz w:val="24"/>
          <w:szCs w:val="24"/>
          <w:highlight w:val="none"/>
        </w:rPr>
        <w:t>、凡对本次采购提出询问，请按以下方式联系</w:t>
      </w:r>
    </w:p>
    <w:p>
      <w:pPr>
        <w:numPr>
          <w:ilvl w:val="0"/>
          <w:numId w:val="2"/>
        </w:num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采购人信息</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cs="宋体"/>
          <w:sz w:val="24"/>
          <w:szCs w:val="24"/>
          <w:highlight w:val="none"/>
        </w:rPr>
        <w:t>名称：</w:t>
      </w:r>
      <w:r>
        <w:rPr>
          <w:rFonts w:hint="eastAsia" w:ascii="宋体" w:hAnsi="宋体" w:cs="宋体"/>
          <w:sz w:val="24"/>
          <w:szCs w:val="24"/>
          <w:highlight w:val="none"/>
          <w:lang w:eastAsia="zh-CN"/>
        </w:rPr>
        <w:t>南通市教育局</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地址：</w:t>
      </w:r>
      <w:r>
        <w:rPr>
          <w:rFonts w:hint="eastAsia" w:ascii="宋体" w:hAnsi="宋体" w:cs="宋体"/>
          <w:sz w:val="24"/>
          <w:szCs w:val="24"/>
          <w:highlight w:val="none"/>
          <w:lang w:val="en-US" w:eastAsia="zh-CN"/>
        </w:rPr>
        <w:t>南通市崇川区世纪大道6号</w:t>
      </w:r>
      <w:r>
        <w:rPr>
          <w:rFonts w:hint="eastAsia" w:ascii="宋体" w:hAnsi="宋体" w:cs="宋体"/>
          <w:sz w:val="24"/>
          <w:szCs w:val="24"/>
          <w:highlight w:val="none"/>
        </w:rPr>
        <w:t xml:space="preserve">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联系电话：0513-</w:t>
      </w:r>
      <w:r>
        <w:rPr>
          <w:rFonts w:hint="eastAsia" w:ascii="宋体" w:hAnsi="宋体" w:cs="宋体"/>
          <w:sz w:val="24"/>
          <w:szCs w:val="24"/>
          <w:highlight w:val="none"/>
          <w:lang w:val="en-US" w:eastAsia="zh-CN"/>
        </w:rPr>
        <w:t xml:space="preserve">85098847 </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2、采购代理机构信息</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名称：江苏正扬招标代理有限公司</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地址：南通市崇川区青年中路153号4号楼213室</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 xml:space="preserve">联系人：李艳梅     </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联系电话：17778751998</w:t>
      </w:r>
    </w:p>
    <w:p>
      <w:pPr>
        <w:spacing w:line="360" w:lineRule="auto"/>
        <w:ind w:left="420" w:leftChars="200"/>
        <w:rPr>
          <w:rFonts w:ascii="宋体" w:hAnsi="宋体" w:cs="宋体"/>
          <w:sz w:val="24"/>
          <w:szCs w:val="24"/>
          <w:highlight w:val="none"/>
        </w:rPr>
      </w:pPr>
      <w:r>
        <w:rPr>
          <w:rFonts w:hint="eastAsia" w:ascii="宋体" w:hAnsi="宋体" w:cs="宋体"/>
          <w:sz w:val="24"/>
          <w:szCs w:val="24"/>
          <w:highlight w:val="none"/>
        </w:rPr>
        <w:t>邮箱号码：1205007749@qq.com</w:t>
      </w:r>
    </w:p>
    <w:p>
      <w:pPr>
        <w:spacing w:line="360" w:lineRule="auto"/>
        <w:ind w:left="420" w:leftChars="200"/>
        <w:rPr>
          <w:rFonts w:ascii="宋体" w:hAnsi="宋体" w:cs="宋体"/>
          <w:sz w:val="24"/>
          <w:szCs w:val="24"/>
          <w:highlight w:val="none"/>
        </w:rPr>
      </w:pPr>
      <w:bookmarkStart w:id="30" w:name="_Toc28359021"/>
      <w:bookmarkStart w:id="31" w:name="_Toc35393639"/>
      <w:bookmarkStart w:id="32" w:name="_Toc35393808"/>
      <w:bookmarkStart w:id="33" w:name="_Toc28359098"/>
      <w:r>
        <w:rPr>
          <w:rFonts w:hint="eastAsia" w:ascii="宋体" w:hAnsi="宋体" w:cs="宋体"/>
          <w:sz w:val="24"/>
          <w:szCs w:val="24"/>
          <w:highlight w:val="none"/>
        </w:rPr>
        <w:t>3、项目联系方式</w:t>
      </w:r>
      <w:bookmarkEnd w:id="30"/>
      <w:bookmarkEnd w:id="31"/>
      <w:bookmarkEnd w:id="32"/>
      <w:bookmarkEnd w:id="33"/>
    </w:p>
    <w:p>
      <w:pPr>
        <w:spacing w:line="360" w:lineRule="auto"/>
        <w:ind w:left="420" w:leftChars="200"/>
        <w:rPr>
          <w:rFonts w:hint="eastAsia" w:ascii="宋体" w:hAnsi="宋体" w:cs="宋体"/>
          <w:sz w:val="24"/>
          <w:szCs w:val="24"/>
          <w:highlight w:val="none"/>
        </w:rPr>
      </w:pPr>
      <w:r>
        <w:rPr>
          <w:rFonts w:hint="eastAsia" w:ascii="宋体" w:hAnsi="宋体" w:cs="宋体"/>
          <w:sz w:val="24"/>
          <w:szCs w:val="24"/>
          <w:highlight w:val="none"/>
        </w:rPr>
        <w:t>项目联系人：</w:t>
      </w:r>
      <w:r>
        <w:rPr>
          <w:rFonts w:hint="eastAsia" w:ascii="宋体" w:hAnsi="宋体" w:cs="宋体"/>
          <w:sz w:val="24"/>
          <w:szCs w:val="24"/>
          <w:highlight w:val="none"/>
          <w:lang w:val="en-US" w:eastAsia="zh-CN"/>
        </w:rPr>
        <w:t>朱女士</w:t>
      </w:r>
      <w:r>
        <w:rPr>
          <w:rFonts w:hint="eastAsia" w:ascii="宋体" w:hAnsi="宋体" w:cs="宋体"/>
          <w:sz w:val="24"/>
          <w:szCs w:val="24"/>
          <w:highlight w:val="none"/>
        </w:rPr>
        <w:t xml:space="preserve">    </w:t>
      </w:r>
    </w:p>
    <w:p>
      <w:pPr>
        <w:spacing w:line="360" w:lineRule="auto"/>
        <w:ind w:left="420" w:leftChars="200"/>
        <w:rPr>
          <w:rFonts w:ascii="宋体" w:hAnsi="宋体" w:cs="宋体"/>
          <w:szCs w:val="21"/>
          <w:highlight w:val="none"/>
        </w:rPr>
      </w:pPr>
      <w:r>
        <w:rPr>
          <w:rFonts w:hint="eastAsia" w:ascii="宋体" w:hAnsi="宋体" w:cs="宋体"/>
          <w:sz w:val="24"/>
          <w:szCs w:val="24"/>
          <w:highlight w:val="none"/>
        </w:rPr>
        <w:t>联系电话：0513-</w:t>
      </w:r>
      <w:r>
        <w:rPr>
          <w:rFonts w:hint="eastAsia" w:ascii="宋体" w:hAnsi="宋体" w:cs="宋体"/>
          <w:sz w:val="24"/>
          <w:szCs w:val="24"/>
          <w:highlight w:val="none"/>
          <w:lang w:val="en-US" w:eastAsia="zh-CN"/>
        </w:rPr>
        <w:t xml:space="preserve">85098847 </w:t>
      </w:r>
      <w:r>
        <w:rPr>
          <w:rFonts w:hint="eastAsia" w:ascii="宋体" w:hAnsi="宋体" w:cs="宋体"/>
          <w:sz w:val="24"/>
          <w:szCs w:val="24"/>
          <w:highlight w:val="none"/>
        </w:rPr>
        <w:t xml:space="preserve"> </w:t>
      </w:r>
      <w:r>
        <w:rPr>
          <w:rFonts w:hint="eastAsia" w:ascii="宋体" w:hAnsi="宋体" w:cs="宋体"/>
          <w:szCs w:val="21"/>
          <w:highlight w:val="none"/>
        </w:rPr>
        <w:t xml:space="preserve">   </w:t>
      </w:r>
    </w:p>
    <w:p>
      <w:pPr>
        <w:spacing w:line="360" w:lineRule="auto"/>
        <w:ind w:firstLine="480" w:firstLineChars="200"/>
        <w:rPr>
          <w:rFonts w:ascii="宋体"/>
          <w:color w:val="000000"/>
          <w:sz w:val="24"/>
          <w:szCs w:val="24"/>
          <w:highlight w:val="none"/>
        </w:rPr>
      </w:pPr>
    </w:p>
    <w:p>
      <w:pPr>
        <w:spacing w:line="360" w:lineRule="auto"/>
        <w:ind w:firstLine="480" w:firstLineChars="200"/>
        <w:rPr>
          <w:rFonts w:ascii="宋体"/>
          <w:sz w:val="24"/>
          <w:szCs w:val="24"/>
          <w:highlight w:val="none"/>
        </w:rPr>
      </w:pPr>
    </w:p>
    <w:p>
      <w:pPr>
        <w:pStyle w:val="5"/>
        <w:keepNext w:val="0"/>
        <w:keepLines w:val="0"/>
        <w:snapToGrid w:val="0"/>
        <w:spacing w:before="0" w:after="0" w:line="360" w:lineRule="auto"/>
        <w:jc w:val="center"/>
        <w:rPr>
          <w:rFonts w:ascii="宋体" w:cs="宋体"/>
          <w:color w:val="000000"/>
          <w:w w:val="80"/>
          <w:sz w:val="24"/>
          <w:szCs w:val="24"/>
          <w:highlight w:val="none"/>
        </w:rPr>
      </w:pPr>
      <w:r>
        <w:rPr>
          <w:rFonts w:ascii="宋体" w:cs="宋体"/>
          <w:color w:val="000000"/>
          <w:w w:val="80"/>
          <w:sz w:val="24"/>
          <w:szCs w:val="24"/>
          <w:highlight w:val="none"/>
        </w:rPr>
        <w:br w:type="page"/>
      </w:r>
      <w:r>
        <w:rPr>
          <w:rFonts w:hint="eastAsia" w:ascii="宋体" w:hAnsi="宋体" w:cs="宋体"/>
          <w:color w:val="000000"/>
          <w:w w:val="80"/>
          <w:kern w:val="2"/>
          <w:szCs w:val="44"/>
          <w:highlight w:val="none"/>
        </w:rPr>
        <w:t>第二章</w:t>
      </w:r>
      <w:r>
        <w:rPr>
          <w:rFonts w:ascii="宋体" w:hAnsi="宋体" w:cs="宋体"/>
          <w:color w:val="000000"/>
          <w:w w:val="80"/>
          <w:kern w:val="2"/>
          <w:szCs w:val="44"/>
          <w:highlight w:val="none"/>
        </w:rPr>
        <w:t xml:space="preserve">  </w:t>
      </w:r>
      <w:bookmarkEnd w:id="11"/>
      <w:bookmarkEnd w:id="12"/>
      <w:bookmarkEnd w:id="13"/>
      <w:bookmarkEnd w:id="14"/>
      <w:bookmarkEnd w:id="15"/>
      <w:bookmarkEnd w:id="16"/>
      <w:bookmarkEnd w:id="17"/>
      <w:bookmarkEnd w:id="18"/>
      <w:bookmarkEnd w:id="19"/>
      <w:bookmarkEnd w:id="20"/>
      <w:r>
        <w:rPr>
          <w:rFonts w:hint="eastAsia" w:ascii="宋体" w:hAnsi="宋体" w:cs="宋体"/>
          <w:color w:val="000000"/>
          <w:w w:val="80"/>
          <w:kern w:val="2"/>
          <w:szCs w:val="44"/>
          <w:highlight w:val="none"/>
        </w:rPr>
        <w:t>磋商供应商须知</w:t>
      </w:r>
      <w:bookmarkEnd w:id="21"/>
    </w:p>
    <w:p>
      <w:pPr>
        <w:snapToGrid w:val="0"/>
        <w:spacing w:line="480" w:lineRule="exact"/>
        <w:ind w:firstLine="482" w:firstLineChars="200"/>
        <w:outlineLvl w:val="1"/>
        <w:rPr>
          <w:rFonts w:ascii="宋体" w:cs="宋体"/>
          <w:b/>
          <w:bCs/>
          <w:color w:val="000000"/>
          <w:sz w:val="24"/>
          <w:szCs w:val="24"/>
          <w:highlight w:val="none"/>
        </w:rPr>
      </w:pPr>
      <w:bookmarkStart w:id="34" w:name="_Toc521203419"/>
      <w:bookmarkStart w:id="35" w:name="_Toc94544871"/>
      <w:bookmarkStart w:id="36" w:name="_Toc11554640"/>
      <w:bookmarkStart w:id="37" w:name="_Toc8895740"/>
      <w:bookmarkStart w:id="38" w:name="_Toc11500281"/>
      <w:bookmarkStart w:id="39" w:name="_Toc521201598"/>
      <w:bookmarkStart w:id="40" w:name="_Toc94585341"/>
      <w:bookmarkStart w:id="41" w:name="_Toc12670504"/>
      <w:bookmarkStart w:id="42" w:name="_Toc11499585"/>
      <w:bookmarkStart w:id="43" w:name="_Toc94544745"/>
      <w:r>
        <w:rPr>
          <w:rFonts w:hint="eastAsia" w:ascii="宋体" w:hAnsi="宋体" w:cs="宋体"/>
          <w:b/>
          <w:bCs/>
          <w:color w:val="000000"/>
          <w:sz w:val="24"/>
          <w:szCs w:val="24"/>
          <w:highlight w:val="none"/>
        </w:rPr>
        <w:t>一、说明</w:t>
      </w:r>
    </w:p>
    <w:p>
      <w:pPr>
        <w:snapToGrid w:val="0"/>
        <w:spacing w:line="480" w:lineRule="exact"/>
        <w:ind w:firstLine="480" w:firstLineChars="200"/>
        <w:rPr>
          <w:rFonts w:ascii="宋体" w:cs="宋体"/>
          <w:bCs/>
          <w:color w:val="000000"/>
          <w:sz w:val="24"/>
          <w:szCs w:val="24"/>
          <w:highlight w:val="none"/>
        </w:rPr>
      </w:pPr>
      <w:r>
        <w:rPr>
          <w:rFonts w:ascii="宋体" w:hAnsi="宋体" w:cs="宋体"/>
          <w:bCs/>
          <w:color w:val="000000"/>
          <w:sz w:val="24"/>
          <w:szCs w:val="24"/>
          <w:highlight w:val="none"/>
        </w:rPr>
        <w:t>1</w:t>
      </w:r>
      <w:r>
        <w:rPr>
          <w:rFonts w:hint="eastAsia" w:ascii="宋体" w:hAnsi="宋体" w:cs="宋体"/>
          <w:bCs/>
          <w:color w:val="000000"/>
          <w:sz w:val="24"/>
          <w:szCs w:val="24"/>
          <w:highlight w:val="none"/>
        </w:rPr>
        <w:t>、本竞争性磋商文件仅适用于江苏正扬招标代理有限公司组织的竞争性磋商采购活动。</w:t>
      </w:r>
    </w:p>
    <w:p>
      <w:pPr>
        <w:snapToGrid w:val="0"/>
        <w:spacing w:line="480" w:lineRule="exact"/>
        <w:ind w:firstLine="480" w:firstLineChars="200"/>
        <w:rPr>
          <w:rFonts w:ascii="宋体" w:cs="宋体"/>
          <w:bCs/>
          <w:color w:val="000000"/>
          <w:sz w:val="24"/>
          <w:szCs w:val="24"/>
          <w:highlight w:val="none"/>
        </w:rPr>
      </w:pPr>
      <w:r>
        <w:rPr>
          <w:rFonts w:ascii="宋体" w:hAnsi="宋体" w:cs="宋体"/>
          <w:bCs/>
          <w:color w:val="000000"/>
          <w:sz w:val="24"/>
          <w:szCs w:val="24"/>
          <w:highlight w:val="none"/>
        </w:rPr>
        <w:t>2</w:t>
      </w:r>
      <w:r>
        <w:rPr>
          <w:rFonts w:hint="eastAsia" w:ascii="宋体" w:hAnsi="宋体" w:cs="宋体"/>
          <w:bCs/>
          <w:color w:val="000000"/>
          <w:sz w:val="24"/>
          <w:szCs w:val="24"/>
          <w:highlight w:val="none"/>
        </w:rPr>
        <w:t>、竞争性磋商活动及因本次磋商产生的合同受中国法律制约和保护。</w:t>
      </w:r>
    </w:p>
    <w:p>
      <w:pPr>
        <w:snapToGrid w:val="0"/>
        <w:spacing w:line="480" w:lineRule="exact"/>
        <w:ind w:firstLine="480" w:firstLineChars="200"/>
        <w:rPr>
          <w:rFonts w:ascii="宋体" w:cs="宋体"/>
          <w:bCs/>
          <w:color w:val="000000"/>
          <w:sz w:val="24"/>
          <w:szCs w:val="24"/>
          <w:highlight w:val="none"/>
        </w:rPr>
      </w:pPr>
      <w:r>
        <w:rPr>
          <w:rFonts w:ascii="宋体" w:hAnsi="宋体" w:cs="宋体"/>
          <w:bCs/>
          <w:color w:val="000000"/>
          <w:sz w:val="24"/>
          <w:szCs w:val="24"/>
          <w:highlight w:val="none"/>
        </w:rPr>
        <w:t>3</w:t>
      </w:r>
      <w:r>
        <w:rPr>
          <w:rFonts w:hint="eastAsia" w:ascii="宋体" w:hAnsi="宋体" w:cs="宋体"/>
          <w:bCs/>
          <w:color w:val="000000"/>
          <w:sz w:val="24"/>
          <w:szCs w:val="24"/>
          <w:highlight w:val="none"/>
        </w:rPr>
        <w:t>、竞争性磋商文件的解释权属于江苏正扬招标代理有限公司。</w:t>
      </w:r>
    </w:p>
    <w:p>
      <w:pPr>
        <w:snapToGrid w:val="0"/>
        <w:spacing w:line="480" w:lineRule="exact"/>
        <w:ind w:firstLine="480" w:firstLineChars="200"/>
        <w:rPr>
          <w:rFonts w:ascii="宋体" w:cs="宋体"/>
          <w:color w:val="FF00FF"/>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、供应商</w:t>
      </w:r>
      <w:r>
        <w:rPr>
          <w:rFonts w:hint="eastAsia" w:ascii="宋体" w:hAnsi="宋体" w:cs="宋体"/>
          <w:sz w:val="24"/>
          <w:szCs w:val="24"/>
          <w:highlight w:val="none"/>
        </w:rPr>
        <w:t>下载</w:t>
      </w:r>
      <w:r>
        <w:rPr>
          <w:rFonts w:hint="eastAsia" w:ascii="宋体" w:hAnsi="宋体" w:cs="宋体"/>
          <w:color w:val="000000"/>
          <w:sz w:val="24"/>
          <w:szCs w:val="24"/>
          <w:highlight w:val="none"/>
        </w:rPr>
        <w:t>磋商文件后，应仔细检查磋商文件的所有内容。如内容中有页码短缺、资格要求以及任何设置有不合理的条件对供应商实行差别待遇或者歧视待遇的，应在磋商文件发布</w:t>
      </w:r>
      <w:r>
        <w:rPr>
          <w:rFonts w:hint="eastAsia" w:ascii="宋体" w:hAnsi="宋体" w:cs="宋体"/>
          <w:sz w:val="24"/>
          <w:szCs w:val="24"/>
          <w:highlight w:val="none"/>
        </w:rPr>
        <w:t>后的</w:t>
      </w:r>
      <w:r>
        <w:rPr>
          <w:rFonts w:ascii="宋体" w:hAnsi="宋体" w:cs="宋体"/>
          <w:sz w:val="24"/>
          <w:szCs w:val="24"/>
          <w:highlight w:val="none"/>
        </w:rPr>
        <w:t>4</w:t>
      </w:r>
      <w:r>
        <w:rPr>
          <w:rFonts w:hint="eastAsia" w:ascii="宋体" w:hAnsi="宋体" w:cs="宋体"/>
          <w:sz w:val="24"/>
          <w:szCs w:val="24"/>
          <w:highlight w:val="none"/>
        </w:rPr>
        <w:t>日内，</w:t>
      </w:r>
      <w:r>
        <w:rPr>
          <w:rFonts w:hint="eastAsia" w:ascii="宋体" w:hAnsi="宋体" w:cs="宋体"/>
          <w:color w:val="000000"/>
          <w:sz w:val="24"/>
          <w:szCs w:val="24"/>
          <w:highlight w:val="none"/>
        </w:rPr>
        <w:t>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color w:val="000000"/>
          <w:sz w:val="24"/>
          <w:szCs w:val="24"/>
          <w:highlight w:val="none"/>
        </w:rPr>
        <w:t>非书面形式的不作为日后质疑提出的依据。</w:t>
      </w:r>
    </w:p>
    <w:p>
      <w:pPr>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、供应商应认真审阅</w:t>
      </w:r>
      <w:r>
        <w:rPr>
          <w:rFonts w:hint="eastAsia" w:ascii="宋体" w:hAnsi="宋体" w:cs="宋体"/>
          <w:sz w:val="24"/>
          <w:szCs w:val="24"/>
          <w:highlight w:val="none"/>
        </w:rPr>
        <w:t>磋商文件中</w:t>
      </w:r>
      <w:r>
        <w:rPr>
          <w:rFonts w:hint="eastAsia" w:ascii="宋体" w:hAnsi="宋体" w:cs="宋体"/>
          <w:color w:val="000000"/>
          <w:sz w:val="24"/>
          <w:szCs w:val="24"/>
          <w:highlight w:val="none"/>
        </w:rPr>
        <w:t>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outlineLvl w:val="1"/>
        <w:rPr>
          <w:rFonts w:ascii="宋体" w:cs="宋体"/>
          <w:b/>
          <w:color w:val="000000"/>
          <w:sz w:val="24"/>
          <w:szCs w:val="24"/>
          <w:highlight w:val="none"/>
        </w:rPr>
      </w:pPr>
      <w:r>
        <w:rPr>
          <w:rFonts w:hint="eastAsia" w:ascii="宋体" w:hAnsi="宋体" w:cs="宋体"/>
          <w:b/>
          <w:color w:val="000000"/>
          <w:sz w:val="24"/>
          <w:szCs w:val="24"/>
          <w:highlight w:val="none"/>
        </w:rPr>
        <w:t>二、磋商文件的澄清、修改、答疑</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、代理机构有权对发出的磋商文件进行必要的澄清、修改或补充。</w:t>
      </w:r>
    </w:p>
    <w:p>
      <w:pPr>
        <w:snapToGrid w:val="0"/>
        <w:spacing w:line="480" w:lineRule="exact"/>
        <w:ind w:firstLine="480" w:firstLineChars="200"/>
        <w:jc w:val="left"/>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、磋商文件的澄清、修改、补充等内容均以书面明确的形式发布。</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、代理机构对磋商文件的澄清、修改将构成磋商文件的一部分，对响应磋商的供应商具有约束力。</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、澄清或者修改的内容可能影响到响应文件编制的，代理机构将在提交响应文件接收截止之日</w:t>
      </w:r>
      <w:r>
        <w:rPr>
          <w:rFonts w:ascii="宋体" w:hAnsi="宋体" w:cs="宋体"/>
          <w:sz w:val="24"/>
          <w:szCs w:val="24"/>
          <w:highlight w:val="none"/>
        </w:rPr>
        <w:t>5</w:t>
      </w:r>
      <w:r>
        <w:rPr>
          <w:rFonts w:hint="eastAsia" w:ascii="宋体" w:hAnsi="宋体" w:cs="宋体"/>
          <w:sz w:val="24"/>
          <w:szCs w:val="24"/>
          <w:highlight w:val="none"/>
        </w:rPr>
        <w:t>日前，发布澄清或者修改公告，不足</w:t>
      </w:r>
      <w:r>
        <w:rPr>
          <w:rFonts w:ascii="宋体" w:hAnsi="宋体" w:cs="宋体"/>
          <w:sz w:val="24"/>
          <w:szCs w:val="24"/>
          <w:highlight w:val="none"/>
        </w:rPr>
        <w:t>5</w:t>
      </w:r>
      <w:r>
        <w:rPr>
          <w:rFonts w:hint="eastAsia" w:ascii="宋体" w:hAnsi="宋体" w:cs="宋体"/>
          <w:sz w:val="24"/>
          <w:szCs w:val="24"/>
          <w:highlight w:val="none"/>
        </w:rPr>
        <w:t>日的，当顺延提交响应文件接收截止时间。</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、采购单位视情况组织答疑会。如有产生答疑且对磋商文件内容有修改，代理机构将按照本须知有关规定，以补充通知（公告）的方式发出。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ascii="宋体"/>
          <w:b/>
          <w:bCs/>
          <w:color w:val="000000"/>
          <w:sz w:val="24"/>
          <w:szCs w:val="24"/>
          <w:highlight w:val="none"/>
        </w:rPr>
      </w:pPr>
      <w:r>
        <w:rPr>
          <w:rFonts w:hint="eastAsia" w:ascii="宋体" w:hAnsi="宋体" w:cs="宋体"/>
          <w:b/>
          <w:color w:val="000000"/>
          <w:sz w:val="24"/>
          <w:szCs w:val="24"/>
          <w:highlight w:val="none"/>
        </w:rPr>
        <w:t>三、</w:t>
      </w:r>
      <w:r>
        <w:rPr>
          <w:rFonts w:hint="eastAsia" w:ascii="宋体" w:hAnsi="宋体" w:cs="宋体"/>
          <w:b/>
          <w:bCs/>
          <w:color w:val="000000"/>
          <w:sz w:val="24"/>
          <w:szCs w:val="24"/>
          <w:highlight w:val="none"/>
        </w:rPr>
        <w:t>磋商项目涉及到的现场勘察</w:t>
      </w:r>
    </w:p>
    <w:p>
      <w:pPr>
        <w:spacing w:line="480" w:lineRule="exact"/>
        <w:ind w:firstLine="484" w:firstLineChars="202"/>
        <w:rPr>
          <w:rFonts w:ascii="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pacing w:line="480" w:lineRule="exact"/>
        <w:ind w:firstLine="484" w:firstLineChars="202"/>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、采购单位向供应商提供的有关现场的资料和数据，是采购单位现有的并认为能使供应商可利用的资料。采购人对供应商由此而做出的推论、理解和结论概不负责。</w:t>
      </w:r>
    </w:p>
    <w:p>
      <w:pPr>
        <w:spacing w:line="480" w:lineRule="exact"/>
        <w:ind w:firstLine="484" w:firstLineChars="202"/>
        <w:rPr>
          <w:rFonts w:ascii="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、经采购人允许，供应商可为勘察目的进入采购人的项目现场，但供应商不得因此使采购人承担有关的责任和蒙受损失。供应商应承担勘察现场的责任和风险。</w:t>
      </w:r>
    </w:p>
    <w:p>
      <w:pPr>
        <w:spacing w:line="480" w:lineRule="exact"/>
        <w:ind w:firstLine="484" w:firstLineChars="202"/>
        <w:rPr>
          <w:rFonts w:hint="eastAsia" w:ascii="宋体" w:hAns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供应商应认真踏勘现场。在现场勘察时，熟悉供货及安装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spacing w:line="480" w:lineRule="exact"/>
        <w:ind w:firstLine="487" w:firstLineChars="202"/>
        <w:rPr>
          <w:rFonts w:hint="eastAsia" w:ascii="宋体" w:hAnsi="宋体" w:cs="宋体"/>
          <w:b/>
          <w:bCs/>
          <w:sz w:val="24"/>
          <w:szCs w:val="24"/>
          <w:highlight w:val="none"/>
          <w:u w:val="double"/>
        </w:rPr>
      </w:pPr>
      <w:r>
        <w:rPr>
          <w:rFonts w:hint="eastAsia" w:ascii="宋体" w:hAnsi="宋体" w:cs="宋体"/>
          <w:b/>
          <w:bCs/>
          <w:sz w:val="24"/>
          <w:szCs w:val="24"/>
          <w:highlight w:val="none"/>
          <w:u w:val="double"/>
          <w:lang w:val="en-US" w:eastAsia="zh-CN"/>
        </w:rPr>
        <w:t>5、各潜在供应商请于2021年3月31日上午9：30至下午5：00前往</w:t>
      </w:r>
      <w:r>
        <w:rPr>
          <w:rFonts w:hint="eastAsia" w:ascii="宋体" w:hAnsi="宋体" w:cs="宋体"/>
          <w:b/>
          <w:bCs/>
          <w:sz w:val="24"/>
          <w:szCs w:val="24"/>
          <w:highlight w:val="none"/>
          <w:u w:val="double"/>
        </w:rPr>
        <w:t>南通市崇川区青年中路153号4号楼213室</w:t>
      </w:r>
      <w:r>
        <w:rPr>
          <w:rFonts w:hint="eastAsia" w:ascii="宋体" w:hAnsi="宋体" w:cs="宋体"/>
          <w:b/>
          <w:bCs/>
          <w:sz w:val="24"/>
          <w:szCs w:val="24"/>
          <w:highlight w:val="none"/>
          <w:u w:val="double"/>
          <w:lang w:val="en-US" w:eastAsia="zh-CN"/>
        </w:rPr>
        <w:t>看样册，联系电话17778751998。</w:t>
      </w:r>
    </w:p>
    <w:p>
      <w:pPr>
        <w:spacing w:line="480" w:lineRule="exact"/>
        <w:ind w:firstLine="487" w:firstLineChars="202"/>
        <w:rPr>
          <w:rFonts w:ascii="宋体" w:cs="宋体"/>
          <w:b/>
          <w:color w:val="000000"/>
          <w:sz w:val="24"/>
          <w:szCs w:val="24"/>
          <w:highlight w:val="none"/>
        </w:rPr>
      </w:pPr>
      <w:r>
        <w:rPr>
          <w:rFonts w:hint="eastAsia" w:ascii="宋体" w:hAnsi="宋体" w:cs="宋体"/>
          <w:b/>
          <w:bCs/>
          <w:color w:val="000000"/>
          <w:sz w:val="24"/>
          <w:szCs w:val="24"/>
          <w:highlight w:val="none"/>
        </w:rPr>
        <w:t>四、</w:t>
      </w:r>
      <w:r>
        <w:rPr>
          <w:rFonts w:hint="eastAsia" w:ascii="宋体" w:hAnsi="宋体" w:cs="宋体"/>
          <w:b/>
          <w:color w:val="000000"/>
          <w:sz w:val="24"/>
          <w:szCs w:val="24"/>
          <w:highlight w:val="none"/>
        </w:rPr>
        <w:t>响应文件的编制及装订</w:t>
      </w:r>
    </w:p>
    <w:p>
      <w:pPr>
        <w:spacing w:line="480" w:lineRule="exact"/>
        <w:ind w:firstLine="484" w:firstLineChars="202"/>
        <w:rPr>
          <w:rFonts w:ascii="宋体" w:cs="宋体"/>
          <w:color w:val="000000"/>
          <w:sz w:val="24"/>
          <w:szCs w:val="24"/>
          <w:highlight w:val="none"/>
        </w:rPr>
      </w:pPr>
      <w:r>
        <w:rPr>
          <w:rFonts w:hint="eastAsia" w:ascii="宋体" w:hAnsi="宋体" w:cs="宋体"/>
          <w:color w:val="000000"/>
          <w:sz w:val="24"/>
          <w:szCs w:val="24"/>
          <w:highlight w:val="none"/>
        </w:rPr>
        <w:t>供应</w:t>
      </w:r>
      <w:r>
        <w:rPr>
          <w:rFonts w:hint="eastAsia" w:ascii="宋体" w:hAnsi="宋体" w:cs="宋体"/>
          <w:sz w:val="24"/>
          <w:szCs w:val="24"/>
          <w:highlight w:val="none"/>
        </w:rPr>
        <w:t>商按磋商文件要求编写响应文件，并牢固装订成册。</w:t>
      </w:r>
      <w:r>
        <w:rPr>
          <w:rFonts w:hint="eastAsia" w:ascii="宋体" w:hAnsi="宋体" w:cs="宋体"/>
          <w:b/>
          <w:sz w:val="24"/>
          <w:szCs w:val="24"/>
          <w:highlight w:val="none"/>
        </w:rPr>
        <w:t>响应文件均需采用</w:t>
      </w:r>
      <w:r>
        <w:rPr>
          <w:rFonts w:ascii="宋体" w:hAnsi="宋体" w:cs="宋体"/>
          <w:b/>
          <w:sz w:val="24"/>
          <w:szCs w:val="24"/>
          <w:highlight w:val="none"/>
        </w:rPr>
        <w:t>A4</w:t>
      </w:r>
      <w:r>
        <w:rPr>
          <w:rFonts w:hint="eastAsia" w:ascii="宋体" w:hAnsi="宋体" w:cs="宋体"/>
          <w:b/>
          <w:sz w:val="24"/>
          <w:szCs w:val="24"/>
          <w:highlight w:val="none"/>
        </w:rPr>
        <w:t>纸（图纸等除外）</w:t>
      </w:r>
      <w:r>
        <w:rPr>
          <w:rFonts w:hint="eastAsia" w:ascii="宋体" w:hAnsi="宋体" w:cs="宋体"/>
          <w:sz w:val="24"/>
          <w:szCs w:val="24"/>
          <w:highlight w:val="none"/>
        </w:rPr>
        <w:t>，不</w:t>
      </w:r>
      <w:r>
        <w:rPr>
          <w:rFonts w:hint="eastAsia" w:ascii="宋体" w:hAnsi="宋体" w:cs="宋体"/>
          <w:sz w:val="24"/>
          <w:szCs w:val="24"/>
          <w:highlight w:val="none"/>
          <w:lang w:val="en-US" w:eastAsia="zh-CN"/>
        </w:rPr>
        <w:t>要</w:t>
      </w:r>
      <w:r>
        <w:rPr>
          <w:rFonts w:hint="eastAsia" w:ascii="宋体" w:hAnsi="宋体" w:cs="宋体"/>
          <w:sz w:val="24"/>
          <w:szCs w:val="24"/>
          <w:highlight w:val="none"/>
        </w:rPr>
        <w:t>使用活页夹、拉杆夹、文件夹、塑料方便式书脊（插入式或穿孔式）装订。响应文件不得行间插字、涂改、增删，如修改错漏处，须经响应文件签署人签字并加</w:t>
      </w:r>
      <w:r>
        <w:rPr>
          <w:rFonts w:hint="eastAsia" w:ascii="宋体" w:hAnsi="宋体" w:cs="宋体"/>
          <w:color w:val="000000"/>
          <w:sz w:val="24"/>
          <w:szCs w:val="24"/>
          <w:highlight w:val="none"/>
        </w:rPr>
        <w:t>盖公章。</w:t>
      </w:r>
    </w:p>
    <w:p>
      <w:pPr>
        <w:snapToGrid w:val="0"/>
        <w:spacing w:line="480" w:lineRule="exact"/>
        <w:ind w:firstLine="482" w:firstLineChars="200"/>
        <w:outlineLvl w:val="1"/>
        <w:rPr>
          <w:rFonts w:ascii="宋体" w:cs="宋体"/>
          <w:b/>
          <w:bCs/>
          <w:color w:val="000000"/>
          <w:sz w:val="24"/>
          <w:szCs w:val="24"/>
          <w:highlight w:val="none"/>
        </w:rPr>
      </w:pPr>
      <w:r>
        <w:rPr>
          <w:rFonts w:hint="eastAsia" w:ascii="宋体" w:hAnsi="宋体" w:cs="宋体"/>
          <w:b/>
          <w:bCs/>
          <w:sz w:val="24"/>
          <w:szCs w:val="24"/>
          <w:highlight w:val="none"/>
        </w:rPr>
        <w:t>五、</w:t>
      </w:r>
      <w:r>
        <w:rPr>
          <w:rFonts w:hint="eastAsia" w:ascii="宋体" w:hAnsi="宋体" w:cs="宋体"/>
          <w:b/>
          <w:bCs/>
          <w:color w:val="000000"/>
          <w:sz w:val="24"/>
          <w:szCs w:val="24"/>
          <w:highlight w:val="none"/>
        </w:rPr>
        <w:t>响应文件的份数和签署</w:t>
      </w:r>
    </w:p>
    <w:p>
      <w:pPr>
        <w:spacing w:line="480" w:lineRule="exact"/>
        <w:ind w:firstLine="484" w:firstLineChars="202"/>
        <w:rPr>
          <w:rFonts w:ascii="宋体"/>
          <w:sz w:val="24"/>
          <w:highlight w:val="none"/>
        </w:rPr>
      </w:pPr>
      <w:r>
        <w:rPr>
          <w:rFonts w:ascii="宋体" w:hAnsi="宋体" w:cs="宋体"/>
          <w:sz w:val="24"/>
          <w:szCs w:val="24"/>
          <w:highlight w:val="none"/>
        </w:rPr>
        <w:t>1</w:t>
      </w:r>
      <w:r>
        <w:rPr>
          <w:rFonts w:hint="eastAsia" w:ascii="宋体" w:hAnsi="宋体" w:cs="宋体"/>
          <w:sz w:val="24"/>
          <w:szCs w:val="24"/>
          <w:highlight w:val="none"/>
        </w:rPr>
        <w:t>、响应文件由：</w:t>
      </w:r>
      <w:r>
        <w:rPr>
          <w:rFonts w:ascii="宋体" w:hAnsi="宋体" w:cs="宋体"/>
          <w:sz w:val="24"/>
          <w:szCs w:val="24"/>
          <w:highlight w:val="none"/>
        </w:rPr>
        <w:fldChar w:fldCharType="begin"/>
      </w:r>
      <w:r>
        <w:rPr>
          <w:rFonts w:ascii="宋体" w:hAnsi="宋体" w:cs="宋体"/>
          <w:sz w:val="24"/>
          <w:szCs w:val="24"/>
          <w:highlight w:val="none"/>
        </w:rPr>
        <w:instrText xml:space="preserve"> = 1 \* GB3 </w:instrText>
      </w:r>
      <w:r>
        <w:rPr>
          <w:rFonts w:ascii="宋体" w:hAnsi="宋体" w:cs="宋体"/>
          <w:sz w:val="24"/>
          <w:szCs w:val="24"/>
          <w:highlight w:val="none"/>
        </w:rPr>
        <w:fldChar w:fldCharType="separate"/>
      </w:r>
      <w:r>
        <w:rPr>
          <w:rFonts w:hint="eastAsia" w:ascii="宋体" w:hAnsi="宋体" w:cs="宋体"/>
          <w:sz w:val="24"/>
          <w:szCs w:val="24"/>
          <w:highlight w:val="none"/>
        </w:rPr>
        <w:t>①</w:t>
      </w:r>
      <w:r>
        <w:rPr>
          <w:rFonts w:ascii="宋体" w:hAnsi="宋体" w:cs="宋体"/>
          <w:sz w:val="24"/>
          <w:szCs w:val="24"/>
          <w:highlight w:val="none"/>
        </w:rPr>
        <w:fldChar w:fldCharType="end"/>
      </w:r>
      <w:r>
        <w:rPr>
          <w:rFonts w:hint="eastAsia" w:ascii="宋体" w:hAnsi="宋体" w:cs="宋体"/>
          <w:sz w:val="24"/>
          <w:szCs w:val="24"/>
          <w:highlight w:val="none"/>
        </w:rPr>
        <w:t>资格审查文件、</w:t>
      </w:r>
      <w:r>
        <w:rPr>
          <w:rFonts w:ascii="宋体" w:hAnsi="宋体" w:cs="宋体"/>
          <w:sz w:val="24"/>
          <w:szCs w:val="24"/>
          <w:highlight w:val="none"/>
        </w:rPr>
        <w:fldChar w:fldCharType="begin"/>
      </w:r>
      <w:r>
        <w:rPr>
          <w:rFonts w:ascii="宋体" w:hAnsi="宋体" w:cs="宋体"/>
          <w:sz w:val="24"/>
          <w:szCs w:val="24"/>
          <w:highlight w:val="none"/>
        </w:rPr>
        <w:instrText xml:space="preserve"> = 2 \* GB3 </w:instrText>
      </w:r>
      <w:r>
        <w:rPr>
          <w:rFonts w:ascii="宋体" w:hAnsi="宋体" w:cs="宋体"/>
          <w:sz w:val="24"/>
          <w:szCs w:val="24"/>
          <w:highlight w:val="none"/>
        </w:rPr>
        <w:fldChar w:fldCharType="separate"/>
      </w:r>
      <w:r>
        <w:rPr>
          <w:rFonts w:hint="eastAsia" w:ascii="宋体" w:hAnsi="宋体" w:cs="宋体"/>
          <w:sz w:val="24"/>
          <w:szCs w:val="24"/>
          <w:highlight w:val="none"/>
        </w:rPr>
        <w:t>②</w:t>
      </w:r>
      <w:r>
        <w:rPr>
          <w:rFonts w:ascii="宋体" w:hAnsi="宋体" w:cs="宋体"/>
          <w:sz w:val="24"/>
          <w:szCs w:val="24"/>
          <w:highlight w:val="none"/>
        </w:rPr>
        <w:fldChar w:fldCharType="end"/>
      </w:r>
      <w:r>
        <w:rPr>
          <w:rFonts w:hint="eastAsia" w:ascii="宋体" w:hAnsi="宋体" w:cs="宋体"/>
          <w:sz w:val="24"/>
          <w:szCs w:val="24"/>
          <w:highlight w:val="none"/>
        </w:rPr>
        <w:t>技术响应文件、</w:t>
      </w:r>
      <w:r>
        <w:rPr>
          <w:rFonts w:ascii="宋体" w:hAnsi="宋体" w:cs="宋体"/>
          <w:sz w:val="24"/>
          <w:szCs w:val="24"/>
          <w:highlight w:val="none"/>
        </w:rPr>
        <w:fldChar w:fldCharType="begin"/>
      </w:r>
      <w:r>
        <w:rPr>
          <w:rFonts w:ascii="宋体" w:hAnsi="宋体" w:cs="宋体"/>
          <w:sz w:val="24"/>
          <w:szCs w:val="24"/>
          <w:highlight w:val="none"/>
        </w:rPr>
        <w:instrText xml:space="preserve"> = 3 \* GB3 </w:instrText>
      </w:r>
      <w:r>
        <w:rPr>
          <w:rFonts w:ascii="宋体" w:hAnsi="宋体" w:cs="宋体"/>
          <w:sz w:val="24"/>
          <w:szCs w:val="24"/>
          <w:highlight w:val="none"/>
        </w:rPr>
        <w:fldChar w:fldCharType="separate"/>
      </w:r>
      <w:r>
        <w:rPr>
          <w:rFonts w:hint="eastAsia" w:ascii="宋体" w:hAnsi="宋体" w:cs="宋体"/>
          <w:sz w:val="24"/>
          <w:szCs w:val="24"/>
          <w:highlight w:val="none"/>
        </w:rPr>
        <w:t>③</w:t>
      </w:r>
      <w:r>
        <w:rPr>
          <w:rFonts w:ascii="宋体" w:hAnsi="宋体" w:cs="宋体"/>
          <w:sz w:val="24"/>
          <w:szCs w:val="24"/>
          <w:highlight w:val="none"/>
        </w:rPr>
        <w:fldChar w:fldCharType="end"/>
      </w:r>
      <w:r>
        <w:rPr>
          <w:rFonts w:hint="eastAsia" w:ascii="宋体" w:hAnsi="宋体" w:cs="宋体"/>
          <w:sz w:val="24"/>
          <w:szCs w:val="24"/>
          <w:highlight w:val="none"/>
        </w:rPr>
        <w:t>商务报价响应文件，共</w:t>
      </w:r>
      <w:r>
        <w:rPr>
          <w:rFonts w:ascii="宋体" w:hAnsi="宋体" w:cs="宋体"/>
          <w:sz w:val="24"/>
          <w:szCs w:val="24"/>
          <w:highlight w:val="none"/>
        </w:rPr>
        <w:t>3</w:t>
      </w:r>
      <w:r>
        <w:rPr>
          <w:rFonts w:hint="eastAsia" w:ascii="宋体" w:hAnsi="宋体" w:cs="宋体"/>
          <w:sz w:val="24"/>
          <w:szCs w:val="24"/>
          <w:highlight w:val="none"/>
        </w:rPr>
        <w:t>部分组成。</w:t>
      </w:r>
      <w:r>
        <w:rPr>
          <w:rFonts w:hint="eastAsia" w:ascii="宋体" w:hAnsi="宋体" w:cs="宋体"/>
          <w:b/>
          <w:bCs/>
          <w:color w:val="000000"/>
          <w:sz w:val="24"/>
          <w:szCs w:val="24"/>
          <w:highlight w:val="none"/>
        </w:rPr>
        <w:t>其中资格审查文件、技术响应文件、商务报价响应文件须分别密封。</w:t>
      </w:r>
      <w:r>
        <w:rPr>
          <w:rFonts w:hint="eastAsia" w:ascii="宋体" w:hAnsi="宋体"/>
          <w:b/>
          <w:sz w:val="24"/>
          <w:highlight w:val="none"/>
        </w:rPr>
        <w:t>特别提示：“商务报价响应文件”必须单独装订和封装，不得出现在“资格审查文件”和“技术响应文件”之中。</w:t>
      </w:r>
    </w:p>
    <w:p>
      <w:pPr>
        <w:snapToGrid w:val="0"/>
        <w:spacing w:line="480" w:lineRule="exact"/>
        <w:ind w:firstLine="482" w:firstLineChars="200"/>
        <w:rPr>
          <w:rFonts w:ascii="宋体" w:cs="宋体"/>
          <w:b/>
          <w:bCs/>
          <w:sz w:val="24"/>
          <w:szCs w:val="24"/>
          <w:highlight w:val="none"/>
          <w:u w:val="single"/>
        </w:rPr>
      </w:pPr>
      <w:r>
        <w:rPr>
          <w:rFonts w:ascii="宋体" w:hAnsi="宋体" w:cs="宋体"/>
          <w:b/>
          <w:bCs/>
          <w:sz w:val="24"/>
          <w:szCs w:val="24"/>
          <w:highlight w:val="none"/>
        </w:rPr>
        <w:t>2</w:t>
      </w:r>
      <w:r>
        <w:rPr>
          <w:rFonts w:hint="eastAsia" w:ascii="宋体" w:hAnsi="宋体" w:cs="宋体"/>
          <w:b/>
          <w:bCs/>
          <w:sz w:val="24"/>
          <w:szCs w:val="24"/>
          <w:highlight w:val="none"/>
        </w:rPr>
        <w:t>、响应文件均为一式叁份，其中“正本”壹份和“副本”贰份。</w:t>
      </w:r>
    </w:p>
    <w:p>
      <w:pPr>
        <w:snapToGrid w:val="0"/>
        <w:spacing w:line="480" w:lineRule="exact"/>
        <w:ind w:firstLine="472" w:firstLineChars="196"/>
        <w:rPr>
          <w:rFonts w:ascii="宋体" w:cs="宋体"/>
          <w:b/>
          <w:bCs/>
          <w:color w:val="0000FF"/>
          <w:sz w:val="24"/>
          <w:szCs w:val="24"/>
          <w:highlight w:val="none"/>
        </w:rPr>
      </w:pPr>
      <w:r>
        <w:rPr>
          <w:rFonts w:ascii="宋体" w:hAnsi="宋体" w:cs="宋体"/>
          <w:b/>
          <w:bCs/>
          <w:sz w:val="24"/>
          <w:szCs w:val="24"/>
          <w:highlight w:val="none"/>
        </w:rPr>
        <w:t>3</w:t>
      </w:r>
      <w:r>
        <w:rPr>
          <w:rFonts w:hint="eastAsia" w:ascii="宋体" w:hAnsi="宋体" w:cs="宋体"/>
          <w:b/>
          <w:bCs/>
          <w:sz w:val="24"/>
          <w:szCs w:val="24"/>
          <w:highlight w:val="none"/>
        </w:rPr>
        <w:t>、在每份响应文件上要明确标注项目名称、对应的响应文件名称、供应商的全称及日期，“正本”“副本”字样。“正本”和“副本”若有差异，概以“正本”为准。</w:t>
      </w:r>
    </w:p>
    <w:p>
      <w:pPr>
        <w:snapToGrid w:val="0"/>
        <w:spacing w:line="480" w:lineRule="exact"/>
        <w:ind w:firstLine="472" w:firstLineChars="196"/>
        <w:rPr>
          <w:rFonts w:ascii="宋体" w:cs="宋体"/>
          <w:b/>
          <w:bCs/>
          <w:sz w:val="24"/>
          <w:szCs w:val="24"/>
          <w:highlight w:val="none"/>
        </w:rPr>
      </w:pPr>
      <w:r>
        <w:rPr>
          <w:rFonts w:ascii="宋体" w:hAnsi="宋体" w:cs="宋体"/>
          <w:b/>
          <w:bCs/>
          <w:sz w:val="24"/>
          <w:szCs w:val="24"/>
          <w:highlight w:val="none"/>
        </w:rPr>
        <w:t>4</w:t>
      </w:r>
      <w:r>
        <w:rPr>
          <w:rFonts w:hint="eastAsia" w:ascii="宋体" w:hAnsi="宋体" w:cs="宋体"/>
          <w:b/>
          <w:bCs/>
          <w:sz w:val="24"/>
          <w:szCs w:val="24"/>
          <w:highlight w:val="none"/>
        </w:rPr>
        <w:t>、供应商可将响应文件正副本统一密封或分别密封，如正本和副本分别密封的，应在封袋上标明正、副本字样。</w:t>
      </w:r>
    </w:p>
    <w:p>
      <w:pPr>
        <w:snapToGrid w:val="0"/>
        <w:spacing w:line="480" w:lineRule="exact"/>
        <w:ind w:firstLine="472" w:firstLineChars="196"/>
        <w:rPr>
          <w:rFonts w:ascii="宋体" w:cs="宋体"/>
          <w:b/>
          <w:bCs/>
          <w:sz w:val="24"/>
          <w:szCs w:val="24"/>
          <w:highlight w:val="none"/>
        </w:rPr>
      </w:pPr>
      <w:r>
        <w:rPr>
          <w:rFonts w:ascii="宋体" w:hAnsi="宋体" w:cs="宋体"/>
          <w:b/>
          <w:bCs/>
          <w:sz w:val="24"/>
          <w:szCs w:val="24"/>
          <w:highlight w:val="none"/>
        </w:rPr>
        <w:t>5</w:t>
      </w:r>
      <w:r>
        <w:rPr>
          <w:rFonts w:hint="eastAsia" w:ascii="宋体" w:hAnsi="宋体" w:cs="宋体"/>
          <w:b/>
          <w:bCs/>
          <w:sz w:val="24"/>
          <w:szCs w:val="24"/>
          <w:highlight w:val="none"/>
        </w:rPr>
        <w:t>、响应文件中的所有“正本”，其正文内容须按磋商文件要求由供应商</w:t>
      </w:r>
      <w:r>
        <w:rPr>
          <w:rFonts w:hint="eastAsia" w:ascii="宋体" w:hAnsi="宋体" w:cs="宋体"/>
          <w:b/>
          <w:bCs/>
          <w:sz w:val="24"/>
          <w:szCs w:val="24"/>
          <w:highlight w:val="none"/>
          <w:lang w:eastAsia="zh-CN"/>
        </w:rPr>
        <w:t>法定代表人</w:t>
      </w:r>
      <w:r>
        <w:rPr>
          <w:rFonts w:hint="eastAsia" w:ascii="宋体" w:hAnsi="宋体" w:cs="宋体"/>
          <w:b/>
          <w:bCs/>
          <w:sz w:val="24"/>
          <w:szCs w:val="24"/>
          <w:highlight w:val="none"/>
        </w:rPr>
        <w:t>或被授权人签字（或盖章）并加盖单位公章。“副本”可复印，但须加盖单位公章。</w:t>
      </w:r>
    </w:p>
    <w:p>
      <w:pPr>
        <w:snapToGrid w:val="0"/>
        <w:spacing w:line="480" w:lineRule="exact"/>
        <w:ind w:firstLine="472" w:firstLineChars="196"/>
        <w:rPr>
          <w:rFonts w:ascii="宋体" w:cs="宋体"/>
          <w:b/>
          <w:bCs/>
          <w:sz w:val="24"/>
          <w:szCs w:val="24"/>
          <w:highlight w:val="none"/>
        </w:rPr>
      </w:pPr>
      <w:r>
        <w:rPr>
          <w:rFonts w:hint="eastAsia" w:ascii="宋体" w:hAnsi="宋体" w:cs="宋体"/>
          <w:b/>
          <w:bCs/>
          <w:color w:val="000000"/>
          <w:sz w:val="24"/>
          <w:szCs w:val="24"/>
          <w:highlight w:val="none"/>
        </w:rPr>
        <w:t>六、</w:t>
      </w:r>
      <w:r>
        <w:rPr>
          <w:rFonts w:hint="eastAsia" w:ascii="宋体" w:hAnsi="宋体" w:cs="宋体"/>
          <w:b/>
          <w:bCs/>
          <w:sz w:val="24"/>
          <w:szCs w:val="24"/>
          <w:highlight w:val="none"/>
        </w:rPr>
        <w:t>响应文件的密封及标记</w:t>
      </w:r>
    </w:p>
    <w:p>
      <w:pPr>
        <w:snapToGrid w:val="0"/>
        <w:spacing w:line="480" w:lineRule="exact"/>
        <w:ind w:firstLine="480" w:firstLineChars="200"/>
        <w:rPr>
          <w:rFonts w:ascii="宋体" w:cs="宋体"/>
          <w:sz w:val="24"/>
          <w:szCs w:val="24"/>
          <w:highlight w:val="none"/>
          <w:u w:val="single"/>
        </w:rPr>
      </w:pPr>
      <w:r>
        <w:rPr>
          <w:rFonts w:ascii="宋体" w:hAnsi="宋体" w:cs="宋体"/>
          <w:sz w:val="24"/>
          <w:szCs w:val="24"/>
          <w:highlight w:val="none"/>
        </w:rPr>
        <w:t>1</w:t>
      </w:r>
      <w:r>
        <w:rPr>
          <w:rFonts w:hint="eastAsia" w:ascii="宋体" w:hAnsi="宋体" w:cs="宋体"/>
          <w:sz w:val="24"/>
          <w:szCs w:val="24"/>
          <w:highlight w:val="none"/>
        </w:rPr>
        <w:t>、供应商须将本项目响应文件：</w:t>
      </w:r>
      <w:r>
        <w:rPr>
          <w:rFonts w:hint="eastAsia" w:ascii="宋体" w:hAnsi="宋体" w:cs="宋体"/>
          <w:b/>
          <w:bCs/>
          <w:color w:val="000000"/>
          <w:sz w:val="24"/>
          <w:szCs w:val="24"/>
          <w:highlight w:val="none"/>
        </w:rPr>
        <w:t>资格审查文件、技术响应文件、商务报价响应文件</w:t>
      </w:r>
      <w:r>
        <w:rPr>
          <w:rFonts w:hint="eastAsia" w:ascii="宋体" w:hAnsi="宋体" w:cs="宋体"/>
          <w:b/>
          <w:sz w:val="24"/>
          <w:szCs w:val="24"/>
          <w:highlight w:val="none"/>
        </w:rPr>
        <w:t>单独密封</w:t>
      </w:r>
      <w:r>
        <w:rPr>
          <w:rFonts w:hint="eastAsia" w:ascii="宋体" w:hAnsi="宋体" w:cs="宋体"/>
          <w:sz w:val="24"/>
          <w:szCs w:val="24"/>
          <w:highlight w:val="none"/>
        </w:rPr>
        <w:t>。</w:t>
      </w:r>
    </w:p>
    <w:p>
      <w:pPr>
        <w:snapToGrid w:val="0"/>
        <w:spacing w:line="480" w:lineRule="exact"/>
        <w:ind w:firstLine="470" w:firstLineChars="196"/>
        <w:rPr>
          <w:rFonts w:ascii="宋体" w:cs="宋体"/>
          <w:color w:val="0000FF"/>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、密封后，应在每一密封的响应文件上明确标注磋商项目名称、响应文件各自对应的名称、供应商的全称及日期。</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、在边缝处加盖供应商公章或骑缝签字。</w:t>
      </w:r>
    </w:p>
    <w:p>
      <w:pPr>
        <w:snapToGrid w:val="0"/>
        <w:spacing w:line="480" w:lineRule="exact"/>
        <w:ind w:firstLine="482" w:firstLineChars="200"/>
        <w:rPr>
          <w:rFonts w:ascii="宋体" w:cs="宋体"/>
          <w:b/>
          <w:sz w:val="24"/>
          <w:szCs w:val="24"/>
          <w:highlight w:val="none"/>
        </w:rPr>
      </w:pPr>
      <w:r>
        <w:rPr>
          <w:rFonts w:hint="eastAsia" w:ascii="宋体" w:hAnsi="宋体" w:cs="宋体"/>
          <w:b/>
          <w:sz w:val="24"/>
          <w:szCs w:val="24"/>
          <w:highlight w:val="none"/>
        </w:rPr>
        <w:t>【特别提醒】：</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响应文件中的</w:t>
      </w:r>
      <w:r>
        <w:rPr>
          <w:rFonts w:hint="eastAsia" w:ascii="宋体" w:hAnsi="宋体" w:cs="宋体"/>
          <w:b/>
          <w:bCs/>
          <w:color w:val="000000"/>
          <w:sz w:val="24"/>
          <w:szCs w:val="24"/>
          <w:highlight w:val="none"/>
        </w:rPr>
        <w:t>资格审查文件、技术响应文件</w:t>
      </w:r>
      <w:r>
        <w:rPr>
          <w:rFonts w:hint="eastAsia" w:ascii="宋体" w:hAnsi="宋体" w:cs="宋体"/>
          <w:sz w:val="24"/>
          <w:szCs w:val="24"/>
          <w:highlight w:val="none"/>
        </w:rPr>
        <w:t>的“正本”或“副本”中，均不得含有商务报价响应文件中报价表（报价单）内的任何项目价格，否则作无效响应处理。</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开标程序顺利进行后，所有投标文件都将作为档案保存，不论成交与否，代理机构均不退回（未拆封的除外）。</w:t>
      </w:r>
    </w:p>
    <w:p>
      <w:pPr>
        <w:snapToGrid w:val="0"/>
        <w:spacing w:line="480" w:lineRule="exact"/>
        <w:ind w:firstLine="496" w:firstLineChars="206"/>
        <w:outlineLvl w:val="1"/>
        <w:rPr>
          <w:rFonts w:ascii="宋体" w:cs="宋体"/>
          <w:b/>
          <w:bCs/>
          <w:color w:val="000000"/>
          <w:sz w:val="24"/>
          <w:szCs w:val="24"/>
          <w:highlight w:val="none"/>
        </w:rPr>
      </w:pPr>
      <w:r>
        <w:rPr>
          <w:rFonts w:hint="eastAsia" w:ascii="宋体" w:hAnsi="宋体" w:cs="宋体"/>
          <w:b/>
          <w:bCs/>
          <w:color w:val="000000"/>
          <w:sz w:val="24"/>
          <w:szCs w:val="24"/>
          <w:highlight w:val="none"/>
        </w:rPr>
        <w:t>七、磋商报价</w:t>
      </w:r>
    </w:p>
    <w:p>
      <w:pPr>
        <w:snapToGrid w:val="0"/>
        <w:spacing w:line="480" w:lineRule="exact"/>
        <w:ind w:firstLine="494" w:firstLineChars="206"/>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、本项目不接受任何有选择的报价。</w:t>
      </w:r>
    </w:p>
    <w:p>
      <w:pPr>
        <w:snapToGrid w:val="0"/>
        <w:spacing w:line="520" w:lineRule="exact"/>
        <w:ind w:firstLine="494" w:firstLineChars="206"/>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、磋商报价均以人民币为报价的币种。</w:t>
      </w:r>
    </w:p>
    <w:p>
      <w:pPr>
        <w:snapToGrid w:val="0"/>
        <w:spacing w:line="520" w:lineRule="exact"/>
        <w:ind w:firstLine="494" w:firstLineChars="206"/>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、磋商报价表必须加盖单位公章且必须经</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或被授权人签字或盖章。报价表中的大写金额与小写金额、总价金额与按单价汇总金额，若有差异，将执行《政府采购货物和服务招标投标管理办法》第</w:t>
      </w:r>
      <w:r>
        <w:rPr>
          <w:rFonts w:ascii="宋体" w:hAnsi="宋体" w:cs="宋体"/>
          <w:sz w:val="24"/>
          <w:szCs w:val="24"/>
          <w:highlight w:val="none"/>
        </w:rPr>
        <w:t>59</w:t>
      </w:r>
      <w:r>
        <w:rPr>
          <w:rFonts w:hint="eastAsia" w:ascii="宋体" w:hAnsi="宋体" w:cs="宋体"/>
          <w:sz w:val="24"/>
          <w:szCs w:val="24"/>
          <w:highlight w:val="none"/>
        </w:rPr>
        <w:t>条的规定。</w:t>
      </w:r>
    </w:p>
    <w:p>
      <w:pPr>
        <w:snapToGrid w:val="0"/>
        <w:spacing w:line="52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rPr>
        <w:t>4、磋商报价必须包含以下内容</w:t>
      </w:r>
      <w:r>
        <w:rPr>
          <w:rFonts w:hint="eastAsia" w:ascii="宋体" w:hAnsi="宋体" w:cs="宋体"/>
          <w:b w:val="0"/>
          <w:bCs w:val="0"/>
          <w:sz w:val="24"/>
          <w:szCs w:val="24"/>
          <w:highlight w:val="none"/>
        </w:rPr>
        <w:t>：</w:t>
      </w:r>
      <w:r>
        <w:rPr>
          <w:rFonts w:hint="eastAsia" w:ascii="宋体" w:hAnsi="宋体" w:eastAsia="宋体" w:cs="宋体"/>
          <w:sz w:val="24"/>
          <w:szCs w:val="24"/>
          <w:highlight w:val="none"/>
          <w:lang w:eastAsia="zh-CN"/>
        </w:rPr>
        <w:t>完成本项目</w:t>
      </w:r>
      <w:r>
        <w:rPr>
          <w:rFonts w:hint="eastAsia" w:ascii="宋体" w:hAnsi="宋体" w:eastAsia="宋体" w:cs="宋体"/>
          <w:sz w:val="24"/>
          <w:szCs w:val="24"/>
          <w:highlight w:val="none"/>
        </w:rPr>
        <w:t>所需的人工、</w:t>
      </w:r>
      <w:r>
        <w:rPr>
          <w:rFonts w:hint="eastAsia" w:ascii="宋体" w:hAnsi="宋体" w:cs="宋体"/>
          <w:sz w:val="24"/>
          <w:szCs w:val="24"/>
          <w:highlight w:val="none"/>
          <w:lang w:val="en-US" w:eastAsia="zh-CN"/>
        </w:rPr>
        <w:t>材料、包装、运输、</w:t>
      </w:r>
      <w:r>
        <w:rPr>
          <w:rFonts w:hint="eastAsia" w:ascii="宋体" w:hAnsi="宋体" w:eastAsia="宋体" w:cs="宋体"/>
          <w:sz w:val="24"/>
          <w:szCs w:val="24"/>
          <w:highlight w:val="none"/>
        </w:rPr>
        <w:t>企业管理费、企业利润、税费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政策性文件规定及合同包含的所有风险、责任等各项应有费用</w:t>
      </w:r>
      <w:r>
        <w:rPr>
          <w:rFonts w:hint="eastAsia" w:ascii="宋体" w:hAnsi="宋体" w:eastAsia="宋体" w:cs="宋体"/>
          <w:sz w:val="24"/>
          <w:szCs w:val="24"/>
          <w:highlight w:val="none"/>
          <w:lang w:eastAsia="zh-CN"/>
        </w:rPr>
        <w:t>及</w:t>
      </w:r>
      <w:r>
        <w:rPr>
          <w:rFonts w:hint="eastAsia" w:ascii="宋体" w:hAnsi="宋体" w:eastAsia="宋体" w:cs="宋体"/>
          <w:sz w:val="24"/>
          <w:szCs w:val="24"/>
          <w:highlight w:val="none"/>
        </w:rPr>
        <w:t>为完成本项目所必须的其他辅助工作的相关费用及响应招标文件要求等一切费用。</w:t>
      </w:r>
    </w:p>
    <w:p>
      <w:pPr>
        <w:snapToGrid w:val="0"/>
        <w:spacing w:line="480" w:lineRule="exact"/>
        <w:ind w:firstLine="480" w:firstLineChars="200"/>
        <w:rPr>
          <w:rFonts w:ascii="宋体" w:hAnsi="宋体" w:cs="宋体"/>
          <w:sz w:val="24"/>
          <w:szCs w:val="24"/>
          <w:highlight w:val="none"/>
        </w:rPr>
      </w:pPr>
      <w:r>
        <w:rPr>
          <w:rFonts w:hint="eastAsia" w:ascii="宋体" w:hAnsi="宋体" w:cs="宋体"/>
          <w:sz w:val="24"/>
          <w:szCs w:val="24"/>
          <w:highlight w:val="none"/>
        </w:rPr>
        <w:t>5、竞争性磋商的最终报价为成交价，同时，</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的成交价在合同实施期间不因市场变化因素而变动。</w:t>
      </w:r>
    </w:p>
    <w:p>
      <w:pPr>
        <w:snapToGrid w:val="0"/>
        <w:spacing w:line="480" w:lineRule="exact"/>
        <w:ind w:firstLine="480" w:firstLineChars="200"/>
        <w:rPr>
          <w:rFonts w:ascii="宋体" w:hAnsi="宋体" w:cs="宋体"/>
          <w:sz w:val="24"/>
          <w:szCs w:val="24"/>
          <w:highlight w:val="none"/>
        </w:rPr>
      </w:pPr>
      <w:r>
        <w:rPr>
          <w:rFonts w:hint="eastAsia" w:ascii="宋体" w:hAnsi="宋体" w:cs="宋体"/>
          <w:sz w:val="24"/>
          <w:szCs w:val="24"/>
          <w:highlight w:val="none"/>
        </w:rPr>
        <w:t>6、最低的磋商报价是成交的重要条件，但不是成交的唯一条件。</w:t>
      </w:r>
    </w:p>
    <w:p>
      <w:pPr>
        <w:snapToGrid w:val="0"/>
        <w:spacing w:line="480" w:lineRule="exact"/>
        <w:ind w:firstLine="480" w:firstLineChars="200"/>
        <w:rPr>
          <w:rFonts w:ascii="宋体" w:hAnsi="宋体" w:cs="宋体"/>
          <w:sz w:val="24"/>
          <w:szCs w:val="24"/>
          <w:highlight w:val="none"/>
        </w:rPr>
      </w:pPr>
      <w:r>
        <w:rPr>
          <w:rFonts w:hint="eastAsia" w:ascii="宋体" w:hAnsi="宋体" w:cs="宋体"/>
          <w:sz w:val="24"/>
          <w:szCs w:val="24"/>
          <w:highlight w:val="none"/>
        </w:rPr>
        <w:t>7、本项目</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独立承担用人风险，自行制订防范用人风险方案。</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自行建立风险管理调控机制，对意外伤害或工伤等风险充分预估，报价时自行考虑，一旦出现上述问题，采购方不承担任何连带赔偿责任。</w:t>
      </w:r>
    </w:p>
    <w:p>
      <w:pPr>
        <w:snapToGrid w:val="0"/>
        <w:spacing w:line="480" w:lineRule="exact"/>
        <w:ind w:firstLine="480" w:firstLineChars="200"/>
        <w:rPr>
          <w:rFonts w:ascii="宋体" w:cs="宋体"/>
          <w:color w:val="000000"/>
          <w:sz w:val="24"/>
          <w:szCs w:val="24"/>
          <w:highlight w:val="none"/>
        </w:rPr>
      </w:pPr>
      <w:r>
        <w:rPr>
          <w:rFonts w:hint="eastAsia" w:ascii="宋体" w:hAnsi="宋体" w:cs="宋体"/>
          <w:sz w:val="24"/>
          <w:szCs w:val="24"/>
          <w:highlight w:val="none"/>
        </w:rPr>
        <w:t>8、</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应详细阅读磋商文件的全部内容，根据采购项目需求，准确制定相关工作方案等，必须对本采购项目全部进行报价，如有漏项，视同对本项目的优惠。不按磋商文件的要求提供响应文件，导致报价无效，按无效响应处理。</w:t>
      </w:r>
    </w:p>
    <w:p>
      <w:pPr>
        <w:snapToGrid w:val="0"/>
        <w:spacing w:line="480" w:lineRule="exact"/>
        <w:ind w:firstLine="496" w:firstLineChars="206"/>
        <w:outlineLvl w:val="1"/>
        <w:rPr>
          <w:rFonts w:ascii="宋体" w:cs="宋体"/>
          <w:b/>
          <w:bCs/>
          <w:sz w:val="24"/>
          <w:szCs w:val="24"/>
          <w:highlight w:val="none"/>
        </w:rPr>
      </w:pPr>
      <w:r>
        <w:rPr>
          <w:rFonts w:hint="eastAsia" w:ascii="宋体" w:hAnsi="宋体" w:cs="宋体"/>
          <w:b/>
          <w:bCs/>
          <w:color w:val="000000"/>
          <w:sz w:val="24"/>
          <w:szCs w:val="24"/>
          <w:highlight w:val="none"/>
        </w:rPr>
        <w:t>八、</w:t>
      </w:r>
      <w:r>
        <w:rPr>
          <w:rFonts w:hint="eastAsia" w:ascii="宋体" w:hAnsi="宋体" w:cs="宋体"/>
          <w:b/>
          <w:bCs/>
          <w:sz w:val="24"/>
          <w:szCs w:val="24"/>
          <w:highlight w:val="none"/>
        </w:rPr>
        <w:t>联合体参与磋商</w:t>
      </w:r>
    </w:p>
    <w:p>
      <w:pPr>
        <w:snapToGrid w:val="0"/>
        <w:spacing w:line="480" w:lineRule="exact"/>
        <w:ind w:firstLine="470" w:firstLineChars="196"/>
        <w:outlineLvl w:val="1"/>
        <w:rPr>
          <w:rFonts w:ascii="宋体" w:cs="宋体"/>
          <w:color w:val="000000"/>
          <w:sz w:val="24"/>
          <w:szCs w:val="24"/>
          <w:highlight w:val="none"/>
        </w:rPr>
      </w:pPr>
      <w:r>
        <w:rPr>
          <w:rFonts w:hint="eastAsia" w:ascii="宋体" w:hAnsi="宋体" w:cs="宋体"/>
          <w:sz w:val="24"/>
          <w:szCs w:val="24"/>
          <w:highlight w:val="none"/>
        </w:rPr>
        <w:t>不接受任何形式的联合体参与本项目的竞争性磋商。</w:t>
      </w:r>
    </w:p>
    <w:p>
      <w:pPr>
        <w:snapToGrid w:val="0"/>
        <w:spacing w:line="480" w:lineRule="exact"/>
        <w:ind w:firstLine="482" w:firstLineChars="200"/>
        <w:outlineLvl w:val="1"/>
        <w:rPr>
          <w:rFonts w:ascii="宋体" w:cs="宋体"/>
          <w:sz w:val="24"/>
          <w:szCs w:val="24"/>
          <w:highlight w:val="none"/>
        </w:rPr>
      </w:pPr>
      <w:r>
        <w:rPr>
          <w:rFonts w:hint="eastAsia" w:ascii="宋体" w:hAnsi="宋体" w:cs="宋体"/>
          <w:b/>
          <w:color w:val="000000"/>
          <w:sz w:val="24"/>
          <w:szCs w:val="24"/>
          <w:highlight w:val="none"/>
        </w:rPr>
        <w:t>九、</w:t>
      </w:r>
      <w:r>
        <w:rPr>
          <w:rFonts w:hint="eastAsia" w:ascii="宋体" w:hAnsi="宋体" w:cs="宋体"/>
          <w:b/>
          <w:bCs/>
          <w:sz w:val="24"/>
          <w:szCs w:val="24"/>
          <w:highlight w:val="none"/>
        </w:rPr>
        <w:t>响应文件及</w:t>
      </w:r>
      <w:r>
        <w:rPr>
          <w:rFonts w:hint="eastAsia" w:ascii="宋体" w:hAnsi="宋体" w:cs="宋体"/>
          <w:b/>
          <w:kern w:val="0"/>
          <w:sz w:val="24"/>
          <w:szCs w:val="24"/>
          <w:highlight w:val="none"/>
        </w:rPr>
        <w:t>磋商</w:t>
      </w:r>
      <w:r>
        <w:rPr>
          <w:rFonts w:hint="eastAsia" w:ascii="宋体" w:hAnsi="宋体" w:cs="宋体"/>
          <w:b/>
          <w:bCs/>
          <w:sz w:val="24"/>
          <w:szCs w:val="24"/>
          <w:highlight w:val="none"/>
        </w:rPr>
        <w:t>费用</w:t>
      </w:r>
    </w:p>
    <w:p>
      <w:pPr>
        <w:snapToGrid w:val="0"/>
        <w:spacing w:line="480" w:lineRule="exact"/>
        <w:ind w:firstLine="460" w:firstLineChars="192"/>
        <w:rPr>
          <w:rFonts w:hint="eastAsia" w:ascii="宋体" w:hAnsi="宋体" w:cs="宋体"/>
          <w:sz w:val="24"/>
          <w:szCs w:val="24"/>
          <w:highlight w:val="none"/>
          <w:lang w:val="en-US" w:eastAsia="zh-CN"/>
        </w:rPr>
      </w:pPr>
      <w:r>
        <w:rPr>
          <w:rFonts w:hint="eastAsia" w:ascii="宋体" w:hAnsi="宋体"/>
          <w:b w:val="0"/>
          <w:bCs w:val="0"/>
          <w:color w:val="auto"/>
          <w:sz w:val="24"/>
          <w:highlight w:val="none"/>
        </w:rPr>
        <w:t>1、本项目招标代理服务费</w:t>
      </w:r>
      <w:r>
        <w:rPr>
          <w:rFonts w:hint="eastAsia" w:ascii="宋体" w:hAnsi="宋体"/>
          <w:b w:val="0"/>
          <w:bCs w:val="0"/>
          <w:color w:val="auto"/>
          <w:sz w:val="24"/>
          <w:highlight w:val="none"/>
          <w:lang w:val="en-US" w:eastAsia="zh-CN"/>
        </w:rPr>
        <w:t>3000元，</w:t>
      </w:r>
      <w:r>
        <w:rPr>
          <w:rFonts w:hint="eastAsia" w:ascii="宋体" w:hAnsi="宋体"/>
          <w:b w:val="0"/>
          <w:bCs w:val="0"/>
          <w:color w:val="auto"/>
          <w:sz w:val="24"/>
          <w:highlight w:val="none"/>
        </w:rPr>
        <w:t>由</w:t>
      </w:r>
      <w:r>
        <w:rPr>
          <w:rFonts w:hint="eastAsia" w:ascii="宋体" w:hAnsi="宋体"/>
          <w:b w:val="0"/>
          <w:bCs w:val="0"/>
          <w:color w:val="auto"/>
          <w:sz w:val="24"/>
          <w:highlight w:val="none"/>
          <w:lang w:val="en-US" w:eastAsia="zh-CN"/>
        </w:rPr>
        <w:t>成交供应商</w:t>
      </w:r>
      <w:r>
        <w:rPr>
          <w:rFonts w:hint="eastAsia" w:ascii="宋体" w:hAnsi="宋体"/>
          <w:b w:val="0"/>
          <w:bCs w:val="0"/>
          <w:color w:val="auto"/>
          <w:sz w:val="24"/>
          <w:highlight w:val="none"/>
        </w:rPr>
        <w:t>支付。</w:t>
      </w:r>
    </w:p>
    <w:p>
      <w:pPr>
        <w:snapToGrid w:val="0"/>
        <w:spacing w:line="480" w:lineRule="exact"/>
        <w:ind w:firstLine="460" w:firstLineChars="192"/>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rPr>
        <w:t>、无论磋商过程和结果如何，参加项目磋商的供应商自行承担与本次项目磋商有关的全部费用。</w:t>
      </w:r>
    </w:p>
    <w:p>
      <w:pPr>
        <w:snapToGrid w:val="0"/>
        <w:spacing w:line="480" w:lineRule="exact"/>
        <w:ind w:firstLine="460" w:firstLineChars="192"/>
        <w:rPr>
          <w:rFonts w:asci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磋商程序顺利进行后，除供应商的原件可退回外，其余所有的响应文件都将作为档案保存，不论成交与否，代理机构均不退回（未拆封的除外）。</w:t>
      </w:r>
    </w:p>
    <w:p>
      <w:pPr>
        <w:snapToGrid w:val="0"/>
        <w:spacing w:line="480" w:lineRule="exact"/>
        <w:ind w:firstLine="496" w:firstLineChars="206"/>
        <w:outlineLvl w:val="1"/>
        <w:rPr>
          <w:rFonts w:ascii="宋体" w:cs="宋体"/>
          <w:b/>
          <w:color w:val="000000"/>
          <w:sz w:val="24"/>
          <w:szCs w:val="24"/>
          <w:highlight w:val="none"/>
        </w:rPr>
      </w:pPr>
      <w:r>
        <w:rPr>
          <w:rFonts w:hint="eastAsia" w:ascii="宋体" w:hAnsi="宋体" w:cs="宋体"/>
          <w:b/>
          <w:color w:val="000000"/>
          <w:sz w:val="24"/>
          <w:szCs w:val="24"/>
          <w:highlight w:val="none"/>
        </w:rPr>
        <w:t>十、未尽事宜</w:t>
      </w:r>
    </w:p>
    <w:p>
      <w:pPr>
        <w:snapToGrid w:val="0"/>
        <w:spacing w:line="480" w:lineRule="exact"/>
        <w:ind w:firstLine="494" w:firstLineChars="206"/>
        <w:rPr>
          <w:rFonts w:ascii="宋体" w:cs="宋体"/>
          <w:color w:val="000000"/>
          <w:sz w:val="24"/>
          <w:szCs w:val="24"/>
          <w:highlight w:val="none"/>
        </w:rPr>
      </w:pPr>
      <w:r>
        <w:rPr>
          <w:rFonts w:hint="eastAsia" w:ascii="宋体" w:hAnsi="宋体" w:cs="宋体"/>
          <w:color w:val="000000"/>
          <w:sz w:val="24"/>
          <w:szCs w:val="24"/>
          <w:highlight w:val="none"/>
        </w:rPr>
        <w:t>按《中华人民共和国政府采购法》《政府采购竞争性磋商采购方式管理暂行办法》及其他有关法律法规的规定执行。</w:t>
      </w:r>
    </w:p>
    <w:p>
      <w:pPr>
        <w:snapToGrid w:val="0"/>
        <w:spacing w:line="360" w:lineRule="auto"/>
        <w:rPr>
          <w:rFonts w:ascii="宋体" w:cs="宋体"/>
          <w:color w:val="000000"/>
          <w:sz w:val="24"/>
          <w:szCs w:val="24"/>
          <w:highlight w:val="none"/>
        </w:rPr>
        <w:sectPr>
          <w:type w:val="continuous"/>
          <w:pgSz w:w="11906" w:h="16838"/>
          <w:pgMar w:top="1134" w:right="1134" w:bottom="1134" w:left="1622" w:header="851" w:footer="992" w:gutter="0"/>
          <w:pgNumType w:fmt="numberInDash"/>
          <w:cols w:space="720" w:num="1"/>
          <w:docGrid w:linePitch="312" w:charSpace="0"/>
        </w:sectPr>
      </w:pPr>
      <w:bookmarkStart w:id="44" w:name="_Toc363573855"/>
    </w:p>
    <w:p>
      <w:pPr>
        <w:snapToGrid w:val="0"/>
        <w:spacing w:line="360" w:lineRule="auto"/>
        <w:jc w:val="center"/>
        <w:rPr>
          <w:rFonts w:ascii="宋体" w:cs="宋体"/>
          <w:b/>
          <w:i/>
          <w:color w:val="000000"/>
          <w:w w:val="80"/>
          <w:sz w:val="32"/>
          <w:szCs w:val="32"/>
          <w:highlight w:val="none"/>
        </w:rPr>
      </w:pPr>
      <w:r>
        <w:rPr>
          <w:rFonts w:hint="eastAsia" w:ascii="宋体" w:hAnsi="宋体" w:cs="宋体"/>
          <w:b/>
          <w:color w:val="000000"/>
          <w:w w:val="80"/>
          <w:sz w:val="44"/>
          <w:szCs w:val="44"/>
          <w:highlight w:val="none"/>
        </w:rPr>
        <w:t>第三章</w:t>
      </w:r>
      <w:r>
        <w:rPr>
          <w:rFonts w:ascii="宋体" w:hAnsi="宋体" w:cs="宋体"/>
          <w:b/>
          <w:color w:val="000000"/>
          <w:w w:val="80"/>
          <w:sz w:val="44"/>
          <w:szCs w:val="44"/>
          <w:highlight w:val="none"/>
        </w:rPr>
        <w:t xml:space="preserve">  </w:t>
      </w:r>
      <w:bookmarkEnd w:id="34"/>
      <w:bookmarkEnd w:id="35"/>
      <w:bookmarkEnd w:id="36"/>
      <w:bookmarkEnd w:id="37"/>
      <w:bookmarkEnd w:id="38"/>
      <w:bookmarkEnd w:id="39"/>
      <w:bookmarkEnd w:id="40"/>
      <w:bookmarkEnd w:id="41"/>
      <w:bookmarkEnd w:id="42"/>
      <w:bookmarkEnd w:id="43"/>
      <w:r>
        <w:rPr>
          <w:rFonts w:hint="eastAsia" w:ascii="宋体" w:hAnsi="宋体" w:cs="宋体"/>
          <w:b/>
          <w:color w:val="000000"/>
          <w:w w:val="80"/>
          <w:sz w:val="44"/>
          <w:szCs w:val="44"/>
          <w:highlight w:val="none"/>
        </w:rPr>
        <w:t>项目需求</w:t>
      </w:r>
      <w:bookmarkEnd w:id="44"/>
    </w:p>
    <w:p>
      <w:pPr>
        <w:pStyle w:val="47"/>
        <w:shd w:val="clear" w:color="auto" w:fill="FFFFFF"/>
        <w:spacing w:before="0" w:beforeAutospacing="0" w:after="0" w:afterAutospacing="0" w:line="400" w:lineRule="exact"/>
        <w:rPr>
          <w:rStyle w:val="54"/>
          <w:rFonts w:hint="eastAsia" w:cs="楷体_GB2312" w:asciiTheme="minorEastAsia" w:hAnsiTheme="minorEastAsia" w:eastAsiaTheme="minorEastAsia"/>
          <w:b/>
          <w:bCs/>
          <w:highlight w:val="none"/>
          <w:lang w:val="en-US" w:eastAsia="zh-CN"/>
        </w:rPr>
      </w:pPr>
      <w:bookmarkStart w:id="45" w:name="_Toc11554641"/>
      <w:bookmarkStart w:id="46" w:name="_Toc12670505"/>
      <w:bookmarkStart w:id="47" w:name="_Toc521203420"/>
      <w:bookmarkStart w:id="48" w:name="_Toc13803483"/>
      <w:bookmarkStart w:id="49" w:name="_Toc94544872"/>
      <w:bookmarkStart w:id="50" w:name="_Toc8895741"/>
      <w:bookmarkStart w:id="51" w:name="_Toc521201599"/>
      <w:bookmarkStart w:id="52" w:name="_Toc94544746"/>
      <w:bookmarkStart w:id="53" w:name="_Toc11499586"/>
      <w:bookmarkStart w:id="54" w:name="_Toc94585342"/>
      <w:bookmarkStart w:id="55" w:name="_Toc11500282"/>
      <w:bookmarkStart w:id="56" w:name="_Toc363573856"/>
      <w:r>
        <w:rPr>
          <w:rStyle w:val="54"/>
          <w:rFonts w:hint="eastAsia" w:cs="楷体_GB2312" w:asciiTheme="minorEastAsia" w:hAnsiTheme="minorEastAsia" w:eastAsiaTheme="minorEastAsia"/>
          <w:b/>
          <w:bCs/>
          <w:highlight w:val="none"/>
          <w:lang w:val="en-US" w:eastAsia="zh-CN"/>
        </w:rPr>
        <w:t>一、</w:t>
      </w:r>
      <w:r>
        <w:rPr>
          <w:rStyle w:val="54"/>
          <w:rFonts w:hint="eastAsia" w:cs="楷体_GB2312" w:asciiTheme="minorEastAsia" w:hAnsiTheme="minorEastAsia" w:eastAsiaTheme="minorEastAsia"/>
          <w:b/>
          <w:bCs/>
          <w:highlight w:val="none"/>
        </w:rPr>
        <w:t>技术要求</w:t>
      </w:r>
      <w:r>
        <w:rPr>
          <w:rStyle w:val="54"/>
          <w:rFonts w:hint="eastAsia" w:cs="楷体_GB2312" w:asciiTheme="minorEastAsia" w:hAnsiTheme="minorEastAsia" w:eastAsiaTheme="minorEastAsia"/>
          <w:b/>
          <w:bCs/>
          <w:highlight w:val="none"/>
          <w:lang w:val="en-US" w:eastAsia="zh-CN"/>
        </w:rPr>
        <w:t>一览表</w:t>
      </w:r>
    </w:p>
    <w:tbl>
      <w:tblPr>
        <w:tblStyle w:val="51"/>
        <w:tblpPr w:leftFromText="180" w:rightFromText="180" w:vertAnchor="text" w:horzAnchor="page" w:tblpX="1556" w:tblpY="400"/>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2904"/>
        <w:gridCol w:w="2697"/>
        <w:gridCol w:w="95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39" w:type="dxa"/>
            <w:shd w:val="clear" w:color="000000" w:fill="FFFFFF"/>
            <w:vAlign w:val="center"/>
          </w:tcPr>
          <w:p>
            <w:pPr>
              <w:widowControl/>
              <w:jc w:val="center"/>
              <w:rPr>
                <w:rFonts w:cs="Courier New" w:asciiTheme="minorEastAsia" w:hAnsiTheme="minorEastAsia"/>
                <w:b/>
                <w:bCs/>
                <w:kern w:val="0"/>
                <w:sz w:val="24"/>
                <w:szCs w:val="24"/>
                <w:highlight w:val="none"/>
              </w:rPr>
            </w:pPr>
            <w:r>
              <w:rPr>
                <w:rFonts w:cs="Courier New" w:asciiTheme="minorEastAsia" w:hAnsiTheme="minorEastAsia"/>
                <w:b/>
                <w:bCs/>
                <w:kern w:val="0"/>
                <w:sz w:val="24"/>
                <w:szCs w:val="24"/>
                <w:highlight w:val="none"/>
              </w:rPr>
              <w:t>学段</w:t>
            </w:r>
          </w:p>
        </w:tc>
        <w:tc>
          <w:tcPr>
            <w:tcW w:w="5601" w:type="dxa"/>
            <w:gridSpan w:val="2"/>
            <w:shd w:val="clear" w:color="000000" w:fill="FFFFFF"/>
            <w:vAlign w:val="center"/>
          </w:tcPr>
          <w:p>
            <w:pPr>
              <w:widowControl/>
              <w:jc w:val="center"/>
              <w:rPr>
                <w:rFonts w:cs="Arial" w:asciiTheme="minorEastAsia" w:hAnsiTheme="minorEastAsia"/>
                <w:b/>
                <w:bCs/>
                <w:kern w:val="0"/>
                <w:sz w:val="24"/>
                <w:szCs w:val="24"/>
                <w:highlight w:val="none"/>
              </w:rPr>
            </w:pPr>
            <w:r>
              <w:rPr>
                <w:rFonts w:cs="Arial" w:asciiTheme="minorEastAsia" w:hAnsiTheme="minorEastAsia"/>
                <w:b/>
                <w:bCs/>
                <w:kern w:val="0"/>
                <w:sz w:val="24"/>
                <w:szCs w:val="24"/>
                <w:highlight w:val="none"/>
              </w:rPr>
              <w:t>技术规范及要求</w:t>
            </w:r>
          </w:p>
        </w:tc>
        <w:tc>
          <w:tcPr>
            <w:tcW w:w="955" w:type="dxa"/>
            <w:shd w:val="clear" w:color="000000" w:fill="FFFFFF"/>
            <w:vAlign w:val="center"/>
          </w:tcPr>
          <w:p>
            <w:pPr>
              <w:widowControl/>
              <w:jc w:val="center"/>
              <w:rPr>
                <w:rFonts w:hint="eastAsia" w:cs="Arial" w:asciiTheme="minorEastAsia" w:hAnsiTheme="minorEastAsia"/>
                <w:b/>
                <w:bCs/>
                <w:kern w:val="0"/>
                <w:sz w:val="24"/>
                <w:szCs w:val="24"/>
                <w:highlight w:val="none"/>
              </w:rPr>
            </w:pPr>
            <w:r>
              <w:rPr>
                <w:rFonts w:hint="eastAsia" w:cs="Arial" w:asciiTheme="minorEastAsia" w:hAnsiTheme="minorEastAsia"/>
                <w:b/>
                <w:bCs/>
                <w:kern w:val="0"/>
                <w:sz w:val="24"/>
                <w:szCs w:val="24"/>
                <w:highlight w:val="none"/>
              </w:rPr>
              <w:t>预估</w:t>
            </w:r>
          </w:p>
          <w:p>
            <w:pPr>
              <w:widowControl/>
              <w:jc w:val="center"/>
              <w:rPr>
                <w:rFonts w:cs="Arial" w:asciiTheme="minorEastAsia" w:hAnsiTheme="minorEastAsia"/>
                <w:b/>
                <w:bCs/>
                <w:kern w:val="0"/>
                <w:sz w:val="24"/>
                <w:szCs w:val="24"/>
                <w:highlight w:val="none"/>
              </w:rPr>
            </w:pPr>
            <w:bookmarkStart w:id="75" w:name="_GoBack"/>
            <w:bookmarkEnd w:id="75"/>
            <w:r>
              <w:rPr>
                <w:rFonts w:cs="Arial" w:asciiTheme="minorEastAsia" w:hAnsiTheme="minorEastAsia"/>
                <w:b/>
                <w:bCs/>
                <w:kern w:val="0"/>
                <w:sz w:val="24"/>
                <w:szCs w:val="24"/>
                <w:highlight w:val="none"/>
              </w:rPr>
              <w:t>数量</w:t>
            </w:r>
          </w:p>
        </w:tc>
        <w:tc>
          <w:tcPr>
            <w:tcW w:w="944" w:type="dxa"/>
            <w:shd w:val="clear" w:color="000000" w:fill="FFFFFF"/>
            <w:vAlign w:val="center"/>
          </w:tcPr>
          <w:p>
            <w:pPr>
              <w:widowControl/>
              <w:jc w:val="center"/>
              <w:rPr>
                <w:rFonts w:cs="Arial" w:asciiTheme="minorEastAsia" w:hAnsiTheme="minorEastAsia"/>
                <w:b/>
                <w:bCs/>
                <w:kern w:val="0"/>
                <w:sz w:val="24"/>
                <w:szCs w:val="24"/>
                <w:highlight w:val="none"/>
              </w:rPr>
            </w:pPr>
            <w:r>
              <w:rPr>
                <w:rFonts w:cs="Arial" w:asciiTheme="minorEastAsia" w:hAnsiTheme="minorEastAsia"/>
                <w:b/>
                <w:bCs/>
                <w:kern w:val="0"/>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1439"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小学</w:t>
            </w:r>
          </w:p>
        </w:tc>
        <w:tc>
          <w:tcPr>
            <w:tcW w:w="2904" w:type="dxa"/>
            <w:vMerge w:val="restart"/>
            <w:shd w:val="clear" w:color="000000" w:fill="FFFFFF"/>
            <w:vAlign w:val="center"/>
          </w:tcPr>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①内芯必须用120克全木浆双胶纸。</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②封套大红仿羊皮纹人造革，夹层为2.5层</w:t>
            </w:r>
            <w:r>
              <w:rPr>
                <w:rFonts w:hint="eastAsia" w:ascii="宋体" w:hAnsi="宋体" w:cs="宋体"/>
                <w:color w:val="000000"/>
                <w:sz w:val="24"/>
                <w:szCs w:val="24"/>
                <w:highlight w:val="none"/>
                <w:lang w:val="en-US" w:eastAsia="zh-CN"/>
              </w:rPr>
              <w:t>纸板</w:t>
            </w:r>
            <w:r>
              <w:rPr>
                <w:rFonts w:hint="eastAsia" w:ascii="宋体" w:hAnsi="宋体" w:cs="宋体"/>
                <w:color w:val="000000"/>
                <w:sz w:val="24"/>
                <w:szCs w:val="24"/>
                <w:highlight w:val="none"/>
              </w:rPr>
              <w:t>，插袋为正品透明膜。</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③封套和内芯内容和其它要求由采购方指定。</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④内芯印刷必须有两</w:t>
            </w:r>
            <w:r>
              <w:rPr>
                <w:rFonts w:hint="eastAsia" w:ascii="宋体" w:hAnsi="宋体" w:cs="宋体"/>
                <w:color w:val="000000"/>
                <w:sz w:val="24"/>
                <w:szCs w:val="24"/>
                <w:highlight w:val="none"/>
                <w:lang w:val="en-US" w:eastAsia="zh-CN"/>
              </w:rPr>
              <w:t>种及</w:t>
            </w:r>
            <w:r>
              <w:rPr>
                <w:rFonts w:hint="eastAsia" w:ascii="宋体" w:hAnsi="宋体" w:cs="宋体"/>
                <w:color w:val="000000"/>
                <w:sz w:val="24"/>
                <w:szCs w:val="24"/>
                <w:highlight w:val="none"/>
              </w:rPr>
              <w:t>以上的防伪标记。（防伪要求以</w:t>
            </w:r>
            <w:r>
              <w:rPr>
                <w:rFonts w:hint="eastAsia" w:ascii="宋体" w:hAnsi="宋体" w:cs="宋体"/>
                <w:color w:val="000000"/>
                <w:sz w:val="24"/>
                <w:szCs w:val="24"/>
                <w:highlight w:val="none"/>
                <w:lang w:val="en-US" w:eastAsia="zh-CN"/>
              </w:rPr>
              <w:t>采购人</w:t>
            </w:r>
            <w:r>
              <w:rPr>
                <w:rFonts w:hint="eastAsia" w:ascii="宋体" w:hAnsi="宋体" w:cs="宋体"/>
                <w:color w:val="000000"/>
                <w:sz w:val="24"/>
                <w:szCs w:val="24"/>
                <w:highlight w:val="none"/>
              </w:rPr>
              <w:t>的样品为准）</w:t>
            </w:r>
          </w:p>
        </w:tc>
        <w:tc>
          <w:tcPr>
            <w:tcW w:w="2697" w:type="dxa"/>
            <w:shd w:val="clear" w:color="000000" w:fill="FFFFFF"/>
            <w:vAlign w:val="center"/>
          </w:tcPr>
          <w:p>
            <w:pPr>
              <w:widowControl/>
              <w:jc w:val="center"/>
              <w:rPr>
                <w:rFonts w:hint="eastAsia" w:eastAsia="宋体" w:cs="Arial" w:asciiTheme="minorEastAsia" w:hAnsiTheme="minorEastAsia"/>
                <w:kern w:val="0"/>
                <w:sz w:val="24"/>
                <w:szCs w:val="24"/>
                <w:highlight w:val="none"/>
                <w:lang w:eastAsia="zh-CN"/>
              </w:rPr>
            </w:pPr>
            <w:r>
              <w:rPr>
                <w:rFonts w:cs="Arial" w:asciiTheme="minorEastAsia" w:hAnsiTheme="minorEastAsia"/>
                <w:kern w:val="0"/>
                <w:sz w:val="24"/>
                <w:szCs w:val="24"/>
                <w:highlight w:val="none"/>
              </w:rPr>
              <w:t>封套：</w:t>
            </w:r>
            <w:r>
              <w:rPr>
                <w:rFonts w:hint="eastAsia" w:cs="Arial" w:asciiTheme="minorEastAsia" w:hAnsiTheme="minorEastAsia"/>
                <w:kern w:val="0"/>
                <w:sz w:val="24"/>
                <w:szCs w:val="24"/>
                <w:highlight w:val="none"/>
              </w:rPr>
              <w:t>19.4</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×14</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lang w:eastAsia="zh-CN"/>
              </w:rPr>
              <w:t>；</w:t>
            </w:r>
          </w:p>
          <w:p>
            <w:pPr>
              <w:widowControl/>
              <w:jc w:val="left"/>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内芯</w:t>
            </w:r>
            <w:r>
              <w:rPr>
                <w:rFonts w:hint="eastAsia" w:cs="Arial" w:asciiTheme="minorEastAsia" w:hAnsiTheme="minorEastAsia"/>
                <w:kern w:val="0"/>
                <w:sz w:val="24"/>
                <w:szCs w:val="24"/>
                <w:highlight w:val="none"/>
                <w:lang w:eastAsia="zh-CN"/>
              </w:rPr>
              <w:t>：</w:t>
            </w:r>
            <w:r>
              <w:rPr>
                <w:rFonts w:hint="eastAsia" w:cs="Arial" w:asciiTheme="minorEastAsia" w:hAnsiTheme="minorEastAsia"/>
                <w:kern w:val="0"/>
                <w:sz w:val="24"/>
                <w:szCs w:val="24"/>
                <w:highlight w:val="none"/>
              </w:rPr>
              <w:t>29.3</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×13.4</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w:t>
            </w:r>
            <w:r>
              <w:rPr>
                <w:rFonts w:hint="eastAsia" w:cs="Arial" w:asciiTheme="minorEastAsia" w:hAnsiTheme="minorEastAsia"/>
                <w:kern w:val="0"/>
                <w:sz w:val="21"/>
                <w:szCs w:val="21"/>
                <w:highlight w:val="none"/>
                <w:lang w:val="en-US" w:eastAsia="zh-CN"/>
              </w:rPr>
              <w:t>（长</w:t>
            </w:r>
            <w:r>
              <w:rPr>
                <w:rFonts w:cs="Arial" w:asciiTheme="minorEastAsia" w:hAnsiTheme="minorEastAsia"/>
                <w:kern w:val="0"/>
                <w:sz w:val="21"/>
                <w:szCs w:val="21"/>
                <w:highlight w:val="none"/>
              </w:rPr>
              <w:t>×</w:t>
            </w:r>
            <w:r>
              <w:rPr>
                <w:rFonts w:hint="eastAsia" w:cs="Arial" w:asciiTheme="minorEastAsia" w:hAnsiTheme="minorEastAsia"/>
                <w:kern w:val="0"/>
                <w:sz w:val="21"/>
                <w:szCs w:val="21"/>
                <w:highlight w:val="none"/>
                <w:lang w:val="en-US" w:eastAsia="zh-CN"/>
              </w:rPr>
              <w:t>高，均为展开尺寸）</w:t>
            </w:r>
          </w:p>
        </w:tc>
        <w:tc>
          <w:tcPr>
            <w:tcW w:w="955" w:type="dxa"/>
            <w:shd w:val="clear" w:color="000000" w:fill="FFFFFF"/>
            <w:vAlign w:val="center"/>
          </w:tcPr>
          <w:p>
            <w:pPr>
              <w:widowControl/>
              <w:jc w:val="center"/>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30</w:t>
            </w:r>
            <w:r>
              <w:rPr>
                <w:rFonts w:cs="Arial" w:asciiTheme="minorEastAsia" w:hAnsiTheme="minorEastAsia"/>
                <w:kern w:val="0"/>
                <w:sz w:val="24"/>
                <w:szCs w:val="24"/>
                <w:highlight w:val="none"/>
              </w:rPr>
              <w:t>000</w:t>
            </w:r>
          </w:p>
        </w:tc>
        <w:tc>
          <w:tcPr>
            <w:tcW w:w="944"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1439"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初中</w:t>
            </w:r>
          </w:p>
        </w:tc>
        <w:tc>
          <w:tcPr>
            <w:tcW w:w="2904" w:type="dxa"/>
            <w:vMerge w:val="continue"/>
            <w:shd w:val="clear" w:color="000000" w:fill="FFFFFF"/>
            <w:vAlign w:val="center"/>
          </w:tcPr>
          <w:p>
            <w:pPr>
              <w:snapToGrid w:val="0"/>
              <w:spacing w:line="480" w:lineRule="exact"/>
              <w:jc w:val="left"/>
              <w:rPr>
                <w:rFonts w:hint="eastAsia" w:ascii="宋体" w:hAnsi="宋体" w:cs="宋体"/>
                <w:color w:val="000000"/>
                <w:sz w:val="24"/>
                <w:szCs w:val="24"/>
                <w:highlight w:val="none"/>
              </w:rPr>
            </w:pPr>
          </w:p>
        </w:tc>
        <w:tc>
          <w:tcPr>
            <w:tcW w:w="2697" w:type="dxa"/>
            <w:shd w:val="clear" w:color="000000" w:fill="FFFFFF"/>
            <w:vAlign w:val="center"/>
          </w:tcPr>
          <w:p>
            <w:pPr>
              <w:widowControl/>
              <w:jc w:val="center"/>
              <w:rPr>
                <w:rFonts w:hint="eastAsia" w:cs="Arial" w:asciiTheme="minorEastAsia" w:hAnsiTheme="minorEastAsia"/>
                <w:kern w:val="0"/>
                <w:sz w:val="24"/>
                <w:szCs w:val="24"/>
                <w:highlight w:val="none"/>
              </w:rPr>
            </w:pPr>
            <w:r>
              <w:rPr>
                <w:rFonts w:cs="Arial" w:asciiTheme="minorEastAsia" w:hAnsiTheme="minorEastAsia"/>
                <w:kern w:val="0"/>
                <w:sz w:val="24"/>
                <w:szCs w:val="24"/>
                <w:highlight w:val="none"/>
              </w:rPr>
              <w:t>封套：</w:t>
            </w:r>
            <w:r>
              <w:rPr>
                <w:rFonts w:hint="eastAsia" w:cs="Arial" w:asciiTheme="minorEastAsia" w:hAnsiTheme="minorEastAsia"/>
                <w:kern w:val="0"/>
                <w:sz w:val="24"/>
                <w:szCs w:val="24"/>
                <w:highlight w:val="none"/>
              </w:rPr>
              <w:t>19.9</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×14.9</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lang w:eastAsia="zh-CN"/>
              </w:rPr>
              <w:t>；</w:t>
            </w:r>
          </w:p>
          <w:p>
            <w:pPr>
              <w:widowControl/>
              <w:jc w:val="left"/>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内芯</w:t>
            </w:r>
            <w:r>
              <w:rPr>
                <w:rFonts w:hint="eastAsia" w:cs="Arial" w:asciiTheme="minorEastAsia" w:hAnsiTheme="minorEastAsia"/>
                <w:kern w:val="0"/>
                <w:sz w:val="24"/>
                <w:szCs w:val="24"/>
                <w:highlight w:val="none"/>
                <w:lang w:eastAsia="zh-CN"/>
              </w:rPr>
              <w:t>：</w:t>
            </w:r>
            <w:r>
              <w:rPr>
                <w:rFonts w:hint="eastAsia" w:cs="Arial" w:asciiTheme="minorEastAsia" w:hAnsiTheme="minorEastAsia"/>
                <w:kern w:val="0"/>
                <w:sz w:val="24"/>
                <w:szCs w:val="24"/>
                <w:highlight w:val="none"/>
              </w:rPr>
              <w:t>29.3</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×14.3</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w:t>
            </w:r>
            <w:r>
              <w:rPr>
                <w:rFonts w:hint="eastAsia" w:cs="Arial" w:asciiTheme="minorEastAsia" w:hAnsiTheme="minorEastAsia"/>
                <w:kern w:val="0"/>
                <w:sz w:val="21"/>
                <w:szCs w:val="21"/>
                <w:highlight w:val="none"/>
                <w:lang w:val="en-US" w:eastAsia="zh-CN"/>
              </w:rPr>
              <w:t>（长</w:t>
            </w:r>
            <w:r>
              <w:rPr>
                <w:rFonts w:cs="Arial" w:asciiTheme="minorEastAsia" w:hAnsiTheme="minorEastAsia"/>
                <w:kern w:val="0"/>
                <w:sz w:val="21"/>
                <w:szCs w:val="21"/>
                <w:highlight w:val="none"/>
              </w:rPr>
              <w:t>×</w:t>
            </w:r>
            <w:r>
              <w:rPr>
                <w:rFonts w:hint="eastAsia" w:cs="Arial" w:asciiTheme="minorEastAsia" w:hAnsiTheme="minorEastAsia"/>
                <w:kern w:val="0"/>
                <w:sz w:val="21"/>
                <w:szCs w:val="21"/>
                <w:highlight w:val="none"/>
                <w:lang w:val="en-US" w:eastAsia="zh-CN"/>
              </w:rPr>
              <w:t>高，均为展开尺寸）</w:t>
            </w:r>
          </w:p>
        </w:tc>
        <w:tc>
          <w:tcPr>
            <w:tcW w:w="955" w:type="dxa"/>
            <w:shd w:val="clear" w:color="000000" w:fill="FFFFFF"/>
            <w:vAlign w:val="center"/>
          </w:tcPr>
          <w:p>
            <w:pPr>
              <w:widowControl/>
              <w:jc w:val="center"/>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25</w:t>
            </w:r>
            <w:r>
              <w:rPr>
                <w:rFonts w:cs="Arial" w:asciiTheme="minorEastAsia" w:hAnsiTheme="minorEastAsia"/>
                <w:kern w:val="0"/>
                <w:sz w:val="24"/>
                <w:szCs w:val="24"/>
                <w:highlight w:val="none"/>
              </w:rPr>
              <w:t>000</w:t>
            </w:r>
          </w:p>
        </w:tc>
        <w:tc>
          <w:tcPr>
            <w:tcW w:w="944"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1439"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高中</w:t>
            </w:r>
          </w:p>
        </w:tc>
        <w:tc>
          <w:tcPr>
            <w:tcW w:w="2904" w:type="dxa"/>
            <w:shd w:val="clear" w:color="000000" w:fill="FFFFFF"/>
            <w:vAlign w:val="center"/>
          </w:tcPr>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①内芯必须用120克全木浆双胶纸。</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②封套大红</w:t>
            </w:r>
            <w:r>
              <w:rPr>
                <w:rFonts w:hint="eastAsia" w:ascii="宋体" w:hAnsi="宋体" w:cs="宋体"/>
                <w:color w:val="000000"/>
                <w:sz w:val="24"/>
                <w:szCs w:val="24"/>
                <w:highlight w:val="none"/>
                <w:lang w:val="en-US" w:eastAsia="zh-CN"/>
              </w:rPr>
              <w:t>胶化纸</w:t>
            </w:r>
            <w:r>
              <w:rPr>
                <w:rFonts w:hint="eastAsia" w:ascii="宋体" w:hAnsi="宋体" w:cs="宋体"/>
                <w:color w:val="000000"/>
                <w:sz w:val="24"/>
                <w:szCs w:val="24"/>
                <w:highlight w:val="none"/>
              </w:rPr>
              <w:t>，夹层为2.5层</w:t>
            </w:r>
            <w:r>
              <w:rPr>
                <w:rFonts w:hint="eastAsia" w:ascii="宋体" w:hAnsi="宋体" w:cs="宋体"/>
                <w:color w:val="000000"/>
                <w:sz w:val="24"/>
                <w:szCs w:val="24"/>
                <w:highlight w:val="none"/>
                <w:lang w:val="en-US" w:eastAsia="zh-CN"/>
              </w:rPr>
              <w:t>纸板</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val="en-US" w:eastAsia="zh-CN"/>
              </w:rPr>
              <w:t>内层为红色插角带</w:t>
            </w:r>
            <w:r>
              <w:rPr>
                <w:rFonts w:hint="eastAsia" w:ascii="宋体" w:hAnsi="宋体" w:cs="宋体"/>
                <w:color w:val="000000"/>
                <w:sz w:val="24"/>
                <w:szCs w:val="24"/>
                <w:highlight w:val="none"/>
              </w:rPr>
              <w:t>。</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③封套和内芯内容和其它要求由采购方指定。</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t>④内芯印刷必须有两</w:t>
            </w:r>
            <w:r>
              <w:rPr>
                <w:rFonts w:hint="eastAsia" w:ascii="宋体" w:hAnsi="宋体" w:cs="宋体"/>
                <w:color w:val="000000"/>
                <w:sz w:val="24"/>
                <w:szCs w:val="24"/>
                <w:highlight w:val="none"/>
                <w:lang w:val="en-US" w:eastAsia="zh-CN"/>
              </w:rPr>
              <w:t>种及</w:t>
            </w:r>
            <w:r>
              <w:rPr>
                <w:rFonts w:hint="eastAsia" w:ascii="宋体" w:hAnsi="宋体" w:cs="宋体"/>
                <w:color w:val="000000"/>
                <w:sz w:val="24"/>
                <w:szCs w:val="24"/>
                <w:highlight w:val="none"/>
              </w:rPr>
              <w:t>以上的防伪标记。（防伪要求以</w:t>
            </w:r>
            <w:r>
              <w:rPr>
                <w:rFonts w:hint="eastAsia" w:ascii="宋体" w:hAnsi="宋体" w:cs="宋体"/>
                <w:color w:val="000000"/>
                <w:sz w:val="24"/>
                <w:szCs w:val="24"/>
                <w:highlight w:val="none"/>
                <w:lang w:val="en-US" w:eastAsia="zh-CN"/>
              </w:rPr>
              <w:t>采购人</w:t>
            </w:r>
            <w:r>
              <w:rPr>
                <w:rFonts w:hint="eastAsia" w:ascii="宋体" w:hAnsi="宋体" w:cs="宋体"/>
                <w:color w:val="000000"/>
                <w:sz w:val="24"/>
                <w:szCs w:val="24"/>
                <w:highlight w:val="none"/>
              </w:rPr>
              <w:t>的样品为准）</w:t>
            </w:r>
          </w:p>
          <w:p>
            <w:pPr>
              <w:snapToGrid w:val="0"/>
              <w:spacing w:line="480" w:lineRule="exact"/>
              <w:jc w:val="left"/>
              <w:rPr>
                <w:rFonts w:hint="eastAsia" w:ascii="宋体" w:hAnsi="宋体" w:cs="宋体"/>
                <w:color w:val="000000"/>
                <w:sz w:val="24"/>
                <w:szCs w:val="24"/>
                <w:highlight w:val="none"/>
              </w:rPr>
            </w:pPr>
            <w:r>
              <w:rPr>
                <w:rFonts w:hint="eastAsia" w:ascii="宋体" w:hAnsi="宋体" w:cs="宋体"/>
                <w:color w:val="000000"/>
                <w:sz w:val="24"/>
                <w:szCs w:val="24"/>
                <w:highlight w:val="none"/>
              </w:rPr>
              <w:fldChar w:fldCharType="begin"/>
            </w:r>
            <w:r>
              <w:rPr>
                <w:rFonts w:hint="eastAsia" w:ascii="宋体" w:hAnsi="宋体" w:cs="宋体"/>
                <w:color w:val="000000"/>
                <w:sz w:val="24"/>
                <w:szCs w:val="24"/>
                <w:highlight w:val="none"/>
              </w:rPr>
              <w:instrText xml:space="preserve"> = 5 \* GB3 \* MERGEFORMAT </w:instrText>
            </w:r>
            <w:r>
              <w:rPr>
                <w:rFonts w:hint="eastAsia" w:ascii="宋体" w:hAnsi="宋体" w:cs="宋体"/>
                <w:color w:val="000000"/>
                <w:sz w:val="24"/>
                <w:szCs w:val="24"/>
                <w:highlight w:val="none"/>
              </w:rPr>
              <w:fldChar w:fldCharType="separate"/>
            </w:r>
            <w:r>
              <w:rPr>
                <w:rFonts w:hint="eastAsia" w:ascii="宋体" w:hAnsi="宋体" w:cs="宋体"/>
                <w:color w:val="000000"/>
                <w:sz w:val="24"/>
                <w:szCs w:val="24"/>
                <w:highlight w:val="none"/>
              </w:rPr>
              <w:t>⑤</w:t>
            </w:r>
            <w:r>
              <w:rPr>
                <w:rFonts w:hint="eastAsia" w:ascii="宋体" w:hAnsi="宋体" w:cs="宋体"/>
                <w:color w:val="000000"/>
                <w:sz w:val="24"/>
                <w:szCs w:val="24"/>
                <w:highlight w:val="none"/>
              </w:rPr>
              <w:fldChar w:fldCharType="end"/>
            </w:r>
            <w:r>
              <w:rPr>
                <w:rFonts w:hint="eastAsia" w:ascii="宋体" w:hAnsi="宋体" w:cs="宋体"/>
                <w:color w:val="000000"/>
                <w:sz w:val="24"/>
                <w:szCs w:val="24"/>
                <w:highlight w:val="none"/>
              </w:rPr>
              <w:t>内芯印刷必须打码</w:t>
            </w:r>
            <w:r>
              <w:rPr>
                <w:rFonts w:cs="Arial" w:asciiTheme="minorEastAsia" w:hAnsiTheme="minorEastAsia"/>
                <w:kern w:val="0"/>
                <w:sz w:val="24"/>
                <w:szCs w:val="24"/>
                <w:highlight w:val="none"/>
              </w:rPr>
              <w:t>。</w:t>
            </w:r>
          </w:p>
        </w:tc>
        <w:tc>
          <w:tcPr>
            <w:tcW w:w="2697" w:type="dxa"/>
            <w:shd w:val="clear" w:color="000000" w:fill="FFFFFF"/>
            <w:vAlign w:val="center"/>
          </w:tcPr>
          <w:p>
            <w:pPr>
              <w:widowControl/>
              <w:jc w:val="both"/>
              <w:rPr>
                <w:rFonts w:hint="eastAsia" w:cs="Arial" w:asciiTheme="minorEastAsia" w:hAnsiTheme="minorEastAsia"/>
                <w:kern w:val="0"/>
                <w:sz w:val="24"/>
                <w:szCs w:val="24"/>
                <w:highlight w:val="none"/>
              </w:rPr>
            </w:pPr>
            <w:r>
              <w:rPr>
                <w:rFonts w:cs="Arial" w:asciiTheme="minorEastAsia" w:hAnsiTheme="minorEastAsia"/>
                <w:kern w:val="0"/>
                <w:sz w:val="24"/>
                <w:szCs w:val="24"/>
                <w:highlight w:val="none"/>
              </w:rPr>
              <w:t>封套：</w:t>
            </w:r>
            <w:r>
              <w:rPr>
                <w:rFonts w:hint="eastAsia" w:cs="Arial" w:asciiTheme="minorEastAsia" w:hAnsiTheme="minorEastAsia"/>
                <w:kern w:val="0"/>
                <w:sz w:val="24"/>
                <w:szCs w:val="24"/>
                <w:highlight w:val="none"/>
              </w:rPr>
              <w:t>27</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x19</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lang w:eastAsia="zh-CN"/>
              </w:rPr>
              <w:t>；</w:t>
            </w:r>
          </w:p>
          <w:p>
            <w:pPr>
              <w:widowControl/>
              <w:jc w:val="left"/>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内芯</w:t>
            </w:r>
            <w:r>
              <w:rPr>
                <w:rFonts w:hint="eastAsia" w:cs="Arial" w:asciiTheme="minorEastAsia" w:hAnsiTheme="minorEastAsia"/>
                <w:kern w:val="0"/>
                <w:sz w:val="24"/>
                <w:szCs w:val="24"/>
                <w:highlight w:val="none"/>
                <w:lang w:eastAsia="zh-CN"/>
              </w:rPr>
              <w:t>：</w:t>
            </w:r>
            <w:r>
              <w:rPr>
                <w:rFonts w:hint="eastAsia" w:cs="Arial" w:asciiTheme="minorEastAsia" w:hAnsiTheme="minorEastAsia"/>
                <w:kern w:val="0"/>
                <w:sz w:val="24"/>
                <w:szCs w:val="24"/>
                <w:highlight w:val="none"/>
              </w:rPr>
              <w:t>35.7</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rPr>
              <w:t>×18.3</w:t>
            </w:r>
            <w:r>
              <w:rPr>
                <w:rFonts w:cs="Arial" w:asciiTheme="minorEastAsia" w:hAnsiTheme="minorEastAsia"/>
                <w:kern w:val="0"/>
                <w:sz w:val="24"/>
                <w:szCs w:val="24"/>
                <w:highlight w:val="none"/>
              </w:rPr>
              <w:t>cm</w:t>
            </w:r>
            <w:r>
              <w:rPr>
                <w:rFonts w:hint="eastAsia" w:cs="Arial" w:asciiTheme="minorEastAsia" w:hAnsiTheme="minorEastAsia"/>
                <w:kern w:val="0"/>
                <w:sz w:val="24"/>
                <w:szCs w:val="24"/>
                <w:highlight w:val="none"/>
                <w:lang w:eastAsia="zh-CN"/>
              </w:rPr>
              <w:t>。</w:t>
            </w:r>
            <w:r>
              <w:rPr>
                <w:rFonts w:hint="eastAsia" w:cs="Arial" w:asciiTheme="minorEastAsia" w:hAnsiTheme="minorEastAsia"/>
                <w:kern w:val="0"/>
                <w:sz w:val="21"/>
                <w:szCs w:val="21"/>
                <w:highlight w:val="none"/>
                <w:lang w:val="en-US" w:eastAsia="zh-CN"/>
              </w:rPr>
              <w:t>（长</w:t>
            </w:r>
            <w:r>
              <w:rPr>
                <w:rFonts w:cs="Arial" w:asciiTheme="minorEastAsia" w:hAnsiTheme="minorEastAsia"/>
                <w:kern w:val="0"/>
                <w:sz w:val="21"/>
                <w:szCs w:val="21"/>
                <w:highlight w:val="none"/>
              </w:rPr>
              <w:t>×</w:t>
            </w:r>
            <w:r>
              <w:rPr>
                <w:rFonts w:hint="eastAsia" w:cs="Arial" w:asciiTheme="minorEastAsia" w:hAnsiTheme="minorEastAsia"/>
                <w:kern w:val="0"/>
                <w:sz w:val="21"/>
                <w:szCs w:val="21"/>
                <w:highlight w:val="none"/>
                <w:lang w:val="en-US" w:eastAsia="zh-CN"/>
              </w:rPr>
              <w:t>高，均为展开尺寸）</w:t>
            </w:r>
          </w:p>
        </w:tc>
        <w:tc>
          <w:tcPr>
            <w:tcW w:w="955" w:type="dxa"/>
            <w:shd w:val="clear" w:color="000000" w:fill="FFFFFF"/>
            <w:vAlign w:val="center"/>
          </w:tcPr>
          <w:p>
            <w:pPr>
              <w:widowControl/>
              <w:jc w:val="center"/>
              <w:rPr>
                <w:rFonts w:cs="Arial" w:asciiTheme="minorEastAsia" w:hAnsiTheme="minorEastAsia"/>
                <w:kern w:val="0"/>
                <w:sz w:val="24"/>
                <w:szCs w:val="24"/>
                <w:highlight w:val="none"/>
              </w:rPr>
            </w:pPr>
            <w:r>
              <w:rPr>
                <w:rFonts w:hint="eastAsia" w:cs="Arial" w:asciiTheme="minorEastAsia" w:hAnsiTheme="minorEastAsia"/>
                <w:kern w:val="0"/>
                <w:sz w:val="24"/>
                <w:szCs w:val="24"/>
                <w:highlight w:val="none"/>
              </w:rPr>
              <w:t>130</w:t>
            </w:r>
            <w:r>
              <w:rPr>
                <w:rFonts w:cs="Arial" w:asciiTheme="minorEastAsia" w:hAnsiTheme="minorEastAsia"/>
                <w:kern w:val="0"/>
                <w:sz w:val="24"/>
                <w:szCs w:val="24"/>
                <w:highlight w:val="none"/>
              </w:rPr>
              <w:t>00</w:t>
            </w:r>
          </w:p>
        </w:tc>
        <w:tc>
          <w:tcPr>
            <w:tcW w:w="944" w:type="dxa"/>
            <w:shd w:val="clear" w:color="000000" w:fill="FFFFFF"/>
            <w:vAlign w:val="center"/>
          </w:tcPr>
          <w:p>
            <w:pPr>
              <w:widowControl/>
              <w:jc w:val="center"/>
              <w:rPr>
                <w:rFonts w:cs="Arial" w:asciiTheme="minorEastAsia" w:hAnsiTheme="minorEastAsia"/>
                <w:kern w:val="0"/>
                <w:sz w:val="24"/>
                <w:szCs w:val="24"/>
                <w:highlight w:val="none"/>
              </w:rPr>
            </w:pPr>
            <w:r>
              <w:rPr>
                <w:rFonts w:cs="Arial" w:asciiTheme="minorEastAsia" w:hAnsiTheme="minorEastAsia"/>
                <w:kern w:val="0"/>
                <w:sz w:val="24"/>
                <w:szCs w:val="24"/>
                <w:highlight w:val="none"/>
              </w:rPr>
              <w:t>套</w:t>
            </w:r>
          </w:p>
        </w:tc>
      </w:tr>
    </w:tbl>
    <w:p>
      <w:pPr>
        <w:pStyle w:val="47"/>
        <w:shd w:val="clear" w:color="auto" w:fill="FFFFFF"/>
        <w:spacing w:before="0" w:beforeAutospacing="0" w:after="0" w:afterAutospacing="0" w:line="400" w:lineRule="exact"/>
        <w:rPr>
          <w:rStyle w:val="54"/>
          <w:rFonts w:hint="eastAsia" w:cs="楷体_GB2312" w:asciiTheme="minorEastAsia" w:hAnsiTheme="minorEastAsia" w:eastAsiaTheme="minorEastAsia"/>
          <w:b/>
          <w:bCs/>
          <w:highlight w:val="none"/>
          <w:lang w:val="en-US" w:eastAsia="zh-CN"/>
        </w:rPr>
      </w:pPr>
    </w:p>
    <w:p>
      <w:pPr>
        <w:pageBreakBefore w:val="0"/>
        <w:kinsoku/>
        <w:wordWrap/>
        <w:overflowPunct/>
        <w:topLinePunct w:val="0"/>
        <w:bidi w:val="0"/>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u w:val="double"/>
          <w:lang w:val="en-US" w:eastAsia="zh-CN"/>
        </w:rPr>
        <w:t>注：各潜在供应商</w:t>
      </w:r>
      <w:r>
        <w:rPr>
          <w:rFonts w:hint="eastAsia" w:ascii="宋体" w:hAnsi="宋体" w:cs="宋体"/>
          <w:b/>
          <w:bCs/>
          <w:color w:val="auto"/>
          <w:sz w:val="24"/>
          <w:szCs w:val="24"/>
          <w:highlight w:val="none"/>
          <w:u w:val="double"/>
          <w:lang w:val="en-US" w:eastAsia="zh-CN"/>
        </w:rPr>
        <w:t>请</w:t>
      </w:r>
      <w:r>
        <w:rPr>
          <w:rFonts w:hint="eastAsia" w:ascii="宋体" w:hAnsi="宋体" w:eastAsia="宋体" w:cs="宋体"/>
          <w:b/>
          <w:bCs/>
          <w:color w:val="auto"/>
          <w:sz w:val="24"/>
          <w:szCs w:val="24"/>
          <w:highlight w:val="none"/>
          <w:u w:val="double"/>
          <w:lang w:val="en-US" w:eastAsia="zh-CN"/>
        </w:rPr>
        <w:t>于2021年</w:t>
      </w:r>
      <w:r>
        <w:rPr>
          <w:rFonts w:hint="eastAsia" w:ascii="宋体" w:hAnsi="宋体" w:cs="宋体"/>
          <w:b/>
          <w:bCs/>
          <w:color w:val="auto"/>
          <w:sz w:val="24"/>
          <w:szCs w:val="24"/>
          <w:highlight w:val="none"/>
          <w:u w:val="double"/>
          <w:lang w:val="en-US" w:eastAsia="zh-CN"/>
        </w:rPr>
        <w:t>3</w:t>
      </w:r>
      <w:r>
        <w:rPr>
          <w:rFonts w:hint="eastAsia" w:ascii="宋体" w:hAnsi="宋体" w:eastAsia="宋体" w:cs="宋体"/>
          <w:b/>
          <w:bCs/>
          <w:color w:val="auto"/>
          <w:sz w:val="24"/>
          <w:szCs w:val="24"/>
          <w:highlight w:val="none"/>
          <w:u w:val="double"/>
          <w:lang w:val="en-US" w:eastAsia="zh-CN"/>
        </w:rPr>
        <w:t>月</w:t>
      </w:r>
      <w:r>
        <w:rPr>
          <w:rFonts w:hint="eastAsia" w:ascii="宋体" w:hAnsi="宋体" w:cs="宋体"/>
          <w:b/>
          <w:bCs/>
          <w:color w:val="auto"/>
          <w:sz w:val="24"/>
          <w:szCs w:val="24"/>
          <w:highlight w:val="none"/>
          <w:u w:val="double"/>
          <w:lang w:val="en-US" w:eastAsia="zh-CN"/>
        </w:rPr>
        <w:t>31</w:t>
      </w:r>
      <w:r>
        <w:rPr>
          <w:rFonts w:hint="eastAsia" w:ascii="宋体" w:hAnsi="宋体" w:eastAsia="宋体" w:cs="宋体"/>
          <w:b/>
          <w:bCs/>
          <w:color w:val="auto"/>
          <w:sz w:val="24"/>
          <w:szCs w:val="24"/>
          <w:highlight w:val="none"/>
          <w:u w:val="double"/>
          <w:lang w:val="en-US" w:eastAsia="zh-CN"/>
        </w:rPr>
        <w:t>日上午9：30至下午5：00前往</w:t>
      </w:r>
      <w:r>
        <w:rPr>
          <w:rFonts w:hint="eastAsia" w:ascii="宋体" w:hAnsi="宋体" w:eastAsia="宋体" w:cs="宋体"/>
          <w:b/>
          <w:bCs/>
          <w:color w:val="auto"/>
          <w:sz w:val="24"/>
          <w:szCs w:val="24"/>
          <w:highlight w:val="none"/>
          <w:u w:val="double"/>
        </w:rPr>
        <w:t>南通市崇川区青年中路153号4号楼213室</w:t>
      </w:r>
      <w:r>
        <w:rPr>
          <w:rFonts w:hint="eastAsia" w:ascii="宋体" w:hAnsi="宋体" w:eastAsia="宋体" w:cs="宋体"/>
          <w:b/>
          <w:bCs/>
          <w:color w:val="auto"/>
          <w:sz w:val="24"/>
          <w:szCs w:val="24"/>
          <w:highlight w:val="none"/>
          <w:u w:val="double"/>
          <w:lang w:val="en-US" w:eastAsia="zh-CN"/>
        </w:rPr>
        <w:t>看样册</w:t>
      </w:r>
      <w:r>
        <w:rPr>
          <w:rFonts w:hint="eastAsia" w:ascii="宋体" w:hAnsi="宋体" w:cs="宋体"/>
          <w:b/>
          <w:bCs/>
          <w:color w:val="auto"/>
          <w:sz w:val="24"/>
          <w:szCs w:val="24"/>
          <w:highlight w:val="none"/>
          <w:u w:val="double"/>
          <w:lang w:val="en-US" w:eastAsia="zh-CN"/>
        </w:rPr>
        <w:t>，联系电话17778751998。</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cs="楷体_GB2312" w:asciiTheme="minorEastAsia" w:hAnsiTheme="minorEastAsia" w:eastAsiaTheme="minorEastAsia"/>
          <w:highlight w:val="none"/>
        </w:rPr>
      </w:pPr>
    </w:p>
    <w:p>
      <w:pPr>
        <w:widowControl/>
        <w:numPr>
          <w:ilvl w:val="0"/>
          <w:numId w:val="0"/>
        </w:numPr>
        <w:spacing w:line="360" w:lineRule="auto"/>
        <w:jc w:val="left"/>
        <w:rPr>
          <w:rFonts w:hint="eastAsia" w:ascii="宋体" w:hAnsi="宋体" w:eastAsia="宋体" w:cs="宋体"/>
          <w:b/>
          <w:bCs/>
          <w:sz w:val="24"/>
          <w:szCs w:val="24"/>
          <w:highlight w:val="none"/>
          <w:lang w:val="en-US" w:eastAsia="zh-CN"/>
        </w:rPr>
      </w:pPr>
      <w:r>
        <w:rPr>
          <w:rFonts w:hint="eastAsia" w:ascii="宋体" w:hAnsi="宋体" w:cs="宋体"/>
          <w:b/>
          <w:bCs/>
          <w:sz w:val="24"/>
          <w:szCs w:val="24"/>
          <w:highlight w:val="none"/>
          <w:lang w:val="en-US" w:eastAsia="zh-CN"/>
        </w:rPr>
        <w:t>二</w:t>
      </w:r>
      <w:r>
        <w:rPr>
          <w:rFonts w:hint="eastAsia" w:ascii="宋体" w:hAnsi="宋体" w:eastAsia="宋体" w:cs="宋体"/>
          <w:b/>
          <w:bCs/>
          <w:sz w:val="24"/>
          <w:szCs w:val="24"/>
          <w:highlight w:val="none"/>
          <w:lang w:val="en-US" w:eastAsia="zh-CN"/>
        </w:rPr>
        <w:t>、样品要求</w:t>
      </w:r>
    </w:p>
    <w:p>
      <w:pPr>
        <w:spacing w:line="420" w:lineRule="exact"/>
        <w:ind w:firstLine="480" w:firstLineChars="200"/>
        <w:rPr>
          <w:rFonts w:hint="default"/>
          <w:highlight w:val="none"/>
          <w:lang w:val="en-US" w:eastAsia="zh-CN"/>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、样品要求：供应商须提供符合《技术要求一览表》</w:t>
      </w:r>
      <w:r>
        <w:rPr>
          <w:rFonts w:hint="eastAsia" w:ascii="宋体" w:hAnsi="宋体" w:cs="宋体"/>
          <w:sz w:val="24"/>
          <w:szCs w:val="24"/>
          <w:highlight w:val="none"/>
          <w:lang w:val="en-US" w:eastAsia="zh-CN"/>
        </w:rPr>
        <w:t>要求</w:t>
      </w:r>
      <w:r>
        <w:rPr>
          <w:rFonts w:hint="eastAsia" w:ascii="宋体" w:hAnsi="宋体" w:eastAsia="宋体" w:cs="宋体"/>
          <w:sz w:val="24"/>
          <w:szCs w:val="24"/>
          <w:highlight w:val="none"/>
          <w:lang w:val="en-US" w:eastAsia="zh-CN"/>
        </w:rPr>
        <w:t>的</w:t>
      </w:r>
      <w:r>
        <w:rPr>
          <w:rFonts w:hint="eastAsia" w:ascii="宋体" w:hAnsi="宋体" w:eastAsia="宋体" w:cs="宋体"/>
          <w:sz w:val="24"/>
          <w:szCs w:val="24"/>
          <w:highlight w:val="none"/>
        </w:rPr>
        <w:t>小学、初中、高中毕业证书各一套</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样品必须有</w:t>
      </w:r>
      <w:r>
        <w:rPr>
          <w:rFonts w:hint="eastAsia" w:ascii="宋体" w:hAnsi="宋体" w:cs="宋体"/>
          <w:color w:val="000000"/>
          <w:sz w:val="24"/>
          <w:szCs w:val="24"/>
          <w:highlight w:val="none"/>
        </w:rPr>
        <w:t>两</w:t>
      </w:r>
      <w:r>
        <w:rPr>
          <w:rFonts w:hint="eastAsia" w:ascii="宋体" w:hAnsi="宋体" w:cs="宋体"/>
          <w:color w:val="000000"/>
          <w:sz w:val="24"/>
          <w:szCs w:val="24"/>
          <w:highlight w:val="none"/>
          <w:lang w:val="en-US" w:eastAsia="zh-CN"/>
        </w:rPr>
        <w:t>种及</w:t>
      </w:r>
      <w:r>
        <w:rPr>
          <w:rFonts w:hint="eastAsia" w:ascii="宋体" w:hAnsi="宋体" w:cs="宋体"/>
          <w:color w:val="000000"/>
          <w:sz w:val="24"/>
          <w:szCs w:val="24"/>
          <w:highlight w:val="none"/>
        </w:rPr>
        <w:t>以上的防伪标记</w:t>
      </w:r>
      <w:r>
        <w:rPr>
          <w:rFonts w:hint="eastAsia" w:ascii="宋体" w:hAnsi="宋体" w:cs="宋体"/>
          <w:sz w:val="24"/>
          <w:szCs w:val="24"/>
          <w:highlight w:val="none"/>
          <w:lang w:val="en-US" w:eastAsia="zh-CN"/>
        </w:rPr>
        <w:t>（</w:t>
      </w:r>
      <w:r>
        <w:rPr>
          <w:rFonts w:cs="Arial" w:asciiTheme="minorEastAsia" w:hAnsiTheme="minorEastAsia"/>
          <w:kern w:val="0"/>
          <w:sz w:val="24"/>
          <w:szCs w:val="24"/>
          <w:highlight w:val="none"/>
        </w:rPr>
        <w:t>防伪要求以</w:t>
      </w:r>
      <w:r>
        <w:rPr>
          <w:rFonts w:hint="eastAsia" w:ascii="宋体" w:hAnsi="宋体" w:eastAsia="宋体" w:cs="宋体"/>
          <w:b w:val="0"/>
          <w:bCs w:val="0"/>
          <w:sz w:val="24"/>
          <w:szCs w:val="24"/>
          <w:highlight w:val="none"/>
        </w:rPr>
        <w:t>采购人</w:t>
      </w:r>
      <w:r>
        <w:rPr>
          <w:rFonts w:cs="Arial" w:asciiTheme="minorEastAsia" w:hAnsiTheme="minorEastAsia"/>
          <w:kern w:val="0"/>
          <w:sz w:val="24"/>
          <w:szCs w:val="24"/>
          <w:highlight w:val="none"/>
        </w:rPr>
        <w:t>的</w:t>
      </w:r>
      <w:r>
        <w:rPr>
          <w:rFonts w:hint="eastAsia" w:cs="Arial" w:asciiTheme="minorEastAsia" w:hAnsiTheme="minorEastAsia"/>
          <w:kern w:val="0"/>
          <w:sz w:val="24"/>
          <w:szCs w:val="24"/>
          <w:highlight w:val="none"/>
          <w:lang w:val="en-US" w:eastAsia="zh-CN"/>
        </w:rPr>
        <w:t>样册</w:t>
      </w:r>
      <w:r>
        <w:rPr>
          <w:rFonts w:cs="Arial" w:asciiTheme="minorEastAsia" w:hAnsiTheme="minorEastAsia"/>
          <w:kern w:val="0"/>
          <w:sz w:val="24"/>
          <w:szCs w:val="24"/>
          <w:highlight w:val="none"/>
        </w:rPr>
        <w:t>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w:t>
      </w:r>
    </w:p>
    <w:p>
      <w:pPr>
        <w:widowControl/>
        <w:spacing w:line="360" w:lineRule="auto"/>
        <w:ind w:left="1" w:firstLine="480" w:firstLineChars="200"/>
        <w:jc w:val="left"/>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val="en-US" w:eastAsia="zh-CN"/>
        </w:rPr>
        <w:t>、</w:t>
      </w:r>
      <w:r>
        <w:rPr>
          <w:rFonts w:hint="eastAsia" w:ascii="宋体" w:hAnsi="宋体" w:eastAsia="宋体" w:cs="宋体"/>
          <w:b/>
          <w:bCs/>
          <w:sz w:val="24"/>
          <w:szCs w:val="24"/>
          <w:highlight w:val="none"/>
          <w:u w:val="double"/>
        </w:rPr>
        <w:t>样品不能出现供应商的任何标志、标记，样品上涉及供应商的标志及标记请做遮挡或封存，否则：在评标环节的“样品”评审中将不得分，请供应商提前处理好各自相应的样品。</w:t>
      </w:r>
    </w:p>
    <w:p>
      <w:pPr>
        <w:widowControl/>
        <w:spacing w:line="360" w:lineRule="auto"/>
        <w:ind w:left="1" w:firstLine="480" w:firstLineChars="200"/>
        <w:jc w:val="left"/>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采购人将对成交供应商的样品进行封存，作为货物验收的标准之一。无论中标与否，各投标人自行承担相关样品制作、运输等费用。</w:t>
      </w:r>
    </w:p>
    <w:p>
      <w:pPr>
        <w:widowControl/>
        <w:spacing w:line="360" w:lineRule="auto"/>
        <w:ind w:left="1" w:firstLine="480" w:firstLineChars="200"/>
        <w:jc w:val="left"/>
        <w:rPr>
          <w:rFonts w:hint="eastAsia" w:ascii="宋体" w:hAnsi="宋体" w:eastAsia="宋体" w:cs="宋体"/>
          <w:b w:val="0"/>
          <w:bCs w:val="0"/>
          <w:sz w:val="24"/>
          <w:szCs w:val="24"/>
          <w:highlight w:val="none"/>
        </w:rPr>
      </w:pPr>
      <w:r>
        <w:rPr>
          <w:rFonts w:hint="eastAsia" w:ascii="宋体" w:hAnsi="宋体" w:cs="宋体"/>
          <w:b w:val="0"/>
          <w:bCs w:val="0"/>
          <w:sz w:val="24"/>
          <w:szCs w:val="24"/>
          <w:highlight w:val="none"/>
          <w:lang w:val="en-US" w:eastAsia="zh-CN"/>
        </w:rPr>
        <w:t>4</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rPr>
        <w:t>未成交供应商的样品必须于开标后及时搬离，采购单位不承担样品的保管责任。</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cs="楷体_GB2312" w:asciiTheme="minorEastAsia" w:hAnsiTheme="minorEastAsia" w:eastAsiaTheme="minorEastAsia"/>
          <w:b/>
          <w:highlight w:val="none"/>
        </w:rPr>
      </w:pPr>
      <w:r>
        <w:rPr>
          <w:rFonts w:hint="eastAsia" w:cs="楷体_GB2312" w:asciiTheme="minorEastAsia" w:hAnsiTheme="minorEastAsia" w:eastAsiaTheme="minorEastAsia"/>
          <w:b/>
          <w:highlight w:val="none"/>
          <w:lang w:val="en-US" w:eastAsia="zh-CN"/>
        </w:rPr>
        <w:t>三、</w:t>
      </w:r>
      <w:r>
        <w:rPr>
          <w:rFonts w:hint="eastAsia" w:cs="楷体_GB2312" w:asciiTheme="minorEastAsia" w:hAnsiTheme="minorEastAsia" w:eastAsiaTheme="minorEastAsia"/>
          <w:b/>
          <w:highlight w:val="none"/>
        </w:rPr>
        <w:t>服务要求</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cs="楷体_GB2312" w:asciiTheme="minorEastAsia" w:hAnsiTheme="minorEastAsia" w:eastAsiaTheme="minorEastAsia"/>
          <w:highlight w:val="none"/>
        </w:rPr>
      </w:pPr>
      <w:r>
        <w:rPr>
          <w:rFonts w:hint="eastAsia" w:cs="楷体_GB2312" w:asciiTheme="minorEastAsia" w:hAnsiTheme="minorEastAsia" w:eastAsiaTheme="minorEastAsia"/>
          <w:highlight w:val="none"/>
        </w:rPr>
        <w:t>1</w:t>
      </w:r>
      <w:r>
        <w:rPr>
          <w:rFonts w:hint="eastAsia" w:cs="楷体_GB2312" w:asciiTheme="minorEastAsia" w:hAnsiTheme="minorEastAsia" w:eastAsiaTheme="minorEastAsia"/>
          <w:highlight w:val="none"/>
          <w:lang w:eastAsia="zh-CN"/>
        </w:rPr>
        <w:t>、</w:t>
      </w:r>
      <w:r>
        <w:rPr>
          <w:rFonts w:hint="eastAsia" w:cs="楷体_GB2312" w:asciiTheme="minorEastAsia" w:hAnsiTheme="minorEastAsia" w:eastAsiaTheme="minorEastAsia"/>
          <w:highlight w:val="none"/>
        </w:rPr>
        <w:t>供货期：签订合同后一个月内，按采购单位要求分学段包装，配送至各县（市、区）教育行政部门及市直学校。</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s="楷体_GB2312" w:asciiTheme="minorEastAsia" w:hAnsiTheme="minorEastAsia" w:eastAsiaTheme="minorEastAsia"/>
          <w:highlight w:val="none"/>
          <w:lang w:val="en-US" w:eastAsia="zh-CN"/>
        </w:rPr>
      </w:pPr>
      <w:r>
        <w:rPr>
          <w:rFonts w:hint="eastAsia" w:cs="楷体_GB2312" w:asciiTheme="minorEastAsia" w:hAnsiTheme="minorEastAsia" w:eastAsiaTheme="minorEastAsia"/>
          <w:highlight w:val="none"/>
        </w:rPr>
        <w:t>2</w:t>
      </w:r>
      <w:r>
        <w:rPr>
          <w:rFonts w:hint="eastAsia" w:cs="楷体_GB2312" w:asciiTheme="minorEastAsia" w:hAnsiTheme="minorEastAsia" w:eastAsiaTheme="minorEastAsia"/>
          <w:highlight w:val="none"/>
          <w:lang w:eastAsia="zh-CN"/>
        </w:rPr>
        <w:t>、</w:t>
      </w:r>
      <w:r>
        <w:rPr>
          <w:rFonts w:hint="eastAsia" w:ascii="宋体" w:hAnsi="宋体" w:eastAsia="宋体" w:cs="宋体"/>
          <w:sz w:val="24"/>
          <w:szCs w:val="24"/>
          <w:highlight w:val="none"/>
          <w:lang w:val="en-US" w:eastAsia="zh-CN"/>
        </w:rPr>
        <w:t>《技术要求一览表》</w:t>
      </w:r>
      <w:r>
        <w:rPr>
          <w:rFonts w:hint="eastAsia" w:cs="楷体_GB2312" w:asciiTheme="minorEastAsia" w:hAnsiTheme="minorEastAsia" w:eastAsiaTheme="minorEastAsia"/>
          <w:highlight w:val="none"/>
        </w:rPr>
        <w:t>中产品数量为预估需求量，可能会有内芯补数情况发生，当发生内芯补印时，成交供应商应按采购单位要求2天内补齐并按采购方要求送达。</w:t>
      </w:r>
      <w:r>
        <w:rPr>
          <w:rFonts w:hint="eastAsia" w:cs="楷体_GB2312" w:asciiTheme="minorEastAsia" w:hAnsiTheme="minorEastAsia" w:eastAsiaTheme="minorEastAsia"/>
          <w:highlight w:val="none"/>
          <w:lang w:val="en-US" w:eastAsia="zh-CN"/>
        </w:rPr>
        <w:t>最终按实结算。</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cs="楷体_GB2312" w:asciiTheme="minorEastAsia" w:hAnsiTheme="minorEastAsia" w:eastAsiaTheme="minorEastAsia"/>
          <w:highlight w:val="none"/>
        </w:rPr>
      </w:pPr>
      <w:r>
        <w:rPr>
          <w:rFonts w:hint="eastAsia" w:cs="楷体_GB2312" w:asciiTheme="minorEastAsia" w:hAnsiTheme="minorEastAsia" w:eastAsiaTheme="minorEastAsia"/>
          <w:highlight w:val="none"/>
        </w:rPr>
        <w:t>3</w:t>
      </w:r>
      <w:r>
        <w:rPr>
          <w:rFonts w:hint="eastAsia" w:cs="楷体_GB2312" w:asciiTheme="minorEastAsia" w:hAnsiTheme="minorEastAsia" w:eastAsiaTheme="minorEastAsia"/>
          <w:highlight w:val="none"/>
          <w:lang w:eastAsia="zh-CN"/>
        </w:rPr>
        <w:t>、</w:t>
      </w:r>
      <w:r>
        <w:rPr>
          <w:rFonts w:hint="eastAsia" w:cs="楷体_GB2312" w:asciiTheme="minorEastAsia" w:hAnsiTheme="minorEastAsia" w:eastAsiaTheme="minorEastAsia"/>
          <w:highlight w:val="none"/>
        </w:rPr>
        <w:t>成交供应商必须管理好多余的证书及模板。不得外卖、转送，多余证书内芯需全部上缴采购单位。</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Theme="minorEastAsia" w:hAnsiTheme="minorEastAsia" w:eastAsiaTheme="minorEastAsia"/>
          <w:highlight w:val="none"/>
        </w:rPr>
      </w:pPr>
      <w:r>
        <w:rPr>
          <w:rFonts w:hint="eastAsia" w:cs="楷体_GB2312" w:asciiTheme="minorEastAsia" w:hAnsiTheme="minorEastAsia" w:eastAsiaTheme="minorEastAsia"/>
          <w:highlight w:val="none"/>
        </w:rPr>
        <w:t>4</w:t>
      </w:r>
      <w:r>
        <w:rPr>
          <w:rFonts w:hint="eastAsia" w:cs="楷体_GB2312" w:asciiTheme="minorEastAsia" w:hAnsiTheme="minorEastAsia" w:eastAsiaTheme="minorEastAsia"/>
          <w:highlight w:val="none"/>
          <w:lang w:eastAsia="zh-CN"/>
        </w:rPr>
        <w:t>、</w:t>
      </w:r>
      <w:r>
        <w:rPr>
          <w:rFonts w:hint="eastAsia" w:asciiTheme="minorEastAsia" w:hAnsiTheme="minorEastAsia" w:eastAsiaTheme="minorEastAsia"/>
          <w:highlight w:val="none"/>
        </w:rPr>
        <w:t>履行期限：本项目从合同签订起，服务期限三年，合同一年一签。</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b/>
          <w:bCs/>
          <w:highlight w:val="none"/>
          <w:lang w:val="en-US" w:eastAsia="zh-CN"/>
        </w:rPr>
      </w:pPr>
      <w:r>
        <w:rPr>
          <w:rFonts w:hint="eastAsia" w:asciiTheme="minorEastAsia" w:hAnsiTheme="minorEastAsia" w:eastAsiaTheme="minorEastAsia"/>
          <w:b/>
          <w:bCs/>
          <w:highlight w:val="none"/>
          <w:lang w:val="en-US" w:eastAsia="zh-CN"/>
        </w:rPr>
        <w:t>四、付款方式</w:t>
      </w:r>
    </w:p>
    <w:p>
      <w:pPr>
        <w:pStyle w:val="4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default" w:asciiTheme="minorEastAsia" w:hAnsiTheme="minorEastAsia" w:eastAsiaTheme="minorEastAsia"/>
          <w:highlight w:val="none"/>
          <w:lang w:val="en-US" w:eastAsia="zh-CN"/>
        </w:rPr>
      </w:pPr>
      <w:r>
        <w:rPr>
          <w:rFonts w:hint="eastAsia" w:asciiTheme="minorEastAsia" w:hAnsiTheme="minorEastAsia" w:eastAsiaTheme="minorEastAsia"/>
          <w:highlight w:val="none"/>
          <w:lang w:val="en-US" w:eastAsia="zh-CN"/>
        </w:rPr>
        <w:t xml:space="preserve">   所有证书印刷完毕，按采购人要求配送完成，验收合格后支付全款。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宋体" w:cs="宋体"/>
          <w:b/>
          <w:color w:val="000000"/>
          <w:w w:val="80"/>
          <w:sz w:val="44"/>
          <w:szCs w:val="44"/>
          <w:highlight w:val="none"/>
        </w:rPr>
      </w:pPr>
      <w:r>
        <w:rPr>
          <w:rFonts w:hint="eastAsia" w:ascii="宋体" w:hAnsi="宋体" w:cs="宋体"/>
          <w:b/>
          <w:color w:val="000000"/>
          <w:w w:val="80"/>
          <w:sz w:val="44"/>
          <w:szCs w:val="44"/>
          <w:highlight w:val="none"/>
        </w:rPr>
        <w:br w:type="page"/>
      </w:r>
      <w:r>
        <w:rPr>
          <w:rFonts w:hint="eastAsia" w:ascii="宋体" w:hAnsi="宋体" w:cs="宋体"/>
          <w:b/>
          <w:color w:val="000000"/>
          <w:w w:val="80"/>
          <w:sz w:val="44"/>
          <w:szCs w:val="44"/>
          <w:highlight w:val="none"/>
        </w:rPr>
        <w:t>第四章</w:t>
      </w:r>
      <w:r>
        <w:rPr>
          <w:rFonts w:ascii="宋体" w:hAnsi="宋体" w:cs="宋体"/>
          <w:b/>
          <w:color w:val="000000"/>
          <w:w w:val="80"/>
          <w:sz w:val="44"/>
          <w:szCs w:val="44"/>
          <w:highlight w:val="none"/>
        </w:rPr>
        <w:t xml:space="preserve">  </w:t>
      </w:r>
      <w:bookmarkEnd w:id="45"/>
      <w:bookmarkEnd w:id="46"/>
      <w:bookmarkEnd w:id="47"/>
      <w:bookmarkEnd w:id="48"/>
      <w:bookmarkEnd w:id="49"/>
      <w:bookmarkEnd w:id="50"/>
      <w:bookmarkEnd w:id="51"/>
      <w:bookmarkEnd w:id="52"/>
      <w:bookmarkEnd w:id="53"/>
      <w:bookmarkEnd w:id="54"/>
      <w:bookmarkEnd w:id="55"/>
      <w:bookmarkStart w:id="57" w:name="_Toc85627670"/>
      <w:bookmarkStart w:id="58" w:name="_Toc37322565"/>
      <w:bookmarkStart w:id="59" w:name="_Toc182848996"/>
      <w:bookmarkStart w:id="60" w:name="_Toc43217893"/>
      <w:bookmarkStart w:id="61" w:name="_Toc38121794"/>
      <w:bookmarkStart w:id="62" w:name="_Toc94544747"/>
      <w:bookmarkStart w:id="63" w:name="_Toc13803484"/>
      <w:bookmarkStart w:id="64" w:name="_Toc8895742"/>
      <w:bookmarkStart w:id="65" w:name="_Toc11500283"/>
      <w:bookmarkStart w:id="66" w:name="_Toc94544873"/>
      <w:bookmarkStart w:id="67" w:name="_Toc12670506"/>
      <w:bookmarkStart w:id="68" w:name="_Toc11499587"/>
      <w:bookmarkStart w:id="69" w:name="_Toc11554642"/>
      <w:r>
        <w:rPr>
          <w:rFonts w:hint="eastAsia" w:ascii="宋体" w:hAnsi="宋体" w:cs="宋体"/>
          <w:b/>
          <w:color w:val="000000"/>
          <w:w w:val="80"/>
          <w:sz w:val="44"/>
          <w:szCs w:val="44"/>
          <w:highlight w:val="none"/>
        </w:rPr>
        <w:t>评审方法和程序</w:t>
      </w:r>
      <w:bookmarkEnd w:id="56"/>
    </w:p>
    <w:bookmarkEnd w:id="57"/>
    <w:bookmarkEnd w:id="58"/>
    <w:bookmarkEnd w:id="59"/>
    <w:bookmarkEnd w:id="60"/>
    <w:bookmarkEnd w:id="61"/>
    <w:p>
      <w:pPr>
        <w:snapToGrid w:val="0"/>
        <w:spacing w:line="480" w:lineRule="exact"/>
        <w:ind w:firstLine="482" w:firstLineChars="200"/>
        <w:outlineLvl w:val="1"/>
        <w:rPr>
          <w:rFonts w:ascii="宋体" w:cs="宋体"/>
          <w:b/>
          <w:color w:val="000000"/>
          <w:sz w:val="24"/>
          <w:szCs w:val="24"/>
          <w:highlight w:val="none"/>
        </w:rPr>
      </w:pPr>
      <w:bookmarkStart w:id="70" w:name="_Toc363573857"/>
      <w:bookmarkEnd w:id="70"/>
      <w:r>
        <w:rPr>
          <w:rFonts w:hint="eastAsia" w:ascii="宋体" w:hAnsi="宋体" w:cs="宋体"/>
          <w:b/>
          <w:color w:val="000000"/>
          <w:sz w:val="24"/>
          <w:szCs w:val="24"/>
          <w:highlight w:val="none"/>
        </w:rPr>
        <w:t>一、代理机构组织磋商</w:t>
      </w:r>
    </w:p>
    <w:p>
      <w:pPr>
        <w:snapToGrid w:val="0"/>
        <w:spacing w:line="480" w:lineRule="exact"/>
        <w:ind w:firstLine="480" w:firstLineChars="200"/>
        <w:rPr>
          <w:rFonts w:hint="eastAsia" w:ascii="宋体" w:hAns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、本次竞争性磋商依据《中华人民共和国政府采购法》《政府采购竞争性磋商采购方式管理暂行办法》及有关法规成立磋商小组。</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cs="宋体"/>
          <w:sz w:val="24"/>
          <w:szCs w:val="24"/>
          <w:highlight w:val="none"/>
        </w:rPr>
        <w:t>、磋商小组的职责：</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）磋商小组成员应当按照客观、公正、审慎的原则，根据磋商文件规定的评审程序、评审方法和评审标准进行独立评审。</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）磋商小组成员应当遵守评审工作纪律，不得泄露评审情况和评审中获悉的商业秘密，对个人的评审意见承担法律责任。</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）磋商小组成员在评审过程中发现供应商有行贿、提供虚假材料或者串通等违法行为的，应当及时向财政部门报告</w:t>
      </w:r>
      <w:r>
        <w:rPr>
          <w:rFonts w:ascii="宋体" w:cs="宋体"/>
          <w:sz w:val="24"/>
          <w:szCs w:val="24"/>
          <w:highlight w:val="none"/>
        </w:rPr>
        <w:t>,</w:t>
      </w:r>
      <w:r>
        <w:rPr>
          <w:rFonts w:hint="eastAsia" w:ascii="宋体" w:hAnsi="宋体" w:cs="宋体"/>
          <w:sz w:val="24"/>
          <w:szCs w:val="24"/>
          <w:highlight w:val="none"/>
        </w:rPr>
        <w:t>并建议将其列入政府采购黑名单。</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）磋商小组成员在评审过程中受到非法干涉的，应当及时向财政、监察等部门举报。</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）配合采购单位答复供应商提出的质疑；配合财政部门的投诉处理和监督检查工作。</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、评审有关记录由磋商小组成员签名，存档备查。</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cs="宋体"/>
          <w:sz w:val="24"/>
          <w:szCs w:val="24"/>
          <w:highlight w:val="none"/>
        </w:rPr>
        <w:t>、供应商的</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或被授权人须持身份证准时参加磋商开标会。</w:t>
      </w:r>
    </w:p>
    <w:p>
      <w:pPr>
        <w:snapToGrid w:val="0"/>
        <w:spacing w:line="480" w:lineRule="exact"/>
        <w:ind w:firstLine="482" w:firstLineChars="200"/>
        <w:outlineLvl w:val="1"/>
        <w:rPr>
          <w:rFonts w:ascii="宋体" w:cs="宋体"/>
          <w:b/>
          <w:color w:val="000000"/>
          <w:sz w:val="24"/>
          <w:szCs w:val="24"/>
          <w:highlight w:val="none"/>
        </w:rPr>
      </w:pPr>
      <w:r>
        <w:rPr>
          <w:rFonts w:hint="eastAsia" w:ascii="宋体" w:hAnsi="宋体" w:cs="宋体"/>
          <w:b/>
          <w:color w:val="000000"/>
          <w:sz w:val="24"/>
          <w:szCs w:val="24"/>
          <w:highlight w:val="none"/>
        </w:rPr>
        <w:t>二、磋商的原则及方法</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、磋商小组将按照竞争性磋商文件的规定，独立对每个进入打分程序的有效</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的响应文件的技术部分以打分的形式进行评审和评价。技术分是所有评委打分的算术平均值（计算结果均四舍五入保留两位小数）。</w:t>
      </w:r>
      <w:r>
        <w:rPr>
          <w:rFonts w:ascii="宋体" w:hAnsi="宋体" w:cs="宋体"/>
          <w:sz w:val="24"/>
          <w:szCs w:val="24"/>
          <w:highlight w:val="none"/>
        </w:rPr>
        <w:t xml:space="preserve"> </w:t>
      </w:r>
    </w:p>
    <w:p>
      <w:pPr>
        <w:snapToGrid w:val="0"/>
        <w:spacing w:line="480" w:lineRule="exact"/>
        <w:ind w:firstLine="484" w:firstLineChars="202"/>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、磋商小组所有成员集中与单一供应商分别进行磋商，并给予所有参加磋商的供应商平等的磋商机会。</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、供应商应当按照磋商文件的变动情况和磋商小组的要求重新提交响应文件，并由其</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或被授权人签字或者加盖公章。由被授权人签字的，应当附</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授权书。供应商为自然人的，应当由本人签字并附身份证明。</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8</w:t>
      </w:r>
      <w:r>
        <w:rPr>
          <w:rFonts w:hint="eastAsia" w:ascii="宋体" w:hAnsi="宋体" w:cs="宋体"/>
          <w:sz w:val="24"/>
          <w:szCs w:val="24"/>
          <w:highlight w:val="none"/>
        </w:rPr>
        <w:t>、经磋商确定最终采购需求和提交最后报价的供应商：磋商文件能够详细列明采购标的的技术、服务要求的，磋商结束后，磋商小组应当要求所有实质性响应的供应商在规定时间内提交最后报价。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9</w:t>
      </w:r>
      <w:r>
        <w:rPr>
          <w:rFonts w:hint="eastAsia" w:ascii="宋体" w:hAnsi="宋体" w:cs="宋体"/>
          <w:sz w:val="24"/>
          <w:szCs w:val="24"/>
          <w:highlight w:val="none"/>
        </w:rPr>
        <w:t>、磋商文件不能详细列明采购标的的技术、服务要求，需经磋商由供应商提供最终设计方案或解决方案的，磋商结束后，磋商小组应当按照少数服从多数的原则投票推荐</w:t>
      </w:r>
      <w:r>
        <w:rPr>
          <w:rFonts w:ascii="宋体" w:hAnsi="宋体" w:cs="宋体"/>
          <w:sz w:val="24"/>
          <w:szCs w:val="24"/>
          <w:highlight w:val="none"/>
        </w:rPr>
        <w:t>3</w:t>
      </w:r>
      <w:r>
        <w:rPr>
          <w:rFonts w:hint="eastAsia" w:ascii="宋体" w:hAnsi="宋体" w:cs="宋体"/>
          <w:sz w:val="24"/>
          <w:szCs w:val="24"/>
          <w:highlight w:val="none"/>
        </w:rPr>
        <w:t>家以上供应商的设计方案或者解决方案，并要求其在规定时间内提交最后报价。</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10</w:t>
      </w:r>
      <w:r>
        <w:rPr>
          <w:rFonts w:hint="eastAsia" w:ascii="宋体" w:hAnsi="宋体" w:cs="宋体"/>
          <w:sz w:val="24"/>
          <w:szCs w:val="24"/>
          <w:highlight w:val="none"/>
        </w:rPr>
        <w:t>、除非在磋商中磋商小组对采购单位需求内容作了调整增加，或对采购内容作了实质性变更，否则</w:t>
      </w:r>
      <w:r>
        <w:rPr>
          <w:rFonts w:hint="eastAsia" w:ascii="宋体" w:hAnsi="宋体" w:cs="宋体"/>
          <w:b/>
          <w:sz w:val="24"/>
          <w:szCs w:val="24"/>
          <w:highlight w:val="none"/>
        </w:rPr>
        <w:t>采购单位不接受供应商高于自己前一轮的磋商报价</w:t>
      </w:r>
      <w:r>
        <w:rPr>
          <w:rFonts w:hint="eastAsia" w:ascii="宋体" w:hAnsi="宋体" w:cs="宋体"/>
          <w:sz w:val="24"/>
          <w:szCs w:val="24"/>
          <w:highlight w:val="none"/>
        </w:rPr>
        <w:t>。</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12</w:t>
      </w:r>
      <w:r>
        <w:rPr>
          <w:rFonts w:hint="eastAsia" w:ascii="宋体" w:hAnsi="宋体" w:cs="宋体"/>
          <w:sz w:val="24"/>
          <w:szCs w:val="24"/>
          <w:highlight w:val="none"/>
        </w:rPr>
        <w:t>、在磋商中，磋商的任何一方不得透露与磋商有关的其他响应磋商的供应商的技术资料、价格及其他信息。</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13</w:t>
      </w:r>
      <w:r>
        <w:rPr>
          <w:rFonts w:hint="eastAsia" w:ascii="宋体" w:hAnsi="宋体" w:cs="宋体"/>
          <w:sz w:val="24"/>
          <w:szCs w:val="24"/>
          <w:highlight w:val="none"/>
        </w:rPr>
        <w:t>、凡两家或以上公司同一法人代表或其中一家公司为另一家公司单一最大股东的，不能同时参与同一采购项目相同标段的磋商采购活动，一经发现，将视同串标处理。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snapToGrid w:val="0"/>
        <w:spacing w:line="480" w:lineRule="exact"/>
        <w:ind w:firstLine="482" w:firstLineChars="200"/>
        <w:rPr>
          <w:rFonts w:ascii="宋体" w:cs="宋体"/>
          <w:b/>
          <w:bCs/>
          <w:sz w:val="24"/>
          <w:szCs w:val="24"/>
          <w:highlight w:val="none"/>
        </w:rPr>
      </w:pPr>
      <w:r>
        <w:rPr>
          <w:rFonts w:hint="eastAsia" w:ascii="宋体" w:hAnsi="宋体" w:cs="宋体"/>
          <w:b/>
          <w:bCs/>
          <w:sz w:val="24"/>
          <w:szCs w:val="24"/>
          <w:highlight w:val="none"/>
        </w:rPr>
        <w:t>三、评审步骤</w:t>
      </w:r>
    </w:p>
    <w:p>
      <w:pPr>
        <w:snapToGrid w:val="0"/>
        <w:spacing w:line="480" w:lineRule="exact"/>
        <w:ind w:firstLine="482" w:firstLineChars="200"/>
        <w:rPr>
          <w:rFonts w:ascii="宋体" w:cs="宋体"/>
          <w:b/>
          <w:bCs/>
          <w:sz w:val="24"/>
          <w:szCs w:val="24"/>
          <w:highlight w:val="none"/>
          <w:lang w:val="zh-CN"/>
        </w:rPr>
      </w:pPr>
      <w:r>
        <w:rPr>
          <w:rFonts w:ascii="宋体" w:hAnsi="宋体" w:cs="宋体"/>
          <w:b/>
          <w:bCs/>
          <w:sz w:val="24"/>
          <w:szCs w:val="24"/>
          <w:highlight w:val="none"/>
          <w:lang w:val="zh-CN"/>
        </w:rPr>
        <w:t>1</w:t>
      </w:r>
      <w:r>
        <w:rPr>
          <w:rFonts w:hint="eastAsia" w:ascii="宋体" w:hAnsi="宋体" w:cs="宋体"/>
          <w:b/>
          <w:bCs/>
          <w:sz w:val="24"/>
          <w:szCs w:val="24"/>
          <w:highlight w:val="none"/>
          <w:lang w:val="zh-CN"/>
        </w:rPr>
        <w:t>、评审步骤规定：</w:t>
      </w:r>
    </w:p>
    <w:p>
      <w:pPr>
        <w:snapToGrid w:val="0"/>
        <w:spacing w:line="480" w:lineRule="exact"/>
        <w:ind w:firstLine="482" w:firstLineChars="200"/>
        <w:rPr>
          <w:rFonts w:ascii="宋体" w:cs="宋体"/>
          <w:b/>
          <w:bCs/>
          <w:sz w:val="24"/>
          <w:szCs w:val="24"/>
          <w:highlight w:val="none"/>
          <w:lang w:val="zh-CN"/>
        </w:rPr>
      </w:pPr>
      <w:r>
        <w:rPr>
          <w:rFonts w:hint="eastAsia" w:ascii="宋体" w:hAnsi="宋体" w:cs="宋体"/>
          <w:b/>
          <w:bCs/>
          <w:sz w:val="24"/>
          <w:szCs w:val="24"/>
          <w:highlight w:val="none"/>
          <w:lang w:val="zh-CN"/>
        </w:rPr>
        <w:t>本次资格审查采用资格后审，各投标供应商资格审查通过后方能进入技术标的开标。先开技术标，技术标打分结束后再开商务标。</w:t>
      </w:r>
    </w:p>
    <w:p>
      <w:pPr>
        <w:snapToGrid w:val="0"/>
        <w:spacing w:line="480" w:lineRule="exact"/>
        <w:ind w:firstLine="480" w:firstLineChars="200"/>
        <w:rPr>
          <w:rFonts w:hint="eastAsia" w:ascii="宋体" w:eastAsia="宋体" w:cs="宋体"/>
          <w:sz w:val="24"/>
          <w:szCs w:val="24"/>
          <w:highlight w:val="none"/>
          <w:lang w:val="zh-CN" w:eastAsia="zh-CN"/>
        </w:rPr>
      </w:pPr>
      <w:r>
        <w:rPr>
          <w:rFonts w:hint="eastAsia" w:ascii="宋体" w:hAnsi="宋体" w:cs="宋体"/>
          <w:sz w:val="24"/>
          <w:szCs w:val="24"/>
          <w:highlight w:val="none"/>
        </w:rPr>
        <w:t>资格符合性评审</w:t>
      </w:r>
      <w:r>
        <w:rPr>
          <w:rFonts w:ascii="宋体" w:hAnsi="宋体" w:cs="宋体"/>
          <w:sz w:val="24"/>
          <w:szCs w:val="24"/>
          <w:highlight w:val="none"/>
        </w:rPr>
        <w:t xml:space="preserve">—— </w:t>
      </w:r>
      <w:r>
        <w:rPr>
          <w:rFonts w:hint="eastAsia" w:ascii="宋体" w:hAnsi="宋体" w:cs="宋体"/>
          <w:sz w:val="24"/>
          <w:szCs w:val="24"/>
          <w:highlight w:val="none"/>
        </w:rPr>
        <w:t>技术响应文件评审</w:t>
      </w:r>
      <w:r>
        <w:rPr>
          <w:rFonts w:ascii="宋体" w:hAnsi="宋体" w:cs="宋体"/>
          <w:sz w:val="24"/>
          <w:szCs w:val="24"/>
          <w:highlight w:val="none"/>
        </w:rPr>
        <w:t>——</w:t>
      </w:r>
      <w:r>
        <w:rPr>
          <w:rFonts w:hint="eastAsia" w:ascii="宋体" w:hAnsi="宋体" w:cs="宋体"/>
          <w:sz w:val="24"/>
          <w:szCs w:val="24"/>
          <w:highlight w:val="none"/>
        </w:rPr>
        <w:t>商务报价响应文件评审</w:t>
      </w:r>
      <w:r>
        <w:rPr>
          <w:rFonts w:ascii="宋体" w:hAnsi="宋体" w:cs="宋体"/>
          <w:sz w:val="24"/>
          <w:szCs w:val="24"/>
          <w:highlight w:val="none"/>
        </w:rPr>
        <w:t>——</w:t>
      </w:r>
      <w:r>
        <w:rPr>
          <w:rFonts w:hint="eastAsia" w:ascii="宋体" w:hAnsi="宋体" w:cs="宋体"/>
          <w:sz w:val="24"/>
          <w:szCs w:val="24"/>
          <w:highlight w:val="none"/>
        </w:rPr>
        <w:t>确定</w:t>
      </w:r>
      <w:r>
        <w:rPr>
          <w:rFonts w:hint="eastAsia" w:ascii="宋体" w:hAnsi="宋体" w:cs="宋体"/>
          <w:sz w:val="24"/>
          <w:szCs w:val="24"/>
          <w:highlight w:val="none"/>
          <w:lang w:eastAsia="zh-CN"/>
        </w:rPr>
        <w:t>成交供应商</w:t>
      </w:r>
    </w:p>
    <w:p>
      <w:pPr>
        <w:snapToGrid w:val="0"/>
        <w:spacing w:line="480" w:lineRule="exact"/>
        <w:ind w:firstLine="480" w:firstLineChars="200"/>
        <w:rPr>
          <w:rFonts w:ascii="宋体" w:cs="宋体"/>
          <w:sz w:val="24"/>
          <w:szCs w:val="24"/>
          <w:highlight w:val="none"/>
          <w:lang w:val="zh-CN"/>
        </w:rPr>
      </w:pPr>
      <w:r>
        <w:rPr>
          <w:rFonts w:hint="eastAsia" w:ascii="宋体" w:hAnsi="宋体" w:cs="宋体"/>
          <w:sz w:val="24"/>
          <w:szCs w:val="24"/>
          <w:highlight w:val="none"/>
          <w:lang w:val="zh-CN"/>
        </w:rPr>
        <w:t>第一阶段：</w:t>
      </w:r>
      <w:r>
        <w:rPr>
          <w:rFonts w:hint="eastAsia" w:ascii="宋体" w:hAnsi="宋体" w:cs="宋体"/>
          <w:sz w:val="24"/>
          <w:szCs w:val="24"/>
          <w:highlight w:val="none"/>
        </w:rPr>
        <w:t>磋商小组</w:t>
      </w:r>
      <w:r>
        <w:rPr>
          <w:rFonts w:hint="eastAsia" w:ascii="宋体" w:hAnsi="宋体" w:cs="宋体"/>
          <w:sz w:val="24"/>
          <w:szCs w:val="24"/>
          <w:highlight w:val="none"/>
          <w:lang w:val="zh-CN"/>
        </w:rPr>
        <w:t>对每个供应商的资格进行审查。</w:t>
      </w:r>
    </w:p>
    <w:p>
      <w:pPr>
        <w:snapToGrid w:val="0"/>
        <w:spacing w:line="480" w:lineRule="exact"/>
        <w:ind w:firstLine="480" w:firstLineChars="200"/>
        <w:rPr>
          <w:rFonts w:ascii="宋体" w:cs="宋体"/>
          <w:sz w:val="24"/>
          <w:szCs w:val="24"/>
          <w:highlight w:val="none"/>
          <w:lang w:val="zh-CN"/>
        </w:rPr>
      </w:pPr>
      <w:r>
        <w:rPr>
          <w:rFonts w:hint="eastAsia" w:ascii="宋体" w:hAnsi="宋体" w:cs="宋体"/>
          <w:sz w:val="24"/>
          <w:szCs w:val="24"/>
          <w:highlight w:val="none"/>
          <w:lang w:val="zh-CN"/>
        </w:rPr>
        <w:t>第二阶段：</w:t>
      </w:r>
      <w:r>
        <w:rPr>
          <w:rFonts w:hint="eastAsia" w:ascii="宋体" w:hAnsi="宋体" w:cs="宋体"/>
          <w:sz w:val="24"/>
          <w:szCs w:val="24"/>
          <w:highlight w:val="none"/>
        </w:rPr>
        <w:t>磋商小组</w:t>
      </w:r>
      <w:r>
        <w:rPr>
          <w:rFonts w:hint="eastAsia" w:ascii="宋体" w:hAnsi="宋体" w:cs="宋体"/>
          <w:sz w:val="24"/>
          <w:szCs w:val="24"/>
          <w:highlight w:val="none"/>
          <w:lang w:val="zh-CN"/>
        </w:rPr>
        <w:t>对每个符合资格要求的供应商的技术标进行</w:t>
      </w:r>
      <w:r>
        <w:rPr>
          <w:rFonts w:hint="eastAsia" w:ascii="宋体" w:hAnsi="宋体" w:cs="宋体"/>
          <w:sz w:val="24"/>
          <w:szCs w:val="24"/>
          <w:highlight w:val="none"/>
        </w:rPr>
        <w:t>评审</w:t>
      </w:r>
      <w:r>
        <w:rPr>
          <w:rFonts w:hint="eastAsia" w:ascii="宋体" w:hAnsi="宋体" w:cs="宋体"/>
          <w:sz w:val="24"/>
          <w:szCs w:val="24"/>
          <w:highlight w:val="none"/>
          <w:lang w:val="zh-CN"/>
        </w:rPr>
        <w:t>。主要审查技术标提交的内容是否齐全，技术方案及项目实施是否完全满足采购文件的要求。</w:t>
      </w:r>
      <w:r>
        <w:rPr>
          <w:rFonts w:hint="eastAsia" w:ascii="宋体" w:hAnsi="宋体" w:cs="宋体"/>
          <w:sz w:val="24"/>
          <w:szCs w:val="24"/>
          <w:highlight w:val="none"/>
        </w:rPr>
        <w:t>磋商小组严格按照磋商文件的要求、条件、评分标准，对</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所提供货物或服务的先进性、可靠性、售后服务承诺、质量保证承诺等实质性响应内容进行比较。</w:t>
      </w:r>
    </w:p>
    <w:p>
      <w:pPr>
        <w:snapToGrid w:val="0"/>
        <w:spacing w:line="480" w:lineRule="exact"/>
        <w:ind w:firstLine="480" w:firstLineChars="200"/>
        <w:rPr>
          <w:rFonts w:ascii="宋体" w:cs="宋体"/>
          <w:sz w:val="24"/>
          <w:szCs w:val="24"/>
          <w:highlight w:val="none"/>
          <w:lang w:val="zh-CN"/>
        </w:rPr>
      </w:pPr>
      <w:r>
        <w:rPr>
          <w:rFonts w:hint="eastAsia" w:ascii="宋体" w:hAnsi="宋体" w:cs="宋体"/>
          <w:sz w:val="24"/>
          <w:szCs w:val="24"/>
          <w:highlight w:val="none"/>
          <w:lang w:val="zh-CN"/>
        </w:rPr>
        <w:t>第三阶段：以</w:t>
      </w:r>
      <w:r>
        <w:rPr>
          <w:rFonts w:hint="eastAsia" w:ascii="宋体" w:hAnsi="宋体" w:cs="宋体"/>
          <w:sz w:val="24"/>
          <w:szCs w:val="24"/>
          <w:highlight w:val="none"/>
          <w:lang w:eastAsia="zh-CN"/>
        </w:rPr>
        <w:t>投标供应商</w:t>
      </w:r>
      <w:r>
        <w:rPr>
          <w:rFonts w:hint="eastAsia" w:ascii="宋体" w:hAnsi="宋体" w:cs="宋体"/>
          <w:sz w:val="24"/>
          <w:szCs w:val="24"/>
          <w:highlight w:val="none"/>
          <w:lang w:val="zh-CN"/>
        </w:rPr>
        <w:t>价格标文件内的</w:t>
      </w:r>
      <w:r>
        <w:rPr>
          <w:rFonts w:hint="eastAsia" w:ascii="宋体" w:hAnsi="宋体" w:cs="宋体"/>
          <w:sz w:val="24"/>
          <w:szCs w:val="24"/>
          <w:highlight w:val="none"/>
        </w:rPr>
        <w:t>竞争性磋商</w:t>
      </w:r>
      <w:r>
        <w:rPr>
          <w:rFonts w:hint="eastAsia" w:ascii="宋体" w:hAnsi="宋体" w:cs="宋体"/>
          <w:sz w:val="24"/>
          <w:szCs w:val="24"/>
          <w:highlight w:val="none"/>
          <w:lang w:val="zh-CN"/>
        </w:rPr>
        <w:t>报价（即首次报价）为基础，</w:t>
      </w:r>
      <w:r>
        <w:rPr>
          <w:rFonts w:hint="eastAsia" w:ascii="宋体" w:hAnsi="宋体" w:cs="宋体"/>
          <w:sz w:val="24"/>
          <w:szCs w:val="24"/>
          <w:highlight w:val="none"/>
        </w:rPr>
        <w:t>磋商小组与</w:t>
      </w:r>
      <w:r>
        <w:rPr>
          <w:rFonts w:hint="eastAsia" w:ascii="宋体" w:hAnsi="宋体" w:cs="宋体"/>
          <w:sz w:val="24"/>
          <w:szCs w:val="24"/>
          <w:highlight w:val="none"/>
          <w:lang w:eastAsia="zh-CN"/>
        </w:rPr>
        <w:t>投标供应商</w:t>
      </w:r>
      <w:r>
        <w:rPr>
          <w:rFonts w:hint="eastAsia" w:ascii="宋体" w:hAnsi="宋体" w:cs="宋体"/>
          <w:sz w:val="24"/>
          <w:szCs w:val="24"/>
          <w:highlight w:val="none"/>
          <w:lang w:val="zh-CN"/>
        </w:rPr>
        <w:t>单一分别进行</w:t>
      </w:r>
      <w:r>
        <w:rPr>
          <w:rFonts w:hint="eastAsia" w:ascii="宋体" w:hAnsi="宋体" w:cs="宋体"/>
          <w:sz w:val="24"/>
          <w:szCs w:val="24"/>
          <w:highlight w:val="none"/>
        </w:rPr>
        <w:t>磋商</w:t>
      </w:r>
      <w:r>
        <w:rPr>
          <w:rFonts w:hint="eastAsia" w:ascii="宋体" w:hAnsi="宋体" w:cs="宋体"/>
          <w:sz w:val="24"/>
          <w:szCs w:val="24"/>
          <w:highlight w:val="none"/>
          <w:lang w:val="zh-CN"/>
        </w:rPr>
        <w:t>：内容主要是对</w:t>
      </w:r>
      <w:r>
        <w:rPr>
          <w:rFonts w:hint="eastAsia" w:ascii="宋体" w:hAnsi="宋体" w:cs="宋体"/>
          <w:sz w:val="24"/>
          <w:szCs w:val="24"/>
          <w:highlight w:val="none"/>
        </w:rPr>
        <w:t>竞争性磋商</w:t>
      </w:r>
      <w:r>
        <w:rPr>
          <w:rFonts w:hint="eastAsia" w:ascii="宋体" w:hAnsi="宋体" w:cs="宋体"/>
          <w:sz w:val="24"/>
          <w:szCs w:val="24"/>
          <w:highlight w:val="none"/>
          <w:lang w:val="zh-CN"/>
        </w:rPr>
        <w:t>响应文件中的项目方案的澄清、修正、补充、确认以及价格调整等。</w:t>
      </w:r>
      <w:r>
        <w:rPr>
          <w:rFonts w:hint="eastAsia" w:ascii="宋体" w:hAnsi="宋体" w:cs="宋体"/>
          <w:sz w:val="24"/>
          <w:szCs w:val="24"/>
          <w:highlight w:val="none"/>
        </w:rPr>
        <w:t>磋商</w:t>
      </w:r>
      <w:r>
        <w:rPr>
          <w:rFonts w:hint="eastAsia" w:ascii="宋体" w:hAnsi="宋体" w:cs="宋体"/>
          <w:sz w:val="24"/>
          <w:szCs w:val="24"/>
          <w:highlight w:val="none"/>
          <w:lang w:val="zh-CN"/>
        </w:rPr>
        <w:t>明确各供应商符合并满足</w:t>
      </w:r>
      <w:r>
        <w:rPr>
          <w:rFonts w:hint="eastAsia" w:ascii="宋体" w:hAnsi="宋体" w:cs="宋体"/>
          <w:sz w:val="24"/>
          <w:szCs w:val="24"/>
          <w:highlight w:val="none"/>
        </w:rPr>
        <w:t>磋商</w:t>
      </w:r>
      <w:r>
        <w:rPr>
          <w:rFonts w:hint="eastAsia" w:ascii="宋体" w:hAnsi="宋体" w:cs="宋体"/>
          <w:sz w:val="24"/>
          <w:szCs w:val="24"/>
          <w:highlight w:val="none"/>
          <w:lang w:val="zh-CN"/>
        </w:rPr>
        <w:t>文件要求，并能完全响应</w:t>
      </w:r>
      <w:r>
        <w:rPr>
          <w:rFonts w:hint="eastAsia" w:ascii="宋体" w:hAnsi="宋体" w:cs="宋体"/>
          <w:sz w:val="24"/>
          <w:szCs w:val="24"/>
          <w:highlight w:val="none"/>
        </w:rPr>
        <w:t>磋商</w:t>
      </w:r>
      <w:r>
        <w:rPr>
          <w:rFonts w:hint="eastAsia" w:ascii="宋体" w:hAnsi="宋体" w:cs="宋体"/>
          <w:sz w:val="24"/>
          <w:szCs w:val="24"/>
          <w:highlight w:val="none"/>
          <w:lang w:val="zh-CN"/>
        </w:rPr>
        <w:t>内容后，要求其二次报价。如</w:t>
      </w:r>
      <w:r>
        <w:rPr>
          <w:rFonts w:hint="eastAsia" w:ascii="宋体" w:hAnsi="宋体" w:cs="宋体"/>
          <w:sz w:val="24"/>
          <w:szCs w:val="24"/>
          <w:highlight w:val="none"/>
        </w:rPr>
        <w:t>磋商</w:t>
      </w:r>
      <w:r>
        <w:rPr>
          <w:rFonts w:hint="eastAsia" w:ascii="宋体" w:hAnsi="宋体" w:cs="宋体"/>
          <w:sz w:val="24"/>
          <w:szCs w:val="24"/>
          <w:highlight w:val="none"/>
          <w:lang w:val="zh-CN"/>
        </w:rPr>
        <w:t>内容导致</w:t>
      </w:r>
      <w:r>
        <w:rPr>
          <w:rFonts w:hint="eastAsia" w:ascii="宋体" w:hAnsi="宋体" w:cs="宋体"/>
          <w:sz w:val="24"/>
          <w:szCs w:val="24"/>
          <w:highlight w:val="none"/>
        </w:rPr>
        <w:t>竞争性磋商</w:t>
      </w:r>
      <w:r>
        <w:rPr>
          <w:rFonts w:hint="eastAsia" w:ascii="宋体" w:hAnsi="宋体" w:cs="宋体"/>
          <w:sz w:val="24"/>
          <w:szCs w:val="24"/>
          <w:highlight w:val="none"/>
          <w:lang w:val="zh-CN"/>
        </w:rPr>
        <w:t>文件有实质性变动的，</w:t>
      </w:r>
      <w:r>
        <w:rPr>
          <w:rFonts w:hint="eastAsia" w:ascii="宋体" w:hAnsi="宋体" w:cs="宋体"/>
          <w:sz w:val="24"/>
          <w:szCs w:val="24"/>
          <w:highlight w:val="none"/>
        </w:rPr>
        <w:t>磋商小组</w:t>
      </w:r>
      <w:r>
        <w:rPr>
          <w:rFonts w:hint="eastAsia" w:ascii="宋体" w:hAnsi="宋体" w:cs="宋体"/>
          <w:sz w:val="24"/>
          <w:szCs w:val="24"/>
          <w:highlight w:val="none"/>
          <w:lang w:val="zh-CN"/>
        </w:rPr>
        <w:t>应当以书面形式通知所有供应商。</w:t>
      </w:r>
      <w:r>
        <w:rPr>
          <w:rFonts w:ascii="宋体" w:hAnsi="宋体" w:cs="宋体"/>
          <w:sz w:val="24"/>
          <w:szCs w:val="24"/>
          <w:highlight w:val="none"/>
          <w:lang w:val="zh-CN"/>
        </w:rPr>
        <w:t xml:space="preserve">  </w:t>
      </w:r>
    </w:p>
    <w:p>
      <w:pPr>
        <w:snapToGrid w:val="0"/>
        <w:spacing w:line="480" w:lineRule="exact"/>
        <w:ind w:firstLine="480" w:firstLineChars="200"/>
        <w:rPr>
          <w:rFonts w:ascii="宋体" w:cs="宋体"/>
          <w:sz w:val="24"/>
          <w:szCs w:val="24"/>
          <w:highlight w:val="none"/>
          <w:lang w:val="zh-CN"/>
        </w:rPr>
      </w:pPr>
      <w:r>
        <w:rPr>
          <w:rFonts w:hint="eastAsia" w:ascii="宋体" w:hAnsi="宋体" w:cs="宋体"/>
          <w:sz w:val="24"/>
          <w:szCs w:val="24"/>
          <w:highlight w:val="none"/>
          <w:lang w:val="zh-CN"/>
        </w:rPr>
        <w:t>第四阶段：单一分别</w:t>
      </w:r>
      <w:r>
        <w:rPr>
          <w:rFonts w:hint="eastAsia" w:ascii="宋体" w:hAnsi="宋体" w:cs="宋体"/>
          <w:sz w:val="24"/>
          <w:szCs w:val="24"/>
          <w:highlight w:val="none"/>
        </w:rPr>
        <w:t>磋商</w:t>
      </w:r>
      <w:r>
        <w:rPr>
          <w:rFonts w:hint="eastAsia" w:ascii="宋体" w:hAnsi="宋体" w:cs="宋体"/>
          <w:sz w:val="24"/>
          <w:szCs w:val="24"/>
          <w:highlight w:val="none"/>
          <w:lang w:val="zh-CN"/>
        </w:rPr>
        <w:t>结束后，</w:t>
      </w:r>
      <w:r>
        <w:rPr>
          <w:rFonts w:hint="eastAsia" w:ascii="宋体" w:hAnsi="宋体" w:cs="宋体"/>
          <w:sz w:val="24"/>
          <w:szCs w:val="24"/>
          <w:highlight w:val="none"/>
        </w:rPr>
        <w:t>磋商小组</w:t>
      </w:r>
      <w:r>
        <w:rPr>
          <w:rFonts w:hint="eastAsia" w:ascii="宋体" w:hAnsi="宋体" w:cs="宋体"/>
          <w:sz w:val="24"/>
          <w:szCs w:val="24"/>
          <w:highlight w:val="none"/>
          <w:lang w:val="zh-CN"/>
        </w:rPr>
        <w:t>告知所有供应商的项目二次报价，并要求所有作出实质性响应的有效供应商在规定的时间内，在</w:t>
      </w:r>
      <w:r>
        <w:rPr>
          <w:rFonts w:hint="eastAsia" w:ascii="宋体" w:hAnsi="宋体" w:cs="宋体"/>
          <w:sz w:val="24"/>
          <w:szCs w:val="24"/>
          <w:highlight w:val="none"/>
        </w:rPr>
        <w:t>磋商</w:t>
      </w:r>
      <w:r>
        <w:rPr>
          <w:rFonts w:hint="eastAsia" w:ascii="宋体" w:hAnsi="宋体" w:cs="宋体"/>
          <w:sz w:val="24"/>
          <w:szCs w:val="24"/>
          <w:highlight w:val="none"/>
          <w:lang w:val="zh-CN"/>
        </w:rPr>
        <w:t>现场集体给出最终报价，同时最终报价中可包括但不限于如最终澄清方案、有关优惠承诺等。</w:t>
      </w:r>
    </w:p>
    <w:p>
      <w:pPr>
        <w:snapToGrid w:val="0"/>
        <w:spacing w:line="480" w:lineRule="exact"/>
        <w:ind w:firstLine="480" w:firstLineChars="200"/>
        <w:rPr>
          <w:rFonts w:ascii="宋体" w:cs="宋体"/>
          <w:b/>
          <w:bCs/>
          <w:sz w:val="24"/>
          <w:szCs w:val="24"/>
          <w:highlight w:val="none"/>
          <w:lang w:val="zh-CN"/>
        </w:rPr>
      </w:pPr>
      <w:r>
        <w:rPr>
          <w:rFonts w:hint="eastAsia" w:ascii="宋体" w:hAnsi="宋体" w:cs="宋体"/>
          <w:sz w:val="24"/>
          <w:szCs w:val="24"/>
          <w:highlight w:val="none"/>
          <w:lang w:val="zh-CN"/>
        </w:rPr>
        <w:t>第五阶段：</w:t>
      </w:r>
      <w:r>
        <w:rPr>
          <w:rFonts w:hint="eastAsia" w:ascii="宋体" w:hAnsi="宋体" w:cs="宋体"/>
          <w:sz w:val="24"/>
          <w:szCs w:val="24"/>
          <w:highlight w:val="none"/>
        </w:rPr>
        <w:t>磋商小组</w:t>
      </w:r>
      <w:r>
        <w:rPr>
          <w:rFonts w:hint="eastAsia" w:ascii="宋体" w:hAnsi="宋体" w:cs="宋体"/>
          <w:sz w:val="24"/>
          <w:szCs w:val="24"/>
          <w:highlight w:val="none"/>
          <w:lang w:val="zh-CN"/>
        </w:rPr>
        <w:t>对供应商的最终报价进行评议和比较，在实质性响应</w:t>
      </w:r>
      <w:r>
        <w:rPr>
          <w:rFonts w:hint="eastAsia" w:ascii="宋体" w:hAnsi="宋体" w:cs="宋体"/>
          <w:sz w:val="24"/>
          <w:szCs w:val="24"/>
          <w:highlight w:val="none"/>
        </w:rPr>
        <w:t>竞争性磋商</w:t>
      </w:r>
      <w:r>
        <w:rPr>
          <w:rFonts w:hint="eastAsia" w:ascii="宋体" w:hAnsi="宋体" w:cs="宋体"/>
          <w:sz w:val="24"/>
          <w:szCs w:val="24"/>
          <w:highlight w:val="none"/>
          <w:lang w:val="zh-CN"/>
        </w:rPr>
        <w:t>文件，技术标和价格标部分都能满足</w:t>
      </w:r>
      <w:r>
        <w:rPr>
          <w:rFonts w:hint="eastAsia" w:ascii="宋体" w:hAnsi="宋体" w:cs="宋体"/>
          <w:sz w:val="24"/>
          <w:szCs w:val="24"/>
          <w:highlight w:val="none"/>
        </w:rPr>
        <w:t>竞争性磋商</w:t>
      </w:r>
      <w:r>
        <w:rPr>
          <w:rFonts w:hint="eastAsia" w:ascii="宋体" w:hAnsi="宋体" w:cs="宋体"/>
          <w:sz w:val="24"/>
          <w:szCs w:val="24"/>
          <w:highlight w:val="none"/>
          <w:lang w:val="zh-CN"/>
        </w:rPr>
        <w:t>文件的前提下，</w:t>
      </w:r>
      <w:r>
        <w:rPr>
          <w:rFonts w:hint="eastAsia" w:ascii="宋体" w:hAnsi="宋体" w:cs="宋体"/>
          <w:b/>
          <w:bCs/>
          <w:sz w:val="24"/>
          <w:szCs w:val="24"/>
          <w:highlight w:val="none"/>
        </w:rPr>
        <w:t>磋商小组</w:t>
      </w:r>
      <w:r>
        <w:rPr>
          <w:rFonts w:hint="eastAsia" w:ascii="宋体" w:hAnsi="宋体" w:cs="宋体"/>
          <w:b/>
          <w:bCs/>
          <w:sz w:val="24"/>
          <w:szCs w:val="24"/>
          <w:highlight w:val="none"/>
          <w:lang w:val="zh-CN"/>
        </w:rPr>
        <w:t>将校核后的各供应商的报价从低到高排序。</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lang w:val="zh-CN"/>
        </w:rPr>
        <w:t>2</w:t>
      </w:r>
      <w:r>
        <w:rPr>
          <w:rFonts w:hint="eastAsia" w:ascii="宋体" w:hAnsi="宋体" w:cs="宋体"/>
          <w:sz w:val="24"/>
          <w:szCs w:val="24"/>
          <w:highlight w:val="none"/>
          <w:lang w:val="zh-CN"/>
        </w:rPr>
        <w:t>、在</w:t>
      </w:r>
      <w:r>
        <w:rPr>
          <w:rFonts w:hint="eastAsia" w:ascii="宋体" w:hAnsi="宋体" w:cs="宋体"/>
          <w:sz w:val="24"/>
          <w:szCs w:val="24"/>
          <w:highlight w:val="none"/>
        </w:rPr>
        <w:t>磋商</w:t>
      </w:r>
      <w:r>
        <w:rPr>
          <w:rFonts w:hint="eastAsia" w:ascii="宋体" w:hAnsi="宋体" w:cs="宋体"/>
          <w:sz w:val="24"/>
          <w:szCs w:val="24"/>
          <w:highlight w:val="none"/>
          <w:lang w:val="zh-CN"/>
        </w:rPr>
        <w:t>过程中，供应商提交的澄清文件和最终报价文件，由供应商法定代表人或被授权人签字盖章后生效，供应商受其约束。</w:t>
      </w:r>
    </w:p>
    <w:p>
      <w:pPr>
        <w:snapToGrid w:val="0"/>
        <w:spacing w:line="480" w:lineRule="exact"/>
        <w:ind w:firstLine="482" w:firstLineChars="200"/>
        <w:outlineLvl w:val="1"/>
        <w:rPr>
          <w:rFonts w:ascii="宋体" w:cs="宋体"/>
          <w:b/>
          <w:sz w:val="24"/>
          <w:szCs w:val="24"/>
          <w:highlight w:val="none"/>
        </w:rPr>
      </w:pPr>
      <w:r>
        <w:rPr>
          <w:rFonts w:hint="eastAsia" w:ascii="宋体" w:hAnsi="宋体" w:cs="宋体"/>
          <w:b/>
          <w:sz w:val="24"/>
          <w:szCs w:val="24"/>
          <w:highlight w:val="none"/>
        </w:rPr>
        <w:t>四、磋商评定结果的方法</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b/>
          <w:sz w:val="24"/>
          <w:szCs w:val="24"/>
          <w:highlight w:val="none"/>
          <w:u w:val="single"/>
        </w:rPr>
        <w:t>经磋商确定最终采购需求和提交最后报价的供应商后，</w:t>
      </w:r>
      <w:r>
        <w:rPr>
          <w:rFonts w:hint="eastAsia" w:ascii="宋体" w:hAnsi="宋体" w:cs="宋体"/>
          <w:sz w:val="24"/>
          <w:szCs w:val="24"/>
          <w:highlight w:val="none"/>
        </w:rPr>
        <w:t>由磋商小组采用综合评分法</w:t>
      </w:r>
      <w:r>
        <w:rPr>
          <w:rFonts w:hint="eastAsia" w:ascii="宋体" w:hAnsi="宋体" w:cs="宋体"/>
          <w:b/>
          <w:sz w:val="24"/>
          <w:szCs w:val="24"/>
          <w:highlight w:val="none"/>
          <w:u w:val="single"/>
        </w:rPr>
        <w:t>对提交最后报价的供应商的响应文件和最后报价</w:t>
      </w:r>
      <w:r>
        <w:rPr>
          <w:rFonts w:hint="eastAsia" w:ascii="宋体" w:hAnsi="宋体" w:cs="宋体"/>
          <w:sz w:val="24"/>
          <w:szCs w:val="24"/>
          <w:highlight w:val="none"/>
        </w:rPr>
        <w:t>进行综合评分。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、本次项目磋商的技术</w:t>
      </w:r>
      <w:r>
        <w:rPr>
          <w:rFonts w:hint="eastAsia" w:ascii="宋体" w:hAnsi="宋体" w:cs="宋体"/>
          <w:kern w:val="0"/>
          <w:sz w:val="24"/>
          <w:szCs w:val="24"/>
          <w:highlight w:val="none"/>
        </w:rPr>
        <w:t>响应文件</w:t>
      </w:r>
      <w:r>
        <w:rPr>
          <w:rFonts w:hint="eastAsia" w:ascii="宋体" w:hAnsi="宋体" w:cs="宋体"/>
          <w:sz w:val="24"/>
          <w:szCs w:val="24"/>
          <w:highlight w:val="none"/>
        </w:rPr>
        <w:t>和商务报价</w:t>
      </w:r>
      <w:r>
        <w:rPr>
          <w:rFonts w:hint="eastAsia" w:ascii="宋体" w:hAnsi="宋体" w:cs="宋体"/>
          <w:kern w:val="0"/>
          <w:sz w:val="24"/>
          <w:szCs w:val="24"/>
          <w:highlight w:val="none"/>
        </w:rPr>
        <w:t>响应文件</w:t>
      </w:r>
      <w:r>
        <w:rPr>
          <w:rFonts w:hint="eastAsia" w:ascii="宋体" w:hAnsi="宋体" w:cs="宋体"/>
          <w:sz w:val="24"/>
          <w:szCs w:val="24"/>
          <w:highlight w:val="none"/>
        </w:rPr>
        <w:t>评审总分值为</w:t>
      </w:r>
      <w:r>
        <w:rPr>
          <w:rFonts w:ascii="宋体" w:hAnsi="宋体" w:cs="宋体"/>
          <w:sz w:val="24"/>
          <w:szCs w:val="24"/>
          <w:highlight w:val="none"/>
        </w:rPr>
        <w:t>100</w:t>
      </w:r>
      <w:r>
        <w:rPr>
          <w:rFonts w:hint="eastAsia" w:ascii="宋体" w:hAnsi="宋体" w:cs="宋体"/>
          <w:sz w:val="24"/>
          <w:szCs w:val="24"/>
          <w:highlight w:val="none"/>
        </w:rPr>
        <w:t>分。两部分评审因素比重如下：</w:t>
      </w:r>
      <w:r>
        <w:rPr>
          <w:rFonts w:ascii="宋体" w:hAnsi="宋体" w:cs="宋体"/>
          <w:sz w:val="24"/>
          <w:szCs w:val="24"/>
          <w:highlight w:val="none"/>
        </w:rPr>
        <w:t xml:space="preserve"> </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技术</w:t>
      </w:r>
      <w:r>
        <w:rPr>
          <w:rFonts w:hint="eastAsia" w:ascii="宋体" w:hAnsi="宋体" w:cs="宋体"/>
          <w:kern w:val="0"/>
          <w:sz w:val="24"/>
          <w:szCs w:val="24"/>
          <w:highlight w:val="none"/>
        </w:rPr>
        <w:t>响应文件</w:t>
      </w:r>
      <w:r>
        <w:rPr>
          <w:rFonts w:hint="eastAsia" w:ascii="宋体" w:hAnsi="宋体" w:cs="宋体"/>
          <w:sz w:val="24"/>
          <w:szCs w:val="24"/>
          <w:highlight w:val="none"/>
        </w:rPr>
        <w:t>分值占总分值的比重为</w:t>
      </w:r>
      <w:r>
        <w:rPr>
          <w:rFonts w:ascii="宋体" w:hAnsi="宋体" w:cs="宋体"/>
          <w:b/>
          <w:sz w:val="24"/>
          <w:szCs w:val="24"/>
          <w:highlight w:val="none"/>
          <w:u w:val="single"/>
        </w:rPr>
        <w:t xml:space="preserve"> </w:t>
      </w:r>
      <w:r>
        <w:rPr>
          <w:rFonts w:hint="eastAsia" w:ascii="宋体" w:hAnsi="宋体" w:cs="宋体"/>
          <w:b/>
          <w:sz w:val="24"/>
          <w:szCs w:val="24"/>
          <w:highlight w:val="none"/>
          <w:u w:val="single"/>
          <w:lang w:val="en-US" w:eastAsia="zh-CN"/>
        </w:rPr>
        <w:t>70</w:t>
      </w:r>
      <w:r>
        <w:rPr>
          <w:rFonts w:ascii="宋体" w:hAnsi="宋体" w:cs="宋体"/>
          <w:b/>
          <w:sz w:val="24"/>
          <w:szCs w:val="24"/>
          <w:highlight w:val="none"/>
          <w:u w:val="single"/>
        </w:rPr>
        <w:t>%</w:t>
      </w:r>
      <w:r>
        <w:rPr>
          <w:rFonts w:hint="eastAsia" w:ascii="宋体" w:hAnsi="宋体" w:cs="宋体"/>
          <w:b/>
          <w:sz w:val="24"/>
          <w:szCs w:val="24"/>
          <w:highlight w:val="none"/>
          <w:u w:val="single"/>
        </w:rPr>
        <w:t>（权重）</w:t>
      </w:r>
      <w:r>
        <w:rPr>
          <w:rFonts w:hint="eastAsia" w:ascii="宋体" w:hAnsi="宋体" w:cs="宋体"/>
          <w:sz w:val="24"/>
          <w:szCs w:val="24"/>
          <w:highlight w:val="none"/>
        </w:rPr>
        <w:t>（四舍五入保留两位小数）；</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商务报价</w:t>
      </w:r>
      <w:r>
        <w:rPr>
          <w:rFonts w:hint="eastAsia" w:ascii="宋体" w:hAnsi="宋体" w:cs="宋体"/>
          <w:kern w:val="0"/>
          <w:sz w:val="24"/>
          <w:szCs w:val="24"/>
          <w:highlight w:val="none"/>
        </w:rPr>
        <w:t>响应文件</w:t>
      </w:r>
      <w:r>
        <w:rPr>
          <w:rFonts w:hint="eastAsia" w:ascii="宋体" w:hAnsi="宋体" w:cs="宋体"/>
          <w:sz w:val="24"/>
          <w:szCs w:val="24"/>
          <w:highlight w:val="none"/>
        </w:rPr>
        <w:t>分值占总分值的比重为</w:t>
      </w:r>
      <w:r>
        <w:rPr>
          <w:rFonts w:ascii="宋体" w:hAnsi="宋体" w:cs="宋体"/>
          <w:b/>
          <w:sz w:val="24"/>
          <w:szCs w:val="24"/>
          <w:highlight w:val="none"/>
          <w:u w:val="single"/>
        </w:rPr>
        <w:t xml:space="preserve"> </w:t>
      </w:r>
      <w:r>
        <w:rPr>
          <w:rFonts w:hint="eastAsia" w:ascii="宋体" w:hAnsi="宋体" w:cs="宋体"/>
          <w:b/>
          <w:sz w:val="24"/>
          <w:szCs w:val="24"/>
          <w:highlight w:val="none"/>
          <w:u w:val="single"/>
          <w:lang w:val="en-US" w:eastAsia="zh-CN"/>
        </w:rPr>
        <w:t>30</w:t>
      </w:r>
      <w:r>
        <w:rPr>
          <w:rFonts w:ascii="宋体" w:hAnsi="宋体" w:cs="宋体"/>
          <w:b/>
          <w:sz w:val="24"/>
          <w:szCs w:val="24"/>
          <w:highlight w:val="none"/>
          <w:u w:val="single"/>
        </w:rPr>
        <w:t>%</w:t>
      </w:r>
      <w:r>
        <w:rPr>
          <w:rFonts w:hint="eastAsia" w:ascii="宋体" w:hAnsi="宋体" w:cs="宋体"/>
          <w:b/>
          <w:sz w:val="24"/>
          <w:szCs w:val="24"/>
          <w:highlight w:val="none"/>
          <w:u w:val="single"/>
        </w:rPr>
        <w:t>（权重）</w:t>
      </w:r>
      <w:r>
        <w:rPr>
          <w:rFonts w:ascii="宋体" w:hAnsi="宋体" w:cs="宋体"/>
          <w:b/>
          <w:sz w:val="24"/>
          <w:szCs w:val="24"/>
          <w:highlight w:val="none"/>
          <w:u w:val="single"/>
        </w:rPr>
        <w:t xml:space="preserve"> </w:t>
      </w:r>
      <w:r>
        <w:rPr>
          <w:rFonts w:hint="eastAsia" w:ascii="宋体" w:hAnsi="宋体" w:cs="宋体"/>
          <w:sz w:val="24"/>
          <w:szCs w:val="24"/>
          <w:highlight w:val="none"/>
        </w:rPr>
        <w:t>（四舍五入保留两位小数）。</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、技术</w:t>
      </w:r>
      <w:r>
        <w:rPr>
          <w:rFonts w:hint="eastAsia" w:ascii="宋体" w:hAnsi="宋体" w:cs="宋体"/>
          <w:kern w:val="0"/>
          <w:sz w:val="24"/>
          <w:szCs w:val="24"/>
          <w:highlight w:val="none"/>
        </w:rPr>
        <w:t>响应文件分值为所有评委打分的算术平均值，计算</w:t>
      </w:r>
      <w:r>
        <w:rPr>
          <w:rFonts w:hint="eastAsia" w:ascii="宋体" w:hAnsi="宋体" w:cs="宋体"/>
          <w:sz w:val="24"/>
          <w:szCs w:val="24"/>
          <w:highlight w:val="none"/>
        </w:rPr>
        <w:t>结果均四舍五入保留两位小数。</w:t>
      </w:r>
      <w:r>
        <w:rPr>
          <w:rFonts w:ascii="宋体" w:hAnsi="宋体" w:cs="宋体"/>
          <w:sz w:val="24"/>
          <w:szCs w:val="24"/>
          <w:highlight w:val="none"/>
        </w:rPr>
        <w:t xml:space="preserve"> </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、商务报价</w:t>
      </w:r>
      <w:r>
        <w:rPr>
          <w:rFonts w:hint="eastAsia" w:ascii="宋体" w:hAnsi="宋体" w:cs="宋体"/>
          <w:kern w:val="0"/>
          <w:sz w:val="24"/>
          <w:szCs w:val="24"/>
          <w:highlight w:val="none"/>
        </w:rPr>
        <w:t>响应文件</w:t>
      </w:r>
      <w:r>
        <w:rPr>
          <w:rFonts w:hint="eastAsia" w:ascii="宋体" w:hAnsi="宋体" w:cs="宋体"/>
          <w:sz w:val="24"/>
          <w:szCs w:val="24"/>
          <w:highlight w:val="none"/>
        </w:rPr>
        <w:t>分值统一采用低价优先法计算直接取得，与技术</w:t>
      </w:r>
      <w:r>
        <w:rPr>
          <w:rFonts w:hint="eastAsia" w:ascii="宋体" w:hAnsi="宋体" w:cs="宋体"/>
          <w:kern w:val="0"/>
          <w:sz w:val="24"/>
          <w:szCs w:val="24"/>
          <w:highlight w:val="none"/>
        </w:rPr>
        <w:t>响应文件</w:t>
      </w:r>
      <w:r>
        <w:rPr>
          <w:rFonts w:hint="eastAsia" w:ascii="宋体" w:hAnsi="宋体" w:cs="宋体"/>
          <w:sz w:val="24"/>
          <w:szCs w:val="24"/>
          <w:highlight w:val="none"/>
        </w:rPr>
        <w:t>分值相加为供应商的综合得分（四舍五入保留两位小数）。</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、综合得分最高的供应商推荐为项目预</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并出具评审磋商报告。</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、确定成交候选人的特殊情况处理：</w:t>
      </w:r>
    </w:p>
    <w:p>
      <w:pPr>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）若总分相同，则按最终报价得分高者优先中标。</w:t>
      </w:r>
    </w:p>
    <w:p>
      <w:pPr>
        <w:snapToGrid w:val="0"/>
        <w:spacing w:line="480" w:lineRule="exact"/>
        <w:ind w:firstLine="480" w:firstLineChars="200"/>
        <w:outlineLvl w:val="1"/>
        <w:rPr>
          <w:rFonts w:ascii="宋体" w:cs="宋体"/>
          <w:dstrike/>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）若总分且最终报价得分相同，则采取现场抽签的方式确定（由</w:t>
      </w:r>
      <w:r>
        <w:rPr>
          <w:rFonts w:hint="eastAsia" w:ascii="宋体" w:hAnsi="宋体" w:cs="宋体"/>
          <w:sz w:val="24"/>
          <w:szCs w:val="24"/>
          <w:highlight w:val="none"/>
          <w:lang w:eastAsia="zh-CN"/>
        </w:rPr>
        <w:t>投标供应商</w:t>
      </w:r>
      <w:r>
        <w:rPr>
          <w:rFonts w:hint="eastAsia" w:ascii="宋体" w:hAnsi="宋体" w:cs="宋体"/>
          <w:sz w:val="24"/>
          <w:szCs w:val="24"/>
          <w:highlight w:val="none"/>
        </w:rPr>
        <w:t>按递交响应文件签到顺序号抽签确定）。</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8</w:t>
      </w:r>
      <w:r>
        <w:rPr>
          <w:rFonts w:hint="eastAsia" w:ascii="宋体" w:hAnsi="宋体" w:cs="宋体"/>
          <w:sz w:val="24"/>
          <w:szCs w:val="24"/>
          <w:highlight w:val="none"/>
        </w:rPr>
        <w:t>、磋商评审时，评委对评审的细则若有争议，由磋商小组集体讨论确定，并对未尽情况有最终解释权。</w:t>
      </w:r>
    </w:p>
    <w:p>
      <w:pPr>
        <w:snapToGrid w:val="0"/>
        <w:spacing w:line="480" w:lineRule="exact"/>
        <w:ind w:firstLine="480" w:firstLineChars="200"/>
        <w:rPr>
          <w:rFonts w:ascii="宋体" w:cs="宋体"/>
          <w:bCs/>
          <w:sz w:val="24"/>
          <w:szCs w:val="24"/>
          <w:highlight w:val="none"/>
        </w:rPr>
      </w:pPr>
      <w:r>
        <w:rPr>
          <w:rFonts w:ascii="宋体" w:hAnsi="宋体" w:cs="宋体"/>
          <w:bCs/>
          <w:sz w:val="24"/>
          <w:szCs w:val="24"/>
          <w:highlight w:val="none"/>
        </w:rPr>
        <w:t>9</w:t>
      </w:r>
      <w:r>
        <w:rPr>
          <w:rFonts w:hint="eastAsia" w:ascii="宋体" w:hAnsi="宋体" w:cs="宋体"/>
          <w:bCs/>
          <w:sz w:val="24"/>
          <w:szCs w:val="24"/>
          <w:highlight w:val="none"/>
        </w:rPr>
        <w:t>、对落标的供应商不做落标原因的解释。</w:t>
      </w:r>
    </w:p>
    <w:p>
      <w:pPr>
        <w:snapToGrid w:val="0"/>
        <w:spacing w:line="480" w:lineRule="exact"/>
        <w:ind w:firstLine="482" w:firstLineChars="200"/>
        <w:outlineLvl w:val="1"/>
        <w:rPr>
          <w:rFonts w:ascii="宋体"/>
          <w:b/>
          <w:bCs/>
          <w:sz w:val="24"/>
          <w:szCs w:val="24"/>
          <w:highlight w:val="none"/>
        </w:rPr>
      </w:pPr>
      <w:r>
        <w:rPr>
          <w:rFonts w:hint="eastAsia" w:ascii="宋体" w:hAnsi="宋体" w:cs="宋体"/>
          <w:b/>
          <w:sz w:val="24"/>
          <w:szCs w:val="24"/>
          <w:highlight w:val="none"/>
        </w:rPr>
        <w:t>五、综合评分评审标准</w:t>
      </w:r>
    </w:p>
    <w:p>
      <w:pPr>
        <w:snapToGrid w:val="0"/>
        <w:spacing w:line="480" w:lineRule="exact"/>
        <w:ind w:firstLine="241" w:firstLineChars="100"/>
        <w:outlineLvl w:val="1"/>
        <w:rPr>
          <w:rFonts w:hint="eastAsia" w:ascii="宋体" w:hAnsi="宋体" w:cs="宋体"/>
          <w:b/>
          <w:bCs/>
          <w:sz w:val="24"/>
          <w:szCs w:val="24"/>
          <w:highlight w:val="none"/>
        </w:rPr>
      </w:pPr>
      <w:r>
        <w:rPr>
          <w:rFonts w:hint="eastAsia" w:ascii="宋体" w:hAnsi="宋体" w:cs="宋体"/>
          <w:b/>
          <w:bCs/>
          <w:sz w:val="24"/>
          <w:szCs w:val="24"/>
          <w:highlight w:val="none"/>
        </w:rPr>
        <w:t>（一）技术标评分：（</w:t>
      </w:r>
      <w:r>
        <w:rPr>
          <w:rFonts w:hint="eastAsia" w:ascii="宋体" w:hAnsi="宋体" w:cs="宋体"/>
          <w:b/>
          <w:bCs/>
          <w:sz w:val="24"/>
          <w:szCs w:val="24"/>
          <w:highlight w:val="none"/>
          <w:lang w:val="en-US" w:eastAsia="zh-CN"/>
        </w:rPr>
        <w:t>70</w:t>
      </w:r>
      <w:r>
        <w:rPr>
          <w:rFonts w:hint="eastAsia" w:ascii="宋体" w:hAnsi="宋体" w:cs="宋体"/>
          <w:b/>
          <w:bCs/>
          <w:sz w:val="24"/>
          <w:szCs w:val="24"/>
          <w:highlight w:val="none"/>
        </w:rPr>
        <w:t>分）</w:t>
      </w:r>
    </w:p>
    <w:p>
      <w:pPr>
        <w:snapToGrid w:val="0"/>
        <w:spacing w:line="480" w:lineRule="exact"/>
        <w:ind w:firstLine="241" w:firstLineChars="100"/>
        <w:outlineLvl w:val="1"/>
        <w:rPr>
          <w:rFonts w:ascii="宋体"/>
          <w:b/>
          <w:bCs/>
          <w:sz w:val="24"/>
          <w:szCs w:val="24"/>
          <w:highlight w:val="none"/>
        </w:rPr>
      </w:pPr>
      <w:r>
        <w:rPr>
          <w:rFonts w:hint="eastAsia" w:ascii="宋体" w:hAnsi="宋体" w:cs="宋体"/>
          <w:b/>
          <w:bCs/>
          <w:sz w:val="24"/>
          <w:szCs w:val="24"/>
          <w:highlight w:val="none"/>
        </w:rPr>
        <w:br w:type="page"/>
      </w:r>
    </w:p>
    <w:tbl>
      <w:tblPr>
        <w:tblStyle w:val="51"/>
        <w:tblW w:w="9434" w:type="dxa"/>
        <w:tblInd w:w="-106" w:type="dxa"/>
        <w:tblLayout w:type="autofit"/>
        <w:tblCellMar>
          <w:top w:w="0" w:type="dxa"/>
          <w:left w:w="108" w:type="dxa"/>
          <w:bottom w:w="0" w:type="dxa"/>
          <w:right w:w="108" w:type="dxa"/>
        </w:tblCellMar>
      </w:tblPr>
      <w:tblGrid>
        <w:gridCol w:w="633"/>
        <w:gridCol w:w="1352"/>
        <w:gridCol w:w="7449"/>
      </w:tblGrid>
      <w:tr>
        <w:tblPrEx>
          <w:tblCellMar>
            <w:top w:w="0" w:type="dxa"/>
            <w:left w:w="108" w:type="dxa"/>
            <w:bottom w:w="0" w:type="dxa"/>
            <w:right w:w="108" w:type="dxa"/>
          </w:tblCellMar>
        </w:tblPrEx>
        <w:trPr>
          <w:trHeight w:val="500" w:hRule="atLeast"/>
        </w:trPr>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b/>
                <w:bCs/>
                <w:kern w:val="0"/>
                <w:sz w:val="24"/>
                <w:szCs w:val="24"/>
                <w:highlight w:val="none"/>
              </w:rPr>
            </w:pPr>
            <w:r>
              <w:rPr>
                <w:rFonts w:hint="eastAsia" w:ascii="宋体" w:hAnsi="宋体" w:cs="宋体"/>
                <w:b/>
                <w:bCs/>
                <w:kern w:val="0"/>
                <w:sz w:val="24"/>
                <w:szCs w:val="24"/>
                <w:highlight w:val="none"/>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b/>
                <w:bCs/>
                <w:kern w:val="0"/>
                <w:sz w:val="24"/>
                <w:szCs w:val="24"/>
                <w:highlight w:val="none"/>
              </w:rPr>
            </w:pPr>
            <w:r>
              <w:rPr>
                <w:rFonts w:hint="eastAsia" w:ascii="宋体" w:hAnsi="宋体" w:cs="宋体"/>
                <w:b/>
                <w:bCs/>
                <w:kern w:val="0"/>
                <w:sz w:val="24"/>
                <w:szCs w:val="24"/>
                <w:highlight w:val="none"/>
              </w:rPr>
              <w:t>评分因素</w:t>
            </w:r>
          </w:p>
        </w:tc>
        <w:tc>
          <w:tcPr>
            <w:tcW w:w="744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b/>
                <w:bCs/>
                <w:kern w:val="0"/>
                <w:sz w:val="24"/>
                <w:szCs w:val="24"/>
                <w:highlight w:val="none"/>
              </w:rPr>
            </w:pPr>
            <w:r>
              <w:rPr>
                <w:rFonts w:hint="eastAsia" w:ascii="宋体" w:hAnsi="宋体" w:cs="宋体"/>
                <w:b/>
                <w:bCs/>
                <w:kern w:val="0"/>
                <w:sz w:val="24"/>
                <w:szCs w:val="24"/>
                <w:highlight w:val="none"/>
              </w:rPr>
              <w:t>评审标准</w:t>
            </w:r>
          </w:p>
        </w:tc>
      </w:tr>
      <w:tr>
        <w:tblPrEx>
          <w:tblCellMar>
            <w:top w:w="0" w:type="dxa"/>
            <w:left w:w="108" w:type="dxa"/>
            <w:bottom w:w="0" w:type="dxa"/>
            <w:right w:w="108" w:type="dxa"/>
          </w:tblCellMar>
        </w:tblPrEx>
        <w:trPr>
          <w:trHeight w:val="3028"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96" w:lineRule="exact"/>
              <w:jc w:val="center"/>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1</w:t>
            </w:r>
          </w:p>
        </w:tc>
        <w:tc>
          <w:tcPr>
            <w:tcW w:w="1352" w:type="dxa"/>
            <w:tcBorders>
              <w:top w:val="single" w:color="auto" w:sz="4" w:space="0"/>
              <w:left w:val="single" w:color="auto" w:sz="4" w:space="0"/>
              <w:bottom w:val="single" w:color="auto" w:sz="4" w:space="0"/>
              <w:right w:val="single" w:color="auto" w:sz="4" w:space="0"/>
            </w:tcBorders>
            <w:vAlign w:val="center"/>
          </w:tcPr>
          <w:p>
            <w:pPr>
              <w:spacing w:line="396" w:lineRule="exact"/>
              <w:jc w:val="center"/>
              <w:rPr>
                <w:rFonts w:hint="eastAsia" w:eastAsia="宋体" w:asciiTheme="minorEastAsia" w:hAnsi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技术参数（10分）</w:t>
            </w:r>
          </w:p>
        </w:tc>
        <w:tc>
          <w:tcPr>
            <w:tcW w:w="7449" w:type="dxa"/>
            <w:tcBorders>
              <w:top w:val="single" w:color="auto" w:sz="4" w:space="0"/>
              <w:left w:val="single" w:color="auto" w:sz="4" w:space="0"/>
              <w:bottom w:val="single" w:color="auto" w:sz="4" w:space="0"/>
              <w:right w:val="single" w:color="auto" w:sz="4" w:space="0"/>
            </w:tcBorders>
            <w:vAlign w:val="center"/>
          </w:tcPr>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根据磋商文件中各项技术规范及要求的规定，对投标人的技术参数响应程度，材质、防伪要求的对应性、完整性、统一性、偏离度进行评分。完全满足磋商文件要求的，得6分；材质、防伪优于磋商文件要求的，有一项加1分，最多加2分。</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尺寸与《技术要求一览表》的要求完全一致的得2分；尺寸偏离度在2%及以内的得0.5分。尺寸偏离度超过2%的作无效投标处理。</w:t>
            </w:r>
          </w:p>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除尺寸外的其余参数低于磋商文件要求的，作无效投标处理。</w:t>
            </w:r>
          </w:p>
        </w:tc>
      </w:tr>
      <w:tr>
        <w:tblPrEx>
          <w:tblCellMar>
            <w:top w:w="0" w:type="dxa"/>
            <w:left w:w="108" w:type="dxa"/>
            <w:bottom w:w="0" w:type="dxa"/>
            <w:right w:w="108" w:type="dxa"/>
          </w:tblCellMar>
        </w:tblPrEx>
        <w:trPr>
          <w:trHeight w:val="1222"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96" w:lineRule="exact"/>
              <w:jc w:val="center"/>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2</w:t>
            </w:r>
          </w:p>
        </w:tc>
        <w:tc>
          <w:tcPr>
            <w:tcW w:w="1352" w:type="dxa"/>
            <w:tcBorders>
              <w:top w:val="single" w:color="auto" w:sz="4" w:space="0"/>
              <w:left w:val="single" w:color="auto" w:sz="4" w:space="0"/>
              <w:bottom w:val="single" w:color="auto" w:sz="4" w:space="0"/>
              <w:right w:val="single" w:color="auto" w:sz="4" w:space="0"/>
            </w:tcBorders>
            <w:vAlign w:val="center"/>
          </w:tcPr>
          <w:p>
            <w:pPr>
              <w:spacing w:line="396" w:lineRule="exact"/>
              <w:jc w:val="center"/>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样品</w:t>
            </w:r>
          </w:p>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（30分）</w:t>
            </w:r>
          </w:p>
        </w:tc>
        <w:tc>
          <w:tcPr>
            <w:tcW w:w="7449" w:type="dxa"/>
            <w:tcBorders>
              <w:top w:val="single" w:color="auto" w:sz="4" w:space="0"/>
              <w:left w:val="single" w:color="auto" w:sz="4" w:space="0"/>
              <w:bottom w:val="single" w:color="auto" w:sz="4" w:space="0"/>
              <w:right w:val="single" w:color="auto" w:sz="4" w:space="0"/>
            </w:tcBorders>
            <w:vAlign w:val="center"/>
          </w:tcPr>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（1）出样产品的款式、总体美观性，优得3-4分，一般得1-2分，差得0分；</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（2）出样产品的材质，优得3-4分，一般得1-2分，差得0分；</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（3）出样产品的牢固度，优得3-6分，一般得1-2分，差得0分；</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（4）出样产品的印刷工艺，优得3-6分，一般得1-2分，差得0分。</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（5）出样产品的防伪标记与采购人防伪要求的匹配度，优得4-10分，一般得1-3分，差得0分。</w:t>
            </w:r>
          </w:p>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（未提供样品或样品无防伪标记的，本项作“零分”处理。）</w:t>
            </w:r>
          </w:p>
        </w:tc>
      </w:tr>
      <w:tr>
        <w:tblPrEx>
          <w:tblCellMar>
            <w:top w:w="0" w:type="dxa"/>
            <w:left w:w="108" w:type="dxa"/>
            <w:bottom w:w="0" w:type="dxa"/>
            <w:right w:w="108" w:type="dxa"/>
          </w:tblCellMar>
        </w:tblPrEx>
        <w:trPr>
          <w:trHeight w:val="1716" w:hRule="atLeast"/>
        </w:trPr>
        <w:tc>
          <w:tcPr>
            <w:tcW w:w="633" w:type="dxa"/>
            <w:tcBorders>
              <w:top w:val="single" w:color="auto" w:sz="4" w:space="0"/>
              <w:left w:val="single" w:color="auto" w:sz="4" w:space="0"/>
              <w:right w:val="single" w:color="auto" w:sz="4" w:space="0"/>
            </w:tcBorders>
            <w:vAlign w:val="center"/>
          </w:tcPr>
          <w:p>
            <w:pPr>
              <w:spacing w:line="396" w:lineRule="exact"/>
              <w:jc w:val="center"/>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3</w:t>
            </w:r>
          </w:p>
        </w:tc>
        <w:tc>
          <w:tcPr>
            <w:tcW w:w="1352" w:type="dxa"/>
            <w:tcBorders>
              <w:top w:val="single" w:color="auto" w:sz="4" w:space="0"/>
              <w:left w:val="single" w:color="auto" w:sz="4" w:space="0"/>
              <w:right w:val="single" w:color="auto" w:sz="4" w:space="0"/>
            </w:tcBorders>
            <w:vAlign w:val="center"/>
          </w:tcPr>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印刷方案及配送方案（15分）</w:t>
            </w:r>
          </w:p>
        </w:tc>
        <w:tc>
          <w:tcPr>
            <w:tcW w:w="7449" w:type="dxa"/>
            <w:tcBorders>
              <w:top w:val="single" w:color="auto" w:sz="4" w:space="0"/>
              <w:left w:val="single" w:color="auto" w:sz="4" w:space="0"/>
              <w:bottom w:val="single" w:color="auto" w:sz="4" w:space="0"/>
              <w:right w:val="single" w:color="auto" w:sz="4" w:space="0"/>
            </w:tcBorders>
            <w:vAlign w:val="center"/>
          </w:tcPr>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由评委根据印刷方案及配送方案的可靠性，综合考虑进度控制、质量保证措施等因素横向比较，综合打分。优得12-15分，良得5-11分，中得1-4分，差不得分。</w:t>
            </w:r>
          </w:p>
        </w:tc>
      </w:tr>
      <w:tr>
        <w:tblPrEx>
          <w:tblCellMar>
            <w:top w:w="0" w:type="dxa"/>
            <w:left w:w="108" w:type="dxa"/>
            <w:bottom w:w="0" w:type="dxa"/>
            <w:right w:w="108" w:type="dxa"/>
          </w:tblCellMar>
        </w:tblPrEx>
        <w:trPr>
          <w:trHeight w:val="1418" w:hRule="atLeast"/>
        </w:trPr>
        <w:tc>
          <w:tcPr>
            <w:tcW w:w="633" w:type="dxa"/>
            <w:tcBorders>
              <w:top w:val="single" w:color="auto" w:sz="4" w:space="0"/>
              <w:left w:val="single" w:color="auto" w:sz="4" w:space="0"/>
              <w:bottom w:val="single" w:color="auto" w:sz="4" w:space="0"/>
              <w:right w:val="single" w:color="auto" w:sz="4" w:space="0"/>
            </w:tcBorders>
            <w:vAlign w:val="center"/>
          </w:tcPr>
          <w:p>
            <w:pPr>
              <w:spacing w:line="396" w:lineRule="exact"/>
              <w:jc w:val="center"/>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4</w:t>
            </w:r>
          </w:p>
        </w:tc>
        <w:tc>
          <w:tcPr>
            <w:tcW w:w="1352" w:type="dxa"/>
            <w:tcBorders>
              <w:top w:val="single" w:color="auto" w:sz="4" w:space="0"/>
              <w:left w:val="single" w:color="auto" w:sz="4" w:space="0"/>
              <w:bottom w:val="single" w:color="auto" w:sz="4" w:space="0"/>
              <w:right w:val="single" w:color="auto" w:sz="4" w:space="0"/>
            </w:tcBorders>
            <w:vAlign w:val="center"/>
          </w:tcPr>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类似业绩</w:t>
            </w:r>
          </w:p>
          <w:p>
            <w:pPr>
              <w:spacing w:line="396" w:lineRule="exact"/>
              <w:jc w:val="left"/>
              <w:rPr>
                <w:rFonts w:hint="eastAsia"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（15分）</w:t>
            </w:r>
          </w:p>
        </w:tc>
        <w:tc>
          <w:tcPr>
            <w:tcW w:w="7449" w:type="dxa"/>
            <w:tcBorders>
              <w:top w:val="single" w:color="auto" w:sz="4" w:space="0"/>
              <w:left w:val="single" w:color="auto" w:sz="4" w:space="0"/>
              <w:bottom w:val="single" w:color="auto" w:sz="4" w:space="0"/>
              <w:right w:val="single" w:color="auto" w:sz="4" w:space="0"/>
            </w:tcBorders>
            <w:vAlign w:val="center"/>
          </w:tcPr>
          <w:p>
            <w:pPr>
              <w:spacing w:line="396" w:lineRule="exact"/>
              <w:jc w:val="left"/>
              <w:rPr>
                <w:rFonts w:hint="default" w:asciiTheme="minorEastAsia" w:hAnsiTheme="minorEastAsia" w:eastAsiaTheme="minorEastAsia" w:cstheme="minorEastAsia"/>
                <w:bCs/>
                <w:sz w:val="24"/>
                <w:szCs w:val="24"/>
                <w:highlight w:val="none"/>
                <w:lang w:val="en-US" w:eastAsia="zh-CN"/>
              </w:rPr>
            </w:pPr>
            <w:r>
              <w:rPr>
                <w:rFonts w:hint="eastAsia" w:asciiTheme="minorEastAsia" w:hAnsiTheme="minorEastAsia" w:eastAsiaTheme="minorEastAsia" w:cstheme="minorEastAsia"/>
                <w:bCs/>
                <w:sz w:val="24"/>
                <w:szCs w:val="24"/>
                <w:highlight w:val="none"/>
                <w:lang w:val="en-US" w:eastAsia="zh-CN"/>
              </w:rPr>
              <w:t>投标供应商自2018年以来（以合同签订时间为准）承担过的类似防伪证书印刷服务业绩，有一份合同得3分；满分15分。（提供合同复印件、与该合同对应的部分发票复印件、与合同对应的防伪证书样册及防伪检验工具。现场无法检验证书防伪点的业绩不得分。）</w:t>
            </w:r>
          </w:p>
        </w:tc>
      </w:tr>
    </w:tbl>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textAlignment w:val="auto"/>
        <w:outlineLvl w:val="1"/>
        <w:rPr>
          <w:rFonts w:hint="eastAsia" w:ascii="宋体" w:hAnsi="宋体" w:cs="宋体"/>
          <w:b/>
          <w:bCs/>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241" w:firstLineChars="100"/>
        <w:textAlignment w:val="auto"/>
        <w:outlineLvl w:val="1"/>
        <w:rPr>
          <w:rFonts w:ascii="宋体" w:cs="宋体"/>
          <w:b/>
          <w:bCs/>
          <w:sz w:val="24"/>
          <w:szCs w:val="24"/>
          <w:highlight w:val="none"/>
        </w:rPr>
      </w:pPr>
      <w:r>
        <w:rPr>
          <w:rFonts w:hint="eastAsia" w:ascii="宋体" w:hAnsi="宋体" w:cs="宋体"/>
          <w:b/>
          <w:bCs/>
          <w:sz w:val="24"/>
          <w:szCs w:val="24"/>
          <w:highlight w:val="none"/>
        </w:rPr>
        <w:t>（二）商务报价响应评分：（</w:t>
      </w:r>
      <w:r>
        <w:rPr>
          <w:rFonts w:hint="eastAsia" w:ascii="宋体" w:hAnsi="宋体" w:cs="宋体"/>
          <w:b/>
          <w:bCs/>
          <w:sz w:val="24"/>
          <w:szCs w:val="24"/>
          <w:highlight w:val="none"/>
          <w:lang w:val="en-US" w:eastAsia="zh-CN"/>
        </w:rPr>
        <w:t>30</w:t>
      </w:r>
      <w:r>
        <w:rPr>
          <w:rFonts w:hint="eastAsia" w:ascii="宋体" w:hAnsi="宋体" w:cs="宋体"/>
          <w:b/>
          <w:bCs/>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jc w:val="left"/>
        <w:textAlignment w:val="auto"/>
        <w:rPr>
          <w:rFonts w:ascii="宋体" w:cs="宋体"/>
          <w:b/>
          <w:sz w:val="24"/>
          <w:szCs w:val="24"/>
          <w:highlight w:val="none"/>
        </w:rPr>
      </w:pPr>
      <w:r>
        <w:rPr>
          <w:rFonts w:hint="eastAsia" w:ascii="宋体" w:hAnsi="宋体" w:cs="宋体"/>
          <w:b/>
          <w:sz w:val="24"/>
          <w:szCs w:val="24"/>
          <w:highlight w:val="none"/>
        </w:rPr>
        <w:t>本项目最高限价</w:t>
      </w:r>
      <w:r>
        <w:rPr>
          <w:rFonts w:hint="eastAsia" w:ascii="宋体" w:hAnsi="宋体" w:cs="宋体"/>
          <w:b/>
          <w:sz w:val="24"/>
          <w:szCs w:val="24"/>
          <w:highlight w:val="none"/>
          <w:lang w:val="en-US" w:eastAsia="zh-CN"/>
        </w:rPr>
        <w:t>为：15万元，</w:t>
      </w:r>
      <w:r>
        <w:rPr>
          <w:rFonts w:hint="eastAsia" w:ascii="宋体" w:hAnsi="宋体" w:cs="宋体"/>
          <w:b/>
          <w:sz w:val="24"/>
          <w:szCs w:val="24"/>
          <w:highlight w:val="none"/>
        </w:rPr>
        <w:t>报价不得超过限价，否则做无效投标处理。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cs="宋体"/>
          <w:sz w:val="24"/>
          <w:szCs w:val="24"/>
          <w:highlight w:val="none"/>
        </w:rPr>
      </w:pPr>
      <w:r>
        <w:rPr>
          <w:rFonts w:hint="eastAsia" w:ascii="宋体" w:hAnsi="宋体" w:cs="宋体"/>
          <w:sz w:val="24"/>
          <w:szCs w:val="24"/>
          <w:highlight w:val="none"/>
        </w:rPr>
        <w:t>满足磋商文件要求且最后报价最低的供应商的价格为磋商基准价，其商务报价</w:t>
      </w:r>
      <w:r>
        <w:rPr>
          <w:rFonts w:hint="eastAsia" w:ascii="宋体" w:hAnsi="宋体" w:cs="宋体"/>
          <w:kern w:val="0"/>
          <w:sz w:val="24"/>
          <w:szCs w:val="24"/>
          <w:highlight w:val="none"/>
        </w:rPr>
        <w:t>响应</w:t>
      </w:r>
      <w:r>
        <w:rPr>
          <w:rFonts w:hint="eastAsia" w:ascii="宋体" w:hAnsi="宋体" w:cs="宋体"/>
          <w:sz w:val="24"/>
          <w:szCs w:val="24"/>
          <w:highlight w:val="none"/>
        </w:rPr>
        <w:t>分为满分</w:t>
      </w:r>
      <w:r>
        <w:rPr>
          <w:rFonts w:hint="eastAsia" w:ascii="宋体" w:hAnsi="宋体" w:cs="宋体"/>
          <w:sz w:val="24"/>
          <w:szCs w:val="24"/>
          <w:highlight w:val="none"/>
          <w:lang w:val="en-US" w:eastAsia="zh-CN"/>
        </w:rPr>
        <w:t>30</w:t>
      </w:r>
      <w:r>
        <w:rPr>
          <w:rFonts w:hint="eastAsia" w:ascii="宋体" w:hAnsi="宋体" w:cs="宋体"/>
          <w:sz w:val="24"/>
          <w:szCs w:val="24"/>
          <w:highlight w:val="none"/>
        </w:rPr>
        <w:t>分。其他供应商的商务报价</w:t>
      </w:r>
      <w:r>
        <w:rPr>
          <w:rFonts w:hint="eastAsia" w:ascii="宋体" w:hAnsi="宋体" w:cs="宋体"/>
          <w:kern w:val="0"/>
          <w:sz w:val="24"/>
          <w:szCs w:val="24"/>
          <w:highlight w:val="none"/>
        </w:rPr>
        <w:t>响应</w:t>
      </w:r>
      <w:r>
        <w:rPr>
          <w:rFonts w:hint="eastAsia" w:ascii="宋体" w:hAnsi="宋体" w:cs="宋体"/>
          <w:sz w:val="24"/>
          <w:szCs w:val="24"/>
          <w:highlight w:val="none"/>
        </w:rPr>
        <w:t>分统一按照下列公式计算：</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cs="宋体"/>
          <w:b/>
          <w:sz w:val="24"/>
          <w:szCs w:val="24"/>
          <w:highlight w:val="none"/>
        </w:rPr>
      </w:pPr>
      <w:r>
        <w:rPr>
          <w:rFonts w:hint="eastAsia" w:ascii="宋体" w:hAnsi="宋体" w:cs="宋体"/>
          <w:b/>
          <w:sz w:val="24"/>
          <w:szCs w:val="24"/>
          <w:highlight w:val="none"/>
        </w:rPr>
        <w:t>商务报价</w:t>
      </w:r>
      <w:r>
        <w:rPr>
          <w:rFonts w:hint="eastAsia" w:ascii="宋体" w:hAnsi="宋体" w:cs="宋体"/>
          <w:b/>
          <w:kern w:val="0"/>
          <w:sz w:val="24"/>
          <w:szCs w:val="24"/>
          <w:highlight w:val="none"/>
        </w:rPr>
        <w:t>响应</w:t>
      </w:r>
      <w:r>
        <w:rPr>
          <w:rFonts w:hint="eastAsia" w:ascii="宋体" w:hAnsi="宋体" w:cs="宋体"/>
          <w:b/>
          <w:sz w:val="24"/>
          <w:szCs w:val="24"/>
          <w:highlight w:val="none"/>
        </w:rPr>
        <w:t>分</w:t>
      </w:r>
      <w:r>
        <w:rPr>
          <w:rFonts w:ascii="宋体" w:hAnsi="宋体" w:cs="宋体"/>
          <w:b/>
          <w:sz w:val="24"/>
          <w:szCs w:val="24"/>
          <w:highlight w:val="none"/>
        </w:rPr>
        <w:t xml:space="preserve"> =</w:t>
      </w:r>
      <w:r>
        <w:rPr>
          <w:rFonts w:hint="eastAsia" w:ascii="宋体" w:hAnsi="宋体" w:cs="宋体"/>
          <w:b/>
          <w:sz w:val="24"/>
          <w:szCs w:val="24"/>
          <w:highlight w:val="none"/>
        </w:rPr>
        <w:t>（磋商基准价</w:t>
      </w:r>
      <w:r>
        <w:rPr>
          <w:rFonts w:ascii="宋体" w:hAnsi="宋体" w:cs="宋体"/>
          <w:b/>
          <w:sz w:val="24"/>
          <w:szCs w:val="24"/>
          <w:highlight w:val="none"/>
        </w:rPr>
        <w:t>/</w:t>
      </w:r>
      <w:r>
        <w:rPr>
          <w:rFonts w:hint="eastAsia" w:ascii="宋体" w:hAnsi="宋体" w:cs="宋体"/>
          <w:b/>
          <w:sz w:val="24"/>
          <w:szCs w:val="24"/>
          <w:highlight w:val="none"/>
        </w:rPr>
        <w:t>最后磋商报价）×</w:t>
      </w:r>
      <w:r>
        <w:rPr>
          <w:rFonts w:hint="eastAsia" w:ascii="宋体" w:hAnsi="宋体" w:cs="宋体"/>
          <w:b/>
          <w:sz w:val="24"/>
          <w:szCs w:val="24"/>
          <w:highlight w:val="none"/>
          <w:lang w:val="en-US" w:eastAsia="zh-CN"/>
        </w:rPr>
        <w:t>30</w:t>
      </w:r>
      <w:r>
        <w:rPr>
          <w:rFonts w:ascii="宋体" w:hAnsi="宋体" w:cs="宋体"/>
          <w:b/>
          <w:sz w:val="24"/>
          <w:szCs w:val="24"/>
          <w:highlight w:val="none"/>
        </w:rPr>
        <w:t>%</w:t>
      </w:r>
      <w:r>
        <w:rPr>
          <w:rFonts w:hint="eastAsia" w:ascii="宋体" w:hAnsi="宋体" w:cs="宋体"/>
          <w:b/>
          <w:sz w:val="24"/>
          <w:szCs w:val="24"/>
          <w:highlight w:val="none"/>
        </w:rPr>
        <w:t>×</w:t>
      </w:r>
      <w:r>
        <w:rPr>
          <w:rFonts w:ascii="宋体" w:hAnsi="宋体" w:cs="宋体"/>
          <w:b/>
          <w:sz w:val="24"/>
          <w:szCs w:val="24"/>
          <w:highlight w:val="none"/>
        </w:rPr>
        <w:t>100</w:t>
      </w:r>
    </w:p>
    <w:p>
      <w:pPr>
        <w:snapToGrid w:val="0"/>
        <w:spacing w:line="360" w:lineRule="auto"/>
        <w:ind w:firstLine="482" w:firstLineChars="200"/>
        <w:rPr>
          <w:rFonts w:ascii="宋体" w:hAnsi="宋体" w:cs="宋体"/>
          <w:b/>
          <w:sz w:val="24"/>
          <w:szCs w:val="24"/>
          <w:highlight w:val="none"/>
        </w:rPr>
      </w:pPr>
    </w:p>
    <w:p>
      <w:pPr>
        <w:snapToGrid w:val="0"/>
        <w:spacing w:line="360" w:lineRule="auto"/>
        <w:ind w:firstLine="482" w:firstLineChars="200"/>
        <w:rPr>
          <w:rFonts w:ascii="宋体" w:cs="宋体"/>
          <w:b/>
          <w:sz w:val="24"/>
          <w:szCs w:val="24"/>
          <w:highlight w:val="none"/>
        </w:rPr>
      </w:pPr>
      <w:r>
        <w:rPr>
          <w:rFonts w:hint="eastAsia" w:ascii="宋体" w:hAnsi="宋体" w:cs="宋体"/>
          <w:b/>
          <w:sz w:val="24"/>
          <w:szCs w:val="24"/>
          <w:highlight w:val="none"/>
        </w:rPr>
        <w:t>六、出现下列情形之一的，作无效响应处理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、响应文件未按磋商文件要求密封、签署、盖章及主要资料不齐全的；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、响应文件的资料有虚报或者谎报的；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、响应文件中资格审查文件及技术响应文件出现磋商报价的内容；</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、不具备磋商文件规定的资格要求的；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、响应文件有重大漏项或重大不合理的；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6</w:t>
      </w:r>
      <w:r>
        <w:rPr>
          <w:rFonts w:hint="eastAsia" w:ascii="宋体" w:hAnsi="宋体" w:cs="宋体"/>
          <w:sz w:val="24"/>
          <w:szCs w:val="24"/>
          <w:highlight w:val="none"/>
        </w:rPr>
        <w:t>、项目技术、方案不满足项目需求中的要求，有重大偏离或保留的；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7</w:t>
      </w:r>
      <w:r>
        <w:rPr>
          <w:rFonts w:hint="eastAsia" w:ascii="宋体" w:hAnsi="宋体" w:cs="宋体"/>
          <w:sz w:val="24"/>
          <w:szCs w:val="24"/>
          <w:highlight w:val="none"/>
        </w:rPr>
        <w:t>、磋商响应报价超出项目预算的；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8</w:t>
      </w:r>
      <w:r>
        <w:rPr>
          <w:rFonts w:hint="eastAsia" w:ascii="宋体" w:hAnsi="宋体" w:cs="宋体"/>
          <w:sz w:val="24"/>
          <w:szCs w:val="24"/>
          <w:highlight w:val="none"/>
        </w:rPr>
        <w:t>、被认定为低于成本报价磋商竞标的；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9</w:t>
      </w:r>
      <w:r>
        <w:rPr>
          <w:rFonts w:hint="eastAsia" w:ascii="宋体" w:hAnsi="宋体" w:cs="宋体"/>
          <w:sz w:val="24"/>
          <w:szCs w:val="24"/>
          <w:highlight w:val="none"/>
        </w:rPr>
        <w:t>、供应商的磋商报价高于自己前一轮的；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10</w:t>
      </w:r>
      <w:r>
        <w:rPr>
          <w:rFonts w:hint="eastAsia" w:ascii="宋体" w:hAnsi="宋体" w:cs="宋体"/>
          <w:sz w:val="24"/>
          <w:szCs w:val="24"/>
          <w:highlight w:val="none"/>
        </w:rPr>
        <w:t>、不符合法律、法规和磋商文件中规定的其他实质性响应要求的；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11</w:t>
      </w:r>
      <w:r>
        <w:rPr>
          <w:rFonts w:hint="eastAsia" w:ascii="宋体" w:hAnsi="宋体" w:cs="宋体"/>
          <w:sz w:val="24"/>
          <w:szCs w:val="24"/>
          <w:highlight w:val="none"/>
        </w:rPr>
        <w:t>、磋商小组依据法律法规可以认定为无效投标的其他情况。</w:t>
      </w:r>
    </w:p>
    <w:p>
      <w:pPr>
        <w:snapToGrid w:val="0"/>
        <w:spacing w:line="480" w:lineRule="exact"/>
        <w:ind w:firstLine="482" w:firstLineChars="200"/>
        <w:outlineLvl w:val="1"/>
        <w:rPr>
          <w:rFonts w:ascii="宋体" w:cs="宋体"/>
          <w:b/>
          <w:color w:val="000000"/>
          <w:sz w:val="24"/>
          <w:szCs w:val="24"/>
          <w:highlight w:val="none"/>
        </w:rPr>
      </w:pPr>
      <w:r>
        <w:rPr>
          <w:rFonts w:hint="eastAsia" w:ascii="宋体" w:hAnsi="宋体" w:cs="宋体"/>
          <w:b/>
          <w:color w:val="000000"/>
          <w:sz w:val="24"/>
          <w:szCs w:val="24"/>
          <w:highlight w:val="none"/>
        </w:rPr>
        <w:t>七、出现下列情形之一的，作废标处理</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、供应商的报价均超出了采购预算，采购单位不能支付的；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、因情况变化，不再符合规定的竞争性磋商采购方式所适用情形的；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、出现影响采购公正的违法、违规行为的；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、因重大变故，采购任务取消的；</w:t>
      </w:r>
    </w:p>
    <w:p>
      <w:pPr>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5</w:t>
      </w:r>
      <w:r>
        <w:rPr>
          <w:rFonts w:hint="eastAsia" w:ascii="宋体" w:hAnsi="宋体" w:cs="宋体"/>
          <w:sz w:val="24"/>
          <w:szCs w:val="24"/>
          <w:highlight w:val="none"/>
        </w:rPr>
        <w:t>、磋商小组依据法律法规可以认定为废标的其他情况。</w:t>
      </w:r>
    </w:p>
    <w:p>
      <w:pPr>
        <w:snapToGrid w:val="0"/>
        <w:spacing w:line="480" w:lineRule="exact"/>
        <w:ind w:firstLine="482" w:firstLineChars="200"/>
        <w:outlineLvl w:val="1"/>
        <w:rPr>
          <w:rFonts w:ascii="宋体" w:cs="宋体"/>
          <w:b/>
          <w:color w:val="000000"/>
          <w:sz w:val="24"/>
          <w:szCs w:val="24"/>
          <w:highlight w:val="none"/>
        </w:rPr>
      </w:pPr>
      <w:r>
        <w:rPr>
          <w:rFonts w:hint="eastAsia" w:ascii="宋体" w:hAnsi="宋体" w:cs="宋体"/>
          <w:b/>
          <w:color w:val="000000"/>
          <w:sz w:val="24"/>
          <w:szCs w:val="24"/>
          <w:highlight w:val="none"/>
        </w:rPr>
        <w:t>八、成交通知</w:t>
      </w:r>
    </w:p>
    <w:p>
      <w:pPr>
        <w:spacing w:line="480" w:lineRule="exact"/>
        <w:ind w:firstLine="480" w:firstLineChars="200"/>
        <w:rPr>
          <w:rFonts w:ascii="宋体" w:cs="宋体"/>
          <w:color w:val="000000"/>
          <w:kern w:val="0"/>
          <w:sz w:val="24"/>
          <w:szCs w:val="24"/>
          <w:highlight w:val="none"/>
        </w:rPr>
      </w:pPr>
      <w:r>
        <w:rPr>
          <w:rFonts w:hint="eastAsia"/>
          <w:kern w:val="0"/>
          <w:sz w:val="24"/>
          <w:szCs w:val="24"/>
          <w:highlight w:val="none"/>
        </w:rPr>
        <w:t>成交结果在</w:t>
      </w:r>
      <w:r>
        <w:rPr>
          <w:rFonts w:hint="eastAsia" w:ascii="宋体" w:hAnsi="宋体" w:cs="宋体"/>
          <w:sz w:val="24"/>
          <w:szCs w:val="24"/>
          <w:highlight w:val="none"/>
          <w:lang w:eastAsia="zh-CN"/>
        </w:rPr>
        <w:t>南通市教育局官网</w:t>
      </w:r>
      <w:r>
        <w:rPr>
          <w:rFonts w:hint="eastAsia"/>
          <w:kern w:val="0"/>
          <w:sz w:val="24"/>
          <w:szCs w:val="24"/>
          <w:highlight w:val="none"/>
        </w:rPr>
        <w:t>公示</w:t>
      </w:r>
      <w:r>
        <w:rPr>
          <w:rFonts w:hint="eastAsia"/>
          <w:b/>
          <w:kern w:val="0"/>
          <w:sz w:val="24"/>
          <w:szCs w:val="24"/>
          <w:highlight w:val="none"/>
          <w:u w:val="single"/>
          <w:lang w:val="en-US" w:eastAsia="zh-CN"/>
        </w:rPr>
        <w:t>3</w:t>
      </w:r>
      <w:r>
        <w:rPr>
          <w:rFonts w:hint="eastAsia"/>
          <w:kern w:val="0"/>
          <w:sz w:val="24"/>
          <w:szCs w:val="24"/>
          <w:highlight w:val="none"/>
        </w:rPr>
        <w:t>个工作日。《成交通知书》一经发出，采购单位改变成交结果，或者</w:t>
      </w:r>
      <w:r>
        <w:rPr>
          <w:rFonts w:hint="eastAsia"/>
          <w:kern w:val="0"/>
          <w:sz w:val="24"/>
          <w:szCs w:val="24"/>
          <w:highlight w:val="none"/>
          <w:lang w:eastAsia="zh-CN"/>
        </w:rPr>
        <w:t>成交供应商</w:t>
      </w:r>
      <w:r>
        <w:rPr>
          <w:rFonts w:hint="eastAsia"/>
          <w:kern w:val="0"/>
          <w:sz w:val="24"/>
          <w:szCs w:val="24"/>
          <w:highlight w:val="none"/>
        </w:rPr>
        <w:t>放弃成交的，各自承担相应的法律责任。《成交通知书》是采购合同的组成部分。</w:t>
      </w:r>
    </w:p>
    <w:bookmarkEnd w:id="62"/>
    <w:bookmarkEnd w:id="63"/>
    <w:bookmarkEnd w:id="64"/>
    <w:bookmarkEnd w:id="65"/>
    <w:bookmarkEnd w:id="66"/>
    <w:bookmarkEnd w:id="67"/>
    <w:bookmarkEnd w:id="68"/>
    <w:bookmarkEnd w:id="69"/>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cs="宋体"/>
          <w:b/>
          <w:i w:val="0"/>
          <w:color w:val="000000"/>
          <w:w w:val="80"/>
          <w:sz w:val="44"/>
          <w:szCs w:val="44"/>
          <w:highlight w:val="none"/>
        </w:rPr>
      </w:pPr>
      <w:bookmarkStart w:id="71" w:name="_Toc94585343"/>
      <w:bookmarkStart w:id="72" w:name="_Toc363573858"/>
      <w:r>
        <w:rPr>
          <w:rFonts w:ascii="宋体" w:cs="宋体"/>
          <w:color w:val="000000"/>
          <w:w w:val="80"/>
          <w:sz w:val="24"/>
          <w:szCs w:val="24"/>
          <w:highlight w:val="none"/>
        </w:rPr>
        <w:br w:type="page"/>
      </w:r>
      <w:r>
        <w:rPr>
          <w:rFonts w:hint="eastAsia" w:ascii="宋体" w:hAnsi="宋体" w:cs="宋体"/>
          <w:b/>
          <w:i w:val="0"/>
          <w:color w:val="000000"/>
          <w:w w:val="80"/>
          <w:sz w:val="44"/>
          <w:szCs w:val="44"/>
          <w:highlight w:val="none"/>
        </w:rPr>
        <w:t>第</w:t>
      </w:r>
      <w:r>
        <w:rPr>
          <w:rFonts w:hint="eastAsia" w:ascii="宋体" w:hAnsi="宋体" w:cs="宋体"/>
          <w:b/>
          <w:i w:val="0"/>
          <w:color w:val="000000"/>
          <w:w w:val="80"/>
          <w:sz w:val="44"/>
          <w:szCs w:val="44"/>
          <w:highlight w:val="none"/>
          <w:lang w:val="en-US" w:eastAsia="zh-CN"/>
        </w:rPr>
        <w:t>五</w:t>
      </w:r>
      <w:r>
        <w:rPr>
          <w:rFonts w:hint="eastAsia" w:ascii="宋体" w:hAnsi="宋体" w:cs="宋体"/>
          <w:b/>
          <w:i w:val="0"/>
          <w:color w:val="000000"/>
          <w:w w:val="80"/>
          <w:sz w:val="44"/>
          <w:szCs w:val="44"/>
          <w:highlight w:val="none"/>
        </w:rPr>
        <w:t>章</w:t>
      </w:r>
      <w:r>
        <w:rPr>
          <w:rFonts w:ascii="宋体" w:hAnsi="宋体" w:cs="宋体"/>
          <w:b/>
          <w:i w:val="0"/>
          <w:color w:val="000000"/>
          <w:w w:val="80"/>
          <w:sz w:val="44"/>
          <w:szCs w:val="44"/>
          <w:highlight w:val="none"/>
        </w:rPr>
        <w:t xml:space="preserve">   </w:t>
      </w:r>
      <w:r>
        <w:rPr>
          <w:rFonts w:hint="eastAsia" w:ascii="宋体" w:hAnsi="宋体" w:cs="宋体"/>
          <w:b/>
          <w:i w:val="0"/>
          <w:color w:val="000000"/>
          <w:w w:val="80"/>
          <w:sz w:val="44"/>
          <w:szCs w:val="44"/>
          <w:highlight w:val="none"/>
        </w:rPr>
        <w:t>合同授予</w:t>
      </w:r>
    </w:p>
    <w:p>
      <w:pPr>
        <w:spacing w:line="520" w:lineRule="exact"/>
        <w:ind w:firstLine="484" w:firstLineChars="202"/>
        <w:rPr>
          <w:rFonts w:ascii="宋体" w:cs="宋体"/>
          <w:kern w:val="0"/>
          <w:sz w:val="24"/>
          <w:szCs w:val="24"/>
          <w:highlight w:val="none"/>
        </w:rPr>
      </w:pPr>
      <w:r>
        <w:rPr>
          <w:rFonts w:hint="eastAsia" w:ascii="宋体" w:hAnsi="宋体" w:cs="宋体"/>
          <w:color w:val="000000"/>
          <w:sz w:val="24"/>
          <w:szCs w:val="24"/>
          <w:highlight w:val="none"/>
        </w:rPr>
        <w:t>一、</w:t>
      </w:r>
      <w:r>
        <w:rPr>
          <w:rFonts w:hint="eastAsia" w:ascii="宋体" w:hAnsi="宋体" w:cs="宋体"/>
          <w:color w:val="000000"/>
          <w:sz w:val="24"/>
          <w:szCs w:val="24"/>
          <w:highlight w:val="none"/>
          <w:lang w:eastAsia="zh-CN"/>
        </w:rPr>
        <w:t>成交供应商</w:t>
      </w:r>
      <w:r>
        <w:rPr>
          <w:rFonts w:hint="eastAsia" w:ascii="宋体" w:hAnsi="宋体" w:cs="宋体"/>
          <w:color w:val="000000"/>
          <w:sz w:val="24"/>
          <w:szCs w:val="24"/>
          <w:highlight w:val="none"/>
        </w:rPr>
        <w:t>在《成交通知书》发出后</w:t>
      </w:r>
      <w:r>
        <w:rPr>
          <w:rFonts w:ascii="宋体" w:hAnsi="宋体" w:cs="宋体"/>
          <w:color w:val="000000"/>
          <w:sz w:val="24"/>
          <w:szCs w:val="24"/>
          <w:highlight w:val="none"/>
        </w:rPr>
        <w:t>30</w:t>
      </w:r>
      <w:r>
        <w:rPr>
          <w:rFonts w:hint="eastAsia" w:ascii="宋体" w:hAnsi="宋体" w:cs="宋体"/>
          <w:color w:val="000000"/>
          <w:sz w:val="24"/>
          <w:szCs w:val="24"/>
          <w:highlight w:val="none"/>
        </w:rPr>
        <w:t>日内必须按照磋商文件确定的事项签订政府采购合同。合同一式肆份，采购人，供应商</w:t>
      </w:r>
      <w:r>
        <w:rPr>
          <w:rFonts w:hint="eastAsia" w:ascii="宋体" w:hAnsi="宋体"/>
          <w:sz w:val="24"/>
          <w:szCs w:val="24"/>
          <w:highlight w:val="none"/>
        </w:rPr>
        <w:t>各两份</w:t>
      </w:r>
      <w:r>
        <w:rPr>
          <w:rFonts w:hint="eastAsia" w:ascii="宋体" w:hAnsi="宋体" w:cs="宋体"/>
          <w:kern w:val="0"/>
          <w:sz w:val="24"/>
          <w:szCs w:val="24"/>
          <w:highlight w:val="none"/>
        </w:rPr>
        <w:t>。所签合同不得对磋商文件作实质性修改。采购单位不得向</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提出不合理的要求作为签订合同的条件，不得与</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私下订立背离磋商文件实质性内容的协议。</w:t>
      </w:r>
      <w:r>
        <w:rPr>
          <w:rFonts w:ascii="宋体" w:hAnsi="宋体" w:cs="宋体"/>
          <w:kern w:val="0"/>
          <w:sz w:val="24"/>
          <w:szCs w:val="24"/>
          <w:highlight w:val="none"/>
        </w:rPr>
        <w:t xml:space="preserve"> </w:t>
      </w:r>
    </w:p>
    <w:p>
      <w:pPr>
        <w:snapToGrid w:val="0"/>
        <w:spacing w:line="480" w:lineRule="exact"/>
        <w:ind w:firstLine="573"/>
        <w:rPr>
          <w:rFonts w:ascii="宋体" w:cs="宋体"/>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二、采购单位按合同约定积极配合</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履约，</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履约到位后，请以书面形式向采购单位提出验收申请，采购单位接到申请后原则上在</w:t>
      </w:r>
      <w:r>
        <w:rPr>
          <w:rFonts w:ascii="宋体" w:hAnsi="宋体" w:cs="宋体"/>
          <w:sz w:val="24"/>
          <w:szCs w:val="24"/>
          <w:highlight w:val="none"/>
        </w:rPr>
        <w:t>5</w:t>
      </w:r>
      <w:r>
        <w:rPr>
          <w:rFonts w:hint="eastAsia" w:ascii="宋体" w:hAnsi="宋体" w:cs="宋体"/>
          <w:sz w:val="24"/>
          <w:szCs w:val="24"/>
          <w:highlight w:val="none"/>
        </w:rPr>
        <w:t>个工作日内及时组织相关专业技术人员，必要时邀请质检等部门共同参与验收，并出具验收报告，验收合格的原则上</w:t>
      </w:r>
      <w:r>
        <w:rPr>
          <w:rFonts w:ascii="宋体" w:hAnsi="宋体" w:cs="宋体"/>
          <w:sz w:val="24"/>
          <w:szCs w:val="24"/>
          <w:highlight w:val="none"/>
        </w:rPr>
        <w:t>5</w:t>
      </w:r>
      <w:r>
        <w:rPr>
          <w:rFonts w:hint="eastAsia" w:ascii="宋体" w:hAnsi="宋体" w:cs="宋体"/>
          <w:sz w:val="24"/>
          <w:szCs w:val="24"/>
          <w:highlight w:val="none"/>
        </w:rPr>
        <w:t>个工作日内支付相应款项。</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三、采购单位故意推迟项目验收时间的，与</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串通或要求</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通过减少货物数量或降低服务标准的，在履行合同中采取更改配置、调换物品等手段的，要求</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出具虚假发票或任意更改销售发票的，谋取不正当利益的，承担相应的法律责任。</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四、</w:t>
      </w:r>
      <w:r>
        <w:rPr>
          <w:rFonts w:hint="eastAsia" w:ascii="宋体" w:hAnsi="宋体" w:cs="宋体"/>
          <w:sz w:val="24"/>
          <w:szCs w:val="24"/>
          <w:highlight w:val="none"/>
          <w:lang w:eastAsia="zh-CN"/>
        </w:rPr>
        <w:t>成交供应商</w:t>
      </w:r>
      <w:r>
        <w:rPr>
          <w:rFonts w:hint="eastAsia" w:ascii="宋体" w:hAnsi="宋体" w:cs="宋体"/>
          <w:sz w:val="24"/>
          <w:szCs w:val="24"/>
          <w:highlight w:val="none"/>
        </w:rPr>
        <w:t>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五、按政府采购合同约定支付的货款。</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六、不响应付款方式的，视同响应文件无效，按无效响应文件处理。</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七、付款方式详见磋商文件第五章。</w:t>
      </w:r>
    </w:p>
    <w:p>
      <w:pPr>
        <w:snapToGrid w:val="0"/>
        <w:spacing w:line="480" w:lineRule="exact"/>
        <w:ind w:firstLine="573"/>
        <w:rPr>
          <w:rFonts w:ascii="宋体" w:cs="宋体"/>
          <w:sz w:val="24"/>
          <w:szCs w:val="24"/>
          <w:highlight w:val="none"/>
        </w:rPr>
      </w:pPr>
      <w:r>
        <w:rPr>
          <w:rFonts w:hint="eastAsia" w:ascii="宋体" w:hAnsi="宋体" w:cs="宋体"/>
          <w:sz w:val="24"/>
          <w:szCs w:val="24"/>
          <w:highlight w:val="none"/>
        </w:rPr>
        <w:t>八、以上项目款的支付不计息。</w:t>
      </w:r>
    </w:p>
    <w:p>
      <w:pPr>
        <w:pStyle w:val="5"/>
        <w:keepNext w:val="0"/>
        <w:keepLines w:val="0"/>
        <w:snapToGrid w:val="0"/>
        <w:spacing w:before="0" w:after="0" w:line="360" w:lineRule="auto"/>
        <w:jc w:val="center"/>
        <w:rPr>
          <w:rFonts w:ascii="宋体" w:cs="宋体"/>
          <w:b w:val="0"/>
          <w:color w:val="000000"/>
          <w:sz w:val="24"/>
          <w:szCs w:val="24"/>
          <w:highlight w:val="none"/>
        </w:rPr>
      </w:pPr>
      <w:r>
        <w:rPr>
          <w:rFonts w:ascii="宋体" w:cs="宋体"/>
          <w:b w:val="0"/>
          <w:i/>
          <w:color w:val="000000"/>
          <w:sz w:val="24"/>
          <w:szCs w:val="24"/>
          <w:highlight w:val="none"/>
        </w:rPr>
        <w:br w:type="page"/>
      </w:r>
      <w:r>
        <w:rPr>
          <w:rFonts w:hint="eastAsia" w:ascii="宋体" w:hAnsi="宋体" w:cs="宋体"/>
          <w:color w:val="000000"/>
          <w:w w:val="80"/>
          <w:kern w:val="2"/>
          <w:szCs w:val="44"/>
          <w:highlight w:val="none"/>
        </w:rPr>
        <w:t>第</w:t>
      </w:r>
      <w:r>
        <w:rPr>
          <w:rFonts w:hint="eastAsia" w:ascii="宋体" w:hAnsi="宋体" w:cs="宋体"/>
          <w:color w:val="000000"/>
          <w:w w:val="80"/>
          <w:kern w:val="2"/>
          <w:szCs w:val="44"/>
          <w:highlight w:val="none"/>
          <w:lang w:val="en-US" w:eastAsia="zh-CN"/>
        </w:rPr>
        <w:t>六</w:t>
      </w:r>
      <w:r>
        <w:rPr>
          <w:rFonts w:hint="eastAsia" w:ascii="宋体" w:hAnsi="宋体" w:cs="宋体"/>
          <w:color w:val="000000"/>
          <w:w w:val="80"/>
          <w:kern w:val="2"/>
          <w:szCs w:val="44"/>
          <w:highlight w:val="none"/>
        </w:rPr>
        <w:t>章</w:t>
      </w:r>
      <w:r>
        <w:rPr>
          <w:rFonts w:ascii="宋体" w:hAnsi="宋体" w:cs="宋体"/>
          <w:color w:val="000000"/>
          <w:w w:val="80"/>
          <w:kern w:val="2"/>
          <w:szCs w:val="44"/>
          <w:highlight w:val="none"/>
        </w:rPr>
        <w:t xml:space="preserve"> </w:t>
      </w:r>
      <w:r>
        <w:rPr>
          <w:rFonts w:hint="eastAsia" w:ascii="宋体" w:hAnsi="宋体" w:cs="宋体"/>
          <w:color w:val="000000"/>
          <w:w w:val="80"/>
          <w:kern w:val="2"/>
          <w:szCs w:val="44"/>
          <w:highlight w:val="none"/>
        </w:rPr>
        <w:t>质疑提出和处理</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一、质疑的提出</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、质疑人必须是直接参加本次磋商活动的当事人。</w:t>
      </w:r>
    </w:p>
    <w:p>
      <w:pPr>
        <w:adjustRightInd w:val="0"/>
        <w:snapToGrid w:val="0"/>
        <w:spacing w:line="480" w:lineRule="exact"/>
        <w:ind w:firstLine="480" w:firstLineChars="200"/>
        <w:rPr>
          <w:rFonts w:ascii="宋体" w:cs="宋体"/>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、下载磋商文件的供应商应</w:t>
      </w:r>
      <w:r>
        <w:rPr>
          <w:rFonts w:hint="eastAsia" w:ascii="宋体" w:hAnsi="宋体" w:cs="宋体"/>
          <w:sz w:val="24"/>
          <w:szCs w:val="24"/>
          <w:highlight w:val="none"/>
        </w:rPr>
        <w:t>根据第二章“磋商供应商须知”中第一条第</w:t>
      </w:r>
      <w:r>
        <w:rPr>
          <w:rFonts w:ascii="宋体" w:hAnsi="宋体" w:cs="宋体"/>
          <w:sz w:val="24"/>
          <w:szCs w:val="24"/>
          <w:highlight w:val="none"/>
        </w:rPr>
        <w:t>4</w:t>
      </w:r>
      <w:r>
        <w:rPr>
          <w:rFonts w:hint="eastAsia" w:ascii="宋体" w:hAnsi="宋体" w:cs="宋体"/>
          <w:sz w:val="24"/>
          <w:szCs w:val="24"/>
          <w:highlight w:val="none"/>
        </w:rPr>
        <w:t>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adjustRightInd w:val="0"/>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600" w:firstLineChars="250"/>
        <w:rPr>
          <w:rFonts w:ascii="宋体" w:cs="宋体"/>
          <w:sz w:val="24"/>
          <w:szCs w:val="24"/>
          <w:highlight w:val="none"/>
        </w:rPr>
      </w:pPr>
      <w:r>
        <w:rPr>
          <w:rFonts w:hint="eastAsia" w:ascii="宋体" w:hAnsi="宋体" w:cs="宋体"/>
          <w:sz w:val="24"/>
          <w:szCs w:val="24"/>
          <w:highlight w:val="none"/>
        </w:rPr>
        <w:t>对不能提供相关佐证材料的、涉及商业秘密的、非书面形式的、非送达的、匿名的《质疑函》将不予受理。</w:t>
      </w:r>
    </w:p>
    <w:p>
      <w:pPr>
        <w:adjustRightInd w:val="0"/>
        <w:snapToGrid w:val="0"/>
        <w:spacing w:line="480" w:lineRule="exact"/>
        <w:ind w:firstLine="600" w:firstLineChars="250"/>
        <w:rPr>
          <w:rFonts w:ascii="宋体" w:cs="宋体"/>
          <w:sz w:val="24"/>
          <w:szCs w:val="24"/>
          <w:highlight w:val="none"/>
        </w:rPr>
      </w:pPr>
      <w:r>
        <w:rPr>
          <w:rFonts w:hint="eastAsia" w:ascii="宋体" w:hAnsi="宋体" w:cs="宋体"/>
          <w:sz w:val="24"/>
          <w:szCs w:val="24"/>
          <w:highlight w:val="none"/>
        </w:rPr>
        <w:t>相关佐证材料要具备客观性、关联性、合法性，无法查实的（如宣传册、媒体报道、猜测、推理等）不能作为佐证材料。</w:t>
      </w:r>
    </w:p>
    <w:p>
      <w:pPr>
        <w:adjustRightInd w:val="0"/>
        <w:snapToGrid w:val="0"/>
        <w:spacing w:line="480" w:lineRule="exact"/>
        <w:ind w:firstLine="600" w:firstLineChars="250"/>
        <w:rPr>
          <w:rFonts w:ascii="宋体" w:cs="宋体"/>
          <w:sz w:val="24"/>
          <w:szCs w:val="24"/>
          <w:highlight w:val="none"/>
        </w:rPr>
      </w:pPr>
      <w:r>
        <w:rPr>
          <w:rFonts w:hint="eastAsia" w:ascii="宋体" w:hAnsi="宋体" w:cs="宋体"/>
          <w:sz w:val="24"/>
          <w:szCs w:val="24"/>
          <w:highlight w:val="none"/>
        </w:rPr>
        <w:t>采购单位或采购代理机构不负责搜集相关佐证材料等工作。</w:t>
      </w:r>
    </w:p>
    <w:p>
      <w:pPr>
        <w:adjustRightInd w:val="0"/>
        <w:snapToGrid w:val="0"/>
        <w:spacing w:line="480" w:lineRule="exact"/>
        <w:ind w:firstLine="480" w:firstLineChars="200"/>
        <w:rPr>
          <w:rFonts w:ascii="宋体" w:cs="宋体"/>
          <w:sz w:val="24"/>
          <w:szCs w:val="24"/>
          <w:highlight w:val="none"/>
        </w:rPr>
      </w:pPr>
      <w:r>
        <w:rPr>
          <w:rFonts w:hint="eastAsia" w:ascii="宋体" w:hAnsi="宋体" w:cs="宋体"/>
          <w:sz w:val="24"/>
          <w:szCs w:val="24"/>
          <w:highlight w:val="none"/>
        </w:rPr>
        <w:t>二、《质疑函》的受理和回复</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、《质疑函》须由质疑人的</w:t>
      </w:r>
      <w:r>
        <w:rPr>
          <w:rFonts w:hint="eastAsia" w:ascii="宋体" w:hAnsi="宋体" w:cs="宋体"/>
          <w:sz w:val="24"/>
          <w:szCs w:val="24"/>
          <w:highlight w:val="none"/>
          <w:lang w:eastAsia="zh-CN"/>
        </w:rPr>
        <w:t>法定代表人</w:t>
      </w:r>
      <w:r>
        <w:rPr>
          <w:rFonts w:hint="eastAsia" w:ascii="宋体" w:hAnsi="宋体" w:cs="宋体"/>
          <w:sz w:val="24"/>
          <w:szCs w:val="24"/>
          <w:highlight w:val="none"/>
        </w:rPr>
        <w:t>或参加本次磋商被授权人</w:t>
      </w:r>
      <w:r>
        <w:rPr>
          <w:rFonts w:hint="eastAsia" w:ascii="宋体" w:hAnsi="宋体" w:cs="宋体"/>
          <w:color w:val="000000"/>
          <w:sz w:val="24"/>
          <w:szCs w:val="24"/>
          <w:highlight w:val="none"/>
        </w:rPr>
        <w:t>送达采购单位和采购代理机构。</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3</w:t>
      </w:r>
      <w:r>
        <w:rPr>
          <w:rFonts w:hint="eastAsia" w:ascii="宋体" w:hAnsi="宋体" w:cs="宋体"/>
          <w:color w:val="000000"/>
          <w:sz w:val="24"/>
          <w:szCs w:val="24"/>
          <w:highlight w:val="none"/>
        </w:rPr>
        <w:t>、对不符合提出质疑要求的，出具《质疑退回通知书》并提出相关补充材料要求，质疑人未在规定的时间内提供补充佐证材料的，视同放弃质疑。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三、质疑处理</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、质疑成立的处理。采购单位或采购代理机构终止采购，并建议有关部门给相关当事人予以处理。</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、质疑不成立的处理。</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）质疑人书面《申请撤回质疑函》的，不作违约处理。</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）质疑人在规定的时间内不配合进行质疑调查处理的，按自动撤回《质疑函》处理。</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3</w:t>
      </w:r>
      <w:r>
        <w:rPr>
          <w:rFonts w:hint="eastAsia" w:ascii="宋体" w:hAnsi="宋体" w:cs="宋体"/>
          <w:color w:val="000000"/>
          <w:sz w:val="24"/>
          <w:szCs w:val="24"/>
          <w:highlight w:val="none"/>
        </w:rPr>
        <w:t>）质疑人不按《质疑函》格式就提出质疑的，作违约处理。同时，视情列入不良供应商名单。</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5</w:t>
      </w:r>
      <w:r>
        <w:rPr>
          <w:rFonts w:hint="eastAsia" w:ascii="宋体" w:hAnsi="宋体" w:cs="宋体"/>
          <w:color w:val="000000"/>
          <w:sz w:val="24"/>
          <w:szCs w:val="24"/>
          <w:highlight w:val="none"/>
        </w:rPr>
        <w:t>）质疑人不能提供相关佐证材料的，采购单位、采购代理机构已指出，质疑人仍然坚持提出质疑的，作违约处理。同时，列入不良供应商名单。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6</w:t>
      </w:r>
      <w:r>
        <w:rPr>
          <w:rFonts w:hint="eastAsia" w:ascii="宋体" w:hAnsi="宋体" w:cs="宋体"/>
          <w:color w:val="000000"/>
          <w:sz w:val="24"/>
          <w:szCs w:val="24"/>
          <w:highlight w:val="none"/>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color w:val="000000"/>
          <w:sz w:val="24"/>
          <w:szCs w:val="24"/>
          <w:highlight w:val="none"/>
        </w:rPr>
        <w:t>1</w:t>
      </w:r>
      <w:r>
        <w:rPr>
          <w:rFonts w:hint="eastAsia" w:ascii="宋体" w:hAnsi="宋体" w:cs="宋体"/>
          <w:color w:val="000000"/>
          <w:sz w:val="24"/>
          <w:szCs w:val="24"/>
          <w:highlight w:val="none"/>
        </w:rPr>
        <w:t>年内禁入本区域内的政府采购活动的违约处理，依次类推；视情在相关媒体予以披露。</w:t>
      </w:r>
    </w:p>
    <w:p>
      <w:pPr>
        <w:adjustRightInd w:val="0"/>
        <w:snapToGrid w:val="0"/>
        <w:spacing w:line="48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7</w:t>
      </w:r>
      <w:r>
        <w:rPr>
          <w:rFonts w:hint="eastAsia" w:ascii="宋体" w:hAnsi="宋体" w:cs="宋体"/>
          <w:color w:val="000000"/>
          <w:sz w:val="24"/>
          <w:szCs w:val="24"/>
          <w:highlight w:val="none"/>
        </w:rPr>
        <w:t>）质疑人承担使用虚假材料或恶意方式质疑的法律责任。</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四、无佐证材料的举报作违约处理。供应商不得进行不提供相关佐证材料（含无法查实的如宣传册、媒体报道、猜测、推理等）向有关部门的举报，否则作违约处理。同时对其在</w:t>
      </w:r>
      <w:r>
        <w:rPr>
          <w:rFonts w:ascii="宋体" w:hAnsi="宋体" w:cs="宋体"/>
          <w:color w:val="000000"/>
          <w:sz w:val="24"/>
          <w:szCs w:val="24"/>
          <w:highlight w:val="none"/>
        </w:rPr>
        <w:t>1</w:t>
      </w:r>
      <w:r>
        <w:rPr>
          <w:rFonts w:hint="eastAsia" w:ascii="宋体" w:hAnsi="宋体" w:cs="宋体"/>
          <w:color w:val="000000"/>
          <w:sz w:val="24"/>
          <w:szCs w:val="24"/>
          <w:highlight w:val="none"/>
        </w:rPr>
        <w:t>至</w:t>
      </w:r>
      <w:r>
        <w:rPr>
          <w:rFonts w:ascii="宋体" w:hAnsi="宋体" w:cs="宋体"/>
          <w:color w:val="000000"/>
          <w:sz w:val="24"/>
          <w:szCs w:val="24"/>
          <w:highlight w:val="none"/>
        </w:rPr>
        <w:t>3</w:t>
      </w:r>
      <w:r>
        <w:rPr>
          <w:rFonts w:hint="eastAsia" w:ascii="宋体" w:hAnsi="宋体" w:cs="宋体"/>
          <w:color w:val="000000"/>
          <w:sz w:val="24"/>
          <w:szCs w:val="24"/>
          <w:highlight w:val="none"/>
        </w:rPr>
        <w:t>年内禁入由采购单位组织的政府采购活动的违约处理。</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五、投诉不成立的作违约处理。供应商进行质疑后，采购单位回复质疑不成立，供应商仍进行投诉的，并最终投诉不成立的，作违约处理。采购单位有权对其在</w:t>
      </w:r>
      <w:r>
        <w:rPr>
          <w:rFonts w:ascii="宋体" w:hAnsi="宋体" w:cs="宋体"/>
          <w:color w:val="000000"/>
          <w:sz w:val="24"/>
          <w:szCs w:val="24"/>
          <w:highlight w:val="none"/>
        </w:rPr>
        <w:t>1</w:t>
      </w:r>
      <w:r>
        <w:rPr>
          <w:rFonts w:hint="eastAsia" w:ascii="宋体" w:hAnsi="宋体" w:cs="宋体"/>
          <w:color w:val="000000"/>
          <w:sz w:val="24"/>
          <w:szCs w:val="24"/>
          <w:highlight w:val="none"/>
        </w:rPr>
        <w:t>至</w:t>
      </w:r>
      <w:r>
        <w:rPr>
          <w:rFonts w:ascii="宋体" w:hAnsi="宋体" w:cs="宋体"/>
          <w:color w:val="000000"/>
          <w:sz w:val="24"/>
          <w:szCs w:val="24"/>
          <w:highlight w:val="none"/>
        </w:rPr>
        <w:t>3</w:t>
      </w:r>
      <w:r>
        <w:rPr>
          <w:rFonts w:hint="eastAsia" w:ascii="宋体" w:hAnsi="宋体" w:cs="宋体"/>
          <w:color w:val="000000"/>
          <w:sz w:val="24"/>
          <w:szCs w:val="24"/>
          <w:highlight w:val="none"/>
        </w:rPr>
        <w:t>年内禁入由采购单位组织的政府采购活动的违约处理。</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六、《质疑函》《质疑回复函》，质疑、举报、投诉不成立的等相关情况，视情在相关媒体予以披露。并建议相关政府采购机构对该供应商同步实施</w:t>
      </w:r>
      <w:r>
        <w:rPr>
          <w:rFonts w:ascii="宋体" w:hAnsi="宋体" w:cs="宋体"/>
          <w:color w:val="000000"/>
          <w:sz w:val="24"/>
          <w:szCs w:val="24"/>
          <w:highlight w:val="none"/>
        </w:rPr>
        <w:t>1</w:t>
      </w:r>
      <w:r>
        <w:rPr>
          <w:rFonts w:hint="eastAsia" w:ascii="宋体" w:hAnsi="宋体" w:cs="宋体"/>
          <w:color w:val="000000"/>
          <w:sz w:val="24"/>
          <w:szCs w:val="24"/>
          <w:highlight w:val="none"/>
        </w:rPr>
        <w:t>至</w:t>
      </w:r>
      <w:r>
        <w:rPr>
          <w:rFonts w:ascii="宋体" w:hAnsi="宋体" w:cs="宋体"/>
          <w:color w:val="000000"/>
          <w:sz w:val="24"/>
          <w:szCs w:val="24"/>
          <w:highlight w:val="none"/>
        </w:rPr>
        <w:t>3</w:t>
      </w:r>
      <w:r>
        <w:rPr>
          <w:rFonts w:hint="eastAsia" w:ascii="宋体" w:hAnsi="宋体" w:cs="宋体"/>
          <w:color w:val="000000"/>
          <w:sz w:val="24"/>
          <w:szCs w:val="24"/>
          <w:highlight w:val="none"/>
        </w:rPr>
        <w:t>年内禁入。</w:t>
      </w:r>
    </w:p>
    <w:p>
      <w:pPr>
        <w:adjustRightInd w:val="0"/>
        <w:snapToGrid w:val="0"/>
        <w:spacing w:line="48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七、质疑供应商对采购单位或代理机构的答复不满意或者采购单位或代理机构未在规定的时间内作出答复的，可以在答复期满后</w:t>
      </w:r>
      <w:r>
        <w:rPr>
          <w:rFonts w:ascii="宋体" w:hAnsi="宋体" w:cs="宋体"/>
          <w:color w:val="000000"/>
          <w:sz w:val="24"/>
          <w:szCs w:val="24"/>
          <w:highlight w:val="none"/>
        </w:rPr>
        <w:t>15</w:t>
      </w:r>
      <w:r>
        <w:rPr>
          <w:rFonts w:hint="eastAsia" w:ascii="宋体" w:hAnsi="宋体" w:cs="宋体"/>
          <w:color w:val="000000"/>
          <w:sz w:val="24"/>
          <w:szCs w:val="24"/>
          <w:highlight w:val="none"/>
        </w:rPr>
        <w:t>个工作日内向政府采购监督管理部门投诉。</w:t>
      </w:r>
    </w:p>
    <w:bookmarkEnd w:id="71"/>
    <w:bookmarkEnd w:id="72"/>
    <w:p>
      <w:pPr>
        <w:pStyle w:val="5"/>
        <w:keepNext w:val="0"/>
        <w:keepLines w:val="0"/>
        <w:snapToGrid w:val="0"/>
        <w:spacing w:before="0" w:afterLines="50" w:line="520" w:lineRule="exact"/>
        <w:ind w:left="420"/>
        <w:jc w:val="center"/>
        <w:rPr>
          <w:rFonts w:ascii="宋体" w:cs="宋体"/>
          <w:sz w:val="24"/>
          <w:szCs w:val="24"/>
          <w:highlight w:val="none"/>
        </w:rPr>
      </w:pPr>
      <w:bookmarkStart w:id="73" w:name="_Toc363573860"/>
      <w:r>
        <w:rPr>
          <w:rFonts w:ascii="宋体" w:cs="宋体"/>
          <w:color w:val="000000"/>
          <w:w w:val="80"/>
          <w:sz w:val="24"/>
          <w:szCs w:val="24"/>
          <w:highlight w:val="none"/>
        </w:rPr>
        <w:br w:type="page"/>
      </w:r>
      <w:r>
        <w:rPr>
          <w:rFonts w:hint="eastAsia" w:ascii="宋体" w:hAnsi="宋体" w:cs="宋体"/>
          <w:color w:val="000000"/>
          <w:w w:val="80"/>
          <w:kern w:val="2"/>
          <w:szCs w:val="44"/>
          <w:highlight w:val="none"/>
        </w:rPr>
        <w:t>第</w:t>
      </w:r>
      <w:r>
        <w:rPr>
          <w:rFonts w:hint="eastAsia" w:ascii="宋体" w:hAnsi="宋体" w:cs="宋体"/>
          <w:color w:val="000000"/>
          <w:w w:val="80"/>
          <w:kern w:val="2"/>
          <w:szCs w:val="44"/>
          <w:highlight w:val="none"/>
          <w:lang w:val="en-US" w:eastAsia="zh-CN"/>
        </w:rPr>
        <w:t>七</w:t>
      </w:r>
      <w:r>
        <w:rPr>
          <w:rFonts w:hint="eastAsia" w:ascii="宋体" w:hAnsi="宋体" w:cs="宋体"/>
          <w:color w:val="000000"/>
          <w:w w:val="80"/>
          <w:kern w:val="2"/>
          <w:szCs w:val="44"/>
          <w:highlight w:val="none"/>
        </w:rPr>
        <w:t>章</w:t>
      </w:r>
      <w:r>
        <w:rPr>
          <w:rFonts w:ascii="宋体" w:hAnsi="宋体" w:cs="宋体"/>
          <w:color w:val="000000"/>
          <w:w w:val="80"/>
          <w:kern w:val="2"/>
          <w:szCs w:val="44"/>
          <w:highlight w:val="none"/>
        </w:rPr>
        <w:t xml:space="preserve">  </w:t>
      </w:r>
      <w:r>
        <w:rPr>
          <w:rFonts w:hint="eastAsia" w:ascii="宋体" w:hAnsi="宋体" w:cs="宋体"/>
          <w:color w:val="000000"/>
          <w:w w:val="80"/>
          <w:kern w:val="2"/>
          <w:szCs w:val="44"/>
          <w:highlight w:val="none"/>
        </w:rPr>
        <w:t>响应文件组成及格式</w:t>
      </w:r>
      <w:bookmarkEnd w:id="73"/>
    </w:p>
    <w:p>
      <w:pPr>
        <w:keepNext w:val="0"/>
        <w:keepLines w:val="0"/>
        <w:pageBreakBefore w:val="0"/>
        <w:widowControl/>
        <w:kinsoku/>
        <w:wordWrap/>
        <w:overflowPunct/>
        <w:topLinePunct w:val="0"/>
        <w:autoSpaceDE/>
        <w:autoSpaceDN/>
        <w:bidi w:val="0"/>
        <w:snapToGrid w:val="0"/>
        <w:spacing w:line="360" w:lineRule="auto"/>
        <w:ind w:firstLine="472" w:firstLineChars="196"/>
        <w:jc w:val="left"/>
        <w:textAlignment w:val="auto"/>
        <w:rPr>
          <w:rFonts w:ascii="宋体"/>
          <w:b/>
          <w:sz w:val="24"/>
          <w:szCs w:val="24"/>
          <w:highlight w:val="none"/>
        </w:rPr>
      </w:pPr>
      <w:r>
        <w:rPr>
          <w:rFonts w:hint="eastAsia" w:ascii="宋体" w:hAnsi="宋体"/>
          <w:b/>
          <w:sz w:val="24"/>
          <w:szCs w:val="24"/>
          <w:highlight w:val="none"/>
        </w:rPr>
        <w:t>响应文件由资格审查文件、技术响应文件、商务报价响应文件三部分组成。本次竞争性磋商采用资格后审方式，供应商须将资格审查文件作为响应文件组成部分，按磋商文件要求装订密封后一起递交。</w:t>
      </w:r>
    </w:p>
    <w:p>
      <w:pPr>
        <w:keepNext w:val="0"/>
        <w:keepLines w:val="0"/>
        <w:pageBreakBefore w:val="0"/>
        <w:widowControl/>
        <w:kinsoku/>
        <w:wordWrap/>
        <w:overflowPunct/>
        <w:topLinePunct w:val="0"/>
        <w:autoSpaceDE/>
        <w:autoSpaceDN/>
        <w:bidi w:val="0"/>
        <w:snapToGrid w:val="0"/>
        <w:spacing w:line="360" w:lineRule="auto"/>
        <w:ind w:firstLine="472" w:firstLineChars="196"/>
        <w:jc w:val="left"/>
        <w:textAlignment w:val="auto"/>
        <w:rPr>
          <w:rFonts w:ascii="宋体"/>
          <w:b/>
          <w:color w:val="0000FF"/>
          <w:sz w:val="24"/>
          <w:szCs w:val="24"/>
          <w:highlight w:val="none"/>
        </w:rPr>
      </w:pPr>
      <w:r>
        <w:rPr>
          <w:rFonts w:hint="eastAsia" w:ascii="宋体" w:hAnsi="宋体"/>
          <w:b/>
          <w:sz w:val="24"/>
          <w:szCs w:val="24"/>
          <w:highlight w:val="none"/>
        </w:rPr>
        <w:t>一、资格审查文件</w:t>
      </w:r>
      <w:r>
        <w:rPr>
          <w:rFonts w:hint="eastAsia" w:ascii="宋体" w:hAnsi="宋体" w:cs="宋体"/>
          <w:b/>
          <w:color w:val="000000"/>
          <w:sz w:val="24"/>
          <w:szCs w:val="24"/>
          <w:highlight w:val="none"/>
          <w:lang w:val="zh-CN"/>
        </w:rPr>
        <w:t>（</w:t>
      </w:r>
      <w:r>
        <w:rPr>
          <w:rFonts w:hint="eastAsia" w:ascii="宋体" w:hAnsi="宋体" w:cs="宋体"/>
          <w:b/>
          <w:bCs/>
          <w:sz w:val="24"/>
          <w:szCs w:val="24"/>
          <w:highlight w:val="none"/>
        </w:rPr>
        <w:t>单独密封</w:t>
      </w:r>
      <w:r>
        <w:rPr>
          <w:rFonts w:hint="eastAsia" w:ascii="宋体" w:hAnsi="宋体" w:cs="宋体"/>
          <w:b/>
          <w:color w:val="000000"/>
          <w:sz w:val="24"/>
          <w:szCs w:val="24"/>
          <w:highlight w:val="none"/>
          <w:lang w:val="zh-CN"/>
        </w:rPr>
        <w:t>）</w:t>
      </w:r>
    </w:p>
    <w:p>
      <w:pPr>
        <w:numPr>
          <w:ilvl w:val="0"/>
          <w:numId w:val="0"/>
        </w:numPr>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color w:val="000000"/>
          <w:sz w:val="24"/>
          <w:szCs w:val="24"/>
          <w:highlight w:val="none"/>
          <w:lang w:val="en-US" w:eastAsia="zh-CN"/>
        </w:rPr>
        <w:t>1、</w:t>
      </w:r>
      <w:r>
        <w:rPr>
          <w:rFonts w:hint="eastAsia" w:hAnsi="宋体"/>
          <w:sz w:val="24"/>
          <w:szCs w:val="24"/>
          <w:highlight w:val="none"/>
        </w:rPr>
        <w:t>投标供应商必须具有独立的法人资格，提供有效的营业执照</w:t>
      </w:r>
      <w:r>
        <w:rPr>
          <w:rFonts w:hint="eastAsia" w:hAnsi="宋体"/>
          <w:sz w:val="24"/>
          <w:szCs w:val="24"/>
          <w:highlight w:val="none"/>
          <w:lang w:val="en-US" w:eastAsia="zh-CN"/>
        </w:rPr>
        <w:t>复印件</w:t>
      </w:r>
      <w:r>
        <w:rPr>
          <w:rFonts w:hint="eastAsia" w:hAnsi="宋体"/>
          <w:sz w:val="24"/>
          <w:szCs w:val="24"/>
          <w:highlight w:val="none"/>
        </w:rPr>
        <w:t>及税务登记证</w:t>
      </w:r>
      <w:r>
        <w:rPr>
          <w:rFonts w:hint="eastAsia" w:hAnsi="宋体"/>
          <w:sz w:val="24"/>
          <w:szCs w:val="24"/>
          <w:highlight w:val="none"/>
          <w:lang w:val="en-US" w:eastAsia="zh-CN"/>
        </w:rPr>
        <w:t>复印件</w:t>
      </w:r>
      <w:r>
        <w:rPr>
          <w:rFonts w:hint="eastAsia" w:hAnsi="宋体"/>
          <w:sz w:val="24"/>
          <w:szCs w:val="24"/>
          <w:highlight w:val="none"/>
        </w:rPr>
        <w:t>（或者是三证合一的营业执照</w:t>
      </w:r>
      <w:r>
        <w:rPr>
          <w:rFonts w:hint="eastAsia" w:hAnsi="宋体"/>
          <w:sz w:val="24"/>
          <w:szCs w:val="24"/>
          <w:highlight w:val="none"/>
          <w:lang w:val="en-US" w:eastAsia="zh-CN"/>
        </w:rPr>
        <w:t>复印件</w:t>
      </w:r>
      <w:r>
        <w:rPr>
          <w:rFonts w:hint="eastAsia" w:hAnsi="宋体"/>
          <w:sz w:val="24"/>
          <w:szCs w:val="24"/>
          <w:highlight w:val="none"/>
        </w:rPr>
        <w:t>），有能力提供本次采购项目所要求的服务。</w:t>
      </w:r>
    </w:p>
    <w:p>
      <w:pPr>
        <w:numPr>
          <w:ilvl w:val="0"/>
          <w:numId w:val="0"/>
        </w:numPr>
        <w:snapToGrid w:val="0"/>
        <w:spacing w:line="360" w:lineRule="auto"/>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2、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与投标供应商签订的有效劳动合同复印件】。</w:t>
      </w:r>
    </w:p>
    <w:p>
      <w:pPr>
        <w:numPr>
          <w:ilvl w:val="0"/>
          <w:numId w:val="0"/>
        </w:numPr>
        <w:snapToGrid w:val="0"/>
        <w:spacing w:line="360" w:lineRule="auto"/>
        <w:ind w:firstLine="480" w:firstLine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3、投标供应商须提供参与本次项目政府采购活动前三年内，在经营活动中没有重大违法记录的书面《无重大违法记录声明函》（格式参见第七章）。</w:t>
      </w:r>
    </w:p>
    <w:p>
      <w:pPr>
        <w:numPr>
          <w:ilvl w:val="0"/>
          <w:numId w:val="0"/>
        </w:numPr>
        <w:snapToGrid w:val="0"/>
        <w:spacing w:line="360" w:lineRule="auto"/>
        <w:ind w:leftChars="200"/>
        <w:jc w:val="left"/>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4、关于资格文件的声明函（格式参见第七章）。</w:t>
      </w:r>
    </w:p>
    <w:p>
      <w:pPr>
        <w:keepNext w:val="0"/>
        <w:keepLines w:val="0"/>
        <w:pageBreakBefore w:val="0"/>
        <w:widowControl/>
        <w:kinsoku/>
        <w:wordWrap/>
        <w:overflowPunct/>
        <w:topLinePunct w:val="0"/>
        <w:autoSpaceDE/>
        <w:autoSpaceDN/>
        <w:bidi w:val="0"/>
        <w:snapToGrid w:val="0"/>
        <w:spacing w:line="360" w:lineRule="auto"/>
        <w:ind w:firstLine="470" w:firstLineChars="196"/>
        <w:jc w:val="left"/>
        <w:textAlignment w:val="auto"/>
        <w:rPr>
          <w:rFonts w:ascii="宋体" w:cs="宋体"/>
          <w:sz w:val="24"/>
          <w:szCs w:val="24"/>
          <w:highlight w:val="none"/>
        </w:rPr>
      </w:pPr>
      <w:r>
        <w:rPr>
          <w:rFonts w:hint="eastAsia" w:ascii="宋体" w:hAnsi="宋体" w:cs="宋体"/>
          <w:sz w:val="24"/>
          <w:szCs w:val="24"/>
          <w:highlight w:val="none"/>
        </w:rPr>
        <w:t>注：以上材料如为复印件均需加盖单位公章。</w:t>
      </w:r>
    </w:p>
    <w:p>
      <w:pPr>
        <w:keepNext w:val="0"/>
        <w:keepLines w:val="0"/>
        <w:pageBreakBefore w:val="0"/>
        <w:widowControl/>
        <w:kinsoku/>
        <w:wordWrap/>
        <w:overflowPunct/>
        <w:topLinePunct w:val="0"/>
        <w:autoSpaceDE/>
        <w:autoSpaceDN/>
        <w:bidi w:val="0"/>
        <w:snapToGrid w:val="0"/>
        <w:spacing w:line="360" w:lineRule="auto"/>
        <w:ind w:firstLine="472" w:firstLineChars="196"/>
        <w:jc w:val="left"/>
        <w:textAlignment w:val="auto"/>
        <w:rPr>
          <w:rFonts w:ascii="宋体"/>
          <w:b/>
          <w:sz w:val="24"/>
          <w:szCs w:val="24"/>
          <w:highlight w:val="none"/>
        </w:rPr>
      </w:pPr>
      <w:r>
        <w:rPr>
          <w:rFonts w:hint="eastAsia" w:ascii="宋体" w:hAnsi="宋体"/>
          <w:b/>
          <w:sz w:val="24"/>
          <w:szCs w:val="24"/>
          <w:highlight w:val="none"/>
        </w:rPr>
        <w:t>二、技术响应文件（单独密封）</w:t>
      </w:r>
    </w:p>
    <w:p>
      <w:pPr>
        <w:keepNext w:val="0"/>
        <w:keepLines w:val="0"/>
        <w:pageBreakBefore w:val="0"/>
        <w:widowControl/>
        <w:kinsoku/>
        <w:wordWrap/>
        <w:overflowPunct/>
        <w:topLinePunct w:val="0"/>
        <w:autoSpaceDE/>
        <w:autoSpaceDN/>
        <w:bidi w:val="0"/>
        <w:snapToGrid w:val="0"/>
        <w:spacing w:line="360" w:lineRule="auto"/>
        <w:ind w:firstLine="470" w:firstLineChars="196"/>
        <w:jc w:val="left"/>
        <w:textAlignment w:val="auto"/>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、竞争性磋商响应函（</w:t>
      </w:r>
      <w:r>
        <w:rPr>
          <w:rFonts w:hint="eastAsia" w:ascii="宋体" w:hAnsi="宋体"/>
          <w:sz w:val="24"/>
          <w:szCs w:val="24"/>
          <w:highlight w:val="none"/>
          <w:lang w:eastAsia="zh-CN"/>
        </w:rPr>
        <w:t>格式参见第七章</w:t>
      </w:r>
      <w:r>
        <w:rPr>
          <w:rFonts w:hint="eastAsia" w:ascii="宋体" w:hAnsi="宋体"/>
          <w:sz w:val="24"/>
          <w:szCs w:val="24"/>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65"/>
        <w:jc w:val="left"/>
        <w:textAlignment w:val="auto"/>
        <w:rPr>
          <w:rFonts w:ascii="宋体"/>
          <w:b/>
          <w:bCs/>
          <w:sz w:val="24"/>
          <w:szCs w:val="24"/>
          <w:highlight w:val="none"/>
        </w:rPr>
      </w:pPr>
      <w:r>
        <w:rPr>
          <w:rFonts w:ascii="宋体" w:hAnsi="宋体"/>
          <w:sz w:val="24"/>
          <w:szCs w:val="24"/>
          <w:highlight w:val="none"/>
        </w:rPr>
        <w:t>2</w:t>
      </w:r>
      <w:r>
        <w:rPr>
          <w:rFonts w:hint="eastAsia" w:ascii="宋体" w:hAnsi="宋体"/>
          <w:sz w:val="24"/>
          <w:szCs w:val="24"/>
          <w:highlight w:val="none"/>
        </w:rPr>
        <w:t>、</w:t>
      </w:r>
      <w:r>
        <w:rPr>
          <w:rFonts w:hint="eastAsia" w:ascii="宋体" w:hAnsi="宋体"/>
          <w:b/>
          <w:bCs/>
          <w:sz w:val="24"/>
          <w:szCs w:val="24"/>
          <w:highlight w:val="none"/>
        </w:rPr>
        <w:t>评标办法中所涉及的事项需提供的所有资料；</w:t>
      </w:r>
    </w:p>
    <w:p>
      <w:pPr>
        <w:keepNext w:val="0"/>
        <w:keepLines w:val="0"/>
        <w:pageBreakBefore w:val="0"/>
        <w:widowControl/>
        <w:kinsoku/>
        <w:wordWrap/>
        <w:overflowPunct/>
        <w:topLinePunct w:val="0"/>
        <w:autoSpaceDE/>
        <w:autoSpaceDN/>
        <w:bidi w:val="0"/>
        <w:snapToGrid w:val="0"/>
        <w:spacing w:line="360" w:lineRule="auto"/>
        <w:ind w:firstLine="470" w:firstLineChars="196"/>
        <w:jc w:val="left"/>
        <w:textAlignment w:val="auto"/>
        <w:rPr>
          <w:rFonts w:ascii="宋体"/>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、评标办法中未涉及的事项，供应商认为需要提交的其他资料；</w:t>
      </w:r>
    </w:p>
    <w:p>
      <w:pPr>
        <w:keepNext w:val="0"/>
        <w:keepLines w:val="0"/>
        <w:pageBreakBefore w:val="0"/>
        <w:widowControl/>
        <w:kinsoku/>
        <w:wordWrap/>
        <w:overflowPunct/>
        <w:topLinePunct w:val="0"/>
        <w:autoSpaceDE/>
        <w:autoSpaceDN/>
        <w:bidi w:val="0"/>
        <w:snapToGrid w:val="0"/>
        <w:spacing w:line="360" w:lineRule="auto"/>
        <w:ind w:firstLine="470" w:firstLineChars="196"/>
        <w:jc w:val="left"/>
        <w:textAlignment w:val="auto"/>
        <w:rPr>
          <w:rFonts w:ascii="宋体"/>
          <w:sz w:val="24"/>
          <w:szCs w:val="24"/>
          <w:highlight w:val="none"/>
        </w:rPr>
      </w:pPr>
      <w:r>
        <w:rPr>
          <w:rFonts w:hint="eastAsia" w:ascii="宋体" w:hAnsi="宋体"/>
          <w:sz w:val="24"/>
          <w:szCs w:val="24"/>
          <w:highlight w:val="none"/>
          <w:lang w:val="en-US" w:eastAsia="zh-CN"/>
        </w:rPr>
        <w:t>4</w:t>
      </w:r>
      <w:r>
        <w:rPr>
          <w:rFonts w:hint="eastAsia" w:ascii="宋体" w:hAnsi="宋体"/>
          <w:sz w:val="24"/>
          <w:szCs w:val="24"/>
          <w:highlight w:val="none"/>
        </w:rPr>
        <w:t>、磋商文件中要求提供的其他材料。</w:t>
      </w:r>
    </w:p>
    <w:p>
      <w:pPr>
        <w:keepNext w:val="0"/>
        <w:keepLines w:val="0"/>
        <w:pageBreakBefore w:val="0"/>
        <w:widowControl/>
        <w:kinsoku/>
        <w:wordWrap/>
        <w:overflowPunct/>
        <w:topLinePunct w:val="0"/>
        <w:autoSpaceDE/>
        <w:autoSpaceDN/>
        <w:bidi w:val="0"/>
        <w:snapToGrid w:val="0"/>
        <w:spacing w:line="360" w:lineRule="auto"/>
        <w:ind w:firstLine="470" w:firstLineChars="196"/>
        <w:jc w:val="left"/>
        <w:textAlignment w:val="auto"/>
        <w:rPr>
          <w:rFonts w:ascii="宋体" w:cs="宋体"/>
          <w:bCs/>
          <w:color w:val="000000"/>
          <w:sz w:val="24"/>
          <w:szCs w:val="24"/>
          <w:highlight w:val="none"/>
        </w:rPr>
      </w:pPr>
      <w:r>
        <w:rPr>
          <w:rFonts w:hint="eastAsia" w:ascii="宋体" w:hAnsi="宋体"/>
          <w:sz w:val="24"/>
          <w:szCs w:val="24"/>
          <w:highlight w:val="none"/>
        </w:rPr>
        <w:t>注：为方便评委评审，请供应商按评标办法中所涉及的事项顺序进行编制，可以补充相</w:t>
      </w:r>
      <w:r>
        <w:rPr>
          <w:rFonts w:hint="eastAsia" w:ascii="宋体" w:hAnsi="宋体" w:cs="宋体"/>
          <w:color w:val="000000"/>
          <w:sz w:val="24"/>
          <w:szCs w:val="24"/>
          <w:highlight w:val="none"/>
        </w:rPr>
        <w:t>关材料；</w:t>
      </w:r>
    </w:p>
    <w:p>
      <w:pPr>
        <w:keepNext w:val="0"/>
        <w:keepLines w:val="0"/>
        <w:pageBreakBefore w:val="0"/>
        <w:kinsoku/>
        <w:wordWrap/>
        <w:overflowPunct/>
        <w:topLinePunct w:val="0"/>
        <w:autoSpaceDE/>
        <w:autoSpaceDN/>
        <w:bidi w:val="0"/>
        <w:adjustRightInd w:val="0"/>
        <w:snapToGrid w:val="0"/>
        <w:spacing w:line="360" w:lineRule="auto"/>
        <w:ind w:firstLine="482" w:firstLineChars="200"/>
        <w:jc w:val="left"/>
        <w:textAlignment w:val="auto"/>
        <w:rPr>
          <w:rFonts w:ascii="宋体" w:cs="宋体"/>
          <w:b/>
          <w:color w:val="000000"/>
          <w:sz w:val="24"/>
          <w:szCs w:val="24"/>
          <w:highlight w:val="none"/>
          <w:lang w:val="zh-CN"/>
        </w:rPr>
      </w:pPr>
      <w:r>
        <w:rPr>
          <w:rFonts w:hint="eastAsia" w:ascii="宋体" w:hAnsi="宋体"/>
          <w:b/>
          <w:sz w:val="24"/>
          <w:szCs w:val="24"/>
          <w:highlight w:val="none"/>
          <w:lang w:val="zh-CN"/>
        </w:rPr>
        <w:t>三、</w:t>
      </w:r>
      <w:r>
        <w:rPr>
          <w:rFonts w:hint="eastAsia" w:ascii="宋体" w:hAnsi="宋体"/>
          <w:b/>
          <w:sz w:val="24"/>
          <w:szCs w:val="24"/>
          <w:highlight w:val="none"/>
        </w:rPr>
        <w:t>商务报价响应文件</w:t>
      </w:r>
      <w:r>
        <w:rPr>
          <w:rFonts w:hint="eastAsia" w:ascii="宋体" w:hAnsi="宋体"/>
          <w:b/>
          <w:sz w:val="24"/>
          <w:szCs w:val="24"/>
          <w:highlight w:val="none"/>
          <w:lang w:val="zh-CN"/>
        </w:rPr>
        <w:t>（</w:t>
      </w:r>
      <w:r>
        <w:rPr>
          <w:rFonts w:hint="eastAsia" w:ascii="宋体" w:hAnsi="宋体" w:cs="宋体"/>
          <w:b/>
          <w:bCs/>
          <w:sz w:val="24"/>
          <w:szCs w:val="24"/>
          <w:highlight w:val="none"/>
        </w:rPr>
        <w:t>单独密封</w:t>
      </w:r>
      <w:r>
        <w:rPr>
          <w:rFonts w:hint="eastAsia" w:ascii="宋体" w:hAnsi="宋体" w:cs="宋体"/>
          <w:b/>
          <w:color w:val="000000"/>
          <w:sz w:val="24"/>
          <w:szCs w:val="24"/>
          <w:highlight w:val="none"/>
          <w:lang w:val="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bCs/>
          <w:color w:val="000000"/>
          <w:sz w:val="24"/>
          <w:szCs w:val="24"/>
          <w:highlight w:val="none"/>
          <w:lang w:val="zh-CN"/>
        </w:rPr>
      </w:pPr>
      <w:r>
        <w:rPr>
          <w:rFonts w:hint="eastAsia" w:ascii="宋体" w:hAnsi="宋体" w:cs="宋体"/>
          <w:bCs/>
          <w:color w:val="000000"/>
          <w:sz w:val="24"/>
          <w:szCs w:val="24"/>
          <w:highlight w:val="none"/>
          <w:lang w:val="zh-CN"/>
        </w:rPr>
        <w:t>1、投标响应报价总表（格式参见第七章）；</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bCs/>
          <w:color w:val="000000"/>
          <w:sz w:val="24"/>
          <w:szCs w:val="24"/>
          <w:highlight w:val="none"/>
          <w:lang w:val="zh-CN"/>
        </w:rPr>
      </w:pPr>
      <w:r>
        <w:rPr>
          <w:rFonts w:hint="eastAsia" w:ascii="宋体" w:hAnsi="宋体" w:cs="宋体"/>
          <w:bCs/>
          <w:color w:val="000000"/>
          <w:sz w:val="24"/>
          <w:szCs w:val="24"/>
          <w:highlight w:val="none"/>
          <w:lang w:val="zh-CN"/>
        </w:rPr>
        <w:t>2、投标响应报价明细表（格式参见第七章）。</w:t>
      </w:r>
    </w:p>
    <w:p>
      <w:pPr>
        <w:snapToGrid w:val="0"/>
        <w:spacing w:line="520" w:lineRule="exact"/>
        <w:rPr>
          <w:rFonts w:ascii="宋体" w:cs="宋体"/>
          <w:b/>
          <w:bCs/>
          <w:color w:val="000000"/>
          <w:sz w:val="24"/>
          <w:szCs w:val="24"/>
          <w:highlight w:val="none"/>
        </w:rPr>
      </w:pPr>
      <w:r>
        <w:rPr>
          <w:rFonts w:ascii="宋体" w:cs="宋体"/>
          <w:b/>
          <w:color w:val="000000"/>
          <w:sz w:val="24"/>
          <w:szCs w:val="24"/>
          <w:highlight w:val="none"/>
        </w:rPr>
        <w:br w:type="page"/>
      </w:r>
      <w:r>
        <w:rPr>
          <w:rFonts w:hint="eastAsia" w:ascii="宋体" w:hAnsi="宋体" w:cs="宋体"/>
          <w:b/>
          <w:color w:val="000000"/>
          <w:sz w:val="24"/>
          <w:szCs w:val="24"/>
          <w:highlight w:val="none"/>
        </w:rPr>
        <w:t>附件：</w:t>
      </w:r>
    </w:p>
    <w:p>
      <w:pPr>
        <w:snapToGrid w:val="0"/>
        <w:spacing w:line="520" w:lineRule="exact"/>
        <w:jc w:val="center"/>
        <w:outlineLvl w:val="3"/>
        <w:rPr>
          <w:rFonts w:ascii="宋体" w:cs="宋体"/>
          <w:b/>
          <w:color w:val="000000"/>
          <w:sz w:val="24"/>
          <w:szCs w:val="24"/>
          <w:highlight w:val="none"/>
        </w:rPr>
      </w:pPr>
      <w:r>
        <w:rPr>
          <w:rFonts w:ascii="宋体" w:hAnsi="宋体" w:cs="宋体"/>
          <w:b/>
          <w:color w:val="000000"/>
          <w:sz w:val="24"/>
          <w:szCs w:val="24"/>
          <w:highlight w:val="none"/>
        </w:rPr>
        <w:t>1</w:t>
      </w:r>
      <w:r>
        <w:rPr>
          <w:rFonts w:hint="eastAsia" w:ascii="宋体" w:hAnsi="宋体" w:cs="宋体"/>
          <w:b/>
          <w:color w:val="000000"/>
          <w:sz w:val="24"/>
          <w:szCs w:val="24"/>
          <w:highlight w:val="none"/>
        </w:rPr>
        <w:t>、</w:t>
      </w:r>
      <w:r>
        <w:rPr>
          <w:rFonts w:hint="eastAsia" w:ascii="宋体" w:hAnsi="宋体" w:cs="宋体"/>
          <w:b/>
          <w:color w:val="000000"/>
          <w:sz w:val="24"/>
          <w:szCs w:val="24"/>
          <w:highlight w:val="none"/>
          <w:lang w:eastAsia="zh-CN"/>
        </w:rPr>
        <w:t>法定代表人</w:t>
      </w:r>
      <w:r>
        <w:rPr>
          <w:rFonts w:hint="eastAsia" w:ascii="宋体" w:hAnsi="宋体" w:cs="宋体"/>
          <w:b/>
          <w:color w:val="000000"/>
          <w:sz w:val="24"/>
          <w:szCs w:val="24"/>
          <w:highlight w:val="none"/>
        </w:rPr>
        <w:t>身份证明</w:t>
      </w:r>
    </w:p>
    <w:p>
      <w:pPr>
        <w:snapToGrid w:val="0"/>
        <w:spacing w:line="520" w:lineRule="exact"/>
        <w:jc w:val="center"/>
        <w:rPr>
          <w:rFonts w:ascii="宋体" w:cs="宋体"/>
          <w:color w:val="000000"/>
          <w:sz w:val="24"/>
          <w:szCs w:val="24"/>
          <w:highlight w:val="none"/>
        </w:rPr>
      </w:pPr>
      <w:r>
        <w:rPr>
          <w:rFonts w:hint="eastAsia" w:ascii="宋体" w:hAnsi="宋体" w:cs="宋体"/>
          <w:color w:val="000000"/>
          <w:sz w:val="24"/>
          <w:szCs w:val="24"/>
          <w:highlight w:val="none"/>
        </w:rPr>
        <w:t>（如</w:t>
      </w:r>
      <w:r>
        <w:rPr>
          <w:rFonts w:hint="eastAsia" w:ascii="宋体" w:hAnsi="宋体" w:cs="宋体"/>
          <w:color w:val="000000"/>
          <w:sz w:val="24"/>
          <w:szCs w:val="24"/>
          <w:highlight w:val="none"/>
          <w:lang w:eastAsia="zh-CN"/>
        </w:rPr>
        <w:t>法定代表人</w:t>
      </w:r>
      <w:r>
        <w:rPr>
          <w:rFonts w:hint="eastAsia" w:ascii="宋体" w:hAnsi="宋体" w:cs="宋体"/>
          <w:color w:val="000000"/>
          <w:sz w:val="24"/>
          <w:szCs w:val="24"/>
          <w:highlight w:val="none"/>
        </w:rPr>
        <w:t>参加磋商，须出示此证明）</w:t>
      </w:r>
    </w:p>
    <w:p>
      <w:pPr>
        <w:snapToGrid w:val="0"/>
        <w:spacing w:line="520" w:lineRule="exact"/>
        <w:jc w:val="center"/>
        <w:rPr>
          <w:rFonts w:ascii="宋体" w:cs="宋体"/>
          <w:color w:val="000000"/>
          <w:sz w:val="24"/>
          <w:szCs w:val="24"/>
          <w:highlight w:val="none"/>
        </w:rPr>
      </w:pPr>
    </w:p>
    <w:p>
      <w:pPr>
        <w:snapToGrid w:val="0"/>
        <w:spacing w:line="520" w:lineRule="exact"/>
        <w:rPr>
          <w:rFonts w:ascii="宋体" w:cs="宋体"/>
          <w:sz w:val="24"/>
          <w:szCs w:val="24"/>
          <w:highlight w:val="none"/>
          <w:u w:val="single"/>
        </w:rPr>
      </w:pPr>
      <w:r>
        <w:rPr>
          <w:rFonts w:hint="eastAsia" w:ascii="宋体" w:hAnsi="宋体" w:cs="宋体"/>
          <w:sz w:val="24"/>
          <w:szCs w:val="24"/>
          <w:highlight w:val="none"/>
          <w:u w:val="single"/>
          <w:lang w:eastAsia="zh-CN"/>
        </w:rPr>
        <w:t>南通市教育局</w:t>
      </w:r>
      <w:r>
        <w:rPr>
          <w:rFonts w:hint="eastAsia" w:ascii="宋体" w:hAnsi="宋体" w:cs="宋体"/>
          <w:sz w:val="24"/>
          <w:szCs w:val="24"/>
          <w:highlight w:val="none"/>
          <w:u w:val="single"/>
        </w:rPr>
        <w:t>：</w:t>
      </w:r>
      <w:r>
        <w:rPr>
          <w:rFonts w:ascii="宋体" w:hAnsi="宋体" w:cs="宋体"/>
          <w:sz w:val="24"/>
          <w:szCs w:val="24"/>
          <w:highlight w:val="none"/>
          <w:u w:val="single"/>
        </w:rPr>
        <w:t xml:space="preserve"> </w:t>
      </w:r>
    </w:p>
    <w:p>
      <w:pPr>
        <w:snapToGrid w:val="0"/>
        <w:spacing w:line="52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我公司</w:t>
      </w:r>
      <w:r>
        <w:rPr>
          <w:rFonts w:hint="eastAsia" w:ascii="宋体" w:hAnsi="宋体" w:cs="宋体"/>
          <w:color w:val="000000"/>
          <w:sz w:val="24"/>
          <w:szCs w:val="24"/>
          <w:highlight w:val="none"/>
          <w:lang w:eastAsia="zh-CN"/>
        </w:rPr>
        <w:t>法定代表人</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参加贵单位组织的</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ascii="宋体" w:hAnsi="宋体" w:cs="宋体"/>
          <w:color w:val="000000"/>
          <w:sz w:val="24"/>
          <w:szCs w:val="24"/>
          <w:highlight w:val="none"/>
        </w:rPr>
        <w:t>（竞争性磋商项目名称</w:t>
      </w:r>
      <w:r>
        <w:rPr>
          <w:rFonts w:ascii="宋体" w:hAnsi="宋体" w:cs="宋体"/>
          <w:color w:val="000000"/>
          <w:sz w:val="24"/>
          <w:szCs w:val="24"/>
          <w:highlight w:val="none"/>
        </w:rPr>
        <w:t>)</w:t>
      </w:r>
      <w:r>
        <w:rPr>
          <w:rFonts w:hint="eastAsia" w:ascii="宋体" w:hAnsi="宋体" w:cs="宋体"/>
          <w:color w:val="000000"/>
          <w:sz w:val="24"/>
          <w:szCs w:val="24"/>
          <w:highlight w:val="none"/>
        </w:rPr>
        <w:t>项目的磋商活动，全权代表我公司处理竞争性磋商的有关事宜。</w:t>
      </w:r>
    </w:p>
    <w:p>
      <w:pPr>
        <w:snapToGrid w:val="0"/>
        <w:spacing w:line="520" w:lineRule="exact"/>
        <w:rPr>
          <w:rFonts w:ascii="宋体" w:cs="宋体"/>
          <w:color w:val="000000"/>
          <w:sz w:val="24"/>
          <w:szCs w:val="24"/>
          <w:highlight w:val="none"/>
        </w:rPr>
      </w:pPr>
    </w:p>
    <w:p>
      <w:pPr>
        <w:snapToGrid w:val="0"/>
        <w:spacing w:line="520" w:lineRule="exact"/>
        <w:rPr>
          <w:rFonts w:ascii="宋体" w:cs="宋体"/>
          <w:color w:val="000000"/>
          <w:sz w:val="24"/>
          <w:szCs w:val="24"/>
          <w:highlight w:val="none"/>
        </w:rPr>
      </w:pPr>
      <w:r>
        <w:rPr>
          <w:rFonts w:hint="eastAsia" w:ascii="宋体" w:hAnsi="宋体" w:cs="宋体"/>
          <w:color w:val="000000"/>
          <w:sz w:val="24"/>
          <w:szCs w:val="24"/>
          <w:highlight w:val="none"/>
        </w:rPr>
        <w:t>附：</w:t>
      </w:r>
      <w:r>
        <w:rPr>
          <w:rFonts w:hint="eastAsia" w:ascii="宋体" w:hAnsi="宋体" w:cs="宋体"/>
          <w:color w:val="000000"/>
          <w:sz w:val="24"/>
          <w:szCs w:val="24"/>
          <w:highlight w:val="none"/>
          <w:lang w:eastAsia="zh-CN"/>
        </w:rPr>
        <w:t>法定代表人</w:t>
      </w:r>
      <w:r>
        <w:rPr>
          <w:rFonts w:hint="eastAsia" w:ascii="宋体" w:hAnsi="宋体" w:cs="宋体"/>
          <w:color w:val="000000"/>
          <w:sz w:val="24"/>
          <w:szCs w:val="24"/>
          <w:highlight w:val="none"/>
        </w:rPr>
        <w:t>情况：</w:t>
      </w:r>
    </w:p>
    <w:p>
      <w:pPr>
        <w:snapToGrid w:val="0"/>
        <w:spacing w:line="520" w:lineRule="exact"/>
        <w:rPr>
          <w:rFonts w:ascii="宋体" w:cs="宋体"/>
          <w:color w:val="000000"/>
          <w:sz w:val="24"/>
          <w:szCs w:val="24"/>
          <w:highlight w:val="none"/>
          <w:u w:val="single"/>
        </w:rPr>
      </w:pPr>
      <w:r>
        <w:rPr>
          <w:rFonts w:hint="eastAsia" w:ascii="宋体" w:hAnsi="宋体" w:cs="宋体"/>
          <w:color w:val="000000"/>
          <w:sz w:val="24"/>
          <w:szCs w:val="24"/>
          <w:highlight w:val="none"/>
        </w:rPr>
        <w:t>姓名：  性别：  年龄：  职务：</w:t>
      </w:r>
    </w:p>
    <w:p>
      <w:pPr>
        <w:snapToGrid w:val="0"/>
        <w:spacing w:line="520" w:lineRule="exact"/>
        <w:rPr>
          <w:rFonts w:ascii="宋体" w:cs="宋体"/>
          <w:color w:val="000000"/>
          <w:sz w:val="24"/>
          <w:szCs w:val="24"/>
          <w:highlight w:val="none"/>
        </w:rPr>
      </w:pPr>
      <w:r>
        <w:rPr>
          <w:rFonts w:hint="eastAsia" w:ascii="宋体" w:hAnsi="宋体" w:cs="宋体"/>
          <w:color w:val="000000"/>
          <w:sz w:val="24"/>
          <w:szCs w:val="24"/>
          <w:highlight w:val="none"/>
        </w:rPr>
        <w:t>身份证号码：</w:t>
      </w:r>
    </w:p>
    <w:p>
      <w:pPr>
        <w:snapToGrid w:val="0"/>
        <w:spacing w:line="520" w:lineRule="exact"/>
        <w:rPr>
          <w:rFonts w:ascii="宋体" w:cs="宋体"/>
          <w:color w:val="000000"/>
          <w:sz w:val="24"/>
          <w:szCs w:val="24"/>
          <w:highlight w:val="none"/>
        </w:rPr>
      </w:pPr>
      <w:r>
        <w:rPr>
          <w:rFonts w:hint="eastAsia" w:ascii="宋体" w:hAnsi="宋体" w:cs="宋体"/>
          <w:color w:val="000000"/>
          <w:sz w:val="24"/>
          <w:szCs w:val="24"/>
          <w:highlight w:val="none"/>
        </w:rPr>
        <w:t xml:space="preserve">手机： </w:t>
      </w:r>
      <w:r>
        <w:rPr>
          <w:rFonts w:ascii="宋体" w:hAnsi="宋体" w:cs="宋体"/>
          <w:color w:val="000000"/>
          <w:sz w:val="24"/>
          <w:szCs w:val="24"/>
          <w:highlight w:val="none"/>
        </w:rPr>
        <w:t xml:space="preserve">                      </w:t>
      </w:r>
    </w:p>
    <w:p>
      <w:pPr>
        <w:snapToGrid w:val="0"/>
        <w:spacing w:line="520" w:lineRule="exact"/>
        <w:rPr>
          <w:rFonts w:ascii="宋体" w:cs="宋体"/>
          <w:color w:val="000000"/>
          <w:sz w:val="24"/>
          <w:szCs w:val="24"/>
          <w:highlight w:val="none"/>
        </w:rPr>
      </w:pPr>
      <w:r>
        <w:rPr>
          <w:rFonts w:ascii="宋体" w:cs="宋体"/>
          <w:color w:val="000000"/>
          <w:sz w:val="24"/>
          <w:szCs w:val="24"/>
          <w:highlight w:val="none"/>
        </w:rPr>
        <w:t> </w:t>
      </w:r>
    </w:p>
    <w:p>
      <w:pPr>
        <w:snapToGrid w:val="0"/>
        <w:spacing w:line="520" w:lineRule="exact"/>
        <w:rPr>
          <w:rFonts w:ascii="宋体" w:cs="宋体"/>
          <w:color w:val="000000"/>
          <w:sz w:val="24"/>
          <w:szCs w:val="24"/>
          <w:highlight w:val="none"/>
        </w:rPr>
      </w:pPr>
    </w:p>
    <w:p>
      <w:pPr>
        <w:snapToGrid w:val="0"/>
        <w:spacing w:line="520" w:lineRule="exact"/>
        <w:rPr>
          <w:rFonts w:ascii="宋体" w:cs="宋体"/>
          <w:color w:val="000000"/>
          <w:sz w:val="24"/>
          <w:szCs w:val="24"/>
          <w:highlight w:val="none"/>
        </w:rPr>
      </w:pPr>
      <w:r>
        <w:rPr>
          <w:rFonts w:hint="eastAsia" w:ascii="宋体" w:hAnsi="宋体" w:cs="宋体"/>
          <w:color w:val="000000"/>
          <w:sz w:val="24"/>
          <w:szCs w:val="24"/>
          <w:highlight w:val="none"/>
        </w:rPr>
        <w:t>单位名称（公章）</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lang w:val="en-US" w:eastAsia="zh-CN"/>
        </w:rPr>
        <w:t xml:space="preserve">  </w:t>
      </w:r>
      <w:r>
        <w:rPr>
          <w:rFonts w:hint="eastAsia" w:ascii="宋体" w:hAnsi="宋体" w:cs="宋体"/>
          <w:color w:val="000000"/>
          <w:sz w:val="24"/>
          <w:szCs w:val="24"/>
          <w:highlight w:val="none"/>
          <w:lang w:eastAsia="zh-CN"/>
        </w:rPr>
        <w:t>法定代表人</w:t>
      </w:r>
      <w:r>
        <w:rPr>
          <w:rFonts w:hint="eastAsia" w:ascii="宋体" w:hAnsi="宋体" w:cs="宋体"/>
          <w:color w:val="000000"/>
          <w:sz w:val="24"/>
          <w:szCs w:val="24"/>
          <w:highlight w:val="none"/>
        </w:rPr>
        <w:t>（签字或盖章）</w:t>
      </w:r>
    </w:p>
    <w:p>
      <w:pPr>
        <w:snapToGrid w:val="0"/>
        <w:spacing w:line="520" w:lineRule="exact"/>
        <w:rPr>
          <w:rFonts w:ascii="宋体" w:cs="宋体"/>
          <w:color w:val="000000"/>
          <w:sz w:val="24"/>
          <w:szCs w:val="24"/>
          <w:highlight w:val="none"/>
        </w:rPr>
      </w:pPr>
      <w:r>
        <w:rPr>
          <w:rFonts w:hint="eastAsia" w:ascii="宋体" w:hAnsi="宋体" w:cs="宋体"/>
          <w:color w:val="000000"/>
          <w:sz w:val="24"/>
          <w:szCs w:val="24"/>
          <w:highlight w:val="none"/>
        </w:rPr>
        <w:t>年</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月</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日</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年</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月</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日</w:t>
      </w:r>
      <w:r>
        <w:rPr>
          <w:rFonts w:ascii="宋体" w:hAnsi="宋体" w:cs="宋体"/>
          <w:color w:val="000000"/>
          <w:sz w:val="24"/>
          <w:szCs w:val="24"/>
          <w:highlight w:val="none"/>
        </w:rPr>
        <w:t xml:space="preserve">  </w:t>
      </w:r>
    </w:p>
    <w:p>
      <w:pPr>
        <w:snapToGrid w:val="0"/>
        <w:spacing w:line="520" w:lineRule="exact"/>
        <w:rPr>
          <w:rFonts w:ascii="宋体" w:cs="宋体"/>
          <w:color w:val="000000"/>
          <w:sz w:val="24"/>
          <w:szCs w:val="24"/>
          <w:highlight w:val="none"/>
        </w:rPr>
      </w:pPr>
    </w:p>
    <w:p>
      <w:pPr>
        <w:snapToGrid w:val="0"/>
        <w:spacing w:line="520" w:lineRule="exact"/>
        <w:jc w:val="center"/>
        <w:rPr>
          <w:rFonts w:ascii="宋体" w:cs="宋体"/>
          <w:b/>
          <w:color w:val="000000"/>
          <w:sz w:val="24"/>
          <w:szCs w:val="24"/>
          <w:highlight w:val="none"/>
        </w:rPr>
      </w:pPr>
      <w:r>
        <w:rPr>
          <w:rFonts w:hint="eastAsia" w:ascii="宋体" w:hAnsi="宋体" w:cs="宋体"/>
          <w:b/>
          <w:color w:val="000000"/>
          <w:sz w:val="24"/>
          <w:szCs w:val="24"/>
          <w:highlight w:val="none"/>
          <w:lang w:eastAsia="zh-CN"/>
        </w:rPr>
        <w:t>法定代表人</w:t>
      </w:r>
      <w:r>
        <w:rPr>
          <w:rFonts w:hint="eastAsia" w:ascii="宋体" w:hAnsi="宋体" w:cs="宋体"/>
          <w:b/>
          <w:color w:val="000000"/>
          <w:sz w:val="24"/>
          <w:szCs w:val="24"/>
          <w:highlight w:val="none"/>
        </w:rPr>
        <w:t>身份证复印件</w:t>
      </w:r>
    </w:p>
    <w:p>
      <w:pPr>
        <w:snapToGrid w:val="0"/>
        <w:spacing w:line="520" w:lineRule="exact"/>
        <w:rPr>
          <w:rFonts w:ascii="宋体" w:cs="宋体"/>
          <w:color w:val="000000"/>
          <w:sz w:val="24"/>
          <w:szCs w:val="24"/>
          <w:highlight w:val="none"/>
        </w:rPr>
      </w:pPr>
    </w:p>
    <w:p>
      <w:pPr>
        <w:snapToGrid w:val="0"/>
        <w:spacing w:line="520" w:lineRule="exact"/>
        <w:ind w:firstLine="3360" w:firstLineChars="1400"/>
        <w:rPr>
          <w:rFonts w:ascii="宋体" w:cs="宋体"/>
          <w:color w:val="000000"/>
          <w:sz w:val="24"/>
          <w:szCs w:val="24"/>
          <w:highlight w:val="none"/>
        </w:rPr>
      </w:pPr>
      <w:r>
        <w:rPr>
          <w:rFonts w:hint="eastAsia" w:ascii="宋体" w:hAnsi="宋体" w:cs="宋体"/>
          <w:color w:val="000000"/>
          <w:sz w:val="24"/>
          <w:szCs w:val="24"/>
          <w:highlight w:val="none"/>
        </w:rPr>
        <w:t>（粘贴此处）</w:t>
      </w:r>
    </w:p>
    <w:p>
      <w:pPr>
        <w:snapToGrid w:val="0"/>
        <w:spacing w:line="520" w:lineRule="exact"/>
        <w:ind w:firstLine="482" w:firstLineChars="200"/>
        <w:rPr>
          <w:rFonts w:ascii="宋体" w:cs="宋体"/>
          <w:b/>
          <w:bCs/>
          <w:color w:val="000000"/>
          <w:sz w:val="24"/>
          <w:szCs w:val="24"/>
          <w:highlight w:val="none"/>
        </w:rPr>
      </w:pPr>
    </w:p>
    <w:p>
      <w:pPr>
        <w:snapToGrid w:val="0"/>
        <w:spacing w:line="520" w:lineRule="exact"/>
        <w:ind w:firstLine="482" w:firstLineChars="200"/>
        <w:rPr>
          <w:rFonts w:ascii="宋体" w:cs="宋体"/>
          <w:b/>
          <w:bCs/>
          <w:color w:val="000000"/>
          <w:sz w:val="24"/>
          <w:szCs w:val="24"/>
          <w:highlight w:val="none"/>
        </w:rPr>
      </w:pPr>
      <w:r>
        <w:rPr>
          <w:rFonts w:hint="eastAsia" w:ascii="宋体" w:hAnsi="宋体" w:cs="宋体"/>
          <w:b/>
          <w:bCs/>
          <w:color w:val="000000"/>
          <w:sz w:val="24"/>
          <w:szCs w:val="24"/>
          <w:highlight w:val="none"/>
        </w:rPr>
        <w:t>注</w:t>
      </w:r>
      <w:r>
        <w:rPr>
          <w:rFonts w:ascii="宋体" w:hAnsi="宋体" w:cs="宋体"/>
          <w:b/>
          <w:bCs/>
          <w:color w:val="000000"/>
          <w:sz w:val="24"/>
          <w:szCs w:val="24"/>
          <w:highlight w:val="none"/>
        </w:rPr>
        <w:t>:</w:t>
      </w:r>
      <w:r>
        <w:rPr>
          <w:rFonts w:hint="eastAsia" w:ascii="宋体" w:hAnsi="宋体" w:cs="宋体"/>
          <w:b/>
          <w:bCs/>
          <w:color w:val="000000"/>
          <w:sz w:val="24"/>
          <w:szCs w:val="24"/>
          <w:highlight w:val="none"/>
        </w:rPr>
        <w:t>参加磋商时</w:t>
      </w:r>
      <w:r>
        <w:rPr>
          <w:rFonts w:hint="eastAsia" w:ascii="宋体" w:hAnsi="宋体" w:cs="宋体"/>
          <w:b/>
          <w:bCs/>
          <w:color w:val="000000"/>
          <w:sz w:val="24"/>
          <w:szCs w:val="24"/>
          <w:highlight w:val="none"/>
          <w:lang w:eastAsia="zh-CN"/>
        </w:rPr>
        <w:t>法定代表人</w:t>
      </w:r>
      <w:r>
        <w:rPr>
          <w:rFonts w:hint="eastAsia" w:ascii="宋体" w:hAnsi="宋体" w:cs="宋体"/>
          <w:b/>
          <w:bCs/>
          <w:color w:val="000000"/>
          <w:sz w:val="24"/>
          <w:szCs w:val="24"/>
          <w:highlight w:val="none"/>
        </w:rPr>
        <w:t>将身份证原件带至磋商现场备查</w:t>
      </w:r>
      <w:r>
        <w:rPr>
          <w:rFonts w:hint="eastAsia" w:ascii="宋体" w:hAnsi="宋体" w:cs="宋体"/>
          <w:b/>
          <w:bCs/>
          <w:sz w:val="24"/>
          <w:szCs w:val="24"/>
          <w:highlight w:val="none"/>
        </w:rPr>
        <w:t>。</w:t>
      </w:r>
    </w:p>
    <w:p>
      <w:pPr>
        <w:snapToGrid w:val="0"/>
        <w:spacing w:line="520" w:lineRule="exact"/>
        <w:jc w:val="center"/>
        <w:outlineLvl w:val="3"/>
        <w:rPr>
          <w:rFonts w:ascii="宋体" w:cs="宋体"/>
          <w:b/>
          <w:sz w:val="24"/>
          <w:szCs w:val="24"/>
          <w:highlight w:val="none"/>
        </w:rPr>
      </w:pPr>
      <w:r>
        <w:rPr>
          <w:rFonts w:ascii="宋体" w:cs="宋体"/>
          <w:b/>
          <w:color w:val="000000"/>
          <w:sz w:val="24"/>
          <w:szCs w:val="24"/>
          <w:highlight w:val="none"/>
        </w:rPr>
        <w:br w:type="page"/>
      </w:r>
      <w:r>
        <w:rPr>
          <w:rFonts w:ascii="宋体" w:hAnsi="宋体" w:cs="宋体"/>
          <w:b/>
          <w:sz w:val="24"/>
          <w:szCs w:val="24"/>
          <w:highlight w:val="none"/>
        </w:rPr>
        <w:t>2</w:t>
      </w:r>
      <w:r>
        <w:rPr>
          <w:rFonts w:hint="eastAsia" w:ascii="宋体" w:hAnsi="宋体" w:cs="宋体"/>
          <w:b/>
          <w:sz w:val="24"/>
          <w:szCs w:val="24"/>
          <w:highlight w:val="none"/>
        </w:rPr>
        <w:t>、授权委托书</w:t>
      </w:r>
    </w:p>
    <w:p>
      <w:pPr>
        <w:snapToGrid w:val="0"/>
        <w:spacing w:line="520" w:lineRule="exact"/>
        <w:jc w:val="center"/>
        <w:rPr>
          <w:rFonts w:ascii="宋体" w:cs="宋体"/>
          <w:bCs/>
          <w:color w:val="000000"/>
          <w:sz w:val="24"/>
          <w:szCs w:val="24"/>
          <w:highlight w:val="none"/>
        </w:rPr>
      </w:pPr>
      <w:r>
        <w:rPr>
          <w:rFonts w:hint="eastAsia" w:ascii="宋体" w:hAnsi="宋体" w:cs="宋体"/>
          <w:bCs/>
          <w:color w:val="000000"/>
          <w:sz w:val="24"/>
          <w:szCs w:val="24"/>
          <w:highlight w:val="none"/>
        </w:rPr>
        <w:t>（如被授权人参加磋商，须出示此证明）</w:t>
      </w:r>
    </w:p>
    <w:p>
      <w:pPr>
        <w:snapToGrid w:val="0"/>
        <w:spacing w:line="520" w:lineRule="exact"/>
        <w:jc w:val="center"/>
        <w:rPr>
          <w:rFonts w:ascii="宋体" w:cs="宋体"/>
          <w:bCs/>
          <w:color w:val="000000"/>
          <w:sz w:val="24"/>
          <w:szCs w:val="24"/>
          <w:highlight w:val="none"/>
        </w:rPr>
      </w:pPr>
    </w:p>
    <w:p>
      <w:pPr>
        <w:snapToGrid w:val="0"/>
        <w:spacing w:line="480" w:lineRule="exact"/>
        <w:rPr>
          <w:rFonts w:ascii="宋体" w:cs="宋体"/>
          <w:sz w:val="24"/>
          <w:szCs w:val="24"/>
          <w:highlight w:val="none"/>
          <w:u w:val="single"/>
        </w:rPr>
      </w:pPr>
      <w:r>
        <w:rPr>
          <w:rFonts w:hint="eastAsia" w:ascii="宋体" w:hAnsi="宋体" w:cs="宋体"/>
          <w:sz w:val="24"/>
          <w:szCs w:val="24"/>
          <w:highlight w:val="none"/>
          <w:u w:val="single"/>
          <w:lang w:eastAsia="zh-CN"/>
        </w:rPr>
        <w:t>南通市教育局</w:t>
      </w:r>
      <w:r>
        <w:rPr>
          <w:rFonts w:hint="eastAsia" w:ascii="宋体" w:hAnsi="宋体" w:cs="宋体"/>
          <w:sz w:val="24"/>
          <w:szCs w:val="24"/>
          <w:highlight w:val="none"/>
          <w:u w:val="single"/>
        </w:rPr>
        <w:t>：</w:t>
      </w:r>
    </w:p>
    <w:p>
      <w:pPr>
        <w:snapToGrid w:val="0"/>
        <w:spacing w:line="480" w:lineRule="exact"/>
        <w:ind w:firstLine="480" w:firstLineChars="200"/>
        <w:rPr>
          <w:rFonts w:hAnsi="宋体" w:cs="宋体"/>
          <w:sz w:val="24"/>
          <w:szCs w:val="24"/>
          <w:highlight w:val="none"/>
        </w:rPr>
      </w:pPr>
      <w:r>
        <w:rPr>
          <w:rFonts w:hint="eastAsia" w:hAnsi="宋体" w:cs="宋体"/>
          <w:sz w:val="24"/>
          <w:szCs w:val="24"/>
          <w:highlight w:val="none"/>
        </w:rPr>
        <w:t>兹授权</w:t>
      </w:r>
      <w:r>
        <w:rPr>
          <w:rFonts w:hAnsi="宋体" w:cs="宋体"/>
          <w:sz w:val="24"/>
          <w:szCs w:val="24"/>
          <w:highlight w:val="none"/>
          <w:u w:val="single"/>
        </w:rPr>
        <w:t xml:space="preserve">               </w:t>
      </w:r>
      <w:r>
        <w:rPr>
          <w:rFonts w:hint="eastAsia" w:hAnsi="宋体" w:cs="宋体"/>
          <w:sz w:val="24"/>
          <w:szCs w:val="24"/>
          <w:highlight w:val="none"/>
          <w:u w:val="single"/>
        </w:rPr>
        <w:t>（</w:t>
      </w:r>
      <w:r>
        <w:rPr>
          <w:rFonts w:hint="eastAsia" w:hAnsi="宋体" w:cs="宋体"/>
          <w:sz w:val="24"/>
          <w:szCs w:val="24"/>
          <w:highlight w:val="none"/>
        </w:rPr>
        <w:t>被授权人的姓名）代表我公司参加</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hAnsi="宋体" w:cs="宋体"/>
          <w:sz w:val="24"/>
          <w:szCs w:val="24"/>
          <w:highlight w:val="none"/>
        </w:rPr>
        <w:t>（</w:t>
      </w:r>
      <w:r>
        <w:rPr>
          <w:rFonts w:hint="eastAsia" w:ascii="宋体" w:hAnsi="宋体" w:cs="宋体"/>
          <w:color w:val="000000"/>
          <w:sz w:val="24"/>
          <w:szCs w:val="24"/>
          <w:highlight w:val="none"/>
        </w:rPr>
        <w:t>竞争性磋商项目名称</w:t>
      </w:r>
      <w:r>
        <w:rPr>
          <w:rFonts w:hAnsi="宋体" w:cs="宋体"/>
          <w:sz w:val="24"/>
          <w:szCs w:val="24"/>
          <w:highlight w:val="none"/>
        </w:rPr>
        <w:t>)</w:t>
      </w:r>
      <w:r>
        <w:rPr>
          <w:rFonts w:hint="eastAsia" w:hAnsi="宋体" w:cs="宋体"/>
          <w:sz w:val="24"/>
          <w:szCs w:val="24"/>
          <w:highlight w:val="none"/>
        </w:rPr>
        <w:t>项目的政府采购活动，全权处理一切与该项目采购有关的事务。其在办理上述事宜过程中所签署的所有文件我公司均予以承认。</w:t>
      </w:r>
    </w:p>
    <w:p>
      <w:pPr>
        <w:pStyle w:val="25"/>
        <w:adjustRightInd w:val="0"/>
        <w:snapToGrid w:val="0"/>
        <w:spacing w:line="500" w:lineRule="exact"/>
        <w:ind w:firstLine="480" w:firstLineChars="200"/>
        <w:jc w:val="left"/>
        <w:rPr>
          <w:rFonts w:hAnsi="宋体" w:cs="宋体"/>
          <w:kern w:val="0"/>
          <w:sz w:val="24"/>
          <w:szCs w:val="24"/>
          <w:highlight w:val="none"/>
        </w:rPr>
      </w:pPr>
    </w:p>
    <w:p>
      <w:pPr>
        <w:pStyle w:val="25"/>
        <w:adjustRightInd w:val="0"/>
        <w:snapToGrid w:val="0"/>
        <w:spacing w:line="500" w:lineRule="exact"/>
        <w:ind w:firstLine="480" w:firstLineChars="200"/>
        <w:jc w:val="left"/>
        <w:rPr>
          <w:rFonts w:hAnsi="宋体" w:cs="宋体"/>
          <w:kern w:val="0"/>
          <w:sz w:val="24"/>
          <w:szCs w:val="24"/>
          <w:highlight w:val="none"/>
        </w:rPr>
      </w:pPr>
      <w:r>
        <w:rPr>
          <w:rFonts w:hint="eastAsia" w:hAnsi="宋体" w:cs="宋体"/>
          <w:kern w:val="0"/>
          <w:sz w:val="24"/>
          <w:szCs w:val="24"/>
          <w:highlight w:val="none"/>
        </w:rPr>
        <w:t>被授权人无转委托权，特此委托。</w:t>
      </w:r>
    </w:p>
    <w:p>
      <w:pPr>
        <w:pStyle w:val="25"/>
        <w:adjustRightInd w:val="0"/>
        <w:snapToGrid w:val="0"/>
        <w:spacing w:line="500" w:lineRule="exact"/>
        <w:ind w:firstLine="480" w:firstLineChars="200"/>
        <w:jc w:val="left"/>
        <w:rPr>
          <w:rFonts w:hAnsi="宋体" w:cs="宋体"/>
          <w:kern w:val="0"/>
          <w:sz w:val="24"/>
          <w:szCs w:val="24"/>
          <w:highlight w:val="none"/>
        </w:rPr>
      </w:pPr>
    </w:p>
    <w:p>
      <w:pPr>
        <w:spacing w:line="480" w:lineRule="exact"/>
        <w:rPr>
          <w:rFonts w:hAnsi="宋体" w:cs="宋体"/>
          <w:sz w:val="24"/>
          <w:szCs w:val="24"/>
          <w:highlight w:val="none"/>
        </w:rPr>
      </w:pPr>
      <w:r>
        <w:rPr>
          <w:rFonts w:hint="eastAsia" w:hAnsi="宋体" w:cs="宋体"/>
          <w:sz w:val="24"/>
          <w:szCs w:val="24"/>
          <w:highlight w:val="none"/>
        </w:rPr>
        <w:t>附：被授权人情况：</w:t>
      </w:r>
    </w:p>
    <w:p>
      <w:pPr>
        <w:spacing w:line="480" w:lineRule="exact"/>
        <w:rPr>
          <w:rFonts w:hAnsi="宋体" w:cs="宋体"/>
          <w:sz w:val="24"/>
          <w:szCs w:val="24"/>
          <w:highlight w:val="none"/>
          <w:u w:val="single"/>
        </w:rPr>
      </w:pPr>
      <w:r>
        <w:rPr>
          <w:rFonts w:hint="eastAsia" w:hAnsi="宋体" w:cs="宋体"/>
          <w:sz w:val="24"/>
          <w:szCs w:val="24"/>
          <w:highlight w:val="none"/>
        </w:rPr>
        <w:t xml:space="preserve">姓名：  </w:t>
      </w:r>
      <w:r>
        <w:rPr>
          <w:rFonts w:hAnsi="宋体" w:cs="宋体"/>
          <w:sz w:val="24"/>
          <w:szCs w:val="24"/>
          <w:highlight w:val="none"/>
        </w:rPr>
        <w:t xml:space="preserve"> </w:t>
      </w:r>
      <w:r>
        <w:rPr>
          <w:rFonts w:hint="eastAsia" w:hAnsi="宋体" w:cs="宋体"/>
          <w:sz w:val="24"/>
          <w:szCs w:val="24"/>
          <w:highlight w:val="none"/>
        </w:rPr>
        <w:t>性别：  年龄：  职务：</w:t>
      </w:r>
    </w:p>
    <w:p>
      <w:pPr>
        <w:spacing w:line="480" w:lineRule="exact"/>
        <w:rPr>
          <w:rFonts w:hAnsi="宋体" w:cs="宋体"/>
          <w:sz w:val="24"/>
          <w:szCs w:val="24"/>
          <w:highlight w:val="none"/>
        </w:rPr>
      </w:pPr>
      <w:r>
        <w:rPr>
          <w:rFonts w:hint="eastAsia" w:hAnsi="宋体" w:cs="宋体"/>
          <w:sz w:val="24"/>
          <w:szCs w:val="24"/>
          <w:highlight w:val="none"/>
        </w:rPr>
        <w:t>身份证号码：</w:t>
      </w:r>
    </w:p>
    <w:p>
      <w:pPr>
        <w:spacing w:line="480" w:lineRule="exact"/>
        <w:rPr>
          <w:rFonts w:hAnsi="宋体" w:cs="宋体"/>
          <w:sz w:val="24"/>
          <w:szCs w:val="24"/>
          <w:highlight w:val="none"/>
        </w:rPr>
      </w:pPr>
      <w:r>
        <w:rPr>
          <w:rFonts w:hint="eastAsia" w:hAnsi="宋体" w:cs="宋体"/>
          <w:sz w:val="24"/>
          <w:szCs w:val="24"/>
          <w:highlight w:val="none"/>
        </w:rPr>
        <w:t xml:space="preserve">手机：  </w:t>
      </w:r>
    </w:p>
    <w:p>
      <w:pPr>
        <w:spacing w:line="480" w:lineRule="exact"/>
        <w:rPr>
          <w:rFonts w:hAnsi="宋体" w:cs="宋体"/>
          <w:sz w:val="24"/>
          <w:szCs w:val="24"/>
          <w:highlight w:val="none"/>
        </w:rPr>
      </w:pPr>
    </w:p>
    <w:p>
      <w:pPr>
        <w:spacing w:line="480" w:lineRule="exact"/>
        <w:rPr>
          <w:rFonts w:hAnsi="宋体" w:cs="宋体"/>
          <w:sz w:val="24"/>
          <w:szCs w:val="24"/>
          <w:highlight w:val="none"/>
        </w:rPr>
      </w:pPr>
      <w:r>
        <w:rPr>
          <w:rFonts w:hint="eastAsia" w:hAnsi="宋体" w:cs="宋体"/>
          <w:sz w:val="24"/>
          <w:szCs w:val="24"/>
          <w:highlight w:val="none"/>
        </w:rPr>
        <w:t>单位名称（公章）</w:t>
      </w:r>
      <w:r>
        <w:rPr>
          <w:rFonts w:hAnsi="宋体" w:cs="宋体"/>
          <w:sz w:val="24"/>
          <w:szCs w:val="24"/>
          <w:highlight w:val="none"/>
        </w:rPr>
        <w:t xml:space="preserve">    </w:t>
      </w:r>
      <w:r>
        <w:rPr>
          <w:rFonts w:hint="eastAsia" w:ascii="宋体" w:hAnsi="宋体" w:cs="宋体"/>
          <w:color w:val="000000"/>
          <w:sz w:val="24"/>
          <w:szCs w:val="24"/>
          <w:highlight w:val="none"/>
          <w:lang w:eastAsia="zh-CN"/>
        </w:rPr>
        <w:t>法定代表人</w:t>
      </w:r>
      <w:r>
        <w:rPr>
          <w:rFonts w:hint="eastAsia" w:hAnsi="宋体" w:cs="宋体"/>
          <w:sz w:val="24"/>
          <w:szCs w:val="24"/>
          <w:highlight w:val="none"/>
        </w:rPr>
        <w:t>（签字或盖章）</w:t>
      </w:r>
    </w:p>
    <w:p>
      <w:pPr>
        <w:spacing w:line="480" w:lineRule="exact"/>
        <w:rPr>
          <w:rFonts w:hAnsi="宋体" w:cs="宋体"/>
          <w:sz w:val="24"/>
          <w:szCs w:val="24"/>
          <w:highlight w:val="none"/>
        </w:rPr>
      </w:pPr>
      <w:r>
        <w:rPr>
          <w:rFonts w:hint="eastAsia" w:hAnsi="宋体" w:cs="宋体"/>
          <w:sz w:val="24"/>
          <w:szCs w:val="24"/>
          <w:highlight w:val="none"/>
        </w:rPr>
        <w:t>年</w:t>
      </w:r>
      <w:r>
        <w:rPr>
          <w:rFonts w:hAnsi="宋体" w:cs="宋体"/>
          <w:sz w:val="24"/>
          <w:szCs w:val="24"/>
          <w:highlight w:val="none"/>
        </w:rPr>
        <w:t xml:space="preserve">   </w:t>
      </w:r>
      <w:r>
        <w:rPr>
          <w:rFonts w:hint="eastAsia" w:hAnsi="宋体" w:cs="宋体"/>
          <w:sz w:val="24"/>
          <w:szCs w:val="24"/>
          <w:highlight w:val="none"/>
        </w:rPr>
        <w:t>月</w:t>
      </w:r>
      <w:r>
        <w:rPr>
          <w:rFonts w:hAnsi="宋体" w:cs="宋体"/>
          <w:sz w:val="24"/>
          <w:szCs w:val="24"/>
          <w:highlight w:val="none"/>
        </w:rPr>
        <w:t xml:space="preserve">   </w:t>
      </w:r>
      <w:r>
        <w:rPr>
          <w:rFonts w:hint="eastAsia" w:hAnsi="宋体" w:cs="宋体"/>
          <w:sz w:val="24"/>
          <w:szCs w:val="24"/>
          <w:highlight w:val="none"/>
        </w:rPr>
        <w:t>日</w:t>
      </w:r>
      <w:r>
        <w:rPr>
          <w:rFonts w:hAnsi="宋体" w:cs="宋体"/>
          <w:sz w:val="24"/>
          <w:szCs w:val="24"/>
          <w:highlight w:val="none"/>
        </w:rPr>
        <w:t xml:space="preserve">                 </w:t>
      </w:r>
      <w:r>
        <w:rPr>
          <w:rFonts w:hint="eastAsia" w:hAnsi="宋体" w:cs="宋体"/>
          <w:sz w:val="24"/>
          <w:szCs w:val="24"/>
          <w:highlight w:val="none"/>
        </w:rPr>
        <w:t>年</w:t>
      </w:r>
      <w:r>
        <w:rPr>
          <w:rFonts w:hAnsi="宋体" w:cs="宋体"/>
          <w:sz w:val="24"/>
          <w:szCs w:val="24"/>
          <w:highlight w:val="none"/>
        </w:rPr>
        <w:t xml:space="preserve">   </w:t>
      </w:r>
      <w:r>
        <w:rPr>
          <w:rFonts w:hint="eastAsia" w:hAnsi="宋体" w:cs="宋体"/>
          <w:sz w:val="24"/>
          <w:szCs w:val="24"/>
          <w:highlight w:val="none"/>
        </w:rPr>
        <w:t>月</w:t>
      </w:r>
      <w:r>
        <w:rPr>
          <w:rFonts w:hAnsi="宋体" w:cs="宋体"/>
          <w:sz w:val="24"/>
          <w:szCs w:val="24"/>
          <w:highlight w:val="none"/>
        </w:rPr>
        <w:t xml:space="preserve">    </w:t>
      </w:r>
      <w:r>
        <w:rPr>
          <w:rFonts w:hint="eastAsia" w:hAnsi="宋体" w:cs="宋体"/>
          <w:sz w:val="24"/>
          <w:szCs w:val="24"/>
          <w:highlight w:val="none"/>
        </w:rPr>
        <w:t>日</w:t>
      </w:r>
      <w:r>
        <w:rPr>
          <w:rFonts w:hAnsi="宋体" w:cs="宋体"/>
          <w:sz w:val="24"/>
          <w:szCs w:val="24"/>
          <w:highlight w:val="none"/>
        </w:rPr>
        <w:t xml:space="preserve">  </w:t>
      </w:r>
    </w:p>
    <w:p>
      <w:pPr>
        <w:spacing w:line="480" w:lineRule="exact"/>
        <w:rPr>
          <w:rFonts w:hAnsi="宋体" w:cs="宋体"/>
          <w:sz w:val="24"/>
          <w:szCs w:val="24"/>
          <w:highlight w:val="none"/>
        </w:rPr>
      </w:pPr>
    </w:p>
    <w:p>
      <w:pPr>
        <w:snapToGrid w:val="0"/>
        <w:spacing w:line="520" w:lineRule="exact"/>
        <w:jc w:val="center"/>
        <w:rPr>
          <w:rFonts w:ascii="宋体" w:cs="宋体"/>
          <w:b/>
          <w:color w:val="000000"/>
          <w:sz w:val="24"/>
          <w:szCs w:val="24"/>
          <w:highlight w:val="none"/>
        </w:rPr>
      </w:pPr>
      <w:r>
        <w:rPr>
          <w:rFonts w:hint="eastAsia" w:ascii="宋体" w:hAnsi="宋体" w:cs="宋体"/>
          <w:b/>
          <w:color w:val="000000"/>
          <w:sz w:val="24"/>
          <w:szCs w:val="24"/>
          <w:highlight w:val="none"/>
          <w:lang w:eastAsia="zh-CN"/>
        </w:rPr>
        <w:t>法定代表人</w:t>
      </w:r>
      <w:r>
        <w:rPr>
          <w:rFonts w:hint="eastAsia" w:ascii="宋体" w:hAnsi="宋体" w:cs="宋体"/>
          <w:b/>
          <w:color w:val="000000"/>
          <w:sz w:val="24"/>
          <w:szCs w:val="24"/>
          <w:highlight w:val="none"/>
        </w:rPr>
        <w:t>身份证复印件</w:t>
      </w:r>
    </w:p>
    <w:p>
      <w:pPr>
        <w:snapToGrid w:val="0"/>
        <w:spacing w:line="520" w:lineRule="exact"/>
        <w:rPr>
          <w:rFonts w:ascii="宋体" w:cs="宋体"/>
          <w:sz w:val="24"/>
          <w:szCs w:val="24"/>
          <w:highlight w:val="none"/>
        </w:rPr>
      </w:pPr>
    </w:p>
    <w:p>
      <w:pPr>
        <w:snapToGrid w:val="0"/>
        <w:spacing w:line="520" w:lineRule="exact"/>
        <w:ind w:firstLine="2997" w:firstLineChars="1244"/>
        <w:rPr>
          <w:rFonts w:ascii="宋体" w:cs="宋体"/>
          <w:b/>
          <w:sz w:val="24"/>
          <w:szCs w:val="24"/>
          <w:highlight w:val="none"/>
        </w:rPr>
      </w:pPr>
      <w:r>
        <w:rPr>
          <w:rFonts w:hint="eastAsia" w:ascii="宋体" w:hAnsi="宋体" w:cs="宋体"/>
          <w:b/>
          <w:sz w:val="24"/>
          <w:szCs w:val="24"/>
          <w:highlight w:val="none"/>
        </w:rPr>
        <w:t>（粘贴此处）</w:t>
      </w:r>
    </w:p>
    <w:p>
      <w:pPr>
        <w:spacing w:line="480" w:lineRule="exact"/>
        <w:rPr>
          <w:rFonts w:hAnsi="宋体" w:cs="宋体"/>
          <w:sz w:val="24"/>
          <w:szCs w:val="24"/>
          <w:highlight w:val="none"/>
        </w:rPr>
      </w:pPr>
    </w:p>
    <w:p>
      <w:pPr>
        <w:spacing w:line="480" w:lineRule="exact"/>
        <w:rPr>
          <w:rFonts w:hAnsi="宋体" w:cs="宋体"/>
          <w:sz w:val="24"/>
          <w:szCs w:val="24"/>
          <w:highlight w:val="none"/>
        </w:rPr>
      </w:pPr>
    </w:p>
    <w:p>
      <w:pPr>
        <w:spacing w:line="480" w:lineRule="exact"/>
        <w:ind w:firstLine="2479" w:firstLineChars="1029"/>
        <w:rPr>
          <w:rFonts w:hAnsi="宋体" w:cs="宋体"/>
          <w:b/>
          <w:sz w:val="24"/>
          <w:szCs w:val="24"/>
          <w:highlight w:val="none"/>
        </w:rPr>
      </w:pPr>
      <w:r>
        <w:rPr>
          <w:rFonts w:hint="eastAsia" w:hAnsi="宋体" w:cs="宋体"/>
          <w:b/>
          <w:sz w:val="24"/>
          <w:szCs w:val="24"/>
          <w:highlight w:val="none"/>
        </w:rPr>
        <w:t>被授权人身份证复印件</w:t>
      </w:r>
    </w:p>
    <w:p>
      <w:pPr>
        <w:spacing w:line="480" w:lineRule="exact"/>
        <w:rPr>
          <w:rFonts w:hAnsi="宋体" w:cs="宋体"/>
          <w:sz w:val="24"/>
          <w:szCs w:val="24"/>
          <w:highlight w:val="none"/>
        </w:rPr>
      </w:pPr>
    </w:p>
    <w:p>
      <w:pPr>
        <w:spacing w:line="480" w:lineRule="exact"/>
        <w:ind w:firstLine="3115" w:firstLineChars="1293"/>
        <w:rPr>
          <w:rFonts w:hAnsi="宋体" w:cs="宋体"/>
          <w:b/>
          <w:sz w:val="24"/>
          <w:szCs w:val="24"/>
          <w:highlight w:val="none"/>
        </w:rPr>
      </w:pPr>
      <w:r>
        <w:rPr>
          <w:rFonts w:hint="eastAsia" w:hAnsi="宋体" w:cs="宋体"/>
          <w:b/>
          <w:sz w:val="24"/>
          <w:szCs w:val="24"/>
          <w:highlight w:val="none"/>
        </w:rPr>
        <w:t>（粘贴此处）</w:t>
      </w:r>
    </w:p>
    <w:p>
      <w:pPr>
        <w:pStyle w:val="2"/>
        <w:ind w:firstLine="480"/>
        <w:rPr>
          <w:szCs w:val="24"/>
          <w:highlight w:val="none"/>
        </w:rPr>
      </w:pPr>
    </w:p>
    <w:p>
      <w:pPr>
        <w:spacing w:line="480" w:lineRule="exact"/>
        <w:ind w:firstLine="482" w:firstLineChars="200"/>
        <w:rPr>
          <w:rFonts w:hAnsi="宋体" w:cs="宋体"/>
          <w:b/>
          <w:bCs/>
          <w:sz w:val="24"/>
          <w:szCs w:val="24"/>
          <w:highlight w:val="none"/>
        </w:rPr>
      </w:pPr>
      <w:r>
        <w:rPr>
          <w:rFonts w:hint="eastAsia" w:hAnsi="宋体" w:cs="宋体"/>
          <w:b/>
          <w:bCs/>
          <w:sz w:val="24"/>
          <w:szCs w:val="24"/>
          <w:highlight w:val="none"/>
        </w:rPr>
        <w:t>注</w:t>
      </w:r>
      <w:r>
        <w:rPr>
          <w:rFonts w:hAnsi="宋体" w:cs="宋体"/>
          <w:b/>
          <w:bCs/>
          <w:sz w:val="24"/>
          <w:szCs w:val="24"/>
          <w:highlight w:val="none"/>
        </w:rPr>
        <w:t>:</w:t>
      </w:r>
      <w:r>
        <w:rPr>
          <w:rFonts w:hint="eastAsia" w:hAnsi="宋体" w:cs="宋体"/>
          <w:b/>
          <w:bCs/>
          <w:sz w:val="24"/>
          <w:szCs w:val="24"/>
          <w:highlight w:val="none"/>
        </w:rPr>
        <w:t>参加磋商时被授权人将身份证原件带至磋商现场备查。</w:t>
      </w:r>
    </w:p>
    <w:p>
      <w:pPr>
        <w:spacing w:line="360" w:lineRule="auto"/>
        <w:jc w:val="center"/>
        <w:rPr>
          <w:rFonts w:ascii="宋体" w:cs="宋体"/>
          <w:b/>
          <w:color w:val="000000"/>
          <w:sz w:val="24"/>
          <w:szCs w:val="24"/>
          <w:highlight w:val="none"/>
        </w:rPr>
      </w:pPr>
      <w:r>
        <w:rPr>
          <w:sz w:val="24"/>
          <w:szCs w:val="24"/>
          <w:highlight w:val="none"/>
        </w:rPr>
        <w:br w:type="page"/>
      </w:r>
      <w:r>
        <w:rPr>
          <w:rFonts w:ascii="宋体" w:hAnsi="宋体" w:cs="宋体"/>
          <w:b/>
          <w:color w:val="000000"/>
          <w:sz w:val="24"/>
          <w:szCs w:val="24"/>
          <w:highlight w:val="none"/>
        </w:rPr>
        <w:t>3</w:t>
      </w:r>
      <w:r>
        <w:rPr>
          <w:rFonts w:hint="eastAsia" w:ascii="宋体" w:hAnsi="宋体" w:cs="宋体"/>
          <w:b/>
          <w:color w:val="000000"/>
          <w:sz w:val="24"/>
          <w:szCs w:val="24"/>
          <w:highlight w:val="none"/>
        </w:rPr>
        <w:t>、无重大违法记录声明</w:t>
      </w:r>
    </w:p>
    <w:p>
      <w:pPr>
        <w:spacing w:line="560" w:lineRule="exact"/>
        <w:rPr>
          <w:rFonts w:ascii="宋体"/>
          <w:bCs/>
          <w:sz w:val="24"/>
          <w:szCs w:val="24"/>
          <w:highlight w:val="none"/>
          <w:u w:val="single"/>
        </w:rPr>
      </w:pPr>
      <w:r>
        <w:rPr>
          <w:rFonts w:hint="eastAsia" w:ascii="宋体" w:hAnsi="宋体"/>
          <w:bCs/>
          <w:sz w:val="24"/>
          <w:szCs w:val="24"/>
          <w:highlight w:val="none"/>
          <w:u w:val="single"/>
          <w:lang w:eastAsia="zh-CN"/>
        </w:rPr>
        <w:t>南通市教育局</w:t>
      </w:r>
      <w:r>
        <w:rPr>
          <w:rFonts w:hint="eastAsia" w:ascii="宋体" w:hAnsi="宋体"/>
          <w:bCs/>
          <w:sz w:val="24"/>
          <w:szCs w:val="24"/>
          <w:highlight w:val="none"/>
          <w:u w:val="single"/>
        </w:rPr>
        <w:t>：</w:t>
      </w:r>
    </w:p>
    <w:p>
      <w:pPr>
        <w:spacing w:line="560" w:lineRule="exact"/>
        <w:rPr>
          <w:rFonts w:ascii="宋体"/>
          <w:color w:val="000000"/>
          <w:sz w:val="24"/>
          <w:szCs w:val="24"/>
          <w:highlight w:val="none"/>
        </w:rPr>
      </w:pPr>
      <w:r>
        <w:rPr>
          <w:rFonts w:ascii="宋体" w:hAnsi="宋体"/>
          <w:color w:val="000000"/>
          <w:sz w:val="24"/>
          <w:szCs w:val="24"/>
          <w:highlight w:val="none"/>
        </w:rPr>
        <w:t xml:space="preserve">    </w:t>
      </w:r>
      <w:r>
        <w:rPr>
          <w:rFonts w:hint="eastAsia" w:ascii="宋体" w:hAnsi="宋体"/>
          <w:color w:val="000000"/>
          <w:sz w:val="24"/>
          <w:szCs w:val="24"/>
          <w:highlight w:val="none"/>
        </w:rPr>
        <w:t>我单位</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ascii="宋体" w:hAnsi="宋体"/>
          <w:color w:val="000000"/>
          <w:sz w:val="24"/>
          <w:szCs w:val="24"/>
          <w:highlight w:val="none"/>
        </w:rPr>
        <w:t>（供应商名称）郑重声明：</w:t>
      </w:r>
    </w:p>
    <w:p>
      <w:pPr>
        <w:spacing w:line="560" w:lineRule="exact"/>
        <w:rPr>
          <w:rFonts w:ascii="宋体"/>
          <w:color w:val="000000"/>
          <w:sz w:val="24"/>
          <w:szCs w:val="24"/>
          <w:highlight w:val="none"/>
        </w:rPr>
      </w:pPr>
      <w:r>
        <w:rPr>
          <w:rFonts w:ascii="宋体" w:hAnsi="宋体"/>
          <w:color w:val="000000"/>
          <w:sz w:val="24"/>
          <w:szCs w:val="24"/>
          <w:highlight w:val="none"/>
        </w:rPr>
        <w:t xml:space="preserve">    </w:t>
      </w:r>
      <w:r>
        <w:rPr>
          <w:rFonts w:hint="eastAsia" w:ascii="宋体" w:hAnsi="宋体"/>
          <w:color w:val="000000"/>
          <w:sz w:val="24"/>
          <w:szCs w:val="24"/>
          <w:highlight w:val="none"/>
        </w:rPr>
        <w:t>参加政府采购活动前</w:t>
      </w:r>
      <w:r>
        <w:rPr>
          <w:rFonts w:ascii="宋体" w:hAnsi="宋体"/>
          <w:color w:val="000000"/>
          <w:sz w:val="24"/>
          <w:szCs w:val="24"/>
          <w:highlight w:val="none"/>
        </w:rPr>
        <w:t>3</w:t>
      </w:r>
      <w:r>
        <w:rPr>
          <w:rFonts w:hint="eastAsia" w:ascii="宋体" w:hAnsi="宋体"/>
          <w:color w:val="000000"/>
          <w:sz w:val="24"/>
          <w:szCs w:val="24"/>
          <w:highlight w:val="none"/>
        </w:rPr>
        <w:t>年内在经营活动中</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ascii="宋体" w:hAnsi="宋体"/>
          <w:color w:val="000000"/>
          <w:sz w:val="24"/>
          <w:szCs w:val="24"/>
          <w:highlight w:val="none"/>
        </w:rPr>
        <w:t>（在下划线上如实填写：有或没有）重大违法记录。</w:t>
      </w:r>
    </w:p>
    <w:p>
      <w:pPr>
        <w:spacing w:line="560" w:lineRule="exact"/>
        <w:ind w:firstLine="480"/>
        <w:rPr>
          <w:rFonts w:ascii="宋体"/>
          <w:color w:val="000000"/>
          <w:sz w:val="24"/>
          <w:szCs w:val="24"/>
          <w:highlight w:val="none"/>
        </w:rPr>
      </w:pPr>
      <w:r>
        <w:rPr>
          <w:rFonts w:hint="eastAsia" w:ascii="宋体" w:hAnsi="宋体"/>
          <w:color w:val="000000"/>
          <w:sz w:val="24"/>
          <w:szCs w:val="24"/>
          <w:highlight w:val="none"/>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color w:val="000000"/>
          <w:sz w:val="24"/>
          <w:szCs w:val="24"/>
          <w:highlight w:val="none"/>
        </w:rPr>
      </w:pPr>
    </w:p>
    <w:p>
      <w:pPr>
        <w:spacing w:line="420" w:lineRule="exact"/>
        <w:ind w:firstLine="6360" w:firstLineChars="2650"/>
        <w:rPr>
          <w:rFonts w:ascii="宋体"/>
          <w:color w:val="000000"/>
          <w:sz w:val="24"/>
          <w:szCs w:val="24"/>
          <w:highlight w:val="none"/>
        </w:rPr>
      </w:pPr>
      <w:r>
        <w:rPr>
          <w:rFonts w:ascii="宋体" w:hAnsi="宋体"/>
          <w:color w:val="000000"/>
          <w:sz w:val="24"/>
          <w:szCs w:val="24"/>
          <w:highlight w:val="none"/>
        </w:rPr>
        <w:t xml:space="preserve"> </w:t>
      </w:r>
      <w:r>
        <w:rPr>
          <w:rFonts w:hint="eastAsia" w:ascii="宋体" w:hAnsi="宋体"/>
          <w:color w:val="000000"/>
          <w:sz w:val="24"/>
          <w:szCs w:val="24"/>
          <w:highlight w:val="none"/>
        </w:rPr>
        <w:t>声明人：（公章）</w:t>
      </w:r>
    </w:p>
    <w:p>
      <w:pPr>
        <w:spacing w:line="420" w:lineRule="exact"/>
        <w:jc w:val="right"/>
        <w:rPr>
          <w:rFonts w:ascii="宋体"/>
          <w:color w:val="000000"/>
          <w:sz w:val="24"/>
          <w:szCs w:val="24"/>
          <w:highlight w:val="none"/>
        </w:rPr>
      </w:pPr>
      <w:r>
        <w:rPr>
          <w:rFonts w:hint="eastAsia" w:ascii="宋体" w:hAnsi="宋体"/>
          <w:color w:val="000000"/>
          <w:sz w:val="24"/>
          <w:szCs w:val="24"/>
          <w:highlight w:val="none"/>
        </w:rPr>
        <w:t>年</w:t>
      </w:r>
      <w:r>
        <w:rPr>
          <w:rFonts w:ascii="宋体" w:hAnsi="宋体"/>
          <w:color w:val="000000"/>
          <w:sz w:val="24"/>
          <w:szCs w:val="24"/>
          <w:highlight w:val="none"/>
        </w:rPr>
        <w:t xml:space="preserve">     </w:t>
      </w:r>
      <w:r>
        <w:rPr>
          <w:rFonts w:hint="eastAsia" w:ascii="宋体" w:hAnsi="宋体"/>
          <w:color w:val="000000"/>
          <w:sz w:val="24"/>
          <w:szCs w:val="24"/>
          <w:highlight w:val="none"/>
        </w:rPr>
        <w:t>月</w:t>
      </w:r>
      <w:r>
        <w:rPr>
          <w:rFonts w:ascii="宋体" w:hAnsi="宋体"/>
          <w:color w:val="000000"/>
          <w:sz w:val="24"/>
          <w:szCs w:val="24"/>
          <w:highlight w:val="none"/>
        </w:rPr>
        <w:t xml:space="preserve">    </w:t>
      </w:r>
      <w:r>
        <w:rPr>
          <w:rFonts w:hint="eastAsia" w:ascii="宋体" w:hAnsi="宋体"/>
          <w:color w:val="000000"/>
          <w:sz w:val="24"/>
          <w:szCs w:val="24"/>
          <w:highlight w:val="none"/>
        </w:rPr>
        <w:t>日</w:t>
      </w:r>
    </w:p>
    <w:p>
      <w:pPr>
        <w:snapToGrid w:val="0"/>
        <w:spacing w:line="360" w:lineRule="auto"/>
        <w:jc w:val="center"/>
        <w:outlineLvl w:val="4"/>
        <w:rPr>
          <w:rFonts w:ascii="宋体" w:cs="宋体"/>
          <w:b/>
          <w:color w:val="000000"/>
          <w:sz w:val="24"/>
          <w:szCs w:val="24"/>
          <w:highlight w:val="none"/>
        </w:rPr>
      </w:pPr>
      <w:r>
        <w:rPr>
          <w:rFonts w:ascii="宋体" w:cs="宋体"/>
          <w:b/>
          <w:color w:val="000000"/>
          <w:sz w:val="24"/>
          <w:szCs w:val="24"/>
          <w:highlight w:val="none"/>
        </w:rPr>
        <w:br w:type="page"/>
      </w:r>
      <w:r>
        <w:rPr>
          <w:rFonts w:ascii="宋体" w:hAnsi="宋体" w:cs="宋体"/>
          <w:b/>
          <w:color w:val="000000"/>
          <w:sz w:val="24"/>
          <w:szCs w:val="24"/>
          <w:highlight w:val="none"/>
        </w:rPr>
        <w:t>4</w:t>
      </w:r>
      <w:r>
        <w:rPr>
          <w:rFonts w:hint="eastAsia" w:ascii="宋体" w:hAnsi="宋体" w:cs="宋体"/>
          <w:b/>
          <w:color w:val="000000"/>
          <w:sz w:val="24"/>
          <w:szCs w:val="24"/>
          <w:highlight w:val="none"/>
        </w:rPr>
        <w:t>、关于资格文件的声明函</w:t>
      </w:r>
    </w:p>
    <w:p>
      <w:pPr>
        <w:snapToGrid w:val="0"/>
        <w:spacing w:line="360" w:lineRule="auto"/>
        <w:rPr>
          <w:rFonts w:ascii="宋体" w:cs="宋体"/>
          <w:sz w:val="24"/>
          <w:szCs w:val="24"/>
          <w:highlight w:val="none"/>
          <w:u w:val="single"/>
        </w:rPr>
      </w:pPr>
    </w:p>
    <w:p>
      <w:pPr>
        <w:snapToGrid w:val="0"/>
        <w:spacing w:line="360" w:lineRule="auto"/>
        <w:rPr>
          <w:rFonts w:ascii="宋体" w:cs="宋体"/>
          <w:sz w:val="24"/>
          <w:szCs w:val="24"/>
          <w:highlight w:val="none"/>
          <w:u w:val="single"/>
        </w:rPr>
      </w:pPr>
    </w:p>
    <w:p>
      <w:pPr>
        <w:snapToGrid w:val="0"/>
        <w:spacing w:line="360" w:lineRule="auto"/>
        <w:rPr>
          <w:rFonts w:ascii="宋体"/>
          <w:bCs/>
          <w:sz w:val="24"/>
          <w:szCs w:val="24"/>
          <w:highlight w:val="none"/>
          <w:u w:val="single"/>
        </w:rPr>
      </w:pPr>
      <w:r>
        <w:rPr>
          <w:rFonts w:hint="eastAsia" w:ascii="宋体" w:hAnsi="宋体" w:cs="宋体"/>
          <w:sz w:val="24"/>
          <w:szCs w:val="24"/>
          <w:highlight w:val="none"/>
          <w:u w:val="single"/>
          <w:lang w:eastAsia="zh-CN"/>
        </w:rPr>
        <w:t>南通市教育局</w:t>
      </w:r>
      <w:r>
        <w:rPr>
          <w:rFonts w:hint="eastAsia" w:ascii="宋体" w:hAnsi="宋体" w:cs="宋体"/>
          <w:sz w:val="24"/>
          <w:szCs w:val="24"/>
          <w:highlight w:val="none"/>
          <w:u w:val="single"/>
        </w:rPr>
        <w:t>：</w:t>
      </w:r>
    </w:p>
    <w:p>
      <w:pPr>
        <w:overflowPunct w:val="0"/>
        <w:adjustRightInd w:val="0"/>
        <w:spacing w:line="360" w:lineRule="auto"/>
        <w:ind w:firstLine="660"/>
        <w:jc w:val="left"/>
        <w:textAlignment w:val="baseline"/>
        <w:rPr>
          <w:rFonts w:ascii="宋体"/>
          <w:sz w:val="24"/>
          <w:szCs w:val="24"/>
          <w:highlight w:val="none"/>
        </w:rPr>
      </w:pPr>
      <w:r>
        <w:rPr>
          <w:rFonts w:hint="eastAsia" w:ascii="宋体" w:hAnsi="宋体"/>
          <w:sz w:val="24"/>
          <w:szCs w:val="24"/>
          <w:highlight w:val="none"/>
        </w:rPr>
        <w:t>本公司愿就由贵单位组织实施的</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ascii="宋体" w:hAnsi="宋体"/>
          <w:sz w:val="24"/>
          <w:szCs w:val="24"/>
          <w:highlight w:val="none"/>
        </w:rPr>
        <w:t>（</w:t>
      </w:r>
      <w:r>
        <w:rPr>
          <w:rFonts w:hint="eastAsia" w:ascii="宋体" w:hAnsi="宋体" w:cs="宋体"/>
          <w:sz w:val="24"/>
          <w:szCs w:val="24"/>
          <w:highlight w:val="none"/>
        </w:rPr>
        <w:t>项目名称</w:t>
      </w:r>
      <w:r>
        <w:rPr>
          <w:rFonts w:ascii="宋体" w:hAnsi="宋体"/>
          <w:sz w:val="24"/>
          <w:szCs w:val="24"/>
          <w:highlight w:val="none"/>
        </w:rPr>
        <w:t>)</w:t>
      </w:r>
      <w:r>
        <w:rPr>
          <w:rFonts w:hint="eastAsia" w:ascii="宋体" w:hAnsi="宋体"/>
          <w:sz w:val="24"/>
          <w:szCs w:val="24"/>
          <w:highlight w:val="none"/>
        </w:rPr>
        <w:t>的活动参与磋商</w:t>
      </w:r>
      <w:r>
        <w:rPr>
          <w:rFonts w:hint="eastAsia" w:ascii="宋体" w:hAnsi="宋体" w:cs="宋体"/>
          <w:sz w:val="24"/>
          <w:szCs w:val="24"/>
          <w:highlight w:val="none"/>
        </w:rPr>
        <w:t>。本公司所提交的磋商文件中所有关于资格的文件、证明和陈述均是真实的、准确的。若与真实情况不符，本公司愿意承担由此而产生的一切后果</w:t>
      </w:r>
      <w:r>
        <w:rPr>
          <w:rFonts w:hint="eastAsia" w:ascii="宋体" w:hAnsi="宋体"/>
          <w:sz w:val="24"/>
          <w:szCs w:val="24"/>
          <w:highlight w:val="none"/>
        </w:rPr>
        <w:t>。</w:t>
      </w:r>
    </w:p>
    <w:p>
      <w:pPr>
        <w:overflowPunct w:val="0"/>
        <w:adjustRightInd w:val="0"/>
        <w:spacing w:line="360" w:lineRule="auto"/>
        <w:ind w:firstLine="420"/>
        <w:jc w:val="left"/>
        <w:textAlignment w:val="baseline"/>
        <w:rPr>
          <w:rFonts w:ascii="宋体"/>
          <w:sz w:val="24"/>
          <w:szCs w:val="24"/>
          <w:highlight w:val="none"/>
        </w:rPr>
      </w:pPr>
    </w:p>
    <w:p>
      <w:pPr>
        <w:overflowPunct w:val="0"/>
        <w:adjustRightInd w:val="0"/>
        <w:spacing w:line="360" w:lineRule="auto"/>
        <w:ind w:firstLine="420"/>
        <w:jc w:val="left"/>
        <w:textAlignment w:val="baseline"/>
        <w:rPr>
          <w:rFonts w:ascii="宋体"/>
          <w:sz w:val="24"/>
          <w:szCs w:val="24"/>
          <w:highlight w:val="none"/>
        </w:rPr>
      </w:pPr>
    </w:p>
    <w:p>
      <w:pPr>
        <w:snapToGrid w:val="0"/>
        <w:spacing w:line="520" w:lineRule="exact"/>
        <w:jc w:val="right"/>
        <w:rPr>
          <w:rFonts w:ascii="宋体" w:cs="宋体"/>
          <w:color w:val="000000"/>
          <w:sz w:val="24"/>
          <w:szCs w:val="24"/>
          <w:highlight w:val="none"/>
        </w:rPr>
      </w:pPr>
      <w:r>
        <w:rPr>
          <w:rFonts w:hint="eastAsia" w:ascii="宋体" w:hAnsi="宋体" w:cs="宋体"/>
          <w:color w:val="000000"/>
          <w:sz w:val="24"/>
          <w:szCs w:val="24"/>
          <w:highlight w:val="none"/>
        </w:rPr>
        <w:t>竞争性磋商响应单位：（加盖公章）</w:t>
      </w:r>
    </w:p>
    <w:p>
      <w:pPr>
        <w:snapToGrid w:val="0"/>
        <w:spacing w:line="520" w:lineRule="exact"/>
        <w:ind w:firstLine="240" w:firstLineChars="100"/>
        <w:jc w:val="both"/>
        <w:rPr>
          <w:rFonts w:ascii="宋体" w:cs="宋体"/>
          <w:color w:val="000000"/>
          <w:sz w:val="24"/>
          <w:szCs w:val="24"/>
          <w:highlight w:val="none"/>
        </w:rPr>
      </w:pPr>
      <w:r>
        <w:rPr>
          <w:rFonts w:hint="eastAsia" w:ascii="宋体" w:hAnsi="宋体" w:cs="宋体"/>
          <w:color w:val="000000"/>
          <w:sz w:val="24"/>
          <w:szCs w:val="24"/>
          <w:highlight w:val="none"/>
          <w:lang w:eastAsia="zh-CN"/>
        </w:rPr>
        <w:t>法定代表人</w:t>
      </w:r>
      <w:r>
        <w:rPr>
          <w:rFonts w:hint="eastAsia" w:ascii="宋体" w:hAnsi="宋体" w:cs="宋体"/>
          <w:color w:val="000000"/>
          <w:sz w:val="24"/>
          <w:szCs w:val="24"/>
          <w:highlight w:val="none"/>
        </w:rPr>
        <w:t>或被授权人：（签字或盖章）</w:t>
      </w:r>
    </w:p>
    <w:p>
      <w:pPr>
        <w:snapToGrid w:val="0"/>
        <w:spacing w:line="520" w:lineRule="exact"/>
        <w:jc w:val="right"/>
        <w:rPr>
          <w:rFonts w:ascii="宋体" w:cs="宋体"/>
          <w:color w:val="000000"/>
          <w:sz w:val="24"/>
          <w:szCs w:val="24"/>
          <w:highlight w:val="none"/>
        </w:rPr>
      </w:pPr>
      <w:r>
        <w:rPr>
          <w:rFonts w:hint="eastAsia" w:ascii="宋体" w:hAnsi="宋体" w:cs="宋体"/>
          <w:color w:val="000000"/>
          <w:sz w:val="24"/>
          <w:szCs w:val="24"/>
          <w:highlight w:val="none"/>
        </w:rPr>
        <w:t>年</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月</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日</w:t>
      </w:r>
    </w:p>
    <w:p>
      <w:pPr>
        <w:snapToGrid w:val="0"/>
        <w:spacing w:line="520" w:lineRule="exact"/>
        <w:jc w:val="center"/>
        <w:outlineLvl w:val="3"/>
        <w:rPr>
          <w:rFonts w:ascii="宋体" w:cs="宋体"/>
          <w:b/>
          <w:color w:val="000000"/>
          <w:sz w:val="24"/>
          <w:szCs w:val="24"/>
          <w:highlight w:val="none"/>
        </w:rPr>
      </w:pPr>
    </w:p>
    <w:p>
      <w:pPr>
        <w:snapToGrid w:val="0"/>
        <w:spacing w:line="520" w:lineRule="exact"/>
        <w:jc w:val="center"/>
        <w:outlineLvl w:val="3"/>
        <w:rPr>
          <w:rFonts w:ascii="宋体" w:cs="宋体"/>
          <w:b/>
          <w:color w:val="000000"/>
          <w:sz w:val="24"/>
          <w:szCs w:val="24"/>
          <w:highlight w:val="none"/>
        </w:rPr>
      </w:pPr>
    </w:p>
    <w:p>
      <w:pPr>
        <w:snapToGrid w:val="0"/>
        <w:spacing w:line="520" w:lineRule="exact"/>
        <w:jc w:val="center"/>
        <w:outlineLvl w:val="3"/>
        <w:rPr>
          <w:rFonts w:ascii="宋体" w:cs="宋体"/>
          <w:b/>
          <w:color w:val="000000"/>
          <w:sz w:val="24"/>
          <w:szCs w:val="24"/>
          <w:highlight w:val="none"/>
        </w:rPr>
      </w:pPr>
    </w:p>
    <w:p>
      <w:pPr>
        <w:spacing w:line="360" w:lineRule="auto"/>
        <w:jc w:val="center"/>
        <w:rPr>
          <w:rFonts w:ascii="宋体" w:cs="宋体"/>
          <w:b/>
          <w:color w:val="000000"/>
          <w:sz w:val="24"/>
          <w:szCs w:val="24"/>
          <w:highlight w:val="none"/>
        </w:rPr>
      </w:pPr>
      <w:r>
        <w:rPr>
          <w:sz w:val="24"/>
          <w:szCs w:val="24"/>
          <w:highlight w:val="none"/>
        </w:rPr>
        <w:br w:type="page"/>
      </w:r>
      <w:r>
        <w:rPr>
          <w:rFonts w:ascii="宋体" w:hAnsi="宋体" w:cs="宋体"/>
          <w:b/>
          <w:color w:val="000000"/>
          <w:sz w:val="24"/>
          <w:szCs w:val="24"/>
          <w:highlight w:val="none"/>
        </w:rPr>
        <w:t>5</w:t>
      </w:r>
      <w:r>
        <w:rPr>
          <w:rFonts w:hint="eastAsia" w:ascii="宋体" w:hAnsi="宋体" w:cs="宋体"/>
          <w:b/>
          <w:color w:val="000000"/>
          <w:sz w:val="24"/>
          <w:szCs w:val="24"/>
          <w:highlight w:val="none"/>
        </w:rPr>
        <w:t>、竞争性磋商响应函（格式不得变动）</w:t>
      </w:r>
    </w:p>
    <w:p>
      <w:pPr>
        <w:snapToGrid w:val="0"/>
        <w:spacing w:line="520" w:lineRule="exact"/>
        <w:rPr>
          <w:rFonts w:ascii="宋体" w:cs="宋体"/>
          <w:sz w:val="24"/>
          <w:szCs w:val="24"/>
          <w:highlight w:val="none"/>
          <w:u w:val="single"/>
        </w:rPr>
      </w:pPr>
    </w:p>
    <w:p>
      <w:pPr>
        <w:snapToGrid w:val="0"/>
        <w:spacing w:line="520" w:lineRule="exact"/>
        <w:rPr>
          <w:rFonts w:ascii="宋体" w:cs="宋体"/>
          <w:sz w:val="24"/>
          <w:szCs w:val="24"/>
          <w:highlight w:val="none"/>
          <w:u w:val="single"/>
        </w:rPr>
      </w:pPr>
      <w:r>
        <w:rPr>
          <w:rFonts w:hint="eastAsia" w:ascii="宋体" w:hAnsi="宋体" w:cs="宋体"/>
          <w:sz w:val="24"/>
          <w:szCs w:val="24"/>
          <w:highlight w:val="none"/>
          <w:u w:val="single"/>
          <w:lang w:eastAsia="zh-CN"/>
        </w:rPr>
        <w:t>南通市教育局</w:t>
      </w:r>
      <w:r>
        <w:rPr>
          <w:rFonts w:hint="eastAsia" w:ascii="宋体" w:hAnsi="宋体" w:cs="宋体"/>
          <w:sz w:val="24"/>
          <w:szCs w:val="24"/>
          <w:highlight w:val="none"/>
          <w:u w:val="single"/>
        </w:rPr>
        <w:t>：</w:t>
      </w:r>
    </w:p>
    <w:p>
      <w:pPr>
        <w:snapToGrid w:val="0"/>
        <w:spacing w:line="520" w:lineRule="exact"/>
        <w:ind w:firstLine="480" w:firstLineChars="200"/>
        <w:rPr>
          <w:rFonts w:ascii="宋体" w:cs="宋体"/>
          <w:color w:val="000000"/>
          <w:sz w:val="24"/>
          <w:szCs w:val="24"/>
          <w:highlight w:val="none"/>
        </w:rPr>
      </w:pPr>
      <w:r>
        <w:rPr>
          <w:rFonts w:hint="eastAsia" w:ascii="宋体" w:hAnsi="宋体" w:cs="宋体"/>
          <w:color w:val="000000"/>
          <w:sz w:val="24"/>
          <w:szCs w:val="24"/>
          <w:highlight w:val="none"/>
        </w:rPr>
        <w:t>依据贵单位委托代理机构组织的</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u w:val="single"/>
        </w:rPr>
        <w:t>　　　</w:t>
      </w:r>
      <w:r>
        <w:rPr>
          <w:rFonts w:hint="eastAsia" w:ascii="宋体" w:hAnsi="宋体" w:cs="宋体"/>
          <w:color w:val="000000"/>
          <w:sz w:val="24"/>
          <w:szCs w:val="24"/>
          <w:highlight w:val="none"/>
        </w:rPr>
        <w:t>（磋商项目名称</w:t>
      </w:r>
      <w:r>
        <w:rPr>
          <w:rFonts w:ascii="宋体" w:hAnsi="宋体" w:cs="宋体"/>
          <w:color w:val="000000"/>
          <w:sz w:val="24"/>
          <w:szCs w:val="24"/>
          <w:highlight w:val="none"/>
        </w:rPr>
        <w:t>)</w:t>
      </w:r>
      <w:r>
        <w:rPr>
          <w:rFonts w:hint="eastAsia" w:ascii="宋体" w:hAnsi="宋体" w:cs="宋体"/>
          <w:color w:val="000000"/>
          <w:sz w:val="24"/>
          <w:szCs w:val="24"/>
          <w:highlight w:val="none"/>
        </w:rPr>
        <w:t>项目竞争性磋商，我方授权</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rPr>
        <w:t>（姓名）</w:t>
      </w:r>
      <w:r>
        <w:rPr>
          <w:rFonts w:ascii="宋体" w:hAnsi="宋体" w:cs="宋体"/>
          <w:color w:val="000000"/>
          <w:sz w:val="24"/>
          <w:szCs w:val="24"/>
          <w:highlight w:val="none"/>
          <w:u w:val="single"/>
        </w:rPr>
        <w:t xml:space="preserve">    </w:t>
      </w:r>
      <w:r>
        <w:rPr>
          <w:rFonts w:hint="eastAsia" w:ascii="宋体" w:hAnsi="宋体" w:cs="宋体"/>
          <w:color w:val="000000"/>
          <w:sz w:val="24"/>
          <w:szCs w:val="24"/>
          <w:highlight w:val="none"/>
        </w:rPr>
        <w:t>（职务）为全权代表参加该项目的磋商工作，全权处理本次竞争性磋商的有关事宜。同时，我公司声明如下：</w:t>
      </w:r>
    </w:p>
    <w:p>
      <w:pPr>
        <w:snapToGrid w:val="0"/>
        <w:spacing w:line="52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1</w:t>
      </w:r>
      <w:r>
        <w:rPr>
          <w:rFonts w:hint="eastAsia" w:ascii="宋体" w:hAnsi="宋体" w:cs="宋体"/>
          <w:color w:val="000000"/>
          <w:sz w:val="24"/>
          <w:szCs w:val="24"/>
          <w:highlight w:val="none"/>
        </w:rPr>
        <w:t>、同意并接受竞争性磋商文件的各项要求，遵守竞争性磋商文件中的各项规定，按竞争性磋商文件的要求提供报价。</w:t>
      </w:r>
    </w:p>
    <w:p>
      <w:pPr>
        <w:snapToGrid w:val="0"/>
        <w:spacing w:line="52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2</w:t>
      </w:r>
      <w:r>
        <w:rPr>
          <w:rFonts w:hint="eastAsia" w:ascii="宋体" w:hAnsi="宋体" w:cs="宋体"/>
          <w:color w:val="000000"/>
          <w:sz w:val="24"/>
          <w:szCs w:val="24"/>
          <w:highlight w:val="none"/>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3</w:t>
      </w:r>
      <w:r>
        <w:rPr>
          <w:rFonts w:hint="eastAsia" w:ascii="宋体" w:hAnsi="宋体" w:cs="宋体"/>
          <w:color w:val="000000"/>
          <w:sz w:val="24"/>
          <w:szCs w:val="24"/>
          <w:highlight w:val="none"/>
        </w:rPr>
        <w:t>、我公司已毫无保留地向贵方提供一切所需的证明材料。</w:t>
      </w:r>
    </w:p>
    <w:p>
      <w:pPr>
        <w:snapToGrid w:val="0"/>
        <w:spacing w:line="52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、我公司承诺在本次磋商响应中提供的一切文件，无论是原件还是复印件均真实有效，绝无任何虚假、伪造和夸大的成份。否则，愿承担相应的后果和法律责任。</w:t>
      </w:r>
    </w:p>
    <w:p>
      <w:pPr>
        <w:snapToGrid w:val="0"/>
        <w:spacing w:line="520" w:lineRule="exact"/>
        <w:ind w:left="479" w:leftChars="228"/>
        <w:rPr>
          <w:rFonts w:hint="eastAsia" w:ascii="宋体" w:hAnsi="宋体" w:eastAsia="宋体" w:cs="宋体"/>
          <w:color w:val="000000"/>
          <w:sz w:val="24"/>
          <w:szCs w:val="24"/>
          <w:highlight w:val="none"/>
          <w:lang w:val="en-US" w:eastAsia="zh-CN"/>
        </w:rPr>
      </w:pPr>
      <w:r>
        <w:rPr>
          <w:rFonts w:ascii="宋体" w:hAnsi="宋体" w:cs="宋体"/>
          <w:color w:val="000000"/>
          <w:sz w:val="24"/>
          <w:szCs w:val="24"/>
          <w:highlight w:val="none"/>
        </w:rPr>
        <w:t>5</w:t>
      </w:r>
      <w:r>
        <w:rPr>
          <w:rFonts w:hint="eastAsia" w:ascii="宋体" w:hAnsi="宋体" w:cs="宋体"/>
          <w:color w:val="000000"/>
          <w:sz w:val="24"/>
          <w:szCs w:val="24"/>
          <w:highlight w:val="none"/>
        </w:rPr>
        <w:t>、一旦成交，我方承诺无正当理由拒绝签订合同，将被贵方取消成交</w:t>
      </w:r>
      <w:r>
        <w:rPr>
          <w:rFonts w:hint="eastAsia" w:ascii="宋体" w:hAnsi="宋体" w:cs="宋体"/>
          <w:color w:val="000000"/>
          <w:sz w:val="24"/>
          <w:szCs w:val="24"/>
          <w:highlight w:val="none"/>
          <w:lang w:val="en-US" w:eastAsia="zh-CN"/>
        </w:rPr>
        <w:t>资格。</w:t>
      </w:r>
    </w:p>
    <w:p>
      <w:pPr>
        <w:snapToGrid w:val="0"/>
        <w:spacing w:line="520" w:lineRule="exact"/>
        <w:ind w:firstLine="480" w:firstLineChars="200"/>
        <w:rPr>
          <w:rFonts w:ascii="宋体" w:cs="宋体"/>
          <w:color w:val="000000"/>
          <w:sz w:val="24"/>
          <w:szCs w:val="24"/>
          <w:highlight w:val="none"/>
        </w:rPr>
      </w:pPr>
      <w:r>
        <w:rPr>
          <w:rFonts w:ascii="宋体" w:hAnsi="宋体" w:cs="宋体"/>
          <w:color w:val="000000"/>
          <w:sz w:val="24"/>
          <w:szCs w:val="24"/>
          <w:highlight w:val="none"/>
        </w:rPr>
        <w:t>6</w:t>
      </w:r>
      <w:r>
        <w:rPr>
          <w:rFonts w:hint="eastAsia" w:ascii="宋体" w:hAnsi="宋体" w:cs="宋体"/>
          <w:color w:val="000000"/>
          <w:sz w:val="24"/>
          <w:szCs w:val="24"/>
          <w:highlight w:val="none"/>
        </w:rPr>
        <w:t>、</w:t>
      </w:r>
      <w:r>
        <w:rPr>
          <w:rFonts w:hint="eastAsia" w:ascii="宋体" w:hAnsi="宋体" w:cs="宋体"/>
          <w:b/>
          <w:color w:val="000000"/>
          <w:sz w:val="24"/>
          <w:szCs w:val="24"/>
          <w:highlight w:val="none"/>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cs="宋体"/>
          <w:color w:val="000000"/>
          <w:sz w:val="24"/>
          <w:szCs w:val="24"/>
          <w:highlight w:val="none"/>
        </w:rPr>
      </w:pPr>
    </w:p>
    <w:p>
      <w:pPr>
        <w:snapToGrid w:val="0"/>
        <w:spacing w:line="520" w:lineRule="exact"/>
        <w:jc w:val="right"/>
        <w:rPr>
          <w:rFonts w:ascii="宋体" w:cs="宋体"/>
          <w:color w:val="000000"/>
          <w:sz w:val="24"/>
          <w:szCs w:val="24"/>
          <w:highlight w:val="none"/>
        </w:rPr>
      </w:pPr>
      <w:r>
        <w:rPr>
          <w:rFonts w:hint="eastAsia" w:ascii="宋体" w:hAnsi="宋体" w:cs="宋体"/>
          <w:color w:val="000000"/>
          <w:sz w:val="24"/>
          <w:szCs w:val="24"/>
          <w:highlight w:val="none"/>
        </w:rPr>
        <w:t>竞争性磋商响应单位：（加盖公章）</w:t>
      </w:r>
    </w:p>
    <w:p>
      <w:pPr>
        <w:snapToGrid w:val="0"/>
        <w:spacing w:line="520" w:lineRule="exact"/>
        <w:ind w:firstLine="240" w:firstLineChars="100"/>
        <w:jc w:val="both"/>
        <w:rPr>
          <w:rFonts w:ascii="宋体" w:cs="宋体"/>
          <w:color w:val="000000"/>
          <w:sz w:val="24"/>
          <w:szCs w:val="24"/>
          <w:highlight w:val="none"/>
        </w:rPr>
      </w:pPr>
      <w:r>
        <w:rPr>
          <w:rFonts w:hint="eastAsia" w:ascii="宋体" w:hAnsi="宋体" w:cs="宋体"/>
          <w:color w:val="000000"/>
          <w:sz w:val="24"/>
          <w:szCs w:val="24"/>
          <w:highlight w:val="none"/>
          <w:lang w:eastAsia="zh-CN"/>
        </w:rPr>
        <w:t>法定代表人</w:t>
      </w:r>
      <w:r>
        <w:rPr>
          <w:rFonts w:hint="eastAsia" w:ascii="宋体" w:hAnsi="宋体" w:cs="宋体"/>
          <w:color w:val="000000"/>
          <w:sz w:val="24"/>
          <w:szCs w:val="24"/>
          <w:highlight w:val="none"/>
        </w:rPr>
        <w:t>或被授权人：（签字或盖章）</w:t>
      </w:r>
    </w:p>
    <w:p>
      <w:pPr>
        <w:snapToGrid w:val="0"/>
        <w:spacing w:line="520" w:lineRule="exact"/>
        <w:jc w:val="right"/>
        <w:rPr>
          <w:rFonts w:ascii="宋体" w:cs="宋体"/>
          <w:color w:val="000000"/>
          <w:sz w:val="24"/>
          <w:szCs w:val="24"/>
          <w:highlight w:val="none"/>
        </w:rPr>
      </w:pP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年</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月</w:t>
      </w:r>
      <w:r>
        <w:rPr>
          <w:rFonts w:ascii="宋体" w:hAnsi="宋体" w:cs="宋体"/>
          <w:color w:val="000000"/>
          <w:sz w:val="24"/>
          <w:szCs w:val="24"/>
          <w:highlight w:val="none"/>
        </w:rPr>
        <w:t xml:space="preserve">     </w:t>
      </w:r>
      <w:r>
        <w:rPr>
          <w:rFonts w:hint="eastAsia" w:ascii="宋体" w:hAnsi="宋体" w:cs="宋体"/>
          <w:color w:val="000000"/>
          <w:sz w:val="24"/>
          <w:szCs w:val="24"/>
          <w:highlight w:val="none"/>
        </w:rPr>
        <w:t>日</w:t>
      </w:r>
    </w:p>
    <w:p>
      <w:pPr>
        <w:snapToGrid w:val="0"/>
        <w:spacing w:line="520" w:lineRule="exact"/>
        <w:jc w:val="center"/>
        <w:outlineLvl w:val="3"/>
        <w:rPr>
          <w:rFonts w:ascii="宋体" w:cs="宋体"/>
          <w:b/>
          <w:color w:val="000000"/>
          <w:sz w:val="24"/>
          <w:szCs w:val="24"/>
          <w:highlight w:val="none"/>
        </w:rPr>
      </w:pPr>
    </w:p>
    <w:p>
      <w:pPr>
        <w:snapToGrid w:val="0"/>
        <w:spacing w:line="520" w:lineRule="exact"/>
        <w:jc w:val="center"/>
        <w:outlineLvl w:val="3"/>
        <w:rPr>
          <w:rFonts w:ascii="宋体" w:cs="宋体"/>
          <w:b/>
          <w:color w:val="000000"/>
          <w:sz w:val="24"/>
          <w:szCs w:val="24"/>
          <w:highlight w:val="none"/>
        </w:rPr>
      </w:pPr>
    </w:p>
    <w:p>
      <w:pPr>
        <w:numPr>
          <w:ilvl w:val="0"/>
          <w:numId w:val="3"/>
        </w:numPr>
        <w:snapToGrid w:val="0"/>
        <w:spacing w:line="520" w:lineRule="exact"/>
        <w:jc w:val="center"/>
        <w:outlineLvl w:val="3"/>
        <w:rPr>
          <w:rFonts w:hint="eastAsia" w:ascii="宋体" w:hAnsi="宋体" w:eastAsia="宋体" w:cs="宋体"/>
          <w:b/>
          <w:color w:val="000000"/>
          <w:kern w:val="2"/>
          <w:sz w:val="24"/>
          <w:szCs w:val="24"/>
          <w:highlight w:val="none"/>
          <w:lang w:val="en-US" w:eastAsia="zh-CN" w:bidi="ar-SA"/>
        </w:rPr>
      </w:pPr>
      <w:bookmarkStart w:id="74" w:name="_Toc425960671"/>
      <w:r>
        <w:rPr>
          <w:rFonts w:ascii="宋体"/>
          <w:b/>
          <w:bCs/>
          <w:color w:val="000000"/>
          <w:sz w:val="24"/>
          <w:szCs w:val="24"/>
          <w:highlight w:val="none"/>
        </w:rPr>
        <w:br w:type="page"/>
      </w:r>
      <w:bookmarkEnd w:id="74"/>
      <w:r>
        <w:rPr>
          <w:rFonts w:hint="eastAsia" w:ascii="宋体" w:hAnsi="宋体" w:eastAsia="宋体" w:cs="宋体"/>
          <w:b/>
          <w:color w:val="000000"/>
          <w:kern w:val="2"/>
          <w:sz w:val="24"/>
          <w:szCs w:val="24"/>
          <w:highlight w:val="none"/>
          <w:lang w:val="en-US" w:eastAsia="zh-CN" w:bidi="ar-SA"/>
        </w:rPr>
        <w:t>磋商响应报价总表（首次）</w:t>
      </w:r>
    </w:p>
    <w:p>
      <w:pPr>
        <w:pStyle w:val="2"/>
        <w:numPr>
          <w:ilvl w:val="0"/>
          <w:numId w:val="0"/>
        </w:numPr>
        <w:rPr>
          <w:rFonts w:hint="eastAsia"/>
          <w:highlight w:val="none"/>
          <w:lang w:val="en-US" w:eastAsia="zh-CN"/>
        </w:rPr>
      </w:pPr>
    </w:p>
    <w:tbl>
      <w:tblPr>
        <w:tblStyle w:val="5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2756" w:type="dxa"/>
            <w:vAlign w:val="center"/>
          </w:tcPr>
          <w:p>
            <w:pPr>
              <w:spacing w:line="480" w:lineRule="exact"/>
              <w:jc w:val="center"/>
              <w:rPr>
                <w:rFonts w:ascii="宋体" w:cs="宋体"/>
                <w:sz w:val="24"/>
                <w:szCs w:val="24"/>
                <w:highlight w:val="none"/>
              </w:rPr>
            </w:pPr>
            <w:r>
              <w:rPr>
                <w:rFonts w:hint="eastAsia" w:ascii="宋体" w:hAnsi="宋体" w:cs="宋体"/>
                <w:sz w:val="24"/>
                <w:szCs w:val="24"/>
                <w:highlight w:val="none"/>
              </w:rPr>
              <w:t>项目名称</w:t>
            </w:r>
          </w:p>
        </w:tc>
        <w:tc>
          <w:tcPr>
            <w:tcW w:w="6843" w:type="dxa"/>
            <w:vAlign w:val="center"/>
          </w:tcPr>
          <w:p>
            <w:pPr>
              <w:spacing w:line="480" w:lineRule="exact"/>
              <w:jc w:val="center"/>
              <w:rPr>
                <w:rFonts w:asci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756" w:type="dxa"/>
            <w:vAlign w:val="center"/>
          </w:tcPr>
          <w:p>
            <w:pPr>
              <w:spacing w:line="480" w:lineRule="exact"/>
              <w:jc w:val="center"/>
              <w:rPr>
                <w:rFonts w:ascii="宋体"/>
                <w:sz w:val="24"/>
                <w:szCs w:val="24"/>
                <w:highlight w:val="none"/>
              </w:rPr>
            </w:pPr>
            <w:r>
              <w:rPr>
                <w:rFonts w:hint="eastAsia" w:ascii="宋体" w:hAnsi="宋体" w:cs="宋体"/>
                <w:sz w:val="24"/>
                <w:szCs w:val="24"/>
                <w:highlight w:val="none"/>
              </w:rPr>
              <w:t>投标报价</w:t>
            </w:r>
          </w:p>
        </w:tc>
        <w:tc>
          <w:tcPr>
            <w:tcW w:w="6843" w:type="dxa"/>
            <w:vAlign w:val="center"/>
          </w:tcPr>
          <w:p>
            <w:pPr>
              <w:spacing w:line="480" w:lineRule="exact"/>
              <w:rPr>
                <w:rFonts w:ascii="宋体"/>
                <w:sz w:val="24"/>
                <w:szCs w:val="24"/>
                <w:highlight w:val="none"/>
              </w:rPr>
            </w:pPr>
            <w:r>
              <w:rPr>
                <w:rFonts w:ascii="宋体"/>
                <w:sz w:val="24"/>
                <w:szCs w:val="24"/>
                <w:highlight w:val="none"/>
              </w:rPr>
              <w:t>¥</w:t>
            </w:r>
            <w:r>
              <w:rPr>
                <w:rFonts w:ascii="宋体"/>
                <w:sz w:val="24"/>
                <w:szCs w:val="24"/>
                <w:highlight w:val="none"/>
                <w:u w:val="single"/>
              </w:rPr>
              <w:t xml:space="preserve">               </w:t>
            </w:r>
            <w:r>
              <w:rPr>
                <w:rFonts w:hint="eastAsia" w:ascii="宋体" w:hAnsi="宋体" w:cs="宋体"/>
                <w:sz w:val="24"/>
                <w:szCs w:val="24"/>
                <w:highlight w:val="none"/>
              </w:rPr>
              <w:t>元， 人民币大写：</w:t>
            </w:r>
            <w:r>
              <w:rPr>
                <w:rFonts w:ascii="宋体" w:hAnsi="宋体" w:cs="宋体"/>
                <w:sz w:val="24"/>
                <w:szCs w:val="24"/>
                <w:highlight w:val="none"/>
                <w:u w:val="single"/>
              </w:rPr>
              <w:t xml:space="preserve">                 </w:t>
            </w:r>
            <w:r>
              <w:rPr>
                <w:rFonts w:hint="eastAsia" w:ascii="宋体" w:hAnsi="宋体" w:cs="宋体"/>
                <w:sz w:val="24"/>
                <w:szCs w:val="24"/>
                <w:highlight w:val="none"/>
              </w:rPr>
              <w:t>。</w:t>
            </w:r>
          </w:p>
        </w:tc>
      </w:tr>
    </w:tbl>
    <w:p>
      <w:pPr>
        <w:pStyle w:val="2"/>
        <w:ind w:firstLine="0" w:firstLineChars="0"/>
        <w:rPr>
          <w:szCs w:val="24"/>
          <w:highlight w:val="none"/>
        </w:rPr>
      </w:pPr>
    </w:p>
    <w:p>
      <w:pPr>
        <w:pStyle w:val="112"/>
        <w:spacing w:line="480" w:lineRule="exact"/>
        <w:rPr>
          <w:rFonts w:ascii="Times New Roman" w:hAnsi="宋体" w:cs="宋体"/>
          <w:b/>
          <w:sz w:val="24"/>
          <w:highlight w:val="none"/>
        </w:rPr>
      </w:pPr>
      <w:r>
        <w:rPr>
          <w:rFonts w:hint="eastAsia" w:hAnsi="宋体" w:cs="宋体"/>
          <w:b/>
          <w:sz w:val="24"/>
          <w:highlight w:val="none"/>
        </w:rPr>
        <w:t>注：</w:t>
      </w:r>
      <w:r>
        <w:rPr>
          <w:rFonts w:ascii="Times New Roman" w:hAnsi="宋体" w:cs="宋体"/>
          <w:b/>
          <w:sz w:val="24"/>
          <w:highlight w:val="none"/>
        </w:rPr>
        <w:t>1</w:t>
      </w:r>
      <w:r>
        <w:rPr>
          <w:rFonts w:hint="eastAsia" w:ascii="Times New Roman" w:hAnsi="宋体" w:cs="宋体"/>
          <w:b/>
          <w:sz w:val="24"/>
          <w:highlight w:val="none"/>
        </w:rPr>
        <w:t>、最终报价将在开标现场填写，响应文件密封提交时只需填写磋商报价总计（首次）的报价。且最终报价时，磋商响应报价明细表按同比例下浮。</w:t>
      </w:r>
    </w:p>
    <w:p>
      <w:pPr>
        <w:pStyle w:val="112"/>
        <w:spacing w:line="480" w:lineRule="exact"/>
        <w:ind w:firstLine="482" w:firstLineChars="200"/>
        <w:rPr>
          <w:rFonts w:ascii="Times New Roman" w:hAnsi="宋体" w:cs="宋体"/>
          <w:b/>
          <w:sz w:val="24"/>
          <w:highlight w:val="none"/>
        </w:rPr>
      </w:pPr>
      <w:r>
        <w:rPr>
          <w:rFonts w:hint="eastAsia" w:ascii="Times New Roman" w:hAnsi="宋体" w:cs="宋体"/>
          <w:b/>
          <w:sz w:val="24"/>
          <w:highlight w:val="none"/>
        </w:rPr>
        <w:t>2、本表式，不得自行改动。</w:t>
      </w:r>
    </w:p>
    <w:p>
      <w:pPr>
        <w:spacing w:line="480" w:lineRule="exact"/>
        <w:ind w:firstLine="480"/>
        <w:jc w:val="left"/>
        <w:rPr>
          <w:rFonts w:ascii="宋体"/>
          <w:sz w:val="24"/>
          <w:szCs w:val="24"/>
          <w:highlight w:val="none"/>
        </w:rPr>
      </w:pPr>
      <w:r>
        <w:rPr>
          <w:rFonts w:hint="eastAsia" w:ascii="宋体" w:hAnsi="宋体" w:cs="宋体"/>
          <w:sz w:val="24"/>
          <w:szCs w:val="24"/>
          <w:highlight w:val="none"/>
          <w:lang w:val="en-US" w:eastAsia="zh-CN"/>
        </w:rPr>
        <w:t>3</w:t>
      </w:r>
      <w:r>
        <w:rPr>
          <w:rFonts w:hint="eastAsia" w:ascii="宋体" w:hAnsi="宋体" w:cs="宋体"/>
          <w:sz w:val="24"/>
          <w:szCs w:val="24"/>
          <w:highlight w:val="none"/>
        </w:rPr>
        <w:t>、第二次及之后的磋商报价将在开标现场填写，响应文件密封提交时只需填写磋商报价总计（首次）。</w:t>
      </w:r>
    </w:p>
    <w:p>
      <w:pPr>
        <w:spacing w:line="360" w:lineRule="auto"/>
        <w:ind w:firstLine="480" w:firstLineChars="200"/>
        <w:rPr>
          <w:rFonts w:ascii="宋体"/>
          <w:sz w:val="24"/>
          <w:szCs w:val="24"/>
          <w:highlight w:val="none"/>
        </w:rPr>
      </w:pPr>
    </w:p>
    <w:p>
      <w:pPr>
        <w:pStyle w:val="112"/>
        <w:tabs>
          <w:tab w:val="left" w:pos="5665"/>
          <w:tab w:val="right" w:pos="8360"/>
        </w:tabs>
        <w:spacing w:line="360" w:lineRule="auto"/>
        <w:ind w:right="42" w:firstLine="1560" w:firstLineChars="650"/>
        <w:rPr>
          <w:rFonts w:hAnsi="宋体" w:cs="宋体"/>
          <w:sz w:val="24"/>
          <w:highlight w:val="none"/>
        </w:rPr>
      </w:pPr>
    </w:p>
    <w:p>
      <w:pPr>
        <w:pStyle w:val="112"/>
        <w:tabs>
          <w:tab w:val="left" w:pos="5665"/>
          <w:tab w:val="right" w:pos="8360"/>
        </w:tabs>
        <w:spacing w:line="360" w:lineRule="auto"/>
        <w:ind w:right="42"/>
        <w:jc w:val="left"/>
        <w:rPr>
          <w:rFonts w:hAnsi="宋体" w:cs="宋体"/>
          <w:sz w:val="24"/>
          <w:highlight w:val="none"/>
          <w:u w:val="single"/>
        </w:rPr>
      </w:pPr>
      <w:r>
        <w:rPr>
          <w:rFonts w:hint="eastAsia" w:hAnsi="宋体" w:cs="宋体"/>
          <w:sz w:val="24"/>
          <w:highlight w:val="none"/>
        </w:rPr>
        <w:t>竞争性磋商响应单位：</w:t>
      </w:r>
    </w:p>
    <w:p>
      <w:pPr>
        <w:pStyle w:val="112"/>
        <w:tabs>
          <w:tab w:val="left" w:pos="5665"/>
          <w:tab w:val="right" w:pos="8360"/>
        </w:tabs>
        <w:spacing w:line="360" w:lineRule="auto"/>
        <w:ind w:right="42"/>
        <w:rPr>
          <w:rFonts w:hAnsi="宋体" w:cs="宋体"/>
          <w:sz w:val="24"/>
          <w:highlight w:val="none"/>
          <w:u w:val="single"/>
        </w:rPr>
      </w:pPr>
      <w:r>
        <w:rPr>
          <w:rFonts w:hint="eastAsia" w:hAnsi="宋体" w:cs="宋体"/>
          <w:sz w:val="24"/>
          <w:highlight w:val="none"/>
          <w:lang w:eastAsia="zh-CN"/>
        </w:rPr>
        <w:t>法定代表人</w:t>
      </w:r>
      <w:r>
        <w:rPr>
          <w:rFonts w:hint="eastAsia" w:hAnsi="宋体" w:cs="宋体"/>
          <w:sz w:val="24"/>
          <w:highlight w:val="none"/>
        </w:rPr>
        <w:t>或</w:t>
      </w:r>
      <w:r>
        <w:rPr>
          <w:rFonts w:hint="eastAsia" w:hAnsi="宋体" w:cs="仿宋_GB2312"/>
          <w:sz w:val="24"/>
          <w:highlight w:val="none"/>
        </w:rPr>
        <w:t>被授权人（签字）</w:t>
      </w:r>
      <w:r>
        <w:rPr>
          <w:rFonts w:hint="eastAsia" w:hAnsi="宋体" w:cs="宋体"/>
          <w:sz w:val="24"/>
          <w:highlight w:val="none"/>
        </w:rPr>
        <w:t>：</w:t>
      </w:r>
    </w:p>
    <w:p>
      <w:pPr>
        <w:pStyle w:val="112"/>
        <w:tabs>
          <w:tab w:val="left" w:pos="5665"/>
          <w:tab w:val="right" w:pos="8360"/>
        </w:tabs>
        <w:spacing w:line="360" w:lineRule="auto"/>
        <w:ind w:right="42"/>
        <w:jc w:val="right"/>
        <w:rPr>
          <w:rFonts w:hint="eastAsia" w:hAnsi="宋体" w:cs="宋体"/>
          <w:color w:val="000000"/>
          <w:sz w:val="24"/>
          <w:highlight w:val="none"/>
        </w:rPr>
      </w:pPr>
      <w:r>
        <w:rPr>
          <w:rFonts w:hAnsi="宋体" w:cs="宋体"/>
          <w:color w:val="000000"/>
          <w:sz w:val="24"/>
          <w:highlight w:val="none"/>
        </w:rPr>
        <w:t xml:space="preserve"> </w:t>
      </w:r>
      <w:r>
        <w:rPr>
          <w:rFonts w:hint="eastAsia" w:hAnsi="宋体" w:cs="宋体"/>
          <w:color w:val="000000"/>
          <w:sz w:val="24"/>
          <w:highlight w:val="none"/>
        </w:rPr>
        <w:t>年</w:t>
      </w:r>
      <w:r>
        <w:rPr>
          <w:rFonts w:hAnsi="宋体" w:cs="宋体"/>
          <w:color w:val="000000"/>
          <w:sz w:val="24"/>
          <w:highlight w:val="none"/>
        </w:rPr>
        <w:t xml:space="preserve">      </w:t>
      </w:r>
      <w:r>
        <w:rPr>
          <w:rFonts w:hint="eastAsia" w:hAnsi="宋体" w:cs="宋体"/>
          <w:color w:val="000000"/>
          <w:sz w:val="24"/>
          <w:highlight w:val="none"/>
        </w:rPr>
        <w:t>月</w:t>
      </w:r>
      <w:r>
        <w:rPr>
          <w:rFonts w:hAnsi="宋体" w:cs="宋体"/>
          <w:color w:val="000000"/>
          <w:sz w:val="24"/>
          <w:highlight w:val="none"/>
        </w:rPr>
        <w:t xml:space="preserve">     </w:t>
      </w:r>
      <w:r>
        <w:rPr>
          <w:rFonts w:hint="eastAsia" w:hAnsi="宋体" w:cs="宋体"/>
          <w:color w:val="000000"/>
          <w:sz w:val="24"/>
          <w:highlight w:val="none"/>
        </w:rPr>
        <w:t>日</w:t>
      </w:r>
    </w:p>
    <w:p>
      <w:pPr>
        <w:spacing w:line="500" w:lineRule="exact"/>
        <w:jc w:val="center"/>
        <w:outlineLvl w:val="3"/>
        <w:rPr>
          <w:rFonts w:hint="eastAsia" w:ascii="宋体" w:hAnsi="宋体" w:eastAsia="宋体" w:cs="宋体"/>
          <w:b/>
          <w:color w:val="000000"/>
          <w:kern w:val="2"/>
          <w:sz w:val="24"/>
          <w:szCs w:val="24"/>
          <w:highlight w:val="none"/>
          <w:lang w:val="en-US" w:eastAsia="zh-CN" w:bidi="ar-SA"/>
        </w:rPr>
      </w:pPr>
      <w:r>
        <w:rPr>
          <w:rFonts w:hint="eastAsia" w:hAnsi="宋体" w:cs="宋体"/>
          <w:color w:val="000000"/>
          <w:sz w:val="24"/>
          <w:highlight w:val="none"/>
        </w:rPr>
        <w:br w:type="page"/>
      </w:r>
      <w:r>
        <w:rPr>
          <w:rFonts w:hint="eastAsia" w:ascii="宋体" w:hAnsi="宋体" w:cs="宋体"/>
          <w:b/>
          <w:color w:val="000000"/>
          <w:kern w:val="2"/>
          <w:sz w:val="24"/>
          <w:szCs w:val="24"/>
          <w:highlight w:val="none"/>
          <w:lang w:val="en-US" w:eastAsia="zh-CN" w:bidi="ar-SA"/>
        </w:rPr>
        <w:t>7</w:t>
      </w:r>
      <w:r>
        <w:rPr>
          <w:rFonts w:hint="eastAsia" w:ascii="宋体" w:hAnsi="宋体" w:eastAsia="宋体" w:cs="宋体"/>
          <w:b/>
          <w:color w:val="000000"/>
          <w:kern w:val="2"/>
          <w:sz w:val="24"/>
          <w:szCs w:val="24"/>
          <w:highlight w:val="none"/>
          <w:lang w:val="en-US" w:eastAsia="zh-CN" w:bidi="ar-SA"/>
        </w:rPr>
        <w:t>、磋商响应报价明细表</w:t>
      </w:r>
    </w:p>
    <w:p>
      <w:pPr>
        <w:kinsoku w:val="0"/>
        <w:topLinePunct/>
        <w:snapToGrid w:val="0"/>
        <w:spacing w:line="520" w:lineRule="exact"/>
        <w:rPr>
          <w:rFonts w:ascii="方正仿宋_GBK"/>
          <w:b/>
          <w:sz w:val="24"/>
          <w:szCs w:val="24"/>
          <w:highlight w:val="none"/>
        </w:rPr>
      </w:pPr>
    </w:p>
    <w:p>
      <w:pPr>
        <w:kinsoku w:val="0"/>
        <w:topLinePunct/>
        <w:snapToGrid w:val="0"/>
        <w:spacing w:line="520" w:lineRule="exact"/>
        <w:rPr>
          <w:rFonts w:ascii="宋体" w:hAnsi="宋体" w:cs="宋体"/>
          <w:b/>
          <w:bCs/>
          <w:sz w:val="28"/>
          <w:szCs w:val="28"/>
          <w:highlight w:val="none"/>
        </w:rPr>
      </w:pPr>
      <w:r>
        <w:rPr>
          <w:rFonts w:hint="eastAsia" w:ascii="方正仿宋_GBK"/>
          <w:b/>
          <w:sz w:val="24"/>
          <w:szCs w:val="24"/>
          <w:highlight w:val="none"/>
        </w:rPr>
        <w:t>项目</w:t>
      </w:r>
      <w:r>
        <w:rPr>
          <w:rFonts w:ascii="方正仿宋_GBK"/>
          <w:b/>
          <w:sz w:val="24"/>
          <w:szCs w:val="24"/>
          <w:highlight w:val="none"/>
        </w:rPr>
        <w:t>名称：</w:t>
      </w:r>
    </w:p>
    <w:tbl>
      <w:tblPr>
        <w:tblStyle w:val="51"/>
        <w:tblW w:w="9340" w:type="dxa"/>
        <w:jc w:val="center"/>
        <w:tblLayout w:type="fixed"/>
        <w:tblCellMar>
          <w:top w:w="15" w:type="dxa"/>
          <w:left w:w="15" w:type="dxa"/>
          <w:bottom w:w="15" w:type="dxa"/>
          <w:right w:w="15" w:type="dxa"/>
        </w:tblCellMar>
      </w:tblPr>
      <w:tblGrid>
        <w:gridCol w:w="743"/>
        <w:gridCol w:w="1898"/>
        <w:gridCol w:w="1226"/>
        <w:gridCol w:w="1227"/>
        <w:gridCol w:w="1010"/>
        <w:gridCol w:w="1108"/>
        <w:gridCol w:w="1064"/>
        <w:gridCol w:w="1064"/>
      </w:tblGrid>
      <w:tr>
        <w:tblPrEx>
          <w:tblCellMar>
            <w:top w:w="15" w:type="dxa"/>
            <w:left w:w="15" w:type="dxa"/>
            <w:bottom w:w="15" w:type="dxa"/>
            <w:right w:w="15" w:type="dxa"/>
          </w:tblCellMar>
        </w:tblPrEx>
        <w:trPr>
          <w:trHeight w:val="801"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序号</w:t>
            </w:r>
          </w:p>
        </w:tc>
        <w:tc>
          <w:tcPr>
            <w:tcW w:w="18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asciiTheme="minorEastAsia" w:hAnsiTheme="minorEastAsia" w:eastAsiaTheme="minorEastAsia" w:cstheme="minorEastAsia"/>
                <w:kern w:val="0"/>
                <w:sz w:val="24"/>
                <w:szCs w:val="24"/>
                <w:highlight w:val="none"/>
              </w:rPr>
              <w:t>学段</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asciiTheme="minorEastAsia" w:hAnsiTheme="minorEastAsia" w:eastAsiaTheme="minorEastAsia" w:cstheme="minorEastAsia"/>
                <w:kern w:val="0"/>
                <w:sz w:val="24"/>
                <w:szCs w:val="24"/>
                <w:highlight w:val="none"/>
              </w:rPr>
              <w:t>技术</w:t>
            </w:r>
            <w:r>
              <w:rPr>
                <w:rFonts w:hint="eastAsia" w:asciiTheme="minorEastAsia" w:hAnsiTheme="minorEastAsia" w:eastAsiaTheme="minorEastAsia" w:cstheme="minorEastAsia"/>
                <w:kern w:val="0"/>
                <w:sz w:val="24"/>
                <w:szCs w:val="24"/>
                <w:highlight w:val="none"/>
                <w:lang w:val="en-US" w:eastAsia="zh-CN"/>
              </w:rPr>
              <w:t>参数</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规格</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预估</w:t>
            </w:r>
            <w:r>
              <w:rPr>
                <w:rFonts w:asciiTheme="minorEastAsia" w:hAnsiTheme="minorEastAsia" w:eastAsiaTheme="minorEastAsia" w:cstheme="minorEastAsia"/>
                <w:kern w:val="0"/>
                <w:sz w:val="24"/>
                <w:szCs w:val="24"/>
                <w:highlight w:val="none"/>
              </w:rPr>
              <w:t>数量</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单位</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单价（元）</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总价（元）</w:t>
            </w: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w:t>
            </w:r>
          </w:p>
        </w:tc>
        <w:tc>
          <w:tcPr>
            <w:tcW w:w="18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小学</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hint="eastAsia" w:cs="Arial" w:asciiTheme="minorEastAsia" w:hAnsiTheme="minorEastAsia"/>
                <w:kern w:val="0"/>
                <w:sz w:val="24"/>
                <w:szCs w:val="24"/>
                <w:highlight w:val="none"/>
              </w:rPr>
              <w:t>30</w:t>
            </w:r>
            <w:r>
              <w:rPr>
                <w:rFonts w:cs="Arial" w:asciiTheme="minorEastAsia" w:hAnsiTheme="minorEastAsia"/>
                <w:kern w:val="0"/>
                <w:sz w:val="24"/>
                <w:szCs w:val="24"/>
                <w:highlight w:val="none"/>
              </w:rPr>
              <w:t>000</w:t>
            </w:r>
          </w:p>
        </w:tc>
        <w:tc>
          <w:tcPr>
            <w:tcW w:w="11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套</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000000" w:sz="4" w:space="0"/>
              <w:bottom w:val="single" w:color="000000"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w:t>
            </w:r>
          </w:p>
        </w:tc>
        <w:tc>
          <w:tcPr>
            <w:tcW w:w="18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初中</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hint="eastAsia" w:cs="Arial" w:asciiTheme="minorEastAsia" w:hAnsiTheme="minorEastAsia"/>
                <w:kern w:val="0"/>
                <w:sz w:val="24"/>
                <w:szCs w:val="24"/>
                <w:highlight w:val="none"/>
              </w:rPr>
              <w:t>25</w:t>
            </w:r>
            <w:r>
              <w:rPr>
                <w:rFonts w:cs="Arial" w:asciiTheme="minorEastAsia" w:hAnsiTheme="minorEastAsia"/>
                <w:kern w:val="0"/>
                <w:sz w:val="24"/>
                <w:szCs w:val="24"/>
                <w:highlight w:val="none"/>
              </w:rPr>
              <w:t>000</w:t>
            </w:r>
          </w:p>
        </w:tc>
        <w:tc>
          <w:tcPr>
            <w:tcW w:w="1108" w:type="dxa"/>
            <w:tcBorders>
              <w:top w:val="single" w:color="auto" w:sz="4" w:space="0"/>
              <w:left w:val="single" w:color="auto" w:sz="4" w:space="0"/>
              <w:right w:val="single" w:color="000000"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套</w:t>
            </w: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r>
      <w:tr>
        <w:tblPrEx>
          <w:tblCellMar>
            <w:top w:w="15" w:type="dxa"/>
            <w:left w:w="15" w:type="dxa"/>
            <w:bottom w:w="15" w:type="dxa"/>
            <w:right w:w="15" w:type="dxa"/>
          </w:tblCellMar>
        </w:tblPrEx>
        <w:trPr>
          <w:trHeight w:val="1134" w:hRule="exact"/>
          <w:jc w:val="center"/>
        </w:trPr>
        <w:tc>
          <w:tcPr>
            <w:tcW w:w="743" w:type="dxa"/>
            <w:tcBorders>
              <w:top w:val="single" w:color="auto" w:sz="4" w:space="0"/>
              <w:left w:val="single" w:color="000000" w:sz="4" w:space="0"/>
              <w:bottom w:val="single" w:color="000000"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w:t>
            </w:r>
          </w:p>
        </w:tc>
        <w:tc>
          <w:tcPr>
            <w:tcW w:w="18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高中</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kern w:val="0"/>
                <w:sz w:val="24"/>
                <w:szCs w:val="24"/>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hint="eastAsia" w:cs="Arial" w:asciiTheme="minorEastAsia" w:hAnsiTheme="minorEastAsia"/>
                <w:kern w:val="0"/>
                <w:sz w:val="24"/>
                <w:szCs w:val="24"/>
                <w:highlight w:val="none"/>
              </w:rPr>
              <w:t>130</w:t>
            </w:r>
            <w:r>
              <w:rPr>
                <w:rFonts w:cs="Arial" w:asciiTheme="minorEastAsia" w:hAnsiTheme="minorEastAsia"/>
                <w:kern w:val="0"/>
                <w:sz w:val="24"/>
                <w:szCs w:val="24"/>
                <w:highlight w:val="none"/>
              </w:rPr>
              <w:t>00</w:t>
            </w:r>
          </w:p>
        </w:tc>
        <w:tc>
          <w:tcPr>
            <w:tcW w:w="1108" w:type="dxa"/>
            <w:tcBorders>
              <w:top w:val="single" w:color="auto" w:sz="4" w:space="0"/>
              <w:left w:val="single" w:color="auto" w:sz="4" w:space="0"/>
              <w:right w:val="single" w:color="000000" w:sz="4" w:space="0"/>
            </w:tcBorders>
            <w:vAlign w:val="center"/>
          </w:tcPr>
          <w:p>
            <w:pPr>
              <w:widowControl/>
              <w:jc w:val="center"/>
              <w:rPr>
                <w:rFonts w:asciiTheme="minorEastAsia" w:hAnsiTheme="minorEastAsia" w:eastAsiaTheme="minorEastAsia" w:cstheme="minorEastAsia"/>
                <w:kern w:val="0"/>
                <w:sz w:val="24"/>
                <w:szCs w:val="24"/>
                <w:highlight w:val="none"/>
              </w:rPr>
            </w:pPr>
            <w:r>
              <w:rPr>
                <w:rFonts w:cs="Arial" w:asciiTheme="minorEastAsia" w:hAnsiTheme="minorEastAsia"/>
                <w:kern w:val="0"/>
                <w:sz w:val="24"/>
                <w:szCs w:val="24"/>
                <w:highlight w:val="none"/>
              </w:rPr>
              <w:t>套</w:t>
            </w: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c>
          <w:tcPr>
            <w:tcW w:w="1064" w:type="dxa"/>
            <w:tcBorders>
              <w:top w:val="single" w:color="auto" w:sz="4" w:space="0"/>
              <w:left w:val="single" w:color="000000" w:sz="4" w:space="0"/>
              <w:right w:val="single" w:color="000000" w:sz="4" w:space="0"/>
            </w:tcBorders>
            <w:vAlign w:val="center"/>
          </w:tcPr>
          <w:p>
            <w:pPr>
              <w:widowControl/>
              <w:spacing w:line="360" w:lineRule="auto"/>
              <w:jc w:val="center"/>
              <w:rPr>
                <w:rFonts w:asciiTheme="minorEastAsia" w:hAnsiTheme="minorEastAsia" w:eastAsiaTheme="minorEastAsia" w:cstheme="minorEastAsia"/>
                <w:kern w:val="0"/>
                <w:sz w:val="24"/>
                <w:szCs w:val="24"/>
                <w:highlight w:val="none"/>
              </w:rPr>
            </w:pPr>
          </w:p>
        </w:tc>
      </w:tr>
      <w:tr>
        <w:tblPrEx>
          <w:tblCellMar>
            <w:top w:w="15" w:type="dxa"/>
            <w:left w:w="15" w:type="dxa"/>
            <w:bottom w:w="15" w:type="dxa"/>
            <w:right w:w="15" w:type="dxa"/>
          </w:tblCellMar>
        </w:tblPrEx>
        <w:trPr>
          <w:trHeight w:val="1134" w:hRule="exact"/>
          <w:jc w:val="center"/>
        </w:trPr>
        <w:tc>
          <w:tcPr>
            <w:tcW w:w="9340"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rPr>
              <w:t>合计：</w:t>
            </w:r>
            <w:r>
              <w:rPr>
                <w:rFonts w:hint="eastAsia" w:asciiTheme="minorEastAsia" w:hAnsiTheme="minorEastAsia" w:eastAsiaTheme="minorEastAsia" w:cstheme="minorEastAsia"/>
                <w:kern w:val="0"/>
                <w:sz w:val="24"/>
                <w:szCs w:val="24"/>
                <w:highlight w:val="none"/>
                <w:lang w:val="en-US" w:eastAsia="zh-CN"/>
              </w:rPr>
              <w:t>________________元（人民币大写：___________）</w:t>
            </w:r>
          </w:p>
        </w:tc>
      </w:tr>
    </w:tbl>
    <w:p>
      <w:pPr>
        <w:kinsoku w:val="0"/>
        <w:topLinePunct/>
        <w:snapToGrid w:val="0"/>
        <w:spacing w:line="520" w:lineRule="exact"/>
        <w:ind w:firstLine="120" w:firstLineChars="50"/>
        <w:rPr>
          <w:rFonts w:ascii="宋体" w:hAnsi="宋体" w:cs="宋体"/>
          <w:sz w:val="24"/>
          <w:szCs w:val="24"/>
          <w:highlight w:val="none"/>
        </w:rPr>
      </w:pPr>
    </w:p>
    <w:p>
      <w:pPr>
        <w:kinsoku w:val="0"/>
        <w:topLinePunct/>
        <w:snapToGrid w:val="0"/>
        <w:spacing w:line="520" w:lineRule="exact"/>
        <w:ind w:firstLine="120" w:firstLineChars="50"/>
        <w:rPr>
          <w:rFonts w:ascii="宋体" w:hAnsi="宋体" w:cs="宋体"/>
          <w:sz w:val="24"/>
          <w:szCs w:val="24"/>
          <w:highlight w:val="none"/>
        </w:rPr>
      </w:pPr>
    </w:p>
    <w:p>
      <w:pPr>
        <w:kinsoku w:val="0"/>
        <w:topLinePunct/>
        <w:snapToGrid w:val="0"/>
        <w:spacing w:line="520" w:lineRule="exact"/>
        <w:rPr>
          <w:rFonts w:ascii="宋体" w:hAnsi="宋体" w:cs="宋体"/>
          <w:sz w:val="24"/>
          <w:szCs w:val="24"/>
          <w:highlight w:val="none"/>
        </w:rPr>
      </w:pPr>
    </w:p>
    <w:p>
      <w:pPr>
        <w:kinsoku w:val="0"/>
        <w:topLinePunct/>
        <w:snapToGrid w:val="0"/>
        <w:spacing w:line="520" w:lineRule="exact"/>
        <w:ind w:firstLine="120" w:firstLineChars="50"/>
        <w:rPr>
          <w:rFonts w:ascii="宋体" w:hAnsi="宋体" w:cs="宋体"/>
          <w:sz w:val="24"/>
          <w:szCs w:val="24"/>
          <w:highlight w:val="none"/>
        </w:rPr>
      </w:pPr>
      <w:r>
        <w:rPr>
          <w:rFonts w:hint="eastAsia" w:ascii="宋体" w:hAnsi="宋体" w:cs="宋体"/>
          <w:sz w:val="24"/>
          <w:szCs w:val="24"/>
          <w:highlight w:val="none"/>
        </w:rPr>
        <w:t>投标供应商：（盖章）</w:t>
      </w:r>
    </w:p>
    <w:p>
      <w:pPr>
        <w:kinsoku w:val="0"/>
        <w:topLinePunct/>
        <w:snapToGrid w:val="0"/>
        <w:spacing w:line="520" w:lineRule="exact"/>
        <w:ind w:firstLine="120" w:firstLineChars="50"/>
        <w:rPr>
          <w:rFonts w:ascii="宋体" w:hAnsi="宋体" w:cs="宋体"/>
          <w:sz w:val="24"/>
          <w:szCs w:val="24"/>
          <w:highlight w:val="none"/>
        </w:rPr>
      </w:pPr>
      <w:r>
        <w:rPr>
          <w:rFonts w:hint="eastAsia" w:ascii="宋体" w:hAnsi="宋体" w:cs="宋体"/>
          <w:sz w:val="24"/>
          <w:szCs w:val="24"/>
          <w:highlight w:val="none"/>
        </w:rPr>
        <w:t>法定代表人或被授权人（签字或盖章）：</w:t>
      </w:r>
    </w:p>
    <w:p>
      <w:pPr>
        <w:kinsoku w:val="0"/>
        <w:topLinePunct/>
        <w:snapToGrid w:val="0"/>
        <w:spacing w:line="520" w:lineRule="exact"/>
        <w:ind w:firstLine="120" w:firstLineChars="50"/>
        <w:rPr>
          <w:rFonts w:ascii="宋体" w:hAnsi="宋体" w:cs="宋体"/>
          <w:sz w:val="24"/>
          <w:szCs w:val="24"/>
          <w:highlight w:val="none"/>
        </w:rPr>
      </w:pPr>
      <w:r>
        <w:rPr>
          <w:rFonts w:hint="eastAsia" w:ascii="宋体" w:hAnsi="宋体" w:cs="宋体"/>
          <w:sz w:val="24"/>
          <w:szCs w:val="24"/>
          <w:highlight w:val="none"/>
        </w:rPr>
        <w:t>日期：</w:t>
      </w:r>
    </w:p>
    <w:p>
      <w:pPr>
        <w:pStyle w:val="112"/>
        <w:tabs>
          <w:tab w:val="left" w:pos="5665"/>
          <w:tab w:val="right" w:pos="8360"/>
        </w:tabs>
        <w:spacing w:line="360" w:lineRule="auto"/>
        <w:ind w:right="42"/>
        <w:jc w:val="right"/>
        <w:rPr>
          <w:rFonts w:hAnsi="宋体" w:cs="宋体"/>
          <w:color w:val="000000"/>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2" o:spid="_x0000_s4098" o:spt="202" type="#_x0000_t202" style="position:absolute;left:0pt;margin-top:0pt;height:20.7pt;width:2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1"/>
                  <w:jc w:val="center"/>
                </w:pPr>
                <w:r>
                  <w:rPr>
                    <w:b/>
                    <w:bCs/>
                  </w:rPr>
                  <w:fldChar w:fldCharType="begin"/>
                </w:r>
                <w:r>
                  <w:rPr>
                    <w:b/>
                    <w:bCs/>
                  </w:rPr>
                  <w:instrText xml:space="preserve">PAGE</w:instrText>
                </w:r>
                <w:r>
                  <w:rPr>
                    <w:b/>
                    <w:bCs/>
                  </w:rPr>
                  <w:fldChar w:fldCharType="separate"/>
                </w:r>
                <w:r>
                  <w:rPr>
                    <w:b/>
                    <w:bCs/>
                  </w:rPr>
                  <w:t>18</w:t>
                </w:r>
                <w:r>
                  <w:rPr>
                    <w:b/>
                    <w:bCs/>
                  </w:rPr>
                  <w:fldChar w:fldCharType="end"/>
                </w:r>
              </w:p>
            </w:txbxContent>
          </v:textbox>
        </v:shape>
      </w:pict>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3" o:spid="_x0000_s4097" o:spt="202" type="#_x0000_t202" style="position:absolute;left:0pt;margin-top:0pt;height:20.7pt;width:1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1"/>
                  <w:jc w:val="center"/>
                </w:pPr>
                <w:r>
                  <w:fldChar w:fldCharType="begin"/>
                </w:r>
                <w:r>
                  <w:instrText xml:space="preserve">PAGE   \* MERGEFORMAT</w:instrText>
                </w:r>
                <w:r>
                  <w:fldChar w:fldCharType="separate"/>
                </w:r>
                <w:r>
                  <w:rPr>
                    <w:lang w:val="zh-CN"/>
                  </w:rPr>
                  <w:t>19</w:t>
                </w:r>
                <w:r>
                  <w:rPr>
                    <w:lang w:val="zh-CN"/>
                  </w:rPr>
                  <w:fldChar w:fldCharType="end"/>
                </w:r>
              </w:p>
            </w:txbxContent>
          </v:textbox>
        </v:shape>
      </w:pict>
    </w:r>
  </w:p>
  <w:p>
    <w:pPr>
      <w:pStyle w:val="31"/>
      <w:wordWrap w:val="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844C5"/>
    <w:multiLevelType w:val="singleLevel"/>
    <w:tmpl w:val="C0C844C5"/>
    <w:lvl w:ilvl="0" w:tentative="0">
      <w:start w:val="4"/>
      <w:numFmt w:val="chineseCounting"/>
      <w:suff w:val="space"/>
      <w:lvlText w:val="第%1章"/>
      <w:lvlJc w:val="left"/>
      <w:rPr>
        <w:rFonts w:hint="eastAsia" w:cs="Times New Roman"/>
      </w:rPr>
    </w:lvl>
  </w:abstractNum>
  <w:abstractNum w:abstractNumId="1">
    <w:nsid w:val="E5DCA1A6"/>
    <w:multiLevelType w:val="singleLevel"/>
    <w:tmpl w:val="E5DCA1A6"/>
    <w:lvl w:ilvl="0" w:tentative="0">
      <w:start w:val="6"/>
      <w:numFmt w:val="decimal"/>
      <w:suff w:val="nothing"/>
      <w:lvlText w:val="%1、"/>
      <w:lvlJc w:val="left"/>
    </w:lvl>
  </w:abstractNum>
  <w:abstractNum w:abstractNumId="2">
    <w:nsid w:val="76C11839"/>
    <w:multiLevelType w:val="singleLevel"/>
    <w:tmpl w:val="76C1183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NotTrackMoves/>
  <w:documentProtection w:enforcement="0"/>
  <w:defaultTabStop w:val="424"/>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52"/>
    <w:rsid w:val="000039C8"/>
    <w:rsid w:val="00014555"/>
    <w:rsid w:val="00014D3E"/>
    <w:rsid w:val="00015852"/>
    <w:rsid w:val="000171B5"/>
    <w:rsid w:val="00031432"/>
    <w:rsid w:val="0004204B"/>
    <w:rsid w:val="00043C4B"/>
    <w:rsid w:val="0004447A"/>
    <w:rsid w:val="00044F1B"/>
    <w:rsid w:val="00046E34"/>
    <w:rsid w:val="00055A11"/>
    <w:rsid w:val="0005698B"/>
    <w:rsid w:val="00060BF6"/>
    <w:rsid w:val="00066A8B"/>
    <w:rsid w:val="00066F9F"/>
    <w:rsid w:val="00070888"/>
    <w:rsid w:val="000748DA"/>
    <w:rsid w:val="00082655"/>
    <w:rsid w:val="00083EDD"/>
    <w:rsid w:val="00084073"/>
    <w:rsid w:val="000841FB"/>
    <w:rsid w:val="00085742"/>
    <w:rsid w:val="0008633C"/>
    <w:rsid w:val="00086D36"/>
    <w:rsid w:val="00097B92"/>
    <w:rsid w:val="000A0517"/>
    <w:rsid w:val="000B1765"/>
    <w:rsid w:val="000B4A07"/>
    <w:rsid w:val="000B5492"/>
    <w:rsid w:val="000C35A8"/>
    <w:rsid w:val="000C36B8"/>
    <w:rsid w:val="000C438C"/>
    <w:rsid w:val="000C6DBB"/>
    <w:rsid w:val="000C7E3C"/>
    <w:rsid w:val="000D5F2E"/>
    <w:rsid w:val="000D6E16"/>
    <w:rsid w:val="000E05F9"/>
    <w:rsid w:val="000E441F"/>
    <w:rsid w:val="000F0D29"/>
    <w:rsid w:val="000F6601"/>
    <w:rsid w:val="000F6D29"/>
    <w:rsid w:val="000F7600"/>
    <w:rsid w:val="000F7668"/>
    <w:rsid w:val="000F7EFA"/>
    <w:rsid w:val="00103896"/>
    <w:rsid w:val="00104F1D"/>
    <w:rsid w:val="0011048A"/>
    <w:rsid w:val="00126F48"/>
    <w:rsid w:val="001316A0"/>
    <w:rsid w:val="00131947"/>
    <w:rsid w:val="001338B3"/>
    <w:rsid w:val="00141EA3"/>
    <w:rsid w:val="00142BF7"/>
    <w:rsid w:val="00143037"/>
    <w:rsid w:val="00144128"/>
    <w:rsid w:val="00144D3B"/>
    <w:rsid w:val="00145BB9"/>
    <w:rsid w:val="001475FD"/>
    <w:rsid w:val="0014795A"/>
    <w:rsid w:val="001534B9"/>
    <w:rsid w:val="00155F9A"/>
    <w:rsid w:val="00160877"/>
    <w:rsid w:val="001614D9"/>
    <w:rsid w:val="0016555D"/>
    <w:rsid w:val="00167D8F"/>
    <w:rsid w:val="0017106E"/>
    <w:rsid w:val="0017246A"/>
    <w:rsid w:val="00172802"/>
    <w:rsid w:val="00172A27"/>
    <w:rsid w:val="00176548"/>
    <w:rsid w:val="00180AB6"/>
    <w:rsid w:val="00181489"/>
    <w:rsid w:val="0018196D"/>
    <w:rsid w:val="00182DC3"/>
    <w:rsid w:val="00184876"/>
    <w:rsid w:val="00191501"/>
    <w:rsid w:val="00191EAF"/>
    <w:rsid w:val="00193AF5"/>
    <w:rsid w:val="00196531"/>
    <w:rsid w:val="0019745C"/>
    <w:rsid w:val="001A38E9"/>
    <w:rsid w:val="001A5F94"/>
    <w:rsid w:val="001A7767"/>
    <w:rsid w:val="001A7961"/>
    <w:rsid w:val="001B317D"/>
    <w:rsid w:val="001B346E"/>
    <w:rsid w:val="001B3A93"/>
    <w:rsid w:val="001B6AB5"/>
    <w:rsid w:val="001B6E46"/>
    <w:rsid w:val="001C3633"/>
    <w:rsid w:val="001C6E37"/>
    <w:rsid w:val="001D1C41"/>
    <w:rsid w:val="001D387F"/>
    <w:rsid w:val="001D3A4E"/>
    <w:rsid w:val="001D7E8C"/>
    <w:rsid w:val="001E0C75"/>
    <w:rsid w:val="001E2670"/>
    <w:rsid w:val="001E3534"/>
    <w:rsid w:val="001E3DA4"/>
    <w:rsid w:val="001E4055"/>
    <w:rsid w:val="001E5D0C"/>
    <w:rsid w:val="001F00F8"/>
    <w:rsid w:val="001F05DA"/>
    <w:rsid w:val="001F1227"/>
    <w:rsid w:val="001F28A5"/>
    <w:rsid w:val="001F5320"/>
    <w:rsid w:val="00207784"/>
    <w:rsid w:val="00207F85"/>
    <w:rsid w:val="00214B3B"/>
    <w:rsid w:val="002157EF"/>
    <w:rsid w:val="00221271"/>
    <w:rsid w:val="0022676C"/>
    <w:rsid w:val="0023029A"/>
    <w:rsid w:val="00231148"/>
    <w:rsid w:val="00236472"/>
    <w:rsid w:val="0024046E"/>
    <w:rsid w:val="00242ABA"/>
    <w:rsid w:val="00243034"/>
    <w:rsid w:val="002433CE"/>
    <w:rsid w:val="00243A2A"/>
    <w:rsid w:val="00243CCC"/>
    <w:rsid w:val="002465F4"/>
    <w:rsid w:val="002530ED"/>
    <w:rsid w:val="00253B17"/>
    <w:rsid w:val="002542D0"/>
    <w:rsid w:val="00254B7A"/>
    <w:rsid w:val="00263465"/>
    <w:rsid w:val="00267C1A"/>
    <w:rsid w:val="00270816"/>
    <w:rsid w:val="002720A3"/>
    <w:rsid w:val="00273F9F"/>
    <w:rsid w:val="00274825"/>
    <w:rsid w:val="00277E5E"/>
    <w:rsid w:val="00280BA6"/>
    <w:rsid w:val="00281213"/>
    <w:rsid w:val="002847C8"/>
    <w:rsid w:val="002857D3"/>
    <w:rsid w:val="0029033F"/>
    <w:rsid w:val="002A28B9"/>
    <w:rsid w:val="002A2F71"/>
    <w:rsid w:val="002B1DDD"/>
    <w:rsid w:val="002B29B6"/>
    <w:rsid w:val="002B58CE"/>
    <w:rsid w:val="002B5A38"/>
    <w:rsid w:val="002C557B"/>
    <w:rsid w:val="002D2A8E"/>
    <w:rsid w:val="002D356A"/>
    <w:rsid w:val="002D5929"/>
    <w:rsid w:val="002D5EDC"/>
    <w:rsid w:val="002E42EA"/>
    <w:rsid w:val="002E7131"/>
    <w:rsid w:val="002F1F0B"/>
    <w:rsid w:val="002F24E4"/>
    <w:rsid w:val="002F6F9A"/>
    <w:rsid w:val="003007BA"/>
    <w:rsid w:val="00300969"/>
    <w:rsid w:val="00302B14"/>
    <w:rsid w:val="00303A7A"/>
    <w:rsid w:val="00306010"/>
    <w:rsid w:val="003108C8"/>
    <w:rsid w:val="0031230D"/>
    <w:rsid w:val="00322DBE"/>
    <w:rsid w:val="00333251"/>
    <w:rsid w:val="00333B38"/>
    <w:rsid w:val="00341435"/>
    <w:rsid w:val="00344CD5"/>
    <w:rsid w:val="00347971"/>
    <w:rsid w:val="00353FBA"/>
    <w:rsid w:val="00354EF2"/>
    <w:rsid w:val="003554AE"/>
    <w:rsid w:val="00355F7D"/>
    <w:rsid w:val="00362C18"/>
    <w:rsid w:val="00364AFE"/>
    <w:rsid w:val="003671B8"/>
    <w:rsid w:val="00372BAE"/>
    <w:rsid w:val="00375550"/>
    <w:rsid w:val="00380488"/>
    <w:rsid w:val="003837EF"/>
    <w:rsid w:val="00384770"/>
    <w:rsid w:val="00386C1E"/>
    <w:rsid w:val="003917B3"/>
    <w:rsid w:val="0039473D"/>
    <w:rsid w:val="00395884"/>
    <w:rsid w:val="00395CA8"/>
    <w:rsid w:val="00395DB1"/>
    <w:rsid w:val="003A015C"/>
    <w:rsid w:val="003A22F6"/>
    <w:rsid w:val="003A44B9"/>
    <w:rsid w:val="003A52BE"/>
    <w:rsid w:val="003A57BD"/>
    <w:rsid w:val="003A627C"/>
    <w:rsid w:val="003B4974"/>
    <w:rsid w:val="003C116A"/>
    <w:rsid w:val="003C28DD"/>
    <w:rsid w:val="003C411F"/>
    <w:rsid w:val="003C562F"/>
    <w:rsid w:val="003E3BE5"/>
    <w:rsid w:val="003E7A44"/>
    <w:rsid w:val="003F1AE5"/>
    <w:rsid w:val="003F2CBA"/>
    <w:rsid w:val="003F2E6E"/>
    <w:rsid w:val="003F3627"/>
    <w:rsid w:val="004021FE"/>
    <w:rsid w:val="00402AB1"/>
    <w:rsid w:val="00407F55"/>
    <w:rsid w:val="004112D5"/>
    <w:rsid w:val="004132BD"/>
    <w:rsid w:val="00420A85"/>
    <w:rsid w:val="0042313F"/>
    <w:rsid w:val="0042768A"/>
    <w:rsid w:val="00441242"/>
    <w:rsid w:val="004415FB"/>
    <w:rsid w:val="004419C2"/>
    <w:rsid w:val="0044764B"/>
    <w:rsid w:val="004509F1"/>
    <w:rsid w:val="004551D2"/>
    <w:rsid w:val="0045771C"/>
    <w:rsid w:val="00477557"/>
    <w:rsid w:val="0048012D"/>
    <w:rsid w:val="00481039"/>
    <w:rsid w:val="00483938"/>
    <w:rsid w:val="00485E71"/>
    <w:rsid w:val="0048773F"/>
    <w:rsid w:val="00487985"/>
    <w:rsid w:val="004907BB"/>
    <w:rsid w:val="00496226"/>
    <w:rsid w:val="004A2E7E"/>
    <w:rsid w:val="004A4F35"/>
    <w:rsid w:val="004B24E7"/>
    <w:rsid w:val="004B6045"/>
    <w:rsid w:val="004B67DE"/>
    <w:rsid w:val="004C42F2"/>
    <w:rsid w:val="004C53FE"/>
    <w:rsid w:val="004C5F73"/>
    <w:rsid w:val="004D097D"/>
    <w:rsid w:val="004D101A"/>
    <w:rsid w:val="004D6750"/>
    <w:rsid w:val="004D766D"/>
    <w:rsid w:val="004F514F"/>
    <w:rsid w:val="004F7F2B"/>
    <w:rsid w:val="0050206D"/>
    <w:rsid w:val="005035E5"/>
    <w:rsid w:val="005108C3"/>
    <w:rsid w:val="0051250E"/>
    <w:rsid w:val="00527CFC"/>
    <w:rsid w:val="00527FDF"/>
    <w:rsid w:val="005314C2"/>
    <w:rsid w:val="0053210D"/>
    <w:rsid w:val="0053283D"/>
    <w:rsid w:val="005342F6"/>
    <w:rsid w:val="00542C79"/>
    <w:rsid w:val="00543603"/>
    <w:rsid w:val="0054534C"/>
    <w:rsid w:val="00547813"/>
    <w:rsid w:val="00553E88"/>
    <w:rsid w:val="00560E87"/>
    <w:rsid w:val="00562EF5"/>
    <w:rsid w:val="00567EB4"/>
    <w:rsid w:val="00570C05"/>
    <w:rsid w:val="00571B34"/>
    <w:rsid w:val="005732C7"/>
    <w:rsid w:val="00573A35"/>
    <w:rsid w:val="00575778"/>
    <w:rsid w:val="0057664F"/>
    <w:rsid w:val="005826A3"/>
    <w:rsid w:val="005853FB"/>
    <w:rsid w:val="00587130"/>
    <w:rsid w:val="00593B36"/>
    <w:rsid w:val="005952F9"/>
    <w:rsid w:val="005973E7"/>
    <w:rsid w:val="005A1E3F"/>
    <w:rsid w:val="005A3CE2"/>
    <w:rsid w:val="005A41F7"/>
    <w:rsid w:val="005A421C"/>
    <w:rsid w:val="005A5D0D"/>
    <w:rsid w:val="005B5403"/>
    <w:rsid w:val="005C0614"/>
    <w:rsid w:val="005C1924"/>
    <w:rsid w:val="005C33E6"/>
    <w:rsid w:val="005C3935"/>
    <w:rsid w:val="005C5F86"/>
    <w:rsid w:val="005D0372"/>
    <w:rsid w:val="005D2656"/>
    <w:rsid w:val="005D7A3A"/>
    <w:rsid w:val="005D7D36"/>
    <w:rsid w:val="005E047E"/>
    <w:rsid w:val="005E2853"/>
    <w:rsid w:val="005E3474"/>
    <w:rsid w:val="005E38FF"/>
    <w:rsid w:val="005F37BC"/>
    <w:rsid w:val="005F7D93"/>
    <w:rsid w:val="00610713"/>
    <w:rsid w:val="00612125"/>
    <w:rsid w:val="006122FA"/>
    <w:rsid w:val="00613EA1"/>
    <w:rsid w:val="0061620D"/>
    <w:rsid w:val="00617432"/>
    <w:rsid w:val="00621A8A"/>
    <w:rsid w:val="006274C7"/>
    <w:rsid w:val="00627649"/>
    <w:rsid w:val="006330F5"/>
    <w:rsid w:val="0063428D"/>
    <w:rsid w:val="00634F4D"/>
    <w:rsid w:val="006376E0"/>
    <w:rsid w:val="00637B87"/>
    <w:rsid w:val="00645E4B"/>
    <w:rsid w:val="006537E2"/>
    <w:rsid w:val="006540C7"/>
    <w:rsid w:val="00656832"/>
    <w:rsid w:val="00657201"/>
    <w:rsid w:val="0066338E"/>
    <w:rsid w:val="006633FE"/>
    <w:rsid w:val="00663DFF"/>
    <w:rsid w:val="00672C56"/>
    <w:rsid w:val="00672DC7"/>
    <w:rsid w:val="00675421"/>
    <w:rsid w:val="0068583A"/>
    <w:rsid w:val="00687756"/>
    <w:rsid w:val="00691A51"/>
    <w:rsid w:val="00695AE4"/>
    <w:rsid w:val="006A3811"/>
    <w:rsid w:val="006A4FF1"/>
    <w:rsid w:val="006A6B48"/>
    <w:rsid w:val="006B315E"/>
    <w:rsid w:val="006B3EBC"/>
    <w:rsid w:val="006C05DD"/>
    <w:rsid w:val="006C30DD"/>
    <w:rsid w:val="006C42F2"/>
    <w:rsid w:val="006C615B"/>
    <w:rsid w:val="006C6903"/>
    <w:rsid w:val="006D02D2"/>
    <w:rsid w:val="006D0A99"/>
    <w:rsid w:val="006D1247"/>
    <w:rsid w:val="006D4923"/>
    <w:rsid w:val="006E3C6C"/>
    <w:rsid w:val="006E509F"/>
    <w:rsid w:val="006E50FA"/>
    <w:rsid w:val="006E698A"/>
    <w:rsid w:val="006E719D"/>
    <w:rsid w:val="006F103E"/>
    <w:rsid w:val="0070297D"/>
    <w:rsid w:val="00702E21"/>
    <w:rsid w:val="00706954"/>
    <w:rsid w:val="00706A53"/>
    <w:rsid w:val="00711008"/>
    <w:rsid w:val="007140C6"/>
    <w:rsid w:val="007176D8"/>
    <w:rsid w:val="007179CC"/>
    <w:rsid w:val="007237F4"/>
    <w:rsid w:val="007250B1"/>
    <w:rsid w:val="007255A9"/>
    <w:rsid w:val="00726C0F"/>
    <w:rsid w:val="0072741C"/>
    <w:rsid w:val="00732514"/>
    <w:rsid w:val="007343A6"/>
    <w:rsid w:val="00737F37"/>
    <w:rsid w:val="00743D12"/>
    <w:rsid w:val="00744744"/>
    <w:rsid w:val="0075031E"/>
    <w:rsid w:val="00752694"/>
    <w:rsid w:val="007556C4"/>
    <w:rsid w:val="00761113"/>
    <w:rsid w:val="00764C0B"/>
    <w:rsid w:val="00767E89"/>
    <w:rsid w:val="00770BA5"/>
    <w:rsid w:val="00771711"/>
    <w:rsid w:val="00772D7A"/>
    <w:rsid w:val="00773DD5"/>
    <w:rsid w:val="00782574"/>
    <w:rsid w:val="00785545"/>
    <w:rsid w:val="00787994"/>
    <w:rsid w:val="0079317F"/>
    <w:rsid w:val="007A0158"/>
    <w:rsid w:val="007A5D21"/>
    <w:rsid w:val="007A5E95"/>
    <w:rsid w:val="007A7EFB"/>
    <w:rsid w:val="007B1D9E"/>
    <w:rsid w:val="007B45F1"/>
    <w:rsid w:val="007B6684"/>
    <w:rsid w:val="007C461C"/>
    <w:rsid w:val="007C55BD"/>
    <w:rsid w:val="007C6611"/>
    <w:rsid w:val="007C6EEA"/>
    <w:rsid w:val="007C737C"/>
    <w:rsid w:val="007D2C33"/>
    <w:rsid w:val="007D46E4"/>
    <w:rsid w:val="007D71DA"/>
    <w:rsid w:val="007E017F"/>
    <w:rsid w:val="007E5AE8"/>
    <w:rsid w:val="007E72BC"/>
    <w:rsid w:val="007F3CC8"/>
    <w:rsid w:val="007F495C"/>
    <w:rsid w:val="008014FF"/>
    <w:rsid w:val="00802240"/>
    <w:rsid w:val="00803B2C"/>
    <w:rsid w:val="00804CB0"/>
    <w:rsid w:val="00805F59"/>
    <w:rsid w:val="00813C0A"/>
    <w:rsid w:val="00815DD9"/>
    <w:rsid w:val="008225A3"/>
    <w:rsid w:val="00822D9D"/>
    <w:rsid w:val="00824DC8"/>
    <w:rsid w:val="008257F2"/>
    <w:rsid w:val="00827168"/>
    <w:rsid w:val="00830769"/>
    <w:rsid w:val="00836439"/>
    <w:rsid w:val="00837907"/>
    <w:rsid w:val="00840EE8"/>
    <w:rsid w:val="00843483"/>
    <w:rsid w:val="00844E44"/>
    <w:rsid w:val="00845518"/>
    <w:rsid w:val="00847A32"/>
    <w:rsid w:val="00851FD7"/>
    <w:rsid w:val="00852A42"/>
    <w:rsid w:val="00853D79"/>
    <w:rsid w:val="00855E6F"/>
    <w:rsid w:val="008623BF"/>
    <w:rsid w:val="008627A8"/>
    <w:rsid w:val="00863E9B"/>
    <w:rsid w:val="008651DD"/>
    <w:rsid w:val="0087286B"/>
    <w:rsid w:val="00877EC5"/>
    <w:rsid w:val="00883691"/>
    <w:rsid w:val="008934D5"/>
    <w:rsid w:val="00895C3D"/>
    <w:rsid w:val="00896F95"/>
    <w:rsid w:val="008A282D"/>
    <w:rsid w:val="008A3E0B"/>
    <w:rsid w:val="008A40BB"/>
    <w:rsid w:val="008A46E4"/>
    <w:rsid w:val="008A671F"/>
    <w:rsid w:val="008B56B3"/>
    <w:rsid w:val="008B7B78"/>
    <w:rsid w:val="008D0602"/>
    <w:rsid w:val="008D11A0"/>
    <w:rsid w:val="008D2D0E"/>
    <w:rsid w:val="008D3439"/>
    <w:rsid w:val="008D4F67"/>
    <w:rsid w:val="008D64E9"/>
    <w:rsid w:val="008E18D5"/>
    <w:rsid w:val="008E2905"/>
    <w:rsid w:val="008E3559"/>
    <w:rsid w:val="008E4356"/>
    <w:rsid w:val="008E4DD7"/>
    <w:rsid w:val="008F32EE"/>
    <w:rsid w:val="008F37FA"/>
    <w:rsid w:val="008F54E0"/>
    <w:rsid w:val="008F5E33"/>
    <w:rsid w:val="008F7252"/>
    <w:rsid w:val="008F75DB"/>
    <w:rsid w:val="008F79EE"/>
    <w:rsid w:val="0090025B"/>
    <w:rsid w:val="009024A7"/>
    <w:rsid w:val="00903439"/>
    <w:rsid w:val="009043B6"/>
    <w:rsid w:val="00904FE2"/>
    <w:rsid w:val="00906AB3"/>
    <w:rsid w:val="00907E06"/>
    <w:rsid w:val="00916CBF"/>
    <w:rsid w:val="00925F02"/>
    <w:rsid w:val="0093080E"/>
    <w:rsid w:val="00932919"/>
    <w:rsid w:val="00940423"/>
    <w:rsid w:val="0094125F"/>
    <w:rsid w:val="009433B0"/>
    <w:rsid w:val="0094389C"/>
    <w:rsid w:val="0094410B"/>
    <w:rsid w:val="0094670E"/>
    <w:rsid w:val="00950598"/>
    <w:rsid w:val="00953F4F"/>
    <w:rsid w:val="00953FAD"/>
    <w:rsid w:val="00954976"/>
    <w:rsid w:val="0095677D"/>
    <w:rsid w:val="0095795A"/>
    <w:rsid w:val="009601E7"/>
    <w:rsid w:val="00971B3E"/>
    <w:rsid w:val="009726A7"/>
    <w:rsid w:val="0097298E"/>
    <w:rsid w:val="009736B3"/>
    <w:rsid w:val="009754BE"/>
    <w:rsid w:val="00975E71"/>
    <w:rsid w:val="00977993"/>
    <w:rsid w:val="00977DE1"/>
    <w:rsid w:val="0098468D"/>
    <w:rsid w:val="009874F1"/>
    <w:rsid w:val="00992078"/>
    <w:rsid w:val="009936F3"/>
    <w:rsid w:val="00994876"/>
    <w:rsid w:val="00994A91"/>
    <w:rsid w:val="009A0C8A"/>
    <w:rsid w:val="009A5E11"/>
    <w:rsid w:val="009A65FA"/>
    <w:rsid w:val="009A79AC"/>
    <w:rsid w:val="009B04EE"/>
    <w:rsid w:val="009B1AD5"/>
    <w:rsid w:val="009B4C0A"/>
    <w:rsid w:val="009C569E"/>
    <w:rsid w:val="009C774C"/>
    <w:rsid w:val="009C7C8F"/>
    <w:rsid w:val="009D550C"/>
    <w:rsid w:val="009E0BDC"/>
    <w:rsid w:val="009E1242"/>
    <w:rsid w:val="009E7AB4"/>
    <w:rsid w:val="009E7BDC"/>
    <w:rsid w:val="009F0055"/>
    <w:rsid w:val="009F2515"/>
    <w:rsid w:val="009F329A"/>
    <w:rsid w:val="009F6297"/>
    <w:rsid w:val="009F6A5E"/>
    <w:rsid w:val="009F7009"/>
    <w:rsid w:val="009F76D8"/>
    <w:rsid w:val="009F775C"/>
    <w:rsid w:val="009F7CF9"/>
    <w:rsid w:val="00A02647"/>
    <w:rsid w:val="00A03FE6"/>
    <w:rsid w:val="00A05E08"/>
    <w:rsid w:val="00A0608F"/>
    <w:rsid w:val="00A1005B"/>
    <w:rsid w:val="00A117B7"/>
    <w:rsid w:val="00A14683"/>
    <w:rsid w:val="00A14DF8"/>
    <w:rsid w:val="00A17371"/>
    <w:rsid w:val="00A1779B"/>
    <w:rsid w:val="00A238F9"/>
    <w:rsid w:val="00A326E8"/>
    <w:rsid w:val="00A35811"/>
    <w:rsid w:val="00A36701"/>
    <w:rsid w:val="00A37ED0"/>
    <w:rsid w:val="00A43EB7"/>
    <w:rsid w:val="00A44F34"/>
    <w:rsid w:val="00A45446"/>
    <w:rsid w:val="00A46067"/>
    <w:rsid w:val="00A51611"/>
    <w:rsid w:val="00A6075F"/>
    <w:rsid w:val="00A614DE"/>
    <w:rsid w:val="00A617CE"/>
    <w:rsid w:val="00A631AD"/>
    <w:rsid w:val="00A73B23"/>
    <w:rsid w:val="00A74D25"/>
    <w:rsid w:val="00A7633B"/>
    <w:rsid w:val="00A76407"/>
    <w:rsid w:val="00A76ECB"/>
    <w:rsid w:val="00A8074D"/>
    <w:rsid w:val="00A82230"/>
    <w:rsid w:val="00A8368F"/>
    <w:rsid w:val="00A85A11"/>
    <w:rsid w:val="00A86F1A"/>
    <w:rsid w:val="00A912B0"/>
    <w:rsid w:val="00A95CA6"/>
    <w:rsid w:val="00AA0C23"/>
    <w:rsid w:val="00AA14A1"/>
    <w:rsid w:val="00AA17F6"/>
    <w:rsid w:val="00AA21A2"/>
    <w:rsid w:val="00AA568C"/>
    <w:rsid w:val="00AA7309"/>
    <w:rsid w:val="00AB05B3"/>
    <w:rsid w:val="00AB0FE5"/>
    <w:rsid w:val="00AB1177"/>
    <w:rsid w:val="00AB3FEE"/>
    <w:rsid w:val="00AB6943"/>
    <w:rsid w:val="00AC3C46"/>
    <w:rsid w:val="00AC63C0"/>
    <w:rsid w:val="00AC7E04"/>
    <w:rsid w:val="00AD1578"/>
    <w:rsid w:val="00AD1D0D"/>
    <w:rsid w:val="00AD5B79"/>
    <w:rsid w:val="00AD642B"/>
    <w:rsid w:val="00AD6DB0"/>
    <w:rsid w:val="00AE307C"/>
    <w:rsid w:val="00AE6819"/>
    <w:rsid w:val="00AE7044"/>
    <w:rsid w:val="00AE7436"/>
    <w:rsid w:val="00AF2F9C"/>
    <w:rsid w:val="00AF6DFE"/>
    <w:rsid w:val="00B00A1A"/>
    <w:rsid w:val="00B010E0"/>
    <w:rsid w:val="00B031CE"/>
    <w:rsid w:val="00B03609"/>
    <w:rsid w:val="00B038F7"/>
    <w:rsid w:val="00B045CF"/>
    <w:rsid w:val="00B10787"/>
    <w:rsid w:val="00B10EA8"/>
    <w:rsid w:val="00B130F7"/>
    <w:rsid w:val="00B203AA"/>
    <w:rsid w:val="00B20D08"/>
    <w:rsid w:val="00B2607F"/>
    <w:rsid w:val="00B2633E"/>
    <w:rsid w:val="00B31E9F"/>
    <w:rsid w:val="00B324D2"/>
    <w:rsid w:val="00B40BC2"/>
    <w:rsid w:val="00B41882"/>
    <w:rsid w:val="00B422CC"/>
    <w:rsid w:val="00B426D5"/>
    <w:rsid w:val="00B44342"/>
    <w:rsid w:val="00B458A5"/>
    <w:rsid w:val="00B45F84"/>
    <w:rsid w:val="00B46B1C"/>
    <w:rsid w:val="00B47466"/>
    <w:rsid w:val="00B47CF6"/>
    <w:rsid w:val="00B51E63"/>
    <w:rsid w:val="00B54AB0"/>
    <w:rsid w:val="00B565FE"/>
    <w:rsid w:val="00B56690"/>
    <w:rsid w:val="00B63626"/>
    <w:rsid w:val="00B63956"/>
    <w:rsid w:val="00B67487"/>
    <w:rsid w:val="00B76A23"/>
    <w:rsid w:val="00B83024"/>
    <w:rsid w:val="00B84E3F"/>
    <w:rsid w:val="00B92C1F"/>
    <w:rsid w:val="00B977A2"/>
    <w:rsid w:val="00BA575C"/>
    <w:rsid w:val="00BA5F2C"/>
    <w:rsid w:val="00BB6336"/>
    <w:rsid w:val="00BB7931"/>
    <w:rsid w:val="00BC306F"/>
    <w:rsid w:val="00BC41A6"/>
    <w:rsid w:val="00BD1973"/>
    <w:rsid w:val="00BD277A"/>
    <w:rsid w:val="00BD432D"/>
    <w:rsid w:val="00BD75DD"/>
    <w:rsid w:val="00BE4032"/>
    <w:rsid w:val="00BE6EDB"/>
    <w:rsid w:val="00BF1A5D"/>
    <w:rsid w:val="00C038A7"/>
    <w:rsid w:val="00C044D8"/>
    <w:rsid w:val="00C07D0E"/>
    <w:rsid w:val="00C14800"/>
    <w:rsid w:val="00C24E39"/>
    <w:rsid w:val="00C270A2"/>
    <w:rsid w:val="00C301CC"/>
    <w:rsid w:val="00C30800"/>
    <w:rsid w:val="00C31EE1"/>
    <w:rsid w:val="00C35B9F"/>
    <w:rsid w:val="00C3675E"/>
    <w:rsid w:val="00C36FD3"/>
    <w:rsid w:val="00C40589"/>
    <w:rsid w:val="00C40B85"/>
    <w:rsid w:val="00C434C2"/>
    <w:rsid w:val="00C51019"/>
    <w:rsid w:val="00C51FD3"/>
    <w:rsid w:val="00C57381"/>
    <w:rsid w:val="00C61F64"/>
    <w:rsid w:val="00C6223C"/>
    <w:rsid w:val="00C62B18"/>
    <w:rsid w:val="00C6374B"/>
    <w:rsid w:val="00C659C3"/>
    <w:rsid w:val="00C65ED0"/>
    <w:rsid w:val="00C71194"/>
    <w:rsid w:val="00C73FCA"/>
    <w:rsid w:val="00C747FB"/>
    <w:rsid w:val="00C800F2"/>
    <w:rsid w:val="00C84A93"/>
    <w:rsid w:val="00C85227"/>
    <w:rsid w:val="00C95DFA"/>
    <w:rsid w:val="00CA1CE2"/>
    <w:rsid w:val="00CA20A1"/>
    <w:rsid w:val="00CA3ED2"/>
    <w:rsid w:val="00CB03F3"/>
    <w:rsid w:val="00CB3B9F"/>
    <w:rsid w:val="00CB677B"/>
    <w:rsid w:val="00CB7518"/>
    <w:rsid w:val="00CB770B"/>
    <w:rsid w:val="00CC00B5"/>
    <w:rsid w:val="00CC09B6"/>
    <w:rsid w:val="00CC5AD5"/>
    <w:rsid w:val="00CD3DDE"/>
    <w:rsid w:val="00CE0387"/>
    <w:rsid w:val="00CE2414"/>
    <w:rsid w:val="00D003BD"/>
    <w:rsid w:val="00D004F6"/>
    <w:rsid w:val="00D05331"/>
    <w:rsid w:val="00D135A1"/>
    <w:rsid w:val="00D159D3"/>
    <w:rsid w:val="00D16603"/>
    <w:rsid w:val="00D16FBB"/>
    <w:rsid w:val="00D23D79"/>
    <w:rsid w:val="00D30441"/>
    <w:rsid w:val="00D3054A"/>
    <w:rsid w:val="00D3246E"/>
    <w:rsid w:val="00D33042"/>
    <w:rsid w:val="00D35EE5"/>
    <w:rsid w:val="00D36656"/>
    <w:rsid w:val="00D40782"/>
    <w:rsid w:val="00D51858"/>
    <w:rsid w:val="00D53AEF"/>
    <w:rsid w:val="00D55ED9"/>
    <w:rsid w:val="00D606DC"/>
    <w:rsid w:val="00D65117"/>
    <w:rsid w:val="00D71143"/>
    <w:rsid w:val="00D71C4D"/>
    <w:rsid w:val="00D73476"/>
    <w:rsid w:val="00D7351E"/>
    <w:rsid w:val="00D7743C"/>
    <w:rsid w:val="00D77B4A"/>
    <w:rsid w:val="00D82984"/>
    <w:rsid w:val="00D83F14"/>
    <w:rsid w:val="00D85EBE"/>
    <w:rsid w:val="00D86F05"/>
    <w:rsid w:val="00D91103"/>
    <w:rsid w:val="00DA7F3C"/>
    <w:rsid w:val="00DB38C3"/>
    <w:rsid w:val="00DB442B"/>
    <w:rsid w:val="00DC28C4"/>
    <w:rsid w:val="00DC450E"/>
    <w:rsid w:val="00DC4B88"/>
    <w:rsid w:val="00DC7235"/>
    <w:rsid w:val="00DC7340"/>
    <w:rsid w:val="00DD0F0C"/>
    <w:rsid w:val="00DD3CB0"/>
    <w:rsid w:val="00DD5FB4"/>
    <w:rsid w:val="00DD6933"/>
    <w:rsid w:val="00DE0C57"/>
    <w:rsid w:val="00DE28DA"/>
    <w:rsid w:val="00DE3006"/>
    <w:rsid w:val="00DF0450"/>
    <w:rsid w:val="00DF379E"/>
    <w:rsid w:val="00DF6D04"/>
    <w:rsid w:val="00E02552"/>
    <w:rsid w:val="00E05ADF"/>
    <w:rsid w:val="00E07718"/>
    <w:rsid w:val="00E07F00"/>
    <w:rsid w:val="00E1186A"/>
    <w:rsid w:val="00E1485E"/>
    <w:rsid w:val="00E150D6"/>
    <w:rsid w:val="00E15528"/>
    <w:rsid w:val="00E230B3"/>
    <w:rsid w:val="00E26662"/>
    <w:rsid w:val="00E3403E"/>
    <w:rsid w:val="00E3436D"/>
    <w:rsid w:val="00E36AE4"/>
    <w:rsid w:val="00E40848"/>
    <w:rsid w:val="00E4773C"/>
    <w:rsid w:val="00E52B71"/>
    <w:rsid w:val="00E53DA1"/>
    <w:rsid w:val="00E5427A"/>
    <w:rsid w:val="00E553A8"/>
    <w:rsid w:val="00E562C6"/>
    <w:rsid w:val="00E57886"/>
    <w:rsid w:val="00E64ADE"/>
    <w:rsid w:val="00E65617"/>
    <w:rsid w:val="00E65D97"/>
    <w:rsid w:val="00E705E5"/>
    <w:rsid w:val="00E71065"/>
    <w:rsid w:val="00E71970"/>
    <w:rsid w:val="00E73545"/>
    <w:rsid w:val="00E744BB"/>
    <w:rsid w:val="00E75FF2"/>
    <w:rsid w:val="00E774E7"/>
    <w:rsid w:val="00E810B3"/>
    <w:rsid w:val="00E82EC4"/>
    <w:rsid w:val="00E90C13"/>
    <w:rsid w:val="00E95E04"/>
    <w:rsid w:val="00E96C19"/>
    <w:rsid w:val="00E97C34"/>
    <w:rsid w:val="00EA0157"/>
    <w:rsid w:val="00EA3AF8"/>
    <w:rsid w:val="00EB2718"/>
    <w:rsid w:val="00EB3CA0"/>
    <w:rsid w:val="00EB5EE8"/>
    <w:rsid w:val="00EC1F58"/>
    <w:rsid w:val="00EC2E85"/>
    <w:rsid w:val="00EC3C07"/>
    <w:rsid w:val="00EC51EF"/>
    <w:rsid w:val="00EC7638"/>
    <w:rsid w:val="00ED36FB"/>
    <w:rsid w:val="00ED3C4E"/>
    <w:rsid w:val="00ED6BE4"/>
    <w:rsid w:val="00EE1E45"/>
    <w:rsid w:val="00EE2F39"/>
    <w:rsid w:val="00EE7A14"/>
    <w:rsid w:val="00EF048C"/>
    <w:rsid w:val="00F00640"/>
    <w:rsid w:val="00F13C09"/>
    <w:rsid w:val="00F176A0"/>
    <w:rsid w:val="00F17FE1"/>
    <w:rsid w:val="00F25EAC"/>
    <w:rsid w:val="00F272A5"/>
    <w:rsid w:val="00F27918"/>
    <w:rsid w:val="00F27CB5"/>
    <w:rsid w:val="00F27E06"/>
    <w:rsid w:val="00F30372"/>
    <w:rsid w:val="00F3199A"/>
    <w:rsid w:val="00F32D3B"/>
    <w:rsid w:val="00F35A7C"/>
    <w:rsid w:val="00F508BC"/>
    <w:rsid w:val="00F530B0"/>
    <w:rsid w:val="00F53149"/>
    <w:rsid w:val="00F53A46"/>
    <w:rsid w:val="00F545F7"/>
    <w:rsid w:val="00F54768"/>
    <w:rsid w:val="00F70D79"/>
    <w:rsid w:val="00F71ECE"/>
    <w:rsid w:val="00F74BED"/>
    <w:rsid w:val="00F828F5"/>
    <w:rsid w:val="00F83F15"/>
    <w:rsid w:val="00F844C7"/>
    <w:rsid w:val="00F8628E"/>
    <w:rsid w:val="00F90AEA"/>
    <w:rsid w:val="00F93F05"/>
    <w:rsid w:val="00F9403F"/>
    <w:rsid w:val="00F950DA"/>
    <w:rsid w:val="00F9510F"/>
    <w:rsid w:val="00F955C6"/>
    <w:rsid w:val="00F95940"/>
    <w:rsid w:val="00F96457"/>
    <w:rsid w:val="00F97688"/>
    <w:rsid w:val="00F97D36"/>
    <w:rsid w:val="00FA3BF8"/>
    <w:rsid w:val="00FA5986"/>
    <w:rsid w:val="00FA78A4"/>
    <w:rsid w:val="00FB017C"/>
    <w:rsid w:val="00FB423A"/>
    <w:rsid w:val="00FB5E9B"/>
    <w:rsid w:val="00FB73FC"/>
    <w:rsid w:val="00FC0801"/>
    <w:rsid w:val="00FD12B9"/>
    <w:rsid w:val="00FD1483"/>
    <w:rsid w:val="00FD5E75"/>
    <w:rsid w:val="00FD6299"/>
    <w:rsid w:val="00FD68E4"/>
    <w:rsid w:val="00FE0EC7"/>
    <w:rsid w:val="00FE1C93"/>
    <w:rsid w:val="00FE26BD"/>
    <w:rsid w:val="00FE3E9D"/>
    <w:rsid w:val="00FE6562"/>
    <w:rsid w:val="00FF2058"/>
    <w:rsid w:val="011F207C"/>
    <w:rsid w:val="013A0780"/>
    <w:rsid w:val="01451617"/>
    <w:rsid w:val="01D02AB2"/>
    <w:rsid w:val="01D10199"/>
    <w:rsid w:val="01F5424D"/>
    <w:rsid w:val="02004435"/>
    <w:rsid w:val="02056139"/>
    <w:rsid w:val="026537B5"/>
    <w:rsid w:val="02800A25"/>
    <w:rsid w:val="02A85560"/>
    <w:rsid w:val="02CF585A"/>
    <w:rsid w:val="02ED2D49"/>
    <w:rsid w:val="032701A1"/>
    <w:rsid w:val="03BD2ACA"/>
    <w:rsid w:val="046E395C"/>
    <w:rsid w:val="046F69EC"/>
    <w:rsid w:val="04D34D4B"/>
    <w:rsid w:val="04D83494"/>
    <w:rsid w:val="04DC12A2"/>
    <w:rsid w:val="05744C9D"/>
    <w:rsid w:val="0619673F"/>
    <w:rsid w:val="0640290E"/>
    <w:rsid w:val="064C21D9"/>
    <w:rsid w:val="06C41A3A"/>
    <w:rsid w:val="07004918"/>
    <w:rsid w:val="077913F5"/>
    <w:rsid w:val="07CA0837"/>
    <w:rsid w:val="08347BAD"/>
    <w:rsid w:val="08B22987"/>
    <w:rsid w:val="09095D4D"/>
    <w:rsid w:val="09DD5FA2"/>
    <w:rsid w:val="0A9A5594"/>
    <w:rsid w:val="0AFC246D"/>
    <w:rsid w:val="0AFD169B"/>
    <w:rsid w:val="0B3F07CE"/>
    <w:rsid w:val="0B5415B7"/>
    <w:rsid w:val="0B783959"/>
    <w:rsid w:val="0BD77F0B"/>
    <w:rsid w:val="0C313D73"/>
    <w:rsid w:val="0D1B51F9"/>
    <w:rsid w:val="0D7C1E8D"/>
    <w:rsid w:val="0D9D328F"/>
    <w:rsid w:val="0DDE36D9"/>
    <w:rsid w:val="0DED31C6"/>
    <w:rsid w:val="0E6F2A74"/>
    <w:rsid w:val="0EA2174F"/>
    <w:rsid w:val="0ED84F31"/>
    <w:rsid w:val="0F6B354D"/>
    <w:rsid w:val="0F9A44A5"/>
    <w:rsid w:val="101E60DA"/>
    <w:rsid w:val="103462E3"/>
    <w:rsid w:val="106A1F0C"/>
    <w:rsid w:val="10B912E4"/>
    <w:rsid w:val="10DB6B98"/>
    <w:rsid w:val="10E80875"/>
    <w:rsid w:val="11103FC0"/>
    <w:rsid w:val="1133517F"/>
    <w:rsid w:val="116142EC"/>
    <w:rsid w:val="11B80C84"/>
    <w:rsid w:val="11BC0B69"/>
    <w:rsid w:val="11BF43E1"/>
    <w:rsid w:val="12184060"/>
    <w:rsid w:val="12517251"/>
    <w:rsid w:val="1258460F"/>
    <w:rsid w:val="12E70038"/>
    <w:rsid w:val="12F639E2"/>
    <w:rsid w:val="131B2601"/>
    <w:rsid w:val="13B4681D"/>
    <w:rsid w:val="13E74406"/>
    <w:rsid w:val="13FB6919"/>
    <w:rsid w:val="145345D0"/>
    <w:rsid w:val="14C91C4B"/>
    <w:rsid w:val="14ED07AC"/>
    <w:rsid w:val="162967FA"/>
    <w:rsid w:val="16374A66"/>
    <w:rsid w:val="16E81AF3"/>
    <w:rsid w:val="170027F3"/>
    <w:rsid w:val="171811CF"/>
    <w:rsid w:val="171827FE"/>
    <w:rsid w:val="172D632D"/>
    <w:rsid w:val="17844B95"/>
    <w:rsid w:val="181C6B5E"/>
    <w:rsid w:val="183D3EF6"/>
    <w:rsid w:val="18D95D07"/>
    <w:rsid w:val="193E71D4"/>
    <w:rsid w:val="19C84A25"/>
    <w:rsid w:val="19D468B0"/>
    <w:rsid w:val="19DE234E"/>
    <w:rsid w:val="19E0143F"/>
    <w:rsid w:val="1A0F731A"/>
    <w:rsid w:val="1A2A719B"/>
    <w:rsid w:val="1A2B1015"/>
    <w:rsid w:val="1AB941AF"/>
    <w:rsid w:val="1AF15D01"/>
    <w:rsid w:val="1AFC093E"/>
    <w:rsid w:val="1B4E4CA2"/>
    <w:rsid w:val="1B5C79CB"/>
    <w:rsid w:val="1B751D18"/>
    <w:rsid w:val="1BA55066"/>
    <w:rsid w:val="1BC65A31"/>
    <w:rsid w:val="1BC85627"/>
    <w:rsid w:val="1C140ED2"/>
    <w:rsid w:val="1C2A4725"/>
    <w:rsid w:val="1C3A6F38"/>
    <w:rsid w:val="1C54798F"/>
    <w:rsid w:val="1C567084"/>
    <w:rsid w:val="1C787805"/>
    <w:rsid w:val="1CA46814"/>
    <w:rsid w:val="1CAA7B42"/>
    <w:rsid w:val="1CEF08F7"/>
    <w:rsid w:val="1D1D3848"/>
    <w:rsid w:val="1D5559C4"/>
    <w:rsid w:val="1D8C49B3"/>
    <w:rsid w:val="1D9221AE"/>
    <w:rsid w:val="1DC72373"/>
    <w:rsid w:val="1E283543"/>
    <w:rsid w:val="1E632E47"/>
    <w:rsid w:val="1E846710"/>
    <w:rsid w:val="1F095BCD"/>
    <w:rsid w:val="1F6A5B44"/>
    <w:rsid w:val="1F8C33D8"/>
    <w:rsid w:val="1FA61124"/>
    <w:rsid w:val="203F7481"/>
    <w:rsid w:val="206F0830"/>
    <w:rsid w:val="20707535"/>
    <w:rsid w:val="210E560A"/>
    <w:rsid w:val="213C07C4"/>
    <w:rsid w:val="216E73AC"/>
    <w:rsid w:val="21861171"/>
    <w:rsid w:val="21B22BDC"/>
    <w:rsid w:val="21E203CA"/>
    <w:rsid w:val="21E679B2"/>
    <w:rsid w:val="2273010A"/>
    <w:rsid w:val="22795133"/>
    <w:rsid w:val="22EC602D"/>
    <w:rsid w:val="232048D5"/>
    <w:rsid w:val="235264F6"/>
    <w:rsid w:val="23941C99"/>
    <w:rsid w:val="239C641C"/>
    <w:rsid w:val="23B03951"/>
    <w:rsid w:val="24126235"/>
    <w:rsid w:val="242C43BF"/>
    <w:rsid w:val="244C1094"/>
    <w:rsid w:val="24AE46E6"/>
    <w:rsid w:val="257A7096"/>
    <w:rsid w:val="25924D78"/>
    <w:rsid w:val="25B674B8"/>
    <w:rsid w:val="25D64E62"/>
    <w:rsid w:val="2618211C"/>
    <w:rsid w:val="26883498"/>
    <w:rsid w:val="26973388"/>
    <w:rsid w:val="26A81875"/>
    <w:rsid w:val="26E21B4F"/>
    <w:rsid w:val="26E8774E"/>
    <w:rsid w:val="26FA5246"/>
    <w:rsid w:val="272F4F6B"/>
    <w:rsid w:val="273B190E"/>
    <w:rsid w:val="27831DB0"/>
    <w:rsid w:val="27977392"/>
    <w:rsid w:val="27A157A3"/>
    <w:rsid w:val="27BE3246"/>
    <w:rsid w:val="28571067"/>
    <w:rsid w:val="2859424B"/>
    <w:rsid w:val="28846FF5"/>
    <w:rsid w:val="28EA700D"/>
    <w:rsid w:val="290A3FC7"/>
    <w:rsid w:val="29331B25"/>
    <w:rsid w:val="2956362B"/>
    <w:rsid w:val="29E40A37"/>
    <w:rsid w:val="2A5731AC"/>
    <w:rsid w:val="2A661171"/>
    <w:rsid w:val="2AD95982"/>
    <w:rsid w:val="2B003A53"/>
    <w:rsid w:val="2B0652AD"/>
    <w:rsid w:val="2B345D81"/>
    <w:rsid w:val="2B580AE3"/>
    <w:rsid w:val="2BAF43BC"/>
    <w:rsid w:val="2BEC5DDC"/>
    <w:rsid w:val="2BF121A0"/>
    <w:rsid w:val="2C3867CC"/>
    <w:rsid w:val="2C6572D5"/>
    <w:rsid w:val="2CFC09A9"/>
    <w:rsid w:val="2D996255"/>
    <w:rsid w:val="2E805C69"/>
    <w:rsid w:val="2E833361"/>
    <w:rsid w:val="2ED93B14"/>
    <w:rsid w:val="2F2453BB"/>
    <w:rsid w:val="2F5505BD"/>
    <w:rsid w:val="2F8730B0"/>
    <w:rsid w:val="2FC36919"/>
    <w:rsid w:val="2FEA39CD"/>
    <w:rsid w:val="2FEA7B98"/>
    <w:rsid w:val="30C554D9"/>
    <w:rsid w:val="30D048DF"/>
    <w:rsid w:val="30D129AB"/>
    <w:rsid w:val="31184388"/>
    <w:rsid w:val="3156092A"/>
    <w:rsid w:val="317A6C42"/>
    <w:rsid w:val="31D93881"/>
    <w:rsid w:val="320F4BFD"/>
    <w:rsid w:val="32DD7C74"/>
    <w:rsid w:val="33081B36"/>
    <w:rsid w:val="3310790D"/>
    <w:rsid w:val="334272A8"/>
    <w:rsid w:val="33C12DE8"/>
    <w:rsid w:val="33F148B4"/>
    <w:rsid w:val="34473832"/>
    <w:rsid w:val="3494403D"/>
    <w:rsid w:val="34A71EA8"/>
    <w:rsid w:val="34B07D94"/>
    <w:rsid w:val="34CA6468"/>
    <w:rsid w:val="34E1358D"/>
    <w:rsid w:val="34F86E65"/>
    <w:rsid w:val="35134CA0"/>
    <w:rsid w:val="352923F9"/>
    <w:rsid w:val="35A22390"/>
    <w:rsid w:val="35F049E2"/>
    <w:rsid w:val="36214303"/>
    <w:rsid w:val="362C5372"/>
    <w:rsid w:val="365340B6"/>
    <w:rsid w:val="36F247A7"/>
    <w:rsid w:val="372F21F8"/>
    <w:rsid w:val="375A10AE"/>
    <w:rsid w:val="375F18CE"/>
    <w:rsid w:val="38423130"/>
    <w:rsid w:val="38484A65"/>
    <w:rsid w:val="38773C14"/>
    <w:rsid w:val="38BA2FC4"/>
    <w:rsid w:val="38F55721"/>
    <w:rsid w:val="394A53C8"/>
    <w:rsid w:val="395A2EF3"/>
    <w:rsid w:val="3980252A"/>
    <w:rsid w:val="3A375CAE"/>
    <w:rsid w:val="3AB37B29"/>
    <w:rsid w:val="3ACF0A38"/>
    <w:rsid w:val="3AF1412E"/>
    <w:rsid w:val="3B020DE5"/>
    <w:rsid w:val="3B416552"/>
    <w:rsid w:val="3B5974BC"/>
    <w:rsid w:val="3BA0123F"/>
    <w:rsid w:val="3BE56851"/>
    <w:rsid w:val="3C0F349F"/>
    <w:rsid w:val="3C23667B"/>
    <w:rsid w:val="3C801A98"/>
    <w:rsid w:val="3C8131E6"/>
    <w:rsid w:val="3D40793E"/>
    <w:rsid w:val="3D603E83"/>
    <w:rsid w:val="3E093478"/>
    <w:rsid w:val="3E6E089A"/>
    <w:rsid w:val="3E9919C2"/>
    <w:rsid w:val="3EB16E74"/>
    <w:rsid w:val="3EC56F29"/>
    <w:rsid w:val="3F140157"/>
    <w:rsid w:val="40AE2F11"/>
    <w:rsid w:val="40BF527A"/>
    <w:rsid w:val="4108678B"/>
    <w:rsid w:val="41112EAF"/>
    <w:rsid w:val="417001A9"/>
    <w:rsid w:val="418D1DFC"/>
    <w:rsid w:val="419C3BA7"/>
    <w:rsid w:val="41F57B59"/>
    <w:rsid w:val="420F5080"/>
    <w:rsid w:val="422D477E"/>
    <w:rsid w:val="4247484F"/>
    <w:rsid w:val="42F05E09"/>
    <w:rsid w:val="4324232E"/>
    <w:rsid w:val="43777B1A"/>
    <w:rsid w:val="44064C0A"/>
    <w:rsid w:val="440A3B00"/>
    <w:rsid w:val="44590592"/>
    <w:rsid w:val="4484504F"/>
    <w:rsid w:val="44D1498B"/>
    <w:rsid w:val="44E8224B"/>
    <w:rsid w:val="44F25A6D"/>
    <w:rsid w:val="451F4398"/>
    <w:rsid w:val="45200C67"/>
    <w:rsid w:val="45416E53"/>
    <w:rsid w:val="45454351"/>
    <w:rsid w:val="455E4C75"/>
    <w:rsid w:val="45924B58"/>
    <w:rsid w:val="45F0429C"/>
    <w:rsid w:val="462B09CD"/>
    <w:rsid w:val="465F3606"/>
    <w:rsid w:val="476429D6"/>
    <w:rsid w:val="47642B80"/>
    <w:rsid w:val="48007DAE"/>
    <w:rsid w:val="4867562D"/>
    <w:rsid w:val="487930C8"/>
    <w:rsid w:val="48B86CF0"/>
    <w:rsid w:val="48C47CE4"/>
    <w:rsid w:val="49B4471E"/>
    <w:rsid w:val="49EB0C03"/>
    <w:rsid w:val="4B7124C2"/>
    <w:rsid w:val="4C156106"/>
    <w:rsid w:val="4C440B37"/>
    <w:rsid w:val="4CC076E7"/>
    <w:rsid w:val="4DDA0532"/>
    <w:rsid w:val="4E124D9C"/>
    <w:rsid w:val="4E191038"/>
    <w:rsid w:val="4E862901"/>
    <w:rsid w:val="4F201116"/>
    <w:rsid w:val="4F4F4F27"/>
    <w:rsid w:val="4F693F55"/>
    <w:rsid w:val="4FB410C6"/>
    <w:rsid w:val="4FBA2837"/>
    <w:rsid w:val="508C3E34"/>
    <w:rsid w:val="50B47C55"/>
    <w:rsid w:val="51A750B1"/>
    <w:rsid w:val="51F50869"/>
    <w:rsid w:val="51F579D8"/>
    <w:rsid w:val="525B5B50"/>
    <w:rsid w:val="529F3413"/>
    <w:rsid w:val="52B61114"/>
    <w:rsid w:val="52D12917"/>
    <w:rsid w:val="5365200D"/>
    <w:rsid w:val="53875AEB"/>
    <w:rsid w:val="53931701"/>
    <w:rsid w:val="53B512FC"/>
    <w:rsid w:val="53C13730"/>
    <w:rsid w:val="53DC0B3F"/>
    <w:rsid w:val="543F2630"/>
    <w:rsid w:val="553E71EC"/>
    <w:rsid w:val="55463E0E"/>
    <w:rsid w:val="559E4D14"/>
    <w:rsid w:val="567446C9"/>
    <w:rsid w:val="56770FEB"/>
    <w:rsid w:val="570874BF"/>
    <w:rsid w:val="575E195E"/>
    <w:rsid w:val="578D661C"/>
    <w:rsid w:val="578D71D2"/>
    <w:rsid w:val="57AD45F2"/>
    <w:rsid w:val="57D93C69"/>
    <w:rsid w:val="57E15D25"/>
    <w:rsid w:val="580541DC"/>
    <w:rsid w:val="581319B2"/>
    <w:rsid w:val="583728AA"/>
    <w:rsid w:val="584C05BC"/>
    <w:rsid w:val="588433C1"/>
    <w:rsid w:val="58E03F75"/>
    <w:rsid w:val="59236347"/>
    <w:rsid w:val="593E6804"/>
    <w:rsid w:val="59430BAC"/>
    <w:rsid w:val="594E6297"/>
    <w:rsid w:val="5A020725"/>
    <w:rsid w:val="5A3C6788"/>
    <w:rsid w:val="5A4115BF"/>
    <w:rsid w:val="5AD535F4"/>
    <w:rsid w:val="5AEE31F7"/>
    <w:rsid w:val="5B68725E"/>
    <w:rsid w:val="5BE92628"/>
    <w:rsid w:val="5C0218CF"/>
    <w:rsid w:val="5C4F41DE"/>
    <w:rsid w:val="5CCB15B0"/>
    <w:rsid w:val="5CCC47C3"/>
    <w:rsid w:val="5D0A24E4"/>
    <w:rsid w:val="5D541BB3"/>
    <w:rsid w:val="5D754F84"/>
    <w:rsid w:val="5E695D48"/>
    <w:rsid w:val="5E6D408C"/>
    <w:rsid w:val="5F19636A"/>
    <w:rsid w:val="5F874AA3"/>
    <w:rsid w:val="5FE230D6"/>
    <w:rsid w:val="60286AAB"/>
    <w:rsid w:val="60366135"/>
    <w:rsid w:val="60701F68"/>
    <w:rsid w:val="61526E4C"/>
    <w:rsid w:val="615F18A1"/>
    <w:rsid w:val="61702869"/>
    <w:rsid w:val="61923D34"/>
    <w:rsid w:val="621237C8"/>
    <w:rsid w:val="62B70466"/>
    <w:rsid w:val="62F83C5C"/>
    <w:rsid w:val="63BB5EFC"/>
    <w:rsid w:val="63DF24D7"/>
    <w:rsid w:val="643A0CA1"/>
    <w:rsid w:val="64A33866"/>
    <w:rsid w:val="652733C9"/>
    <w:rsid w:val="65D53938"/>
    <w:rsid w:val="662A3085"/>
    <w:rsid w:val="66453452"/>
    <w:rsid w:val="665B5863"/>
    <w:rsid w:val="66C75BBC"/>
    <w:rsid w:val="66DB2305"/>
    <w:rsid w:val="67821B0B"/>
    <w:rsid w:val="67A91327"/>
    <w:rsid w:val="68C76778"/>
    <w:rsid w:val="699A7243"/>
    <w:rsid w:val="69C56AE9"/>
    <w:rsid w:val="69CA7262"/>
    <w:rsid w:val="69F27CE2"/>
    <w:rsid w:val="6A1A25C0"/>
    <w:rsid w:val="6A1C1761"/>
    <w:rsid w:val="6A2C0CFE"/>
    <w:rsid w:val="6A815B8D"/>
    <w:rsid w:val="6A922256"/>
    <w:rsid w:val="6B186C64"/>
    <w:rsid w:val="6B472947"/>
    <w:rsid w:val="6B566C4B"/>
    <w:rsid w:val="6BB0179B"/>
    <w:rsid w:val="6C4874BE"/>
    <w:rsid w:val="6C99199C"/>
    <w:rsid w:val="6CAA11DD"/>
    <w:rsid w:val="6CFA26D5"/>
    <w:rsid w:val="6D255124"/>
    <w:rsid w:val="6D9A4EDB"/>
    <w:rsid w:val="6E0120B8"/>
    <w:rsid w:val="6E0221BE"/>
    <w:rsid w:val="6E541DB5"/>
    <w:rsid w:val="6EB5604F"/>
    <w:rsid w:val="6F3940D5"/>
    <w:rsid w:val="6F3E544F"/>
    <w:rsid w:val="6F6B5E32"/>
    <w:rsid w:val="6F727C70"/>
    <w:rsid w:val="700E52CD"/>
    <w:rsid w:val="704F5792"/>
    <w:rsid w:val="705368D8"/>
    <w:rsid w:val="706734D0"/>
    <w:rsid w:val="712C4F0E"/>
    <w:rsid w:val="71CE369F"/>
    <w:rsid w:val="71DA2119"/>
    <w:rsid w:val="726906CA"/>
    <w:rsid w:val="727C5CB2"/>
    <w:rsid w:val="72B44D62"/>
    <w:rsid w:val="72DE599D"/>
    <w:rsid w:val="72FD4413"/>
    <w:rsid w:val="733C2AFF"/>
    <w:rsid w:val="73C84E57"/>
    <w:rsid w:val="7472539D"/>
    <w:rsid w:val="74BB5195"/>
    <w:rsid w:val="74C651B7"/>
    <w:rsid w:val="750446A6"/>
    <w:rsid w:val="751A443D"/>
    <w:rsid w:val="75503A90"/>
    <w:rsid w:val="755C2894"/>
    <w:rsid w:val="7623361C"/>
    <w:rsid w:val="771504D1"/>
    <w:rsid w:val="77211224"/>
    <w:rsid w:val="774D204E"/>
    <w:rsid w:val="775C0285"/>
    <w:rsid w:val="776954E8"/>
    <w:rsid w:val="7799481B"/>
    <w:rsid w:val="77C46047"/>
    <w:rsid w:val="77F0472D"/>
    <w:rsid w:val="7A6E44BF"/>
    <w:rsid w:val="7A98230D"/>
    <w:rsid w:val="7ADE1702"/>
    <w:rsid w:val="7B1E3C29"/>
    <w:rsid w:val="7B511164"/>
    <w:rsid w:val="7BA04653"/>
    <w:rsid w:val="7BB26B7B"/>
    <w:rsid w:val="7C09215C"/>
    <w:rsid w:val="7C994FCB"/>
    <w:rsid w:val="7D0F2B0A"/>
    <w:rsid w:val="7D3D59DA"/>
    <w:rsid w:val="7D4A238C"/>
    <w:rsid w:val="7D706C48"/>
    <w:rsid w:val="7D7C5568"/>
    <w:rsid w:val="7DB62207"/>
    <w:rsid w:val="7DD66AF2"/>
    <w:rsid w:val="7E59725B"/>
    <w:rsid w:val="7E6147C6"/>
    <w:rsid w:val="7ED65CF8"/>
    <w:rsid w:val="7F456492"/>
    <w:rsid w:val="7F502827"/>
    <w:rsid w:val="7F52558F"/>
    <w:rsid w:val="7F9243BE"/>
    <w:rsid w:val="7FBE5AFE"/>
    <w:rsid w:val="7FC73EAB"/>
    <w:rsid w:val="7FDC653E"/>
    <w:rsid w:val="7FDD7D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ocked="1"/>
    <w:lsdException w:qFormat="1" w:unhideWhenUsed="0" w:uiPriority="99"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2"/>
    <w:qFormat/>
    <w:uiPriority w:val="99"/>
    <w:pPr>
      <w:keepNext/>
      <w:keepLines/>
      <w:adjustRightInd w:val="0"/>
      <w:spacing w:before="340" w:after="330" w:line="578" w:lineRule="atLeast"/>
      <w:textAlignment w:val="baseline"/>
      <w:outlineLvl w:val="0"/>
    </w:pPr>
    <w:rPr>
      <w:b/>
      <w:kern w:val="44"/>
      <w:sz w:val="44"/>
    </w:rPr>
  </w:style>
  <w:style w:type="paragraph" w:styleId="6">
    <w:name w:val="heading 2"/>
    <w:basedOn w:val="1"/>
    <w:next w:val="1"/>
    <w:link w:val="63"/>
    <w:qFormat/>
    <w:uiPriority w:val="99"/>
    <w:pPr>
      <w:keepNext/>
      <w:keepLines/>
      <w:adjustRightInd w:val="0"/>
      <w:spacing w:before="260" w:after="260" w:line="416" w:lineRule="atLeast"/>
      <w:textAlignment w:val="baseline"/>
      <w:outlineLvl w:val="1"/>
    </w:pPr>
    <w:rPr>
      <w:rFonts w:ascii="Arial" w:hAnsi="Arial" w:eastAsia="黑体"/>
      <w:b/>
      <w:kern w:val="0"/>
      <w:sz w:val="32"/>
    </w:rPr>
  </w:style>
  <w:style w:type="paragraph" w:styleId="7">
    <w:name w:val="heading 3"/>
    <w:basedOn w:val="1"/>
    <w:next w:val="1"/>
    <w:link w:val="64"/>
    <w:qFormat/>
    <w:uiPriority w:val="99"/>
    <w:pPr>
      <w:keepNext/>
      <w:keepLines/>
      <w:adjustRightInd w:val="0"/>
      <w:spacing w:before="260" w:after="260" w:line="416" w:lineRule="atLeast"/>
      <w:textAlignment w:val="baseline"/>
      <w:outlineLvl w:val="2"/>
    </w:pPr>
    <w:rPr>
      <w:b/>
      <w:kern w:val="0"/>
      <w:sz w:val="32"/>
    </w:rPr>
  </w:style>
  <w:style w:type="paragraph" w:styleId="8">
    <w:name w:val="heading 4"/>
    <w:basedOn w:val="1"/>
    <w:next w:val="1"/>
    <w:link w:val="65"/>
    <w:qFormat/>
    <w:uiPriority w:val="99"/>
    <w:pPr>
      <w:keepNext/>
      <w:keepLines/>
      <w:adjustRightInd w:val="0"/>
      <w:spacing w:before="280" w:after="290" w:line="376" w:lineRule="atLeast"/>
      <w:textAlignment w:val="baseline"/>
      <w:outlineLvl w:val="3"/>
    </w:pPr>
    <w:rPr>
      <w:rFonts w:ascii="Arial" w:hAnsi="Arial" w:eastAsia="黑体"/>
      <w:b/>
      <w:sz w:val="28"/>
    </w:rPr>
  </w:style>
  <w:style w:type="paragraph" w:styleId="9">
    <w:name w:val="heading 5"/>
    <w:basedOn w:val="1"/>
    <w:next w:val="1"/>
    <w:link w:val="66"/>
    <w:qFormat/>
    <w:uiPriority w:val="99"/>
    <w:pPr>
      <w:keepNext/>
      <w:keepLines/>
      <w:adjustRightInd w:val="0"/>
      <w:spacing w:before="280" w:after="290" w:line="376" w:lineRule="atLeast"/>
      <w:textAlignment w:val="baseline"/>
      <w:outlineLvl w:val="4"/>
    </w:pPr>
    <w:rPr>
      <w:b/>
      <w:kern w:val="0"/>
      <w:sz w:val="28"/>
    </w:rPr>
  </w:style>
  <w:style w:type="paragraph" w:styleId="10">
    <w:name w:val="heading 6"/>
    <w:basedOn w:val="1"/>
    <w:next w:val="1"/>
    <w:link w:val="67"/>
    <w:qFormat/>
    <w:uiPriority w:val="99"/>
    <w:pPr>
      <w:keepNext/>
      <w:keepLines/>
      <w:adjustRightInd w:val="0"/>
      <w:spacing w:before="240" w:after="64" w:line="320" w:lineRule="atLeast"/>
      <w:textAlignment w:val="baseline"/>
      <w:outlineLvl w:val="5"/>
    </w:pPr>
    <w:rPr>
      <w:rFonts w:ascii="Arial" w:hAnsi="Arial" w:eastAsia="黑体"/>
      <w:b/>
      <w:kern w:val="0"/>
      <w:sz w:val="24"/>
    </w:rPr>
  </w:style>
  <w:style w:type="paragraph" w:styleId="11">
    <w:name w:val="heading 7"/>
    <w:basedOn w:val="1"/>
    <w:next w:val="1"/>
    <w:link w:val="68"/>
    <w:qFormat/>
    <w:uiPriority w:val="99"/>
    <w:pPr>
      <w:keepNext/>
      <w:keepLines/>
      <w:adjustRightInd w:val="0"/>
      <w:spacing w:before="240" w:after="64" w:line="320" w:lineRule="atLeast"/>
      <w:textAlignment w:val="baseline"/>
      <w:outlineLvl w:val="6"/>
    </w:pPr>
    <w:rPr>
      <w:b/>
      <w:kern w:val="0"/>
      <w:sz w:val="24"/>
    </w:rPr>
  </w:style>
  <w:style w:type="paragraph" w:styleId="12">
    <w:name w:val="heading 8"/>
    <w:basedOn w:val="1"/>
    <w:next w:val="1"/>
    <w:link w:val="69"/>
    <w:qFormat/>
    <w:uiPriority w:val="99"/>
    <w:pPr>
      <w:keepNext/>
      <w:keepLines/>
      <w:adjustRightInd w:val="0"/>
      <w:spacing w:before="240" w:after="64" w:line="320" w:lineRule="atLeast"/>
      <w:textAlignment w:val="baseline"/>
      <w:outlineLvl w:val="7"/>
    </w:pPr>
    <w:rPr>
      <w:rFonts w:ascii="Arial" w:hAnsi="Arial" w:eastAsia="黑体"/>
      <w:kern w:val="0"/>
      <w:sz w:val="24"/>
    </w:rPr>
  </w:style>
  <w:style w:type="paragraph" w:styleId="13">
    <w:name w:val="heading 9"/>
    <w:basedOn w:val="1"/>
    <w:next w:val="1"/>
    <w:link w:val="70"/>
    <w:qFormat/>
    <w:uiPriority w:val="99"/>
    <w:pPr>
      <w:keepNext/>
      <w:keepLines/>
      <w:adjustRightInd w:val="0"/>
      <w:spacing w:before="240" w:after="64" w:line="320" w:lineRule="atLeast"/>
      <w:textAlignment w:val="baseline"/>
      <w:outlineLvl w:val="8"/>
    </w:pPr>
    <w:rPr>
      <w:rFonts w:ascii="Arial" w:hAnsi="Arial" w:eastAsia="黑体"/>
      <w:kern w:val="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7"/>
    <w:qFormat/>
    <w:locked/>
    <w:uiPriority w:val="99"/>
    <w:pPr>
      <w:ind w:firstLine="420" w:firstLineChars="200"/>
    </w:pPr>
  </w:style>
  <w:style w:type="paragraph" w:styleId="3">
    <w:name w:val="Body Text Indent"/>
    <w:basedOn w:val="1"/>
    <w:next w:val="4"/>
    <w:link w:val="74"/>
    <w:qFormat/>
    <w:uiPriority w:val="99"/>
    <w:pPr>
      <w:spacing w:after="156"/>
      <w:ind w:firstLine="480"/>
    </w:pPr>
    <w:rPr>
      <w:sz w:val="24"/>
    </w:rPr>
  </w:style>
  <w:style w:type="paragraph" w:styleId="4">
    <w:name w:val="envelope return"/>
    <w:basedOn w:val="1"/>
    <w:qFormat/>
    <w:locked/>
    <w:uiPriority w:val="99"/>
    <w:pPr>
      <w:snapToGrid w:val="0"/>
    </w:pPr>
    <w:rPr>
      <w:rFonts w:ascii="Arial" w:hAnsi="Arial"/>
    </w:rPr>
  </w:style>
  <w:style w:type="paragraph" w:styleId="14">
    <w:name w:val="List 3"/>
    <w:basedOn w:val="1"/>
    <w:qFormat/>
    <w:uiPriority w:val="99"/>
    <w:pPr>
      <w:ind w:left="100" w:leftChars="400" w:hanging="200" w:hangingChars="200"/>
    </w:pPr>
  </w:style>
  <w:style w:type="paragraph" w:styleId="15">
    <w:name w:val="toc 7"/>
    <w:basedOn w:val="1"/>
    <w:next w:val="1"/>
    <w:semiHidden/>
    <w:qFormat/>
    <w:uiPriority w:val="99"/>
    <w:pPr>
      <w:ind w:left="1260"/>
      <w:jc w:val="left"/>
    </w:pPr>
    <w:rPr>
      <w:sz w:val="18"/>
    </w:rPr>
  </w:style>
  <w:style w:type="paragraph" w:styleId="16">
    <w:name w:val="Normal Indent"/>
    <w:basedOn w:val="1"/>
    <w:link w:val="98"/>
    <w:qFormat/>
    <w:uiPriority w:val="99"/>
    <w:pPr>
      <w:ind w:firstLine="420"/>
    </w:pPr>
  </w:style>
  <w:style w:type="paragraph" w:styleId="17">
    <w:name w:val="Document Map"/>
    <w:basedOn w:val="1"/>
    <w:link w:val="72"/>
    <w:semiHidden/>
    <w:qFormat/>
    <w:uiPriority w:val="99"/>
    <w:pPr>
      <w:shd w:val="clear" w:color="auto" w:fill="000080"/>
    </w:pPr>
  </w:style>
  <w:style w:type="paragraph" w:styleId="18">
    <w:name w:val="annotation text"/>
    <w:basedOn w:val="1"/>
    <w:link w:val="73"/>
    <w:semiHidden/>
    <w:qFormat/>
    <w:uiPriority w:val="99"/>
    <w:pPr>
      <w:jc w:val="left"/>
    </w:pPr>
  </w:style>
  <w:style w:type="paragraph" w:styleId="19">
    <w:name w:val="Body Text"/>
    <w:basedOn w:val="1"/>
    <w:link w:val="71"/>
    <w:qFormat/>
    <w:uiPriority w:val="99"/>
    <w:rPr>
      <w:sz w:val="24"/>
    </w:rPr>
  </w:style>
  <w:style w:type="paragraph" w:styleId="20">
    <w:name w:val="List 2"/>
    <w:basedOn w:val="1"/>
    <w:qFormat/>
    <w:uiPriority w:val="99"/>
    <w:pPr>
      <w:ind w:left="100" w:leftChars="200" w:hanging="200" w:hangingChars="200"/>
    </w:pPr>
  </w:style>
  <w:style w:type="paragraph" w:styleId="21">
    <w:name w:val="List Continue"/>
    <w:basedOn w:val="1"/>
    <w:qFormat/>
    <w:uiPriority w:val="99"/>
    <w:pPr>
      <w:spacing w:after="120"/>
      <w:ind w:left="420" w:leftChars="200"/>
    </w:pPr>
  </w:style>
  <w:style w:type="paragraph" w:styleId="22">
    <w:name w:val="Block Text"/>
    <w:basedOn w:val="1"/>
    <w:qFormat/>
    <w:uiPriority w:val="99"/>
    <w:pPr>
      <w:autoSpaceDE w:val="0"/>
      <w:autoSpaceDN w:val="0"/>
      <w:adjustRightInd w:val="0"/>
      <w:spacing w:line="300" w:lineRule="auto"/>
      <w:ind w:left="29" w:leftChars="12" w:right="6" w:firstLine="560" w:firstLineChars="200"/>
    </w:pPr>
    <w:rPr>
      <w:kern w:val="0"/>
      <w:sz w:val="28"/>
    </w:rPr>
  </w:style>
  <w:style w:type="paragraph" w:styleId="23">
    <w:name w:val="toc 5"/>
    <w:basedOn w:val="1"/>
    <w:next w:val="1"/>
    <w:semiHidden/>
    <w:qFormat/>
    <w:uiPriority w:val="99"/>
    <w:pPr>
      <w:ind w:left="840"/>
      <w:jc w:val="left"/>
    </w:pPr>
    <w:rPr>
      <w:sz w:val="18"/>
    </w:rPr>
  </w:style>
  <w:style w:type="paragraph" w:styleId="24">
    <w:name w:val="toc 3"/>
    <w:basedOn w:val="1"/>
    <w:next w:val="1"/>
    <w:semiHidden/>
    <w:qFormat/>
    <w:uiPriority w:val="99"/>
    <w:pPr>
      <w:ind w:left="420"/>
      <w:jc w:val="left"/>
    </w:pPr>
    <w:rPr>
      <w:i/>
      <w:sz w:val="20"/>
    </w:rPr>
  </w:style>
  <w:style w:type="paragraph" w:styleId="25">
    <w:name w:val="Plain Text"/>
    <w:basedOn w:val="1"/>
    <w:link w:val="75"/>
    <w:qFormat/>
    <w:uiPriority w:val="99"/>
    <w:rPr>
      <w:rFonts w:ascii="宋体" w:hAnsi="Courier New"/>
    </w:rPr>
  </w:style>
  <w:style w:type="paragraph" w:styleId="26">
    <w:name w:val="toc 8"/>
    <w:basedOn w:val="1"/>
    <w:next w:val="1"/>
    <w:semiHidden/>
    <w:qFormat/>
    <w:uiPriority w:val="99"/>
    <w:pPr>
      <w:ind w:left="1470"/>
      <w:jc w:val="left"/>
    </w:pPr>
    <w:rPr>
      <w:sz w:val="18"/>
    </w:rPr>
  </w:style>
  <w:style w:type="paragraph" w:styleId="27">
    <w:name w:val="Date"/>
    <w:basedOn w:val="1"/>
    <w:next w:val="1"/>
    <w:link w:val="76"/>
    <w:qFormat/>
    <w:uiPriority w:val="99"/>
    <w:pPr>
      <w:widowControl/>
      <w:ind w:left="100"/>
      <w:jc w:val="left"/>
    </w:pPr>
    <w:rPr>
      <w:rFonts w:ascii="宋体" w:hAnsi="宋体"/>
      <w:kern w:val="0"/>
      <w:sz w:val="28"/>
    </w:rPr>
  </w:style>
  <w:style w:type="paragraph" w:styleId="28">
    <w:name w:val="Body Text Indent 2"/>
    <w:basedOn w:val="1"/>
    <w:link w:val="77"/>
    <w:qFormat/>
    <w:uiPriority w:val="99"/>
    <w:pPr>
      <w:ind w:left="1436" w:leftChars="684"/>
    </w:pPr>
    <w:rPr>
      <w:sz w:val="24"/>
    </w:rPr>
  </w:style>
  <w:style w:type="paragraph" w:styleId="29">
    <w:name w:val="List Continue 5"/>
    <w:basedOn w:val="1"/>
    <w:qFormat/>
    <w:uiPriority w:val="99"/>
    <w:pPr>
      <w:spacing w:after="120"/>
      <w:ind w:left="2100" w:leftChars="1000"/>
    </w:pPr>
  </w:style>
  <w:style w:type="paragraph" w:styleId="30">
    <w:name w:val="Balloon Text"/>
    <w:basedOn w:val="1"/>
    <w:link w:val="78"/>
    <w:semiHidden/>
    <w:qFormat/>
    <w:uiPriority w:val="99"/>
    <w:rPr>
      <w:sz w:val="18"/>
    </w:rPr>
  </w:style>
  <w:style w:type="paragraph" w:styleId="31">
    <w:name w:val="footer"/>
    <w:basedOn w:val="1"/>
    <w:link w:val="79"/>
    <w:qFormat/>
    <w:uiPriority w:val="99"/>
    <w:pPr>
      <w:tabs>
        <w:tab w:val="center" w:pos="4153"/>
        <w:tab w:val="right" w:pos="8306"/>
      </w:tabs>
      <w:snapToGrid w:val="0"/>
      <w:jc w:val="left"/>
    </w:pPr>
    <w:rPr>
      <w:sz w:val="18"/>
    </w:rPr>
  </w:style>
  <w:style w:type="paragraph" w:styleId="32">
    <w:name w:val="header"/>
    <w:basedOn w:val="1"/>
    <w:link w:val="80"/>
    <w:qFormat/>
    <w:uiPriority w:val="99"/>
    <w:pPr>
      <w:pBdr>
        <w:bottom w:val="single" w:color="auto" w:sz="6" w:space="1"/>
      </w:pBdr>
      <w:tabs>
        <w:tab w:val="center" w:pos="4153"/>
        <w:tab w:val="right" w:pos="8306"/>
      </w:tabs>
      <w:snapToGrid w:val="0"/>
      <w:jc w:val="center"/>
    </w:pPr>
    <w:rPr>
      <w:sz w:val="18"/>
    </w:rPr>
  </w:style>
  <w:style w:type="paragraph" w:styleId="33">
    <w:name w:val="toc 1"/>
    <w:basedOn w:val="1"/>
    <w:next w:val="1"/>
    <w:semiHidden/>
    <w:qFormat/>
    <w:uiPriority w:val="99"/>
    <w:pPr>
      <w:tabs>
        <w:tab w:val="left" w:pos="840"/>
        <w:tab w:val="right" w:leader="dot" w:pos="9402"/>
      </w:tabs>
      <w:adjustRightInd w:val="0"/>
      <w:snapToGrid w:val="0"/>
      <w:spacing w:line="360" w:lineRule="auto"/>
      <w:jc w:val="left"/>
    </w:pPr>
    <w:rPr>
      <w:rFonts w:ascii="Arial" w:hAnsi="宋体"/>
      <w:caps/>
      <w:w w:val="80"/>
      <w:sz w:val="24"/>
    </w:rPr>
  </w:style>
  <w:style w:type="paragraph" w:styleId="34">
    <w:name w:val="List Continue 4"/>
    <w:basedOn w:val="1"/>
    <w:qFormat/>
    <w:uiPriority w:val="99"/>
    <w:pPr>
      <w:spacing w:after="120"/>
      <w:ind w:left="1680" w:leftChars="800"/>
    </w:pPr>
  </w:style>
  <w:style w:type="paragraph" w:styleId="35">
    <w:name w:val="toc 4"/>
    <w:basedOn w:val="1"/>
    <w:next w:val="1"/>
    <w:semiHidden/>
    <w:qFormat/>
    <w:uiPriority w:val="99"/>
    <w:pPr>
      <w:tabs>
        <w:tab w:val="left" w:pos="1080"/>
        <w:tab w:val="right" w:leader="dot" w:pos="9125"/>
      </w:tabs>
      <w:adjustRightInd w:val="0"/>
      <w:snapToGrid w:val="0"/>
      <w:spacing w:line="360" w:lineRule="auto"/>
      <w:jc w:val="left"/>
    </w:pPr>
    <w:rPr>
      <w:sz w:val="18"/>
    </w:rPr>
  </w:style>
  <w:style w:type="paragraph" w:styleId="36">
    <w:name w:val="List"/>
    <w:basedOn w:val="1"/>
    <w:qFormat/>
    <w:uiPriority w:val="99"/>
    <w:pPr>
      <w:ind w:left="200" w:hanging="200" w:hangingChars="200"/>
    </w:pPr>
  </w:style>
  <w:style w:type="paragraph" w:styleId="37">
    <w:name w:val="footnote text"/>
    <w:basedOn w:val="1"/>
    <w:link w:val="81"/>
    <w:semiHidden/>
    <w:qFormat/>
    <w:uiPriority w:val="99"/>
    <w:pPr>
      <w:snapToGrid w:val="0"/>
      <w:jc w:val="left"/>
    </w:pPr>
    <w:rPr>
      <w:sz w:val="18"/>
    </w:rPr>
  </w:style>
  <w:style w:type="paragraph" w:styleId="38">
    <w:name w:val="toc 6"/>
    <w:basedOn w:val="1"/>
    <w:next w:val="1"/>
    <w:semiHidden/>
    <w:qFormat/>
    <w:uiPriority w:val="99"/>
    <w:pPr>
      <w:ind w:left="1050"/>
      <w:jc w:val="left"/>
    </w:pPr>
    <w:rPr>
      <w:sz w:val="18"/>
    </w:rPr>
  </w:style>
  <w:style w:type="paragraph" w:styleId="39">
    <w:name w:val="List 5"/>
    <w:basedOn w:val="1"/>
    <w:qFormat/>
    <w:uiPriority w:val="99"/>
    <w:pPr>
      <w:ind w:left="100" w:leftChars="800" w:hanging="200" w:hangingChars="200"/>
    </w:pPr>
  </w:style>
  <w:style w:type="paragraph" w:styleId="40">
    <w:name w:val="Body Text Indent 3"/>
    <w:basedOn w:val="1"/>
    <w:link w:val="82"/>
    <w:qFormat/>
    <w:uiPriority w:val="99"/>
    <w:pPr>
      <w:spacing w:after="120"/>
      <w:ind w:left="420" w:leftChars="200"/>
    </w:pPr>
    <w:rPr>
      <w:sz w:val="16"/>
    </w:rPr>
  </w:style>
  <w:style w:type="paragraph" w:styleId="41">
    <w:name w:val="toc 2"/>
    <w:basedOn w:val="1"/>
    <w:next w:val="1"/>
    <w:semiHidden/>
    <w:qFormat/>
    <w:uiPriority w:val="99"/>
    <w:pPr>
      <w:ind w:left="210"/>
      <w:jc w:val="left"/>
    </w:pPr>
    <w:rPr>
      <w:smallCaps/>
      <w:sz w:val="20"/>
    </w:rPr>
  </w:style>
  <w:style w:type="paragraph" w:styleId="42">
    <w:name w:val="toc 9"/>
    <w:basedOn w:val="1"/>
    <w:next w:val="1"/>
    <w:semiHidden/>
    <w:qFormat/>
    <w:uiPriority w:val="99"/>
    <w:pPr>
      <w:ind w:left="1680"/>
      <w:jc w:val="left"/>
    </w:pPr>
    <w:rPr>
      <w:sz w:val="18"/>
    </w:rPr>
  </w:style>
  <w:style w:type="paragraph" w:styleId="43">
    <w:name w:val="Body Text 2"/>
    <w:basedOn w:val="1"/>
    <w:link w:val="83"/>
    <w:qFormat/>
    <w:uiPriority w:val="99"/>
    <w:rPr>
      <w:rFonts w:ascii="宋体" w:hAnsi="宋体"/>
      <w:sz w:val="24"/>
    </w:rPr>
  </w:style>
  <w:style w:type="paragraph" w:styleId="44">
    <w:name w:val="List 4"/>
    <w:basedOn w:val="1"/>
    <w:qFormat/>
    <w:uiPriority w:val="99"/>
    <w:pPr>
      <w:ind w:left="100" w:leftChars="600" w:hanging="200" w:hangingChars="200"/>
    </w:pPr>
  </w:style>
  <w:style w:type="paragraph" w:styleId="45">
    <w:name w:val="List Continue 2"/>
    <w:basedOn w:val="1"/>
    <w:qFormat/>
    <w:uiPriority w:val="99"/>
    <w:pPr>
      <w:spacing w:after="120"/>
      <w:ind w:left="840" w:leftChars="400"/>
    </w:pPr>
  </w:style>
  <w:style w:type="paragraph" w:styleId="46">
    <w:name w:val="HTML Preformatted"/>
    <w:basedOn w:val="1"/>
    <w:link w:val="84"/>
    <w:qFormat/>
    <w:uiPriority w:val="99"/>
    <w:rPr>
      <w:rFonts w:ascii="Courier New" w:hAnsi="Courier New"/>
      <w:sz w:val="20"/>
    </w:rPr>
  </w:style>
  <w:style w:type="paragraph" w:styleId="47">
    <w:name w:val="Normal (Web)"/>
    <w:basedOn w:val="1"/>
    <w:qFormat/>
    <w:uiPriority w:val="99"/>
    <w:pPr>
      <w:widowControl/>
      <w:spacing w:before="100" w:beforeAutospacing="1" w:after="100" w:afterAutospacing="1"/>
      <w:jc w:val="left"/>
    </w:pPr>
    <w:rPr>
      <w:rFonts w:ascii="宋体" w:hAnsi="宋体"/>
      <w:kern w:val="0"/>
      <w:sz w:val="24"/>
    </w:rPr>
  </w:style>
  <w:style w:type="paragraph" w:styleId="48">
    <w:name w:val="List Continue 3"/>
    <w:basedOn w:val="1"/>
    <w:qFormat/>
    <w:uiPriority w:val="99"/>
    <w:pPr>
      <w:spacing w:after="120"/>
      <w:ind w:left="1260" w:leftChars="600"/>
    </w:pPr>
  </w:style>
  <w:style w:type="paragraph" w:styleId="49">
    <w:name w:val="annotation subject"/>
    <w:basedOn w:val="18"/>
    <w:next w:val="18"/>
    <w:link w:val="85"/>
    <w:semiHidden/>
    <w:qFormat/>
    <w:uiPriority w:val="99"/>
    <w:rPr>
      <w:b/>
    </w:rPr>
  </w:style>
  <w:style w:type="paragraph" w:styleId="50">
    <w:name w:val="Body Text First Indent"/>
    <w:basedOn w:val="1"/>
    <w:link w:val="86"/>
    <w:qFormat/>
    <w:uiPriority w:val="99"/>
    <w:pPr>
      <w:spacing w:line="360" w:lineRule="auto"/>
      <w:ind w:firstLine="482"/>
    </w:pPr>
    <w:rPr>
      <w:b/>
      <w:sz w:val="24"/>
    </w:rPr>
  </w:style>
  <w:style w:type="table" w:styleId="52">
    <w:name w:val="Table Grid"/>
    <w:basedOn w:val="5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basedOn w:val="53"/>
    <w:qFormat/>
    <w:locked/>
    <w:uiPriority w:val="99"/>
    <w:rPr>
      <w:rFonts w:cs="Times New Roman"/>
      <w:b/>
    </w:rPr>
  </w:style>
  <w:style w:type="character" w:styleId="55">
    <w:name w:val="page number"/>
    <w:basedOn w:val="53"/>
    <w:qFormat/>
    <w:uiPriority w:val="99"/>
    <w:rPr>
      <w:rFonts w:cs="Times New Roman"/>
    </w:rPr>
  </w:style>
  <w:style w:type="character" w:styleId="56">
    <w:name w:val="FollowedHyperlink"/>
    <w:basedOn w:val="53"/>
    <w:qFormat/>
    <w:locked/>
    <w:uiPriority w:val="99"/>
    <w:rPr>
      <w:rFonts w:cs="Times New Roman"/>
      <w:color w:val="800080"/>
      <w:u w:val="single"/>
    </w:rPr>
  </w:style>
  <w:style w:type="character" w:styleId="57">
    <w:name w:val="Emphasis"/>
    <w:basedOn w:val="53"/>
    <w:qFormat/>
    <w:locked/>
    <w:uiPriority w:val="99"/>
    <w:rPr>
      <w:rFonts w:cs="Times New Roman"/>
      <w:color w:val="CC0000"/>
    </w:rPr>
  </w:style>
  <w:style w:type="character" w:styleId="58">
    <w:name w:val="Hyperlink"/>
    <w:basedOn w:val="53"/>
    <w:qFormat/>
    <w:uiPriority w:val="99"/>
    <w:rPr>
      <w:rFonts w:cs="Times New Roman"/>
      <w:color w:val="0000FF"/>
      <w:u w:val="single"/>
    </w:rPr>
  </w:style>
  <w:style w:type="character" w:styleId="59">
    <w:name w:val="annotation reference"/>
    <w:basedOn w:val="53"/>
    <w:semiHidden/>
    <w:qFormat/>
    <w:uiPriority w:val="99"/>
    <w:rPr>
      <w:rFonts w:cs="Times New Roman"/>
      <w:sz w:val="21"/>
    </w:rPr>
  </w:style>
  <w:style w:type="character" w:styleId="60">
    <w:name w:val="HTML Cite"/>
    <w:basedOn w:val="53"/>
    <w:qFormat/>
    <w:locked/>
    <w:uiPriority w:val="99"/>
    <w:rPr>
      <w:rFonts w:cs="Times New Roman"/>
      <w:color w:val="008000"/>
    </w:rPr>
  </w:style>
  <w:style w:type="character" w:styleId="61">
    <w:name w:val="footnote reference"/>
    <w:basedOn w:val="53"/>
    <w:semiHidden/>
    <w:qFormat/>
    <w:uiPriority w:val="99"/>
    <w:rPr>
      <w:rFonts w:cs="Times New Roman"/>
      <w:vertAlign w:val="superscript"/>
    </w:rPr>
  </w:style>
  <w:style w:type="character" w:customStyle="1" w:styleId="62">
    <w:name w:val="标题 1 Char"/>
    <w:basedOn w:val="53"/>
    <w:link w:val="5"/>
    <w:qFormat/>
    <w:locked/>
    <w:uiPriority w:val="99"/>
    <w:rPr>
      <w:b/>
      <w:kern w:val="44"/>
      <w:sz w:val="44"/>
    </w:rPr>
  </w:style>
  <w:style w:type="character" w:customStyle="1" w:styleId="63">
    <w:name w:val="标题 2 Char"/>
    <w:basedOn w:val="53"/>
    <w:link w:val="6"/>
    <w:qFormat/>
    <w:locked/>
    <w:uiPriority w:val="99"/>
    <w:rPr>
      <w:rFonts w:ascii="Arial" w:hAnsi="Arial" w:eastAsia="黑体"/>
      <w:b/>
      <w:sz w:val="32"/>
    </w:rPr>
  </w:style>
  <w:style w:type="character" w:customStyle="1" w:styleId="64">
    <w:name w:val="标题 3 Char"/>
    <w:basedOn w:val="53"/>
    <w:link w:val="7"/>
    <w:semiHidden/>
    <w:qFormat/>
    <w:uiPriority w:val="9"/>
    <w:rPr>
      <w:b/>
      <w:bCs/>
      <w:sz w:val="32"/>
      <w:szCs w:val="32"/>
    </w:rPr>
  </w:style>
  <w:style w:type="character" w:customStyle="1" w:styleId="65">
    <w:name w:val="标题 4 Char"/>
    <w:basedOn w:val="53"/>
    <w:link w:val="8"/>
    <w:qFormat/>
    <w:locked/>
    <w:uiPriority w:val="99"/>
    <w:rPr>
      <w:rFonts w:ascii="Arial" w:hAnsi="Arial" w:eastAsia="黑体"/>
      <w:b/>
      <w:kern w:val="2"/>
      <w:sz w:val="28"/>
      <w:lang w:val="en-US" w:eastAsia="zh-CN"/>
    </w:rPr>
  </w:style>
  <w:style w:type="character" w:customStyle="1" w:styleId="66">
    <w:name w:val="标题 5 Char"/>
    <w:basedOn w:val="53"/>
    <w:link w:val="9"/>
    <w:semiHidden/>
    <w:qFormat/>
    <w:uiPriority w:val="9"/>
    <w:rPr>
      <w:b/>
      <w:bCs/>
      <w:sz w:val="28"/>
      <w:szCs w:val="28"/>
    </w:rPr>
  </w:style>
  <w:style w:type="character" w:customStyle="1" w:styleId="67">
    <w:name w:val="标题 6 Char"/>
    <w:basedOn w:val="53"/>
    <w:link w:val="10"/>
    <w:semiHidden/>
    <w:qFormat/>
    <w:uiPriority w:val="9"/>
    <w:rPr>
      <w:rFonts w:ascii="Cambria" w:hAnsi="Cambria" w:eastAsia="宋体" w:cs="Times New Roman"/>
      <w:b/>
      <w:bCs/>
      <w:sz w:val="24"/>
      <w:szCs w:val="24"/>
    </w:rPr>
  </w:style>
  <w:style w:type="character" w:customStyle="1" w:styleId="68">
    <w:name w:val="标题 7 Char"/>
    <w:basedOn w:val="53"/>
    <w:link w:val="11"/>
    <w:semiHidden/>
    <w:qFormat/>
    <w:uiPriority w:val="9"/>
    <w:rPr>
      <w:b/>
      <w:bCs/>
      <w:sz w:val="24"/>
      <w:szCs w:val="24"/>
    </w:rPr>
  </w:style>
  <w:style w:type="character" w:customStyle="1" w:styleId="69">
    <w:name w:val="标题 8 Char"/>
    <w:basedOn w:val="53"/>
    <w:link w:val="12"/>
    <w:semiHidden/>
    <w:qFormat/>
    <w:uiPriority w:val="9"/>
    <w:rPr>
      <w:rFonts w:ascii="Cambria" w:hAnsi="Cambria" w:eastAsia="宋体" w:cs="Times New Roman"/>
      <w:sz w:val="24"/>
      <w:szCs w:val="24"/>
    </w:rPr>
  </w:style>
  <w:style w:type="character" w:customStyle="1" w:styleId="70">
    <w:name w:val="标题 9 Char"/>
    <w:basedOn w:val="53"/>
    <w:link w:val="13"/>
    <w:semiHidden/>
    <w:qFormat/>
    <w:uiPriority w:val="9"/>
    <w:rPr>
      <w:rFonts w:ascii="Cambria" w:hAnsi="Cambria" w:eastAsia="宋体" w:cs="Times New Roman"/>
      <w:szCs w:val="21"/>
    </w:rPr>
  </w:style>
  <w:style w:type="character" w:customStyle="1" w:styleId="71">
    <w:name w:val="正文文本 Char"/>
    <w:basedOn w:val="53"/>
    <w:link w:val="19"/>
    <w:semiHidden/>
    <w:qFormat/>
    <w:uiPriority w:val="99"/>
    <w:rPr>
      <w:szCs w:val="20"/>
    </w:rPr>
  </w:style>
  <w:style w:type="character" w:customStyle="1" w:styleId="72">
    <w:name w:val="文档结构图 Char"/>
    <w:basedOn w:val="53"/>
    <w:link w:val="17"/>
    <w:semiHidden/>
    <w:qFormat/>
    <w:uiPriority w:val="99"/>
    <w:rPr>
      <w:sz w:val="0"/>
      <w:szCs w:val="0"/>
    </w:rPr>
  </w:style>
  <w:style w:type="character" w:customStyle="1" w:styleId="73">
    <w:name w:val="批注文字 Char"/>
    <w:basedOn w:val="53"/>
    <w:link w:val="18"/>
    <w:qFormat/>
    <w:locked/>
    <w:uiPriority w:val="99"/>
    <w:rPr>
      <w:kern w:val="2"/>
      <w:sz w:val="21"/>
    </w:rPr>
  </w:style>
  <w:style w:type="character" w:customStyle="1" w:styleId="74">
    <w:name w:val="正文文本缩进 Char"/>
    <w:basedOn w:val="53"/>
    <w:link w:val="3"/>
    <w:qFormat/>
    <w:locked/>
    <w:uiPriority w:val="99"/>
    <w:rPr>
      <w:kern w:val="2"/>
      <w:sz w:val="24"/>
    </w:rPr>
  </w:style>
  <w:style w:type="character" w:customStyle="1" w:styleId="75">
    <w:name w:val="纯文本 Char"/>
    <w:basedOn w:val="53"/>
    <w:link w:val="25"/>
    <w:semiHidden/>
    <w:qFormat/>
    <w:uiPriority w:val="99"/>
    <w:rPr>
      <w:rFonts w:ascii="宋体" w:hAnsi="Courier New" w:cs="Courier New"/>
      <w:szCs w:val="21"/>
    </w:rPr>
  </w:style>
  <w:style w:type="character" w:customStyle="1" w:styleId="76">
    <w:name w:val="日期 Char"/>
    <w:basedOn w:val="53"/>
    <w:link w:val="27"/>
    <w:semiHidden/>
    <w:qFormat/>
    <w:uiPriority w:val="99"/>
    <w:rPr>
      <w:szCs w:val="20"/>
    </w:rPr>
  </w:style>
  <w:style w:type="character" w:customStyle="1" w:styleId="77">
    <w:name w:val="正文文本缩进 2 Char"/>
    <w:basedOn w:val="53"/>
    <w:link w:val="28"/>
    <w:semiHidden/>
    <w:qFormat/>
    <w:uiPriority w:val="99"/>
    <w:rPr>
      <w:szCs w:val="20"/>
    </w:rPr>
  </w:style>
  <w:style w:type="character" w:customStyle="1" w:styleId="78">
    <w:name w:val="批注框文本 Char"/>
    <w:basedOn w:val="53"/>
    <w:link w:val="30"/>
    <w:qFormat/>
    <w:locked/>
    <w:uiPriority w:val="99"/>
    <w:rPr>
      <w:rFonts w:eastAsia="宋体"/>
      <w:kern w:val="2"/>
      <w:sz w:val="18"/>
      <w:lang w:val="en-US" w:eastAsia="zh-CN"/>
    </w:rPr>
  </w:style>
  <w:style w:type="character" w:customStyle="1" w:styleId="79">
    <w:name w:val="页脚 Char"/>
    <w:basedOn w:val="53"/>
    <w:link w:val="31"/>
    <w:qFormat/>
    <w:locked/>
    <w:uiPriority w:val="99"/>
    <w:rPr>
      <w:kern w:val="2"/>
      <w:sz w:val="18"/>
    </w:rPr>
  </w:style>
  <w:style w:type="character" w:customStyle="1" w:styleId="80">
    <w:name w:val="页眉 Char"/>
    <w:basedOn w:val="53"/>
    <w:link w:val="32"/>
    <w:semiHidden/>
    <w:qFormat/>
    <w:uiPriority w:val="99"/>
    <w:rPr>
      <w:sz w:val="18"/>
      <w:szCs w:val="18"/>
    </w:rPr>
  </w:style>
  <w:style w:type="character" w:customStyle="1" w:styleId="81">
    <w:name w:val="脚注文本 Char"/>
    <w:basedOn w:val="53"/>
    <w:link w:val="37"/>
    <w:semiHidden/>
    <w:qFormat/>
    <w:uiPriority w:val="99"/>
    <w:rPr>
      <w:sz w:val="18"/>
      <w:szCs w:val="18"/>
    </w:rPr>
  </w:style>
  <w:style w:type="character" w:customStyle="1" w:styleId="82">
    <w:name w:val="正文文本缩进 3 Char"/>
    <w:basedOn w:val="53"/>
    <w:link w:val="40"/>
    <w:semiHidden/>
    <w:qFormat/>
    <w:uiPriority w:val="99"/>
    <w:rPr>
      <w:sz w:val="16"/>
      <w:szCs w:val="16"/>
    </w:rPr>
  </w:style>
  <w:style w:type="character" w:customStyle="1" w:styleId="83">
    <w:name w:val="正文文本 2 Char"/>
    <w:basedOn w:val="53"/>
    <w:link w:val="43"/>
    <w:semiHidden/>
    <w:qFormat/>
    <w:uiPriority w:val="99"/>
    <w:rPr>
      <w:szCs w:val="20"/>
    </w:rPr>
  </w:style>
  <w:style w:type="character" w:customStyle="1" w:styleId="84">
    <w:name w:val="HTML 预设格式 Char"/>
    <w:basedOn w:val="53"/>
    <w:link w:val="46"/>
    <w:qFormat/>
    <w:locked/>
    <w:uiPriority w:val="99"/>
    <w:rPr>
      <w:rFonts w:ascii="Courier New" w:hAnsi="Courier New"/>
      <w:kern w:val="2"/>
    </w:rPr>
  </w:style>
  <w:style w:type="character" w:customStyle="1" w:styleId="85">
    <w:name w:val="批注主题 Char"/>
    <w:basedOn w:val="73"/>
    <w:link w:val="49"/>
    <w:semiHidden/>
    <w:qFormat/>
    <w:uiPriority w:val="99"/>
    <w:rPr>
      <w:b/>
      <w:bCs/>
      <w:szCs w:val="20"/>
    </w:rPr>
  </w:style>
  <w:style w:type="character" w:customStyle="1" w:styleId="86">
    <w:name w:val="正文首行缩进 Char"/>
    <w:basedOn w:val="71"/>
    <w:link w:val="50"/>
    <w:semiHidden/>
    <w:qFormat/>
    <w:uiPriority w:val="99"/>
  </w:style>
  <w:style w:type="character" w:customStyle="1" w:styleId="87">
    <w:name w:val="正文首行缩进 2 Char"/>
    <w:basedOn w:val="74"/>
    <w:link w:val="2"/>
    <w:semiHidden/>
    <w:qFormat/>
    <w:uiPriority w:val="99"/>
    <w:rPr>
      <w:szCs w:val="20"/>
    </w:rPr>
  </w:style>
  <w:style w:type="character" w:customStyle="1" w:styleId="88">
    <w:name w:val="Style Heading 3 + Char"/>
    <w:link w:val="89"/>
    <w:qFormat/>
    <w:locked/>
    <w:uiPriority w:val="99"/>
    <w:rPr>
      <w:rFonts w:eastAsia="宋体"/>
      <w:b/>
      <w:kern w:val="2"/>
      <w:sz w:val="28"/>
      <w:lang w:val="en-US" w:eastAsia="zh-CN"/>
    </w:rPr>
  </w:style>
  <w:style w:type="paragraph" w:customStyle="1" w:styleId="89">
    <w:name w:val="Style Heading 3 +"/>
    <w:basedOn w:val="7"/>
    <w:link w:val="88"/>
    <w:qFormat/>
    <w:uiPriority w:val="99"/>
    <w:pPr>
      <w:adjustRightInd/>
      <w:spacing w:before="120" w:after="120" w:line="120" w:lineRule="atLeast"/>
      <w:textAlignment w:val="auto"/>
    </w:pPr>
    <w:rPr>
      <w:kern w:val="2"/>
      <w:sz w:val="28"/>
    </w:rPr>
  </w:style>
  <w:style w:type="character" w:customStyle="1" w:styleId="90">
    <w:name w:val="font01"/>
    <w:qFormat/>
    <w:uiPriority w:val="99"/>
    <w:rPr>
      <w:rFonts w:ascii="宋体" w:hAnsi="宋体" w:eastAsia="宋体"/>
      <w:color w:val="000000"/>
      <w:sz w:val="20"/>
      <w:u w:val="none"/>
    </w:rPr>
  </w:style>
  <w:style w:type="character" w:customStyle="1" w:styleId="91">
    <w:name w:val="hover23"/>
    <w:qFormat/>
    <w:uiPriority w:val="99"/>
    <w:rPr>
      <w:color w:val="315EFB"/>
    </w:rPr>
  </w:style>
  <w:style w:type="character" w:customStyle="1" w:styleId="92">
    <w:name w:val="style1"/>
    <w:qFormat/>
    <w:uiPriority w:val="99"/>
  </w:style>
  <w:style w:type="character" w:customStyle="1" w:styleId="93">
    <w:name w:val="正文缩进2格 Char Char"/>
    <w:link w:val="94"/>
    <w:qFormat/>
    <w:locked/>
    <w:uiPriority w:val="99"/>
    <w:rPr>
      <w:rFonts w:ascii="仿宋_GB2312" w:hAnsi="宋体" w:eastAsia="仿宋_GB2312"/>
      <w:kern w:val="2"/>
      <w:sz w:val="28"/>
    </w:rPr>
  </w:style>
  <w:style w:type="paragraph" w:customStyle="1" w:styleId="94">
    <w:name w:val="正文缩进2格"/>
    <w:basedOn w:val="1"/>
    <w:link w:val="93"/>
    <w:qFormat/>
    <w:uiPriority w:val="99"/>
    <w:pPr>
      <w:spacing w:line="600" w:lineRule="exact"/>
      <w:ind w:firstLine="639" w:firstLineChars="206"/>
    </w:pPr>
    <w:rPr>
      <w:rFonts w:ascii="仿宋_GB2312" w:hAnsi="宋体" w:eastAsia="仿宋_GB2312"/>
      <w:sz w:val="28"/>
    </w:rPr>
  </w:style>
  <w:style w:type="character" w:customStyle="1" w:styleId="95">
    <w:name w:val="hover22"/>
    <w:basedOn w:val="53"/>
    <w:qFormat/>
    <w:uiPriority w:val="99"/>
    <w:rPr>
      <w:rFonts w:cs="Times New Roman"/>
    </w:rPr>
  </w:style>
  <w:style w:type="character" w:customStyle="1" w:styleId="96">
    <w:name w:val="c-icon27"/>
    <w:basedOn w:val="53"/>
    <w:qFormat/>
    <w:uiPriority w:val="99"/>
    <w:rPr>
      <w:rFonts w:cs="Times New Roman"/>
    </w:rPr>
  </w:style>
  <w:style w:type="character" w:customStyle="1" w:styleId="97">
    <w:name w:val="c-icon28"/>
    <w:basedOn w:val="53"/>
    <w:qFormat/>
    <w:uiPriority w:val="99"/>
    <w:rPr>
      <w:rFonts w:cs="Times New Roman"/>
    </w:rPr>
  </w:style>
  <w:style w:type="character" w:customStyle="1" w:styleId="98">
    <w:name w:val="正文缩进 Char"/>
    <w:link w:val="16"/>
    <w:qFormat/>
    <w:locked/>
    <w:uiPriority w:val="99"/>
    <w:rPr>
      <w:kern w:val="2"/>
      <w:sz w:val="21"/>
    </w:rPr>
  </w:style>
  <w:style w:type="character" w:customStyle="1" w:styleId="99">
    <w:name w:val="标题 1 Char Char"/>
    <w:qFormat/>
    <w:uiPriority w:val="99"/>
    <w:rPr>
      <w:rFonts w:ascii="宋体" w:hAnsi="宋体" w:eastAsia="宋体"/>
      <w:b/>
      <w:spacing w:val="-2"/>
      <w:sz w:val="24"/>
      <w:lang w:val="en-US" w:eastAsia="zh-CN"/>
    </w:rPr>
  </w:style>
  <w:style w:type="paragraph" w:customStyle="1" w:styleId="100">
    <w:name w:val="文档正文"/>
    <w:basedOn w:val="1"/>
    <w:qFormat/>
    <w:uiPriority w:val="99"/>
    <w:pPr>
      <w:adjustRightInd w:val="0"/>
      <w:spacing w:line="480" w:lineRule="atLeast"/>
      <w:ind w:firstLine="567"/>
      <w:textAlignment w:val="baseline"/>
    </w:pPr>
    <w:rPr>
      <w:rFonts w:ascii="仿宋_GB2312" w:eastAsia="仿宋_GB2312"/>
      <w:kern w:val="0"/>
      <w:sz w:val="28"/>
    </w:rPr>
  </w:style>
  <w:style w:type="paragraph" w:customStyle="1" w:styleId="101">
    <w:name w:val="Plain Text1"/>
    <w:basedOn w:val="1"/>
    <w:qFormat/>
    <w:uiPriority w:val="99"/>
    <w:pPr>
      <w:widowControl/>
      <w:adjustRightInd w:val="0"/>
      <w:jc w:val="left"/>
      <w:textAlignment w:val="baseline"/>
    </w:pPr>
    <w:rPr>
      <w:rFonts w:ascii="宋体" w:hAnsi="Courier New" w:eastAsia="楷体_GB2312"/>
      <w:kern w:val="0"/>
      <w:sz w:val="26"/>
    </w:rPr>
  </w:style>
  <w:style w:type="paragraph" w:customStyle="1" w:styleId="102">
    <w:name w:val="样式 标题 2 + 黑色 行距: 1.5 倍行距"/>
    <w:basedOn w:val="6"/>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customStyle="1" w:styleId="10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4">
    <w:name w:val="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05">
    <w:name w:val="图文"/>
    <w:basedOn w:val="1"/>
    <w:qFormat/>
    <w:uiPriority w:val="99"/>
    <w:pPr>
      <w:adjustRightInd w:val="0"/>
      <w:snapToGrid w:val="0"/>
      <w:spacing w:after="50" w:line="360" w:lineRule="auto"/>
    </w:pPr>
    <w:rPr>
      <w:sz w:val="24"/>
    </w:rPr>
  </w:style>
  <w:style w:type="paragraph" w:customStyle="1" w:styleId="106">
    <w:name w:val="Char Char Char1 Char"/>
    <w:basedOn w:val="1"/>
    <w:qFormat/>
    <w:uiPriority w:val="99"/>
  </w:style>
  <w:style w:type="paragraph" w:customStyle="1" w:styleId="107">
    <w:name w:val="p0"/>
    <w:basedOn w:val="1"/>
    <w:qFormat/>
    <w:uiPriority w:val="99"/>
    <w:pPr>
      <w:widowControl/>
    </w:pPr>
    <w:rPr>
      <w:kern w:val="0"/>
      <w:szCs w:val="21"/>
    </w:rPr>
  </w:style>
  <w:style w:type="paragraph" w:customStyle="1" w:styleId="108">
    <w:name w:val="_Style 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6"/>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10">
    <w:name w:val="列出段落1"/>
    <w:basedOn w:val="1"/>
    <w:qFormat/>
    <w:uiPriority w:val="99"/>
    <w:pPr>
      <w:ind w:firstLine="420" w:firstLineChars="200"/>
    </w:pPr>
  </w:style>
  <w:style w:type="paragraph" w:customStyle="1" w:styleId="111">
    <w:name w:val="简单回函地址"/>
    <w:basedOn w:val="1"/>
    <w:qFormat/>
    <w:uiPriority w:val="99"/>
  </w:style>
  <w:style w:type="paragraph" w:customStyle="1" w:styleId="112">
    <w:name w:val="纯文本2"/>
    <w:basedOn w:val="1"/>
    <w:qFormat/>
    <w:uiPriority w:val="99"/>
    <w:rPr>
      <w:rFonts w:ascii="宋体" w:hAnsi="Courier New"/>
      <w:sz w:val="28"/>
      <w:szCs w:val="24"/>
    </w:rPr>
  </w:style>
  <w:style w:type="paragraph" w:customStyle="1" w:styleId="113">
    <w:name w:val="1"/>
    <w:basedOn w:val="1"/>
    <w:next w:val="25"/>
    <w:qFormat/>
    <w:uiPriority w:val="99"/>
    <w:rPr>
      <w:rFonts w:ascii="宋体" w:hAnsi="Courier New"/>
    </w:rPr>
  </w:style>
  <w:style w:type="paragraph" w:customStyle="1" w:styleId="114">
    <w:name w:val="Char2"/>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15">
    <w:name w:val="默认段落字体 Para Char Char Char Char"/>
    <w:basedOn w:val="1"/>
    <w:qFormat/>
    <w:uiPriority w:val="99"/>
  </w:style>
  <w:style w:type="paragraph" w:styleId="116">
    <w:name w:val="No Spacing"/>
    <w:basedOn w:val="1"/>
    <w:qFormat/>
    <w:uiPriority w:val="1"/>
    <w:rPr>
      <w:rFonts w:ascii="Calibri" w:hAnsi="Calibri"/>
      <w:kern w:val="0"/>
      <w:sz w:val="20"/>
    </w:rPr>
  </w:style>
  <w:style w:type="paragraph" w:customStyle="1" w:styleId="117">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yr</Company>
  <Pages>38</Pages>
  <Words>3347</Words>
  <Characters>19082</Characters>
  <Lines>159</Lines>
  <Paragraphs>44</Paragraphs>
  <TotalTime>11</TotalTime>
  <ScaleCrop>false</ScaleCrop>
  <LinksUpToDate>false</LinksUpToDate>
  <CharactersWithSpaces>22385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2021-01-07T07:39:00Z</dcterms:created>
  <dc:creator>dreamsummit</dc:creator>
  <cp:lastModifiedBy>Administrator</cp:lastModifiedBy>
  <cp:lastPrinted>2021-03-31T01:29:00Z</cp:lastPrinted>
  <dcterms:modified xsi:type="dcterms:W3CDTF">2021-03-31T02:04:27Z</dcterms:modified>
  <dc:title>南京国衡南通分公司 代理 招标及竞谈 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F092967C44B94C8BB0A7323C54562A30</vt:lpwstr>
  </property>
</Properties>
</file>