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ind w:right="-520" w:rightChars="-200"/>
        <w:jc w:val="both"/>
        <w:textAlignment w:val="auto"/>
        <w:rPr>
          <w:rFonts w:hint="eastAsia" w:ascii="宋体" w:hAnsi="宋体" w:eastAsia="宋体"/>
          <w:b/>
          <w:w w:val="80"/>
          <w:sz w:val="44"/>
          <w:szCs w:val="44"/>
        </w:rPr>
      </w:pPr>
    </w:p>
    <w:p>
      <w:pPr>
        <w:keepNext w:val="0"/>
        <w:keepLines w:val="0"/>
        <w:pageBreakBefore w:val="0"/>
        <w:widowControl/>
        <w:kinsoku/>
        <w:wordWrap/>
        <w:overflowPunct/>
        <w:topLinePunct w:val="0"/>
        <w:autoSpaceDE/>
        <w:autoSpaceDN/>
        <w:bidi w:val="0"/>
        <w:adjustRightInd/>
        <w:snapToGrid/>
        <w:ind w:left="-520" w:leftChars="-200" w:right="-520" w:rightChars="-200"/>
        <w:jc w:val="center"/>
        <w:textAlignment w:val="auto"/>
        <w:rPr>
          <w:rFonts w:hint="eastAsia" w:ascii="宋体" w:hAnsi="宋体" w:eastAsia="宋体"/>
          <w:b/>
          <w:w w:val="80"/>
          <w:sz w:val="44"/>
          <w:szCs w:val="44"/>
        </w:rPr>
      </w:pPr>
    </w:p>
    <w:p>
      <w:pPr>
        <w:keepNext w:val="0"/>
        <w:keepLines w:val="0"/>
        <w:pageBreakBefore w:val="0"/>
        <w:widowControl/>
        <w:kinsoku/>
        <w:wordWrap/>
        <w:overflowPunct/>
        <w:topLinePunct w:val="0"/>
        <w:autoSpaceDE/>
        <w:autoSpaceDN/>
        <w:bidi w:val="0"/>
        <w:adjustRightInd/>
        <w:snapToGrid/>
        <w:ind w:left="-520" w:leftChars="-200" w:right="-520" w:rightChars="-200"/>
        <w:jc w:val="center"/>
        <w:textAlignment w:val="auto"/>
        <w:rPr>
          <w:rFonts w:hint="eastAsia" w:ascii="宋体" w:hAnsi="宋体" w:eastAsia="宋体"/>
          <w:b/>
          <w:w w:val="80"/>
          <w:sz w:val="52"/>
          <w:szCs w:val="52"/>
        </w:rPr>
      </w:pPr>
      <w:r>
        <w:rPr>
          <w:rFonts w:hint="eastAsia" w:ascii="宋体" w:hAnsi="宋体" w:eastAsia="宋体"/>
          <w:b/>
          <w:w w:val="80"/>
          <w:sz w:val="52"/>
          <w:szCs w:val="52"/>
        </w:rPr>
        <w:t>南通市</w:t>
      </w:r>
      <w:r>
        <w:rPr>
          <w:rFonts w:hint="eastAsia" w:ascii="宋体" w:hAnsi="宋体" w:eastAsia="宋体"/>
          <w:b/>
          <w:w w:val="80"/>
          <w:sz w:val="52"/>
          <w:szCs w:val="52"/>
          <w:lang w:val="en-US" w:eastAsia="zh-CN"/>
        </w:rPr>
        <w:t>紫琅第一</w:t>
      </w:r>
      <w:r>
        <w:rPr>
          <w:rFonts w:hint="eastAsia" w:ascii="宋体" w:hAnsi="宋体" w:eastAsia="宋体"/>
          <w:b/>
          <w:w w:val="80"/>
          <w:sz w:val="52"/>
          <w:szCs w:val="52"/>
        </w:rPr>
        <w:t>小学</w:t>
      </w:r>
      <w:r>
        <w:rPr>
          <w:rFonts w:hint="eastAsia" w:ascii="宋体" w:hAnsi="宋体" w:eastAsia="宋体"/>
          <w:b/>
          <w:w w:val="80"/>
          <w:sz w:val="52"/>
          <w:szCs w:val="52"/>
          <w:lang w:val="en-US" w:eastAsia="zh-CN"/>
        </w:rPr>
        <w:t>校园LOGO设计和</w:t>
      </w:r>
      <w:r>
        <w:rPr>
          <w:rFonts w:hint="eastAsia" w:ascii="宋体" w:hAnsi="宋体" w:eastAsia="宋体"/>
          <w:b/>
          <w:w w:val="80"/>
          <w:sz w:val="52"/>
          <w:szCs w:val="52"/>
        </w:rPr>
        <w:t>VI视觉</w:t>
      </w:r>
      <w:r>
        <w:rPr>
          <w:rFonts w:hint="eastAsia" w:ascii="宋体" w:hAnsi="宋体" w:eastAsia="宋体"/>
          <w:b/>
          <w:w w:val="80"/>
          <w:sz w:val="52"/>
          <w:szCs w:val="52"/>
          <w:lang w:val="en-US" w:eastAsia="zh-CN"/>
        </w:rPr>
        <w:t>识别系统设计</w:t>
      </w:r>
      <w:r>
        <w:rPr>
          <w:rFonts w:hint="eastAsia" w:ascii="宋体" w:hAnsi="宋体" w:eastAsia="宋体"/>
          <w:b/>
          <w:w w:val="80"/>
          <w:sz w:val="52"/>
          <w:szCs w:val="52"/>
        </w:rPr>
        <w:t>项目</w:t>
      </w:r>
    </w:p>
    <w:p>
      <w:pPr>
        <w:jc w:val="center"/>
        <w:rPr>
          <w:rFonts w:hint="eastAsia" w:ascii="宋体" w:hAnsi="宋体" w:eastAsia="宋体"/>
          <w:b/>
          <w:w w:val="80"/>
          <w:sz w:val="72"/>
          <w:szCs w:val="72"/>
          <w:lang w:eastAsia="zh-CN"/>
        </w:rPr>
      </w:pPr>
      <w:r>
        <w:rPr>
          <w:rFonts w:hint="eastAsia" w:ascii="宋体" w:hAnsi="宋体" w:eastAsia="宋体"/>
          <w:b/>
          <w:w w:val="80"/>
          <w:sz w:val="52"/>
          <w:szCs w:val="52"/>
          <w:lang w:val="en-US" w:eastAsia="zh-CN"/>
        </w:rPr>
        <w:t>（二次）</w:t>
      </w:r>
    </w:p>
    <w:p>
      <w:pPr>
        <w:jc w:val="center"/>
        <w:rPr>
          <w:rFonts w:hint="eastAsia" w:ascii="宋体" w:hAnsi="宋体" w:eastAsia="宋体"/>
          <w:b/>
          <w:w w:val="80"/>
          <w:sz w:val="72"/>
          <w:szCs w:val="72"/>
        </w:rPr>
      </w:pPr>
    </w:p>
    <w:p>
      <w:pPr>
        <w:jc w:val="center"/>
        <w:rPr>
          <w:rFonts w:hint="eastAsia" w:ascii="宋体" w:hAnsi="宋体" w:eastAsia="宋体"/>
          <w:b/>
          <w:w w:val="80"/>
          <w:sz w:val="72"/>
          <w:szCs w:val="72"/>
        </w:rPr>
      </w:pPr>
    </w:p>
    <w:p>
      <w:pPr>
        <w:jc w:val="center"/>
        <w:rPr>
          <w:rFonts w:hint="eastAsia" w:ascii="宋体" w:hAnsi="宋体" w:eastAsia="宋体"/>
          <w:b/>
          <w:w w:val="80"/>
          <w:sz w:val="72"/>
          <w:szCs w:val="72"/>
        </w:rPr>
      </w:pPr>
      <w:r>
        <w:rPr>
          <w:rFonts w:hint="eastAsia" w:ascii="宋体" w:hAnsi="宋体" w:eastAsia="宋体"/>
          <w:b/>
          <w:w w:val="80"/>
          <w:sz w:val="72"/>
          <w:szCs w:val="72"/>
        </w:rPr>
        <w:t>竞争性磋商采购文件</w:t>
      </w:r>
    </w:p>
    <w:p>
      <w:pPr>
        <w:tabs>
          <w:tab w:val="left" w:pos="1050"/>
          <w:tab w:val="right" w:leader="dot" w:pos="9402"/>
        </w:tabs>
        <w:spacing w:line="520" w:lineRule="exact"/>
        <w:jc w:val="center"/>
        <w:rPr>
          <w:rFonts w:hint="eastAsia" w:ascii="宋体" w:hAnsi="宋体" w:eastAsia="宋体"/>
          <w:b/>
          <w:w w:val="80"/>
          <w:sz w:val="32"/>
          <w:szCs w:val="32"/>
        </w:rPr>
      </w:pPr>
    </w:p>
    <w:p>
      <w:pPr>
        <w:tabs>
          <w:tab w:val="left" w:pos="1050"/>
          <w:tab w:val="right" w:leader="dot" w:pos="9402"/>
        </w:tabs>
        <w:spacing w:line="520" w:lineRule="exact"/>
        <w:jc w:val="center"/>
        <w:rPr>
          <w:rFonts w:hint="eastAsia" w:ascii="宋体" w:hAnsi="宋体" w:eastAsia="宋体"/>
          <w:b/>
          <w:w w:val="80"/>
          <w:sz w:val="32"/>
          <w:szCs w:val="32"/>
        </w:rPr>
      </w:pPr>
    </w:p>
    <w:p>
      <w:pPr>
        <w:tabs>
          <w:tab w:val="left" w:pos="1050"/>
          <w:tab w:val="right" w:leader="dot" w:pos="9402"/>
        </w:tabs>
        <w:spacing w:line="520" w:lineRule="exact"/>
        <w:jc w:val="center"/>
        <w:rPr>
          <w:rFonts w:hint="eastAsia" w:ascii="宋体" w:hAnsi="宋体" w:eastAsia="宋体"/>
          <w:b/>
          <w:w w:val="80"/>
          <w:sz w:val="32"/>
          <w:szCs w:val="32"/>
        </w:rPr>
      </w:pPr>
      <w:r>
        <w:rPr>
          <w:rFonts w:hint="eastAsia" w:ascii="宋体" w:hAnsi="宋体" w:eastAsia="宋体"/>
          <w:b/>
          <w:w w:val="80"/>
          <w:sz w:val="32"/>
          <w:szCs w:val="32"/>
        </w:rPr>
        <w:t>（资格后审）</w:t>
      </w:r>
    </w:p>
    <w:p>
      <w:pPr>
        <w:snapToGrid w:val="0"/>
        <w:spacing w:line="360" w:lineRule="auto"/>
        <w:jc w:val="center"/>
        <w:rPr>
          <w:rFonts w:hint="eastAsia" w:ascii="Arial" w:hAnsi="Arial" w:eastAsia="黑体"/>
          <w:sz w:val="32"/>
          <w:szCs w:val="32"/>
          <w:lang w:eastAsia="zh-CN"/>
        </w:rPr>
      </w:pPr>
    </w:p>
    <w:p/>
    <w:p>
      <w:pPr>
        <w:bidi w:val="0"/>
        <w:rPr>
          <w:rFonts w:ascii="Times New Roman" w:hAnsi="Times New Roman" w:eastAsia="楷体_GB2312" w:cs="Times New Roman"/>
          <w:kern w:val="2"/>
          <w:sz w:val="26"/>
          <w:lang w:val="en-US" w:eastAsia="zh-CN" w:bidi="ar-SA"/>
        </w:rPr>
      </w:pPr>
    </w:p>
    <w:p>
      <w:pPr>
        <w:pStyle w:val="13"/>
        <w:rPr>
          <w:rFonts w:ascii="Times New Roman" w:hAnsi="Times New Roman" w:eastAsia="楷体_GB2312" w:cs="Times New Roman"/>
          <w:kern w:val="2"/>
          <w:sz w:val="26"/>
          <w:lang w:val="en-US" w:eastAsia="zh-CN" w:bidi="ar-SA"/>
        </w:rPr>
      </w:pPr>
    </w:p>
    <w:p>
      <w:pPr>
        <w:pStyle w:val="13"/>
        <w:rPr>
          <w:rFonts w:ascii="Times New Roman" w:hAnsi="Times New Roman" w:eastAsia="楷体_GB2312" w:cs="Times New Roman"/>
          <w:kern w:val="2"/>
          <w:sz w:val="26"/>
          <w:lang w:val="en-US" w:eastAsia="zh-CN" w:bidi="ar-SA"/>
        </w:rPr>
      </w:pPr>
    </w:p>
    <w:p>
      <w:pPr>
        <w:pStyle w:val="13"/>
        <w:rPr>
          <w:rFonts w:ascii="Times New Roman" w:hAnsi="Times New Roman" w:eastAsia="楷体_GB2312" w:cs="Times New Roman"/>
          <w:kern w:val="2"/>
          <w:sz w:val="26"/>
          <w:lang w:val="en-US" w:eastAsia="zh-CN" w:bidi="ar-SA"/>
        </w:rPr>
      </w:pPr>
    </w:p>
    <w:p>
      <w:pPr>
        <w:tabs>
          <w:tab w:val="left" w:pos="1050"/>
          <w:tab w:val="right" w:leader="dot" w:pos="9402"/>
        </w:tabs>
        <w:spacing w:line="520" w:lineRule="exact"/>
        <w:jc w:val="center"/>
        <w:rPr>
          <w:rFonts w:hint="eastAsia" w:ascii="宋体" w:hAnsi="宋体" w:eastAsia="宋体"/>
          <w:w w:val="80"/>
          <w:sz w:val="28"/>
          <w:szCs w:val="28"/>
        </w:rPr>
      </w:pPr>
      <w:r>
        <w:rPr>
          <w:rFonts w:hint="eastAsia" w:ascii="宋体" w:hAnsi="宋体" w:eastAsia="宋体"/>
          <w:w w:val="80"/>
          <w:sz w:val="28"/>
          <w:szCs w:val="28"/>
        </w:rPr>
        <w:t>招标代理机构：</w:t>
      </w:r>
      <w:r>
        <w:rPr>
          <w:rFonts w:hint="eastAsia" w:ascii="宋体" w:hAnsi="宋体" w:eastAsia="宋体"/>
          <w:w w:val="80"/>
          <w:sz w:val="28"/>
          <w:szCs w:val="28"/>
          <w:lang w:val="en-US" w:eastAsia="zh-CN"/>
        </w:rPr>
        <w:t>江苏大成工程咨询</w:t>
      </w:r>
      <w:r>
        <w:rPr>
          <w:rFonts w:hint="eastAsia" w:ascii="宋体" w:hAnsi="宋体" w:eastAsia="宋体"/>
          <w:w w:val="80"/>
          <w:sz w:val="28"/>
          <w:szCs w:val="28"/>
        </w:rPr>
        <w:t>有限公司</w:t>
      </w:r>
    </w:p>
    <w:p>
      <w:pPr>
        <w:bidi w:val="0"/>
        <w:jc w:val="center"/>
        <w:rPr>
          <w:rFonts w:hint="eastAsia" w:ascii="宋体" w:hAnsi="宋体" w:eastAsia="宋体"/>
          <w:w w:val="80"/>
          <w:sz w:val="28"/>
          <w:szCs w:val="28"/>
          <w:lang w:val="en-US" w:eastAsia="zh-CN"/>
        </w:rPr>
      </w:pPr>
      <w:r>
        <w:rPr>
          <w:rFonts w:hint="eastAsia" w:ascii="宋体" w:hAnsi="宋体" w:eastAsia="宋体"/>
          <w:w w:val="80"/>
          <w:sz w:val="28"/>
          <w:szCs w:val="28"/>
        </w:rPr>
        <w:t>二○一九年</w:t>
      </w:r>
      <w:r>
        <w:rPr>
          <w:rFonts w:hint="eastAsia" w:ascii="宋体" w:hAnsi="宋体" w:eastAsia="宋体"/>
          <w:w w:val="80"/>
          <w:sz w:val="28"/>
          <w:szCs w:val="28"/>
          <w:lang w:val="en-US" w:eastAsia="zh-CN"/>
        </w:rPr>
        <w:t>八</w:t>
      </w:r>
      <w:r>
        <w:rPr>
          <w:rFonts w:hint="eastAsia" w:ascii="宋体" w:hAnsi="宋体" w:eastAsia="宋体"/>
          <w:w w:val="80"/>
          <w:sz w:val="28"/>
          <w:szCs w:val="28"/>
        </w:rPr>
        <w:t>月</w:t>
      </w:r>
      <w:r>
        <w:rPr>
          <w:rFonts w:hint="eastAsia" w:ascii="宋体" w:hAnsi="宋体" w:eastAsia="宋体"/>
          <w:w w:val="80"/>
          <w:sz w:val="28"/>
          <w:szCs w:val="28"/>
          <w:lang w:val="en-US" w:eastAsia="zh-CN"/>
        </w:rPr>
        <w:t>二十一日</w:t>
      </w:r>
    </w:p>
    <w:p>
      <w:pPr>
        <w:pStyle w:val="9"/>
        <w:rPr>
          <w:rFonts w:hint="default"/>
          <w:lang w:val="en-US" w:eastAsia="zh-CN"/>
        </w:rPr>
      </w:pPr>
    </w:p>
    <w:p>
      <w:pPr>
        <w:bidi w:val="0"/>
        <w:rPr>
          <w:lang w:val="en-US" w:eastAsia="zh-CN"/>
        </w:rPr>
      </w:pPr>
    </w:p>
    <w:p>
      <w:pPr>
        <w:bidi w:val="0"/>
        <w:rPr>
          <w:lang w:val="en-US" w:eastAsia="zh-CN"/>
        </w:rPr>
      </w:pPr>
    </w:p>
    <w:sdt>
      <w:sdtPr>
        <w:rPr>
          <w:rFonts w:ascii="宋体" w:hAnsi="宋体" w:eastAsia="宋体" w:cs="Times New Roman"/>
          <w:kern w:val="2"/>
          <w:sz w:val="21"/>
          <w:lang w:val="en-US" w:eastAsia="zh-CN" w:bidi="ar-SA"/>
        </w:rPr>
        <w:id w:val="147451009"/>
        <w15:color w:val="DBDBDB"/>
        <w:docPartObj>
          <w:docPartGallery w:val="Table of Contents"/>
          <w:docPartUnique/>
        </w:docPartObj>
      </w:sdtPr>
      <w:sdtEndPr>
        <w:rPr>
          <w:rFonts w:ascii="Times New Roman" w:hAnsi="Times New Roman"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0" w:name="_Toc15351_WPSOffice_Type1"/>
          <w:r>
            <w:rPr>
              <w:rFonts w:hint="eastAsia" w:asciiTheme="majorEastAsia" w:hAnsiTheme="majorEastAsia" w:eastAsiaTheme="majorEastAsia" w:cstheme="majorEastAsia"/>
              <w:b/>
              <w:w w:val="80"/>
              <w:sz w:val="36"/>
              <w:szCs w:val="36"/>
            </w:rPr>
            <w:t>目录</w:t>
          </w:r>
        </w:p>
        <w:p>
          <w:pPr>
            <w:pStyle w:val="17"/>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_Toc2987_WPSOffice_Level1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1009"/>
              <w:placeholder>
                <w:docPart w:val="{71757111-65b3-4482-9266-cf6990fdc098}"/>
              </w:placeholder>
              <w15:color w:val="509DF3"/>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第一章  竞争性磋商公告</w:t>
              </w:r>
            </w:sdtContent>
          </w:sdt>
          <w:r>
            <w:rPr>
              <w:rFonts w:hint="eastAsia" w:asciiTheme="minorEastAsia" w:hAnsiTheme="minorEastAsia" w:eastAsiaTheme="minorEastAsia" w:cstheme="minorEastAsia"/>
              <w:sz w:val="28"/>
              <w:szCs w:val="28"/>
            </w:rPr>
            <w:tab/>
          </w:r>
          <w:bookmarkStart w:id="1" w:name="_Toc2987_WPSOffice_Level1Page"/>
          <w:r>
            <w:rPr>
              <w:rFonts w:hint="eastAsia" w:asciiTheme="minorEastAsia" w:hAnsiTheme="minorEastAsia" w:eastAsiaTheme="minorEastAsia" w:cstheme="minorEastAsia"/>
              <w:sz w:val="28"/>
              <w:szCs w:val="28"/>
            </w:rPr>
            <w:t>4</w:t>
          </w:r>
          <w:bookmarkEnd w:id="1"/>
          <w:r>
            <w:rPr>
              <w:rFonts w:hint="eastAsia" w:asciiTheme="minorEastAsia" w:hAnsiTheme="minorEastAsia" w:eastAsiaTheme="minorEastAsia" w:cstheme="minorEastAsia"/>
              <w:sz w:val="28"/>
              <w:szCs w:val="28"/>
            </w:rPr>
            <w:fldChar w:fldCharType="end"/>
          </w:r>
        </w:p>
        <w:p>
          <w:pPr>
            <w:pStyle w:val="17"/>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_Toc15351_WPSOffice_Level1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1009"/>
              <w:placeholder>
                <w:docPart w:val="{bc51257f-2812-4608-859c-4792c5301c72}"/>
              </w:placeholder>
              <w15:color w:val="509DF3"/>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第二章  供应商须知</w:t>
              </w:r>
            </w:sdtContent>
          </w:sdt>
          <w:r>
            <w:rPr>
              <w:rFonts w:hint="eastAsia" w:asciiTheme="minorEastAsia" w:hAnsiTheme="minorEastAsia" w:eastAsiaTheme="minorEastAsia" w:cstheme="minorEastAsia"/>
              <w:sz w:val="28"/>
              <w:szCs w:val="28"/>
            </w:rPr>
            <w:tab/>
          </w:r>
          <w:bookmarkStart w:id="2" w:name="_Toc15351_WPSOffice_Level1Page"/>
          <w:r>
            <w:rPr>
              <w:rFonts w:hint="eastAsia" w:asciiTheme="minorEastAsia" w:hAnsiTheme="minorEastAsia" w:eastAsiaTheme="minorEastAsia" w:cstheme="minorEastAsia"/>
              <w:sz w:val="28"/>
              <w:szCs w:val="28"/>
            </w:rPr>
            <w:t>6</w:t>
          </w:r>
          <w:bookmarkEnd w:id="2"/>
          <w:r>
            <w:rPr>
              <w:rFonts w:hint="eastAsia" w:asciiTheme="minorEastAsia" w:hAnsiTheme="minorEastAsia" w:eastAsiaTheme="minorEastAsia" w:cstheme="minorEastAsia"/>
              <w:sz w:val="28"/>
              <w:szCs w:val="28"/>
            </w:rPr>
            <w:fldChar w:fldCharType="end"/>
          </w:r>
        </w:p>
        <w:p>
          <w:pPr>
            <w:pStyle w:val="17"/>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_Toc16911_WPSOffice_Level1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1009"/>
              <w:placeholder>
                <w:docPart w:val="{2914ad73-9674-4c83-9ba1-ac33ef13312e}"/>
              </w:placeholder>
              <w15:color w:val="509DF3"/>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第三章  项目需求</w:t>
              </w:r>
            </w:sdtContent>
          </w:sdt>
          <w:r>
            <w:rPr>
              <w:rFonts w:hint="eastAsia" w:asciiTheme="minorEastAsia" w:hAnsiTheme="minorEastAsia" w:eastAsiaTheme="minorEastAsia" w:cstheme="minorEastAsia"/>
              <w:sz w:val="28"/>
              <w:szCs w:val="28"/>
            </w:rPr>
            <w:tab/>
          </w:r>
          <w:bookmarkStart w:id="3" w:name="_Toc16911_WPSOffice_Level1Page"/>
          <w:r>
            <w:rPr>
              <w:rFonts w:hint="eastAsia" w:asciiTheme="minorEastAsia" w:hAnsiTheme="minorEastAsia" w:eastAsiaTheme="minorEastAsia" w:cstheme="minorEastAsia"/>
              <w:sz w:val="28"/>
              <w:szCs w:val="28"/>
            </w:rPr>
            <w:t>14</w:t>
          </w:r>
          <w:bookmarkEnd w:id="3"/>
          <w:r>
            <w:rPr>
              <w:rFonts w:hint="eastAsia" w:asciiTheme="minorEastAsia" w:hAnsiTheme="minorEastAsia" w:eastAsiaTheme="minorEastAsia" w:cstheme="minorEastAsia"/>
              <w:sz w:val="28"/>
              <w:szCs w:val="28"/>
            </w:rPr>
            <w:fldChar w:fldCharType="end"/>
          </w:r>
        </w:p>
        <w:p>
          <w:pPr>
            <w:pStyle w:val="17"/>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_Toc20081_WPSOffice_Level1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1009"/>
              <w:placeholder>
                <w:docPart w:val="{e3e6741f-405e-4795-8849-af6c9378002d}"/>
              </w:placeholder>
              <w15:color w:val="509DF3"/>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第四章  评审方法和程序</w:t>
              </w:r>
            </w:sdtContent>
          </w:sdt>
          <w:r>
            <w:rPr>
              <w:rFonts w:hint="eastAsia" w:asciiTheme="minorEastAsia" w:hAnsiTheme="minorEastAsia" w:eastAsiaTheme="minorEastAsia" w:cstheme="minorEastAsia"/>
              <w:sz w:val="28"/>
              <w:szCs w:val="28"/>
            </w:rPr>
            <w:tab/>
          </w:r>
          <w:bookmarkStart w:id="4" w:name="_Toc20081_WPSOffice_Level1Page"/>
          <w:r>
            <w:rPr>
              <w:rFonts w:hint="eastAsia" w:asciiTheme="minorEastAsia" w:hAnsiTheme="minorEastAsia" w:eastAsiaTheme="minorEastAsia" w:cstheme="minorEastAsia"/>
              <w:sz w:val="28"/>
              <w:szCs w:val="28"/>
            </w:rPr>
            <w:t>22</w:t>
          </w:r>
          <w:bookmarkEnd w:id="4"/>
          <w:r>
            <w:rPr>
              <w:rFonts w:hint="eastAsia" w:asciiTheme="minorEastAsia" w:hAnsiTheme="minorEastAsia" w:eastAsiaTheme="minorEastAsia" w:cstheme="minorEastAsia"/>
              <w:sz w:val="28"/>
              <w:szCs w:val="28"/>
            </w:rPr>
            <w:fldChar w:fldCharType="end"/>
          </w:r>
        </w:p>
        <w:p>
          <w:pPr>
            <w:pStyle w:val="17"/>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_Toc6594_WPSOffice_Level1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1009"/>
              <w:placeholder>
                <w:docPart w:val="{450944f5-c75d-457d-80bd-821339cc58cf}"/>
              </w:placeholder>
              <w15:color w:val="509DF3"/>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第五章  合同授予</w:t>
              </w:r>
            </w:sdtContent>
          </w:sdt>
          <w:r>
            <w:rPr>
              <w:rFonts w:hint="eastAsia" w:asciiTheme="minorEastAsia" w:hAnsiTheme="minorEastAsia" w:eastAsiaTheme="minorEastAsia" w:cstheme="minorEastAsia"/>
              <w:sz w:val="28"/>
              <w:szCs w:val="28"/>
            </w:rPr>
            <w:tab/>
          </w:r>
          <w:bookmarkStart w:id="5" w:name="_Toc6594_WPSOffice_Level1Page"/>
          <w:r>
            <w:rPr>
              <w:rFonts w:hint="eastAsia" w:asciiTheme="minorEastAsia" w:hAnsiTheme="minorEastAsia" w:eastAsiaTheme="minorEastAsia" w:cstheme="minorEastAsia"/>
              <w:sz w:val="28"/>
              <w:szCs w:val="28"/>
            </w:rPr>
            <w:t>28</w:t>
          </w:r>
          <w:bookmarkEnd w:id="5"/>
          <w:r>
            <w:rPr>
              <w:rFonts w:hint="eastAsia" w:asciiTheme="minorEastAsia" w:hAnsiTheme="minorEastAsia" w:eastAsiaTheme="minorEastAsia" w:cstheme="minorEastAsia"/>
              <w:sz w:val="28"/>
              <w:szCs w:val="28"/>
            </w:rPr>
            <w:fldChar w:fldCharType="end"/>
          </w:r>
        </w:p>
        <w:p>
          <w:pPr>
            <w:pStyle w:val="17"/>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_Toc16666_WPSOffice_Level1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1009"/>
              <w:placeholder>
                <w:docPart w:val="{d86be572-9ee9-4985-886d-3367e0cf284a}"/>
              </w:placeholder>
              <w15:color w:val="509DF3"/>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第六章  履约验收及付款</w:t>
              </w:r>
            </w:sdtContent>
          </w:sdt>
          <w:r>
            <w:rPr>
              <w:rFonts w:hint="eastAsia" w:asciiTheme="minorEastAsia" w:hAnsiTheme="minorEastAsia" w:eastAsiaTheme="minorEastAsia" w:cstheme="minorEastAsia"/>
              <w:sz w:val="28"/>
              <w:szCs w:val="28"/>
            </w:rPr>
            <w:tab/>
          </w:r>
          <w:bookmarkStart w:id="6" w:name="_Toc16666_WPSOffice_Level1Page"/>
          <w:r>
            <w:rPr>
              <w:rFonts w:hint="eastAsia" w:asciiTheme="minorEastAsia" w:hAnsiTheme="minorEastAsia" w:eastAsiaTheme="minorEastAsia" w:cstheme="minorEastAsia"/>
              <w:sz w:val="28"/>
              <w:szCs w:val="28"/>
            </w:rPr>
            <w:t>29</w:t>
          </w:r>
          <w:bookmarkEnd w:id="6"/>
          <w:r>
            <w:rPr>
              <w:rFonts w:hint="eastAsia" w:asciiTheme="minorEastAsia" w:hAnsiTheme="minorEastAsia" w:eastAsiaTheme="minorEastAsia" w:cstheme="minorEastAsia"/>
              <w:sz w:val="28"/>
              <w:szCs w:val="28"/>
            </w:rPr>
            <w:fldChar w:fldCharType="end"/>
          </w:r>
        </w:p>
        <w:p>
          <w:pPr>
            <w:pStyle w:val="17"/>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_Toc24351_WPSOffice_Level1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1009"/>
              <w:placeholder>
                <w:docPart w:val="{0f989780-05d5-4dd4-a856-c7358ceeb79f}"/>
              </w:placeholder>
              <w15:color w:val="509DF3"/>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第七章  质疑提出和处理</w:t>
              </w:r>
            </w:sdtContent>
          </w:sdt>
          <w:r>
            <w:rPr>
              <w:rFonts w:hint="eastAsia" w:asciiTheme="minorEastAsia" w:hAnsiTheme="minorEastAsia" w:eastAsiaTheme="minorEastAsia" w:cstheme="minorEastAsia"/>
              <w:sz w:val="28"/>
              <w:szCs w:val="28"/>
            </w:rPr>
            <w:tab/>
          </w:r>
          <w:bookmarkStart w:id="7" w:name="_Toc24351_WPSOffice_Level1Page"/>
          <w:r>
            <w:rPr>
              <w:rFonts w:hint="eastAsia" w:asciiTheme="minorEastAsia" w:hAnsiTheme="minorEastAsia" w:eastAsiaTheme="minorEastAsia" w:cstheme="minorEastAsia"/>
              <w:sz w:val="28"/>
              <w:szCs w:val="28"/>
            </w:rPr>
            <w:t>30</w:t>
          </w:r>
          <w:bookmarkEnd w:id="7"/>
          <w:r>
            <w:rPr>
              <w:rFonts w:hint="eastAsia" w:asciiTheme="minorEastAsia" w:hAnsiTheme="minorEastAsia" w:eastAsiaTheme="minorEastAsia" w:cstheme="minorEastAsia"/>
              <w:sz w:val="28"/>
              <w:szCs w:val="28"/>
            </w:rPr>
            <w:fldChar w:fldCharType="end"/>
          </w:r>
        </w:p>
        <w:p>
          <w:pPr>
            <w:pStyle w:val="17"/>
            <w:tabs>
              <w:tab w:val="right" w:leader="dot" w:pos="8306"/>
            </w:tabs>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_Toc30996_WPSOffice_Level1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1009"/>
              <w:placeholder>
                <w:docPart w:val="{d947aa73-d674-41c6-9cc5-0d54ca83f48c}"/>
              </w:placeholder>
              <w15:color w:val="509DF3"/>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第八章  响应文件组成</w:t>
              </w:r>
            </w:sdtContent>
          </w:sdt>
          <w:r>
            <w:rPr>
              <w:rFonts w:hint="eastAsia" w:asciiTheme="minorEastAsia" w:hAnsiTheme="minorEastAsia" w:eastAsiaTheme="minorEastAsia" w:cstheme="minorEastAsia"/>
              <w:sz w:val="28"/>
              <w:szCs w:val="28"/>
            </w:rPr>
            <w:tab/>
          </w:r>
          <w:bookmarkStart w:id="8" w:name="_Toc30996_WPSOffice_Level1Page"/>
          <w:r>
            <w:rPr>
              <w:rFonts w:hint="eastAsia" w:asciiTheme="minorEastAsia" w:hAnsiTheme="minorEastAsia" w:eastAsiaTheme="minorEastAsia" w:cstheme="minorEastAsia"/>
              <w:sz w:val="28"/>
              <w:szCs w:val="28"/>
            </w:rPr>
            <w:t>33</w:t>
          </w:r>
          <w:bookmarkEnd w:id="8"/>
          <w:r>
            <w:rPr>
              <w:rFonts w:hint="eastAsia" w:asciiTheme="minorEastAsia" w:hAnsiTheme="minorEastAsia" w:eastAsiaTheme="minorEastAsia" w:cstheme="minorEastAsia"/>
              <w:sz w:val="28"/>
              <w:szCs w:val="28"/>
            </w:rPr>
            <w:fldChar w:fldCharType="end"/>
          </w:r>
        </w:p>
        <w:bookmarkEnd w:id="0"/>
        <w:p>
          <w:pPr>
            <w:pStyle w:val="9"/>
            <w:rPr>
              <w:rFonts w:hint="eastAsia"/>
              <w:lang w:val="en-US" w:eastAsia="zh-CN"/>
            </w:rPr>
          </w:pPr>
        </w:p>
      </w:sdtContent>
    </w:sdt>
    <w:p>
      <w:pPr>
        <w:bidi w:val="0"/>
        <w:rPr>
          <w:lang w:val="en-US" w:eastAsia="zh-CN"/>
        </w:rPr>
      </w:pPr>
    </w:p>
    <w:p>
      <w:pPr>
        <w:bidi w:val="0"/>
        <w:rPr>
          <w:lang w:val="en-US" w:eastAsia="zh-CN"/>
        </w:rPr>
      </w:pPr>
    </w:p>
    <w:p>
      <w:pPr>
        <w:bidi w:val="0"/>
        <w:rPr>
          <w:lang w:val="en-US" w:eastAsia="zh-CN"/>
        </w:rPr>
      </w:pPr>
    </w:p>
    <w:p>
      <w:pPr>
        <w:tabs>
          <w:tab w:val="left" w:pos="2281"/>
        </w:tabs>
        <w:bidi w:val="0"/>
        <w:jc w:val="left"/>
        <w:rPr>
          <w:rFonts w:hint="eastAsia"/>
          <w:lang w:val="en-US" w:eastAsia="zh-CN"/>
        </w:rPr>
      </w:pPr>
      <w:r>
        <w:rPr>
          <w:rFonts w:hint="eastAsia"/>
          <w:lang w:val="en-US" w:eastAsia="zh-CN"/>
        </w:rPr>
        <w:tab/>
      </w:r>
    </w:p>
    <w:p>
      <w:pPr>
        <w:bidi w:val="0"/>
        <w:rPr>
          <w:rFonts w:ascii="Times New Roman" w:hAnsi="Times New Roman" w:eastAsia="楷体_GB2312" w:cs="Times New Roman"/>
          <w:kern w:val="2"/>
          <w:sz w:val="26"/>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ind w:firstLine="391" w:firstLineChars="0"/>
        <w:jc w:val="left"/>
        <w:rPr>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bidi w:val="0"/>
        <w:snapToGrid w:val="0"/>
        <w:spacing w:line="36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尊敬的磋商响应供应商（以下称供应商）：</w:t>
      </w:r>
    </w:p>
    <w:p>
      <w:pPr>
        <w:keepNext w:val="0"/>
        <w:keepLines w:val="0"/>
        <w:pageBreakBefore w:val="0"/>
        <w:kinsoku/>
        <w:wordWrap/>
        <w:overflowPunct/>
        <w:topLinePunct w:val="0"/>
        <w:bidi w:val="0"/>
        <w:snapToGrid w:val="0"/>
        <w:spacing w:line="360" w:lineRule="auto"/>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欢迎参加本采购项目的竞争性磋商。为了保证本次招标顺利进行，请在制作磋商响应文件（以下称投标文件）之前，仔细阅读本竞争性磋商文件的各项条款，并按要求制作和递交投标文件。谢谢合作！</w:t>
      </w:r>
    </w:p>
    <w:p>
      <w:pPr>
        <w:keepNext w:val="0"/>
        <w:keepLines w:val="0"/>
        <w:pageBreakBefore w:val="0"/>
        <w:tabs>
          <w:tab w:val="left" w:pos="1050"/>
          <w:tab w:val="right" w:leader="dot" w:pos="9402"/>
        </w:tabs>
        <w:kinsoku/>
        <w:wordWrap/>
        <w:overflowPunct/>
        <w:topLinePunct w:val="0"/>
        <w:bidi w:val="0"/>
        <w:spacing w:before="240" w:beforeLines="100" w:line="360" w:lineRule="auto"/>
        <w:jc w:val="center"/>
        <w:textAlignment w:val="auto"/>
        <w:outlineLvl w:val="0"/>
        <w:rPr>
          <w:rFonts w:hint="eastAsia" w:asciiTheme="majorEastAsia" w:hAnsiTheme="majorEastAsia" w:eastAsiaTheme="majorEastAsia" w:cstheme="majorEastAsia"/>
          <w:b/>
          <w:w w:val="80"/>
          <w:sz w:val="36"/>
          <w:szCs w:val="36"/>
        </w:rPr>
      </w:pPr>
      <w:bookmarkStart w:id="9" w:name="_Toc363573853"/>
      <w:bookmarkStart w:id="10" w:name="_Toc8358_WPSOffice_Level1"/>
      <w:bookmarkStart w:id="11" w:name="_Toc2987_WPSOffice_Level1"/>
      <w:r>
        <w:rPr>
          <w:rFonts w:hint="eastAsia" w:asciiTheme="majorEastAsia" w:hAnsiTheme="majorEastAsia" w:eastAsiaTheme="majorEastAsia" w:cstheme="majorEastAsia"/>
          <w:b/>
          <w:w w:val="80"/>
          <w:sz w:val="36"/>
          <w:szCs w:val="36"/>
        </w:rPr>
        <w:t xml:space="preserve">第一章  </w:t>
      </w:r>
      <w:bookmarkEnd w:id="9"/>
      <w:r>
        <w:rPr>
          <w:rFonts w:hint="eastAsia" w:asciiTheme="majorEastAsia" w:hAnsiTheme="majorEastAsia" w:eastAsiaTheme="majorEastAsia" w:cstheme="majorEastAsia"/>
          <w:b/>
          <w:w w:val="80"/>
          <w:sz w:val="36"/>
          <w:szCs w:val="36"/>
        </w:rPr>
        <w:t>竞争性磋商公告</w:t>
      </w:r>
      <w:bookmarkEnd w:id="10"/>
      <w:bookmarkEnd w:id="11"/>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江苏大成工程咨询</w:t>
      </w:r>
      <w:r>
        <w:rPr>
          <w:rFonts w:hint="eastAsia" w:asciiTheme="minorEastAsia" w:hAnsiTheme="minorEastAsia" w:eastAsiaTheme="minorEastAsia" w:cstheme="minorEastAsia"/>
          <w:sz w:val="24"/>
          <w:szCs w:val="24"/>
        </w:rPr>
        <w:t>有限公司（以下称代理招标机构）受</w:t>
      </w:r>
      <w:r>
        <w:rPr>
          <w:rFonts w:hint="eastAsia" w:asciiTheme="minorEastAsia" w:hAnsiTheme="minorEastAsia" w:eastAsiaTheme="minorEastAsia" w:cstheme="minorEastAsia"/>
          <w:sz w:val="24"/>
          <w:szCs w:val="24"/>
          <w:lang w:eastAsia="zh-CN"/>
        </w:rPr>
        <w:t>南通市紫琅第一小学</w:t>
      </w:r>
      <w:r>
        <w:rPr>
          <w:rFonts w:hint="eastAsia" w:asciiTheme="minorEastAsia" w:hAnsiTheme="minorEastAsia" w:eastAsiaTheme="minorEastAsia" w:cstheme="minorEastAsia"/>
          <w:sz w:val="24"/>
          <w:szCs w:val="24"/>
        </w:rPr>
        <w:t>（以下称采购人）的委托，就</w:t>
      </w:r>
      <w:r>
        <w:rPr>
          <w:rFonts w:hint="eastAsia" w:asciiTheme="minorEastAsia" w:hAnsiTheme="minorEastAsia" w:eastAsiaTheme="minorEastAsia" w:cstheme="minorEastAsia"/>
          <w:sz w:val="24"/>
          <w:szCs w:val="24"/>
          <w:lang w:eastAsia="zh-CN"/>
        </w:rPr>
        <w:t>南通市紫琅第一小学</w:t>
      </w:r>
      <w:r>
        <w:rPr>
          <w:rFonts w:hint="eastAsia" w:asciiTheme="minorEastAsia" w:hAnsiTheme="minorEastAsia" w:eastAsiaTheme="minorEastAsia" w:cstheme="minorEastAsia"/>
          <w:sz w:val="24"/>
          <w:szCs w:val="24"/>
          <w:lang w:val="en-US" w:eastAsia="zh-CN"/>
        </w:rPr>
        <w:t>校园LOGO设计和</w:t>
      </w:r>
      <w:r>
        <w:rPr>
          <w:rFonts w:hint="eastAsia" w:asciiTheme="minorEastAsia" w:hAnsiTheme="minorEastAsia" w:eastAsiaTheme="minorEastAsia" w:cstheme="minorEastAsia"/>
          <w:sz w:val="24"/>
          <w:szCs w:val="24"/>
        </w:rPr>
        <w:t>VI视觉识别系统设计项目组织竞争性磋商采购，诚邀符合资格条件的潜在供应商参加磋商响应。</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一、项目名称：南通市紫琅第一小学校园LOGO设计和VI视觉识别系统设计项目；</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二、项目预算：约人民币9.8万元；</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default" w:asciiTheme="minorEastAsia" w:hAnsiTheme="minorEastAsia" w:eastAsiaTheme="minorEastAsia" w:cstheme="minorEastAsia"/>
          <w:kern w:val="2"/>
          <w:sz w:val="24"/>
          <w:szCs w:val="24"/>
          <w:highlight w:val="yellow"/>
          <w:lang w:val="en-US" w:eastAsia="zh-CN" w:bidi="ar-SA"/>
        </w:rPr>
      </w:pPr>
      <w:r>
        <w:rPr>
          <w:rFonts w:hint="eastAsia" w:asciiTheme="minorEastAsia" w:hAnsiTheme="minorEastAsia" w:eastAsiaTheme="minorEastAsia" w:cstheme="minorEastAsia"/>
          <w:kern w:val="2"/>
          <w:sz w:val="24"/>
          <w:szCs w:val="24"/>
          <w:lang w:val="en-US" w:eastAsia="zh-CN" w:bidi="ar-SA"/>
        </w:rPr>
        <w:t>三、项目工期</w:t>
      </w:r>
      <w:r>
        <w:rPr>
          <w:rFonts w:hint="eastAsia" w:asciiTheme="minorEastAsia" w:hAnsiTheme="minorEastAsia" w:eastAsiaTheme="minorEastAsia" w:cstheme="minorEastAsia"/>
          <w:kern w:val="2"/>
          <w:sz w:val="24"/>
          <w:szCs w:val="24"/>
          <w:highlight w:val="none"/>
          <w:lang w:val="en-US" w:eastAsia="zh-CN" w:bidi="ar-SA"/>
        </w:rPr>
        <w:t>：5天</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rPr>
        <w:t>、项目需求：详见本磋商文件第三章；</w:t>
      </w:r>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五</w:t>
      </w:r>
      <w:r>
        <w:rPr>
          <w:rFonts w:hint="eastAsia" w:asciiTheme="minorEastAsia" w:hAnsiTheme="minorEastAsia" w:eastAsiaTheme="minorEastAsia" w:cstheme="minorEastAsia"/>
          <w:sz w:val="24"/>
          <w:szCs w:val="24"/>
        </w:rPr>
        <w:t>、供应商资格：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符合政府采购法第二十二条规定的条件，并提供下列材料：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sz w:val="24"/>
          <w:szCs w:val="24"/>
          <w:highlight w:val="none"/>
          <w:lang w:val="en-US" w:eastAsia="zh-CN"/>
        </w:rPr>
        <w:t>独立</w:t>
      </w:r>
      <w:r>
        <w:rPr>
          <w:rFonts w:hint="eastAsia" w:asciiTheme="minorEastAsia" w:hAnsiTheme="minorEastAsia" w:eastAsiaTheme="minorEastAsia" w:cstheme="minorEastAsia"/>
          <w:sz w:val="24"/>
          <w:szCs w:val="24"/>
          <w:highlight w:val="none"/>
        </w:rPr>
        <w:t>法人营业执照</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经营范围应包含办公产品设计、制作或平面设计、制作，且在有效期内</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具有独立承担民事责任的能力；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参加政府采购活动前三年内，在经营活动中没有重大违法记录提供参加本次采购活动前3年内在经营活动中没有重大违法记录的书面声明）；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法律、法规规定的其他条件。</w:t>
      </w:r>
    </w:p>
    <w:p>
      <w:pPr>
        <w:pStyle w:val="13"/>
        <w:ind w:left="0" w:leftChars="0" w:firstLine="482" w:firstLineChars="200"/>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lang w:val="en-US" w:eastAsia="zh-CN"/>
        </w:rPr>
        <w:t>注：</w:t>
      </w:r>
      <w:r>
        <w:rPr>
          <w:rFonts w:hint="eastAsia" w:asciiTheme="minorEastAsia" w:hAnsiTheme="minorEastAsia" w:eastAsiaTheme="minorEastAsia" w:cstheme="minorEastAsia"/>
          <w:b/>
          <w:sz w:val="24"/>
          <w:szCs w:val="24"/>
          <w:highlight w:val="none"/>
        </w:rPr>
        <w:t>供应商</w:t>
      </w:r>
      <w:r>
        <w:rPr>
          <w:rFonts w:hint="eastAsia" w:asciiTheme="minorEastAsia" w:hAnsiTheme="minorEastAsia" w:eastAsiaTheme="minorEastAsia" w:cstheme="minorEastAsia"/>
          <w:b/>
          <w:sz w:val="24"/>
          <w:szCs w:val="24"/>
          <w:highlight w:val="none"/>
          <w:lang w:val="en-US" w:eastAsia="zh-CN"/>
        </w:rPr>
        <w:t>应</w:t>
      </w:r>
      <w:r>
        <w:rPr>
          <w:rFonts w:hint="eastAsia" w:asciiTheme="minorEastAsia" w:hAnsiTheme="minorEastAsia" w:eastAsiaTheme="minorEastAsia" w:cstheme="minorEastAsia"/>
          <w:b/>
          <w:sz w:val="24"/>
          <w:szCs w:val="24"/>
          <w:highlight w:val="none"/>
        </w:rPr>
        <w:t>认真对照资格要求，如不符合要求，无意或故意参与磋商的，所产生的一切后果由供应商承担。对提供虚假材料的供应商作无效标处理，磋商保证金不予退还，并报财政部门后将其列入政府采购黑名单，视情在</w:t>
      </w:r>
      <w:r>
        <w:rPr>
          <w:rFonts w:hint="eastAsia" w:asciiTheme="minorEastAsia" w:hAnsiTheme="minorEastAsia" w:eastAsiaTheme="minorEastAsia" w:cstheme="minorEastAsia"/>
          <w:b/>
          <w:sz w:val="24"/>
          <w:szCs w:val="24"/>
          <w:highlight w:val="none"/>
          <w:lang w:val="en-US" w:eastAsia="zh-CN"/>
        </w:rPr>
        <w:t>相关部门网站</w:t>
      </w:r>
      <w:r>
        <w:rPr>
          <w:rFonts w:hint="eastAsia" w:asciiTheme="minorEastAsia" w:hAnsiTheme="minorEastAsia" w:eastAsiaTheme="minorEastAsia" w:cstheme="minorEastAsia"/>
          <w:b/>
          <w:sz w:val="24"/>
          <w:szCs w:val="24"/>
          <w:highlight w:val="none"/>
        </w:rPr>
        <w:t>公示。</w:t>
      </w:r>
    </w:p>
    <w:p>
      <w:pPr>
        <w:keepNext w:val="0"/>
        <w:keepLines w:val="0"/>
        <w:pageBreakBefore w:val="0"/>
        <w:kinsoku/>
        <w:wordWrap/>
        <w:overflowPunct/>
        <w:topLinePunct w:val="0"/>
        <w:bidi w:val="0"/>
        <w:spacing w:line="360" w:lineRule="auto"/>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六</w:t>
      </w:r>
      <w:r>
        <w:rPr>
          <w:rFonts w:hint="eastAsia" w:asciiTheme="minorEastAsia" w:hAnsiTheme="minorEastAsia" w:eastAsiaTheme="minorEastAsia" w:cstheme="minorEastAsia"/>
          <w:kern w:val="0"/>
          <w:sz w:val="24"/>
          <w:szCs w:val="24"/>
        </w:rPr>
        <w:t>、有意愿参与本项目磋商响应的单位，请于本公告发布日起至磋商响应截</w:t>
      </w:r>
      <w:r>
        <w:rPr>
          <w:rFonts w:hint="eastAsia" w:asciiTheme="minorEastAsia" w:hAnsiTheme="minorEastAsia" w:eastAsiaTheme="minorEastAsia" w:cstheme="minorEastAsia"/>
          <w:kern w:val="0"/>
          <w:sz w:val="24"/>
          <w:szCs w:val="24"/>
          <w:highlight w:val="none"/>
        </w:rPr>
        <w:t>止前，到“</w:t>
      </w:r>
      <w:r>
        <w:rPr>
          <w:rFonts w:hint="eastAsia" w:asciiTheme="minorEastAsia" w:hAnsiTheme="minorEastAsia" w:eastAsiaTheme="minorEastAsia" w:cstheme="minorEastAsia"/>
          <w:kern w:val="0"/>
          <w:sz w:val="24"/>
          <w:szCs w:val="24"/>
          <w:highlight w:val="none"/>
          <w:lang w:val="en-US" w:eastAsia="zh-CN"/>
        </w:rPr>
        <w:t>南通市教育局网</w:t>
      </w:r>
      <w:r>
        <w:rPr>
          <w:rFonts w:hint="eastAsia" w:asciiTheme="minorEastAsia" w:hAnsiTheme="minorEastAsia" w:eastAsiaTheme="minorEastAsia" w:cstheme="minorEastAsia"/>
          <w:kern w:val="0"/>
          <w:sz w:val="24"/>
          <w:szCs w:val="24"/>
          <w:highlight w:val="none"/>
        </w:rPr>
        <w:t xml:space="preserve"> (http://jyj.nantong.gov.cn/)下载本项</w:t>
      </w:r>
      <w:r>
        <w:rPr>
          <w:rFonts w:hint="eastAsia" w:asciiTheme="minorEastAsia" w:hAnsiTheme="minorEastAsia" w:eastAsiaTheme="minorEastAsia" w:cstheme="minorEastAsia"/>
          <w:kern w:val="0"/>
          <w:sz w:val="24"/>
          <w:szCs w:val="24"/>
        </w:rPr>
        <w:t>目的磋商文件。</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default"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七</w:t>
      </w:r>
      <w:r>
        <w:rPr>
          <w:rFonts w:hint="eastAsia" w:asciiTheme="minorEastAsia" w:hAnsiTheme="minorEastAsia" w:eastAsiaTheme="minorEastAsia" w:cstheme="minorEastAsia"/>
          <w:kern w:val="0"/>
          <w:sz w:val="24"/>
          <w:szCs w:val="24"/>
          <w:highlight w:val="none"/>
        </w:rPr>
        <w:t>、磋商响应文件接收截止及磋商评审的时间为：</w:t>
      </w:r>
      <w:r>
        <w:rPr>
          <w:rFonts w:hint="eastAsia" w:asciiTheme="minorEastAsia" w:hAnsiTheme="minorEastAsia" w:eastAsiaTheme="minorEastAsia" w:cstheme="minorEastAsia"/>
          <w:kern w:val="0"/>
          <w:sz w:val="24"/>
          <w:szCs w:val="24"/>
          <w:highlight w:val="none"/>
          <w:lang w:val="en-US" w:eastAsia="zh-CN"/>
        </w:rPr>
        <w:t>2019年9月2日上午9:30分；</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rPr>
        <w:t>地址：</w:t>
      </w:r>
      <w:r>
        <w:rPr>
          <w:rFonts w:hint="eastAsia" w:asciiTheme="minorEastAsia" w:hAnsiTheme="minorEastAsia" w:eastAsiaTheme="minorEastAsia" w:cstheme="minorEastAsia"/>
          <w:kern w:val="0"/>
          <w:sz w:val="24"/>
          <w:szCs w:val="24"/>
          <w:highlight w:val="none"/>
          <w:lang w:val="en-US" w:eastAsia="zh-CN"/>
        </w:rPr>
        <w:t>南通市紫琅第一小学会议室</w:t>
      </w:r>
      <w:r>
        <w:rPr>
          <w:rFonts w:hint="eastAsia" w:asciiTheme="minorEastAsia" w:hAnsiTheme="minorEastAsia" w:eastAsiaTheme="minorEastAsia" w:cstheme="minorEastAsia"/>
          <w:kern w:val="0"/>
          <w:sz w:val="24"/>
          <w:szCs w:val="24"/>
          <w:highlight w:val="none"/>
        </w:rPr>
        <w:t>，如有变动另行通知；</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八、采购文件资料费每套售价300.00元/份，由代理机构在接收报名材料时收取。无论供应商是否中标，资料费概不退还。</w:t>
      </w:r>
    </w:p>
    <w:p>
      <w:pPr>
        <w:pStyle w:val="9"/>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九</w:t>
      </w:r>
      <w:r>
        <w:rPr>
          <w:rFonts w:hint="eastAsia" w:asciiTheme="minorEastAsia" w:hAnsiTheme="minorEastAsia" w:eastAsiaTheme="minorEastAsia" w:cstheme="minorEastAsia"/>
          <w:kern w:val="0"/>
          <w:sz w:val="24"/>
          <w:szCs w:val="24"/>
        </w:rPr>
        <w:t>、磋商小组将对供应商的资格进行审查，审查通过方可参与磋商。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lang w:val="en-US" w:eastAsia="zh-CN"/>
        </w:rPr>
        <w:t>十</w:t>
      </w:r>
      <w:r>
        <w:rPr>
          <w:rFonts w:hint="eastAsia" w:asciiTheme="minorEastAsia" w:hAnsiTheme="minorEastAsia" w:eastAsiaTheme="minorEastAsia" w:cstheme="minorEastAsia"/>
          <w:sz w:val="24"/>
          <w:szCs w:val="24"/>
        </w:rPr>
        <w:t>、磋商保证金：本项目供应商须交纳磋商保证金</w:t>
      </w:r>
      <w:r>
        <w:rPr>
          <w:rFonts w:hint="eastAsia" w:asciiTheme="minorEastAsia" w:hAnsiTheme="minorEastAsia" w:eastAsiaTheme="minorEastAsia" w:cstheme="minorEastAsia"/>
          <w:b/>
          <w:bCs/>
          <w:sz w:val="24"/>
          <w:szCs w:val="24"/>
          <w:highlight w:val="none"/>
        </w:rPr>
        <w:t>人民币</w:t>
      </w:r>
      <w:r>
        <w:rPr>
          <w:rFonts w:hint="eastAsia" w:asciiTheme="minorEastAsia" w:hAnsiTheme="minorEastAsia" w:eastAsiaTheme="minorEastAsia" w:cstheme="minorEastAsia"/>
          <w:b/>
          <w:bCs/>
          <w:sz w:val="24"/>
          <w:szCs w:val="24"/>
          <w:highlight w:val="none"/>
          <w:lang w:val="en-US" w:eastAsia="zh-CN"/>
        </w:rPr>
        <w:t>壹</w:t>
      </w:r>
      <w:r>
        <w:rPr>
          <w:rFonts w:hint="eastAsia" w:asciiTheme="minorEastAsia" w:hAnsiTheme="minorEastAsia" w:eastAsiaTheme="minorEastAsia" w:cstheme="minorEastAsia"/>
          <w:b/>
          <w:bCs/>
          <w:sz w:val="24"/>
          <w:szCs w:val="24"/>
          <w:highlight w:val="none"/>
        </w:rPr>
        <w:t>仟元整</w:t>
      </w:r>
      <w:r>
        <w:rPr>
          <w:rFonts w:hint="eastAsia" w:asciiTheme="minorEastAsia" w:hAnsiTheme="minorEastAsia" w:eastAsiaTheme="minorEastAsia" w:cstheme="minorEastAsia"/>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十一</w:t>
      </w:r>
      <w:r>
        <w:rPr>
          <w:rFonts w:hint="eastAsia" w:asciiTheme="minorEastAsia" w:hAnsiTheme="minorEastAsia" w:eastAsiaTheme="minorEastAsia" w:cstheme="minorEastAsia"/>
          <w:sz w:val="24"/>
          <w:szCs w:val="24"/>
        </w:rPr>
        <w:t>、磋商响应联系方式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1、采购人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单位：</w:t>
      </w:r>
      <w:r>
        <w:rPr>
          <w:rFonts w:hint="eastAsia" w:asciiTheme="minorEastAsia" w:hAnsiTheme="minorEastAsia" w:eastAsiaTheme="minorEastAsia" w:cstheme="minorEastAsia"/>
          <w:sz w:val="24"/>
          <w:szCs w:val="24"/>
          <w:lang w:eastAsia="zh-CN"/>
        </w:rPr>
        <w:t>南通市紫琅第一小学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lang w:val="en-US" w:eastAsia="zh-CN"/>
        </w:rPr>
        <w:t>钱老师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电话：</w:t>
      </w:r>
      <w:r>
        <w:rPr>
          <w:rFonts w:hint="eastAsia" w:asciiTheme="minorEastAsia" w:hAnsiTheme="minorEastAsia" w:eastAsiaTheme="minorEastAsia" w:cstheme="minorEastAsia"/>
          <w:sz w:val="24"/>
          <w:szCs w:val="24"/>
          <w:lang w:val="en-US" w:eastAsia="zh-CN"/>
        </w:rPr>
        <w:t>13962993488</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2、采购代理机构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单位：江苏大成工程咨询有限公司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联系人：江  工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联系电话：0513-89150018</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16651730763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邮箱：</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"mailto:jsdcgczx@163.com" </w:instrText>
      </w:r>
      <w:r>
        <w:rPr>
          <w:rFonts w:hint="eastAsia" w:asciiTheme="minorEastAsia" w:hAnsiTheme="minorEastAsia" w:eastAsiaTheme="minorEastAsia" w:cstheme="minorEastAsia"/>
          <w:sz w:val="24"/>
          <w:szCs w:val="24"/>
        </w:rPr>
        <w:fldChar w:fldCharType="separate"/>
      </w:r>
      <w:r>
        <w:rPr>
          <w:rStyle w:val="12"/>
          <w:rFonts w:hint="eastAsia" w:asciiTheme="minorEastAsia" w:hAnsiTheme="minorEastAsia" w:eastAsiaTheme="minorEastAsia" w:cstheme="minorEastAsia"/>
          <w:sz w:val="24"/>
          <w:szCs w:val="24"/>
        </w:rPr>
        <w:t>jsdcgczx@163.com</w:t>
      </w:r>
      <w:r>
        <w:rPr>
          <w:rFonts w:hint="eastAsia" w:asciiTheme="minorEastAsia" w:hAnsiTheme="minorEastAsia" w:eastAsiaTheme="minorEastAsia" w:cstheme="minorEastAsia"/>
          <w:sz w:val="24"/>
          <w:szCs w:val="24"/>
        </w:rPr>
        <w:fldChar w:fldCharType="end"/>
      </w:r>
    </w:p>
    <w:p>
      <w:pPr>
        <w:pStyle w:val="9"/>
        <w:rPr>
          <w:rFonts w:hint="eastAsia"/>
        </w:rPr>
      </w:pPr>
    </w:p>
    <w:p>
      <w:pPr>
        <w:pStyle w:val="9"/>
        <w:rPr>
          <w:rFonts w:hint="eastAsia"/>
        </w:rPr>
      </w:pPr>
    </w:p>
    <w:p>
      <w:pPr>
        <w:pStyle w:val="9"/>
        <w:rPr>
          <w:rFonts w:hint="eastAsia"/>
        </w:rPr>
      </w:pPr>
    </w:p>
    <w:p>
      <w:pPr>
        <w:spacing w:line="420" w:lineRule="exact"/>
        <w:ind w:firstLine="424" w:firstLineChars="177"/>
        <w:rPr>
          <w:rFonts w:hint="eastAsia" w:eastAsia="仿宋_GB2312"/>
          <w:sz w:val="24"/>
          <w:szCs w:val="24"/>
          <w:highlight w:val="none"/>
        </w:rPr>
      </w:pPr>
    </w:p>
    <w:p>
      <w:pPr>
        <w:spacing w:line="420" w:lineRule="exact"/>
        <w:ind w:firstLine="424" w:firstLineChars="177"/>
        <w:rPr>
          <w:rFonts w:eastAsia="仿宋_GB2312"/>
          <w:sz w:val="24"/>
          <w:szCs w:val="24"/>
          <w:highlight w:val="none"/>
        </w:rPr>
      </w:pPr>
    </w:p>
    <w:p>
      <w:pPr>
        <w:spacing w:line="360" w:lineRule="auto"/>
        <w:jc w:val="right"/>
        <w:rPr>
          <w:rFonts w:eastAsia="仿宋_GB2312"/>
          <w:sz w:val="24"/>
          <w:szCs w:val="24"/>
          <w:highlight w:val="none"/>
        </w:rPr>
      </w:pPr>
      <w:r>
        <w:rPr>
          <w:rFonts w:hint="eastAsia" w:eastAsia="仿宋_GB2312"/>
          <w:sz w:val="24"/>
          <w:szCs w:val="24"/>
          <w:highlight w:val="none"/>
        </w:rPr>
        <w:t>南通市紫琅第一小学</w:t>
      </w:r>
    </w:p>
    <w:p>
      <w:pPr>
        <w:spacing w:line="360" w:lineRule="auto"/>
        <w:jc w:val="right"/>
        <w:rPr>
          <w:rFonts w:hint="eastAsia" w:eastAsia="仿宋_GB2312"/>
          <w:sz w:val="24"/>
          <w:szCs w:val="24"/>
          <w:highlight w:val="none"/>
        </w:rPr>
      </w:pPr>
      <w:r>
        <w:rPr>
          <w:rFonts w:hint="eastAsia" w:eastAsia="仿宋_GB2312"/>
          <w:sz w:val="24"/>
          <w:szCs w:val="24"/>
          <w:highlight w:val="none"/>
        </w:rPr>
        <w:t>201</w:t>
      </w:r>
      <w:r>
        <w:rPr>
          <w:rFonts w:hint="eastAsia" w:eastAsia="仿宋_GB2312"/>
          <w:sz w:val="24"/>
          <w:szCs w:val="24"/>
          <w:highlight w:val="none"/>
          <w:lang w:val="en-US" w:eastAsia="zh-CN"/>
        </w:rPr>
        <w:t>9</w:t>
      </w:r>
      <w:r>
        <w:rPr>
          <w:rFonts w:hint="eastAsia" w:eastAsia="仿宋_GB2312"/>
          <w:sz w:val="24"/>
          <w:szCs w:val="24"/>
          <w:highlight w:val="none"/>
        </w:rPr>
        <w:t>年</w:t>
      </w:r>
      <w:r>
        <w:rPr>
          <w:rFonts w:hint="eastAsia" w:eastAsia="仿宋_GB2312"/>
          <w:sz w:val="24"/>
          <w:szCs w:val="24"/>
          <w:highlight w:val="none"/>
          <w:lang w:val="en-US" w:eastAsia="zh-CN"/>
        </w:rPr>
        <w:t>8</w:t>
      </w:r>
      <w:r>
        <w:rPr>
          <w:rFonts w:hint="eastAsia" w:eastAsia="仿宋_GB2312"/>
          <w:sz w:val="24"/>
          <w:szCs w:val="24"/>
          <w:highlight w:val="none"/>
        </w:rPr>
        <w:t>月</w:t>
      </w:r>
      <w:r>
        <w:rPr>
          <w:rFonts w:hint="eastAsia" w:eastAsia="仿宋_GB2312"/>
          <w:sz w:val="24"/>
          <w:szCs w:val="24"/>
          <w:highlight w:val="none"/>
          <w:lang w:val="en-US" w:eastAsia="zh-CN"/>
        </w:rPr>
        <w:t>21</w:t>
      </w:r>
      <w:r>
        <w:rPr>
          <w:rFonts w:hint="eastAsia" w:eastAsia="仿宋_GB2312"/>
          <w:sz w:val="24"/>
          <w:szCs w:val="24"/>
          <w:highlight w:val="none"/>
        </w:rPr>
        <w:t>日</w:t>
      </w:r>
    </w:p>
    <w:p>
      <w:pPr>
        <w:pStyle w:val="9"/>
        <w:rPr>
          <w:rFonts w:hint="eastAsia"/>
        </w:rPr>
        <w:sectPr>
          <w:pgSz w:w="11906" w:h="16838"/>
          <w:pgMar w:top="1440" w:right="1800" w:bottom="1440" w:left="1800" w:header="851" w:footer="992" w:gutter="0"/>
          <w:cols w:space="425" w:num="1"/>
          <w:docGrid w:type="lines" w:linePitch="312" w:charSpace="0"/>
        </w:sectPr>
      </w:pPr>
    </w:p>
    <w:p>
      <w:pPr>
        <w:keepNext w:val="0"/>
        <w:keepLines w:val="0"/>
        <w:pageBreakBefore w:val="0"/>
        <w:tabs>
          <w:tab w:val="left" w:pos="1050"/>
          <w:tab w:val="right" w:leader="dot" w:pos="9402"/>
        </w:tabs>
        <w:kinsoku/>
        <w:wordWrap/>
        <w:overflowPunct/>
        <w:topLinePunct w:val="0"/>
        <w:bidi w:val="0"/>
        <w:spacing w:before="240" w:beforeLines="100" w:line="360" w:lineRule="auto"/>
        <w:jc w:val="center"/>
        <w:textAlignment w:val="auto"/>
        <w:outlineLvl w:val="0"/>
        <w:rPr>
          <w:rFonts w:hint="eastAsia" w:asciiTheme="majorEastAsia" w:hAnsiTheme="majorEastAsia" w:eastAsiaTheme="majorEastAsia" w:cstheme="majorEastAsia"/>
          <w:b/>
          <w:w w:val="80"/>
          <w:sz w:val="36"/>
          <w:szCs w:val="36"/>
        </w:rPr>
      </w:pPr>
      <w:bookmarkStart w:id="12" w:name="_Toc15351_WPSOffice_Level1"/>
      <w:bookmarkStart w:id="13" w:name="_Toc18816_WPSOffice_Level1"/>
      <w:r>
        <w:rPr>
          <w:rFonts w:hint="eastAsia" w:asciiTheme="majorEastAsia" w:hAnsiTheme="majorEastAsia" w:eastAsiaTheme="majorEastAsia" w:cstheme="majorEastAsia"/>
          <w:b/>
          <w:w w:val="80"/>
          <w:sz w:val="36"/>
          <w:szCs w:val="36"/>
        </w:rPr>
        <w:t>第二章  供应商须知</w:t>
      </w:r>
      <w:bookmarkEnd w:id="12"/>
      <w:bookmarkEnd w:id="13"/>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一、说明</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1、本磋商文件仅适用于本代理机构组织的招标采购活动。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2、招标采购活动及因本次招标产生的合同受中国法律制约和保护。</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3、磋商文件的解释权属于代理机构。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供应商在知道或应当知道本项目磋商公告及磋商文件中的所有内容：如内容或页码短缺、资格要求和技术参数出现倾向性或排他性等表述的，应在本项目磋商公告及磋商文件发布后提出询问或是在发布之日后的3个工作日内以书面实名制形式提出质疑；未提出询问或是未在规定期间内提出的视作供应商接受本项目磋商公告及磋商文件中的全部内容；供应商不得在招标活动期间及招标结束后针对本项目磋商公告及磋商文件中的所有内容提出质疑事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5、供应商应认真审阅本磋商文件中的所有事项、格式、条款和规范要求等，如果供应商没有按照磋商文件要求提交磋商响应文件，或者磋商响应文件没有对磋商文件做出实质性响应，有可能被拒绝参与磋商。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rPr>
        <w:t>6、磋商文件项目需求提供的可能涉及到的样本、技术规范、</w:t>
      </w:r>
      <w:r>
        <w:rPr>
          <w:rFonts w:hint="eastAsia" w:asciiTheme="minorEastAsia" w:hAnsiTheme="minorEastAsia" w:eastAsiaTheme="minorEastAsia" w:cstheme="minorEastAsia"/>
          <w:sz w:val="24"/>
          <w:szCs w:val="24"/>
          <w:highlight w:val="none"/>
        </w:rPr>
        <w:t>参数规格等，仅作为说明并没有限制性，供应商在磋商响应中可以选用替代标准，但这些替代标准要优于项目需求技术规格中要求的标准，以满足采购人的需要。</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二、磋商文件的补充说明、澄清、修改、答疑</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1、代理机构有权对发出的磋商文件进行必要的补充说明、澄清或修改。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2、凡涉及磋商文件的补充说明、澄清或修改，均以</w:t>
      </w:r>
      <w:r>
        <w:rPr>
          <w:rFonts w:hint="eastAsia" w:asciiTheme="minorEastAsia" w:hAnsiTheme="minorEastAsia" w:eastAsiaTheme="minorEastAsia" w:cstheme="minorEastAsia"/>
          <w:sz w:val="24"/>
          <w:szCs w:val="24"/>
          <w:highlight w:val="none"/>
          <w:lang w:val="en-US" w:eastAsia="zh-CN"/>
        </w:rPr>
        <w:t>南通市公共资源交易网</w:t>
      </w:r>
      <w:r>
        <w:rPr>
          <w:rFonts w:hint="eastAsia" w:asciiTheme="minorEastAsia" w:hAnsiTheme="minorEastAsia" w:eastAsiaTheme="minorEastAsia" w:cstheme="minorEastAsia"/>
          <w:sz w:val="24"/>
          <w:szCs w:val="24"/>
          <w:highlight w:val="none"/>
        </w:rPr>
        <w:t>发布的信息为准。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3、代理机构对磋商文件的补充说明、澄清或修改，将构成本项目采购文件的一部分，对供应商具有约束力。</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4、补充说明、澄清或修改的内容可能影响到响应文件编制的，代理机构将在首次提交磋商响应文件截止日</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天前，发布补充说明、澄清或修改公告。不足</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日的，应当顺延首次提交磋商响应文件截止之日。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5、除非代理机构以书面、公告的形式对磋商文件作出澄清、修改、补充并通知到供应商，供应商对涉及磋商文件的任何推论、理解和结论所造成的结果，均由供应商自负。</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6、招标人视情组织答疑会。如有产生答疑且对磋商文件内容有修改，代理机构将按照本须知有关规定，以补充通知（公告）的方式发出并通知到供应商。</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三、磋商响应文件的组成及装订</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1、磋商响应文件由 ：</w:t>
      </w:r>
      <w:r>
        <w:rPr>
          <w:rFonts w:hint="eastAsia" w:asciiTheme="minorEastAsia" w:hAnsiTheme="minorEastAsia" w:eastAsiaTheme="minorEastAsia" w:cstheme="minorEastAsia"/>
          <w:sz w:val="24"/>
          <w:szCs w:val="24"/>
          <w:lang w:val="en-US" w:eastAsia="zh-CN"/>
        </w:rPr>
        <w:t>A</w:t>
      </w:r>
      <w:r>
        <w:rPr>
          <w:rFonts w:hint="eastAsia" w:asciiTheme="minorEastAsia" w:hAnsiTheme="minorEastAsia" w:eastAsiaTheme="minorEastAsia" w:cstheme="minorEastAsia"/>
          <w:sz w:val="24"/>
          <w:szCs w:val="24"/>
        </w:rPr>
        <w:t>.资格后审材料文件、</w:t>
      </w:r>
      <w:r>
        <w:rPr>
          <w:rFonts w:hint="eastAsia" w:asciiTheme="minorEastAsia" w:hAnsiTheme="minorEastAsia" w:eastAsiaTheme="minorEastAsia" w:cstheme="minorEastAsia"/>
          <w:sz w:val="24"/>
          <w:szCs w:val="24"/>
          <w:lang w:val="en-US" w:eastAsia="zh-CN"/>
        </w:rPr>
        <w:t>B</w:t>
      </w:r>
      <w:r>
        <w:rPr>
          <w:rFonts w:hint="eastAsia" w:asciiTheme="minorEastAsia" w:hAnsiTheme="minorEastAsia" w:eastAsiaTheme="minorEastAsia" w:cstheme="minorEastAsia"/>
          <w:sz w:val="24"/>
          <w:szCs w:val="24"/>
        </w:rPr>
        <w:t>.技术磋商响应文件、</w:t>
      </w:r>
      <w:r>
        <w:rPr>
          <w:rFonts w:hint="eastAsia" w:asciiTheme="minorEastAsia" w:hAnsiTheme="minorEastAsia" w:eastAsiaTheme="minorEastAsia" w:cstheme="minorEastAsia"/>
          <w:sz w:val="24"/>
          <w:szCs w:val="24"/>
          <w:lang w:val="en-US" w:eastAsia="zh-CN"/>
        </w:rPr>
        <w:t>C</w:t>
      </w:r>
      <w:r>
        <w:rPr>
          <w:rFonts w:hint="eastAsia" w:asciiTheme="minorEastAsia" w:hAnsiTheme="minorEastAsia" w:eastAsiaTheme="minorEastAsia" w:cstheme="minorEastAsia"/>
          <w:sz w:val="24"/>
          <w:szCs w:val="24"/>
        </w:rPr>
        <w:t>.商务磋商响应文件</w:t>
      </w:r>
      <w:r>
        <w:rPr>
          <w:rFonts w:hint="eastAsia" w:asciiTheme="minorEastAsia" w:hAnsiTheme="minorEastAsia" w:eastAsiaTheme="minorEastAsia" w:cstheme="minorEastAsia"/>
          <w:sz w:val="24"/>
          <w:szCs w:val="24"/>
          <w:lang w:val="en-US" w:eastAsia="zh-CN"/>
        </w:rPr>
        <w:t>共3</w:t>
      </w:r>
      <w:r>
        <w:rPr>
          <w:rFonts w:hint="eastAsia" w:asciiTheme="minorEastAsia" w:hAnsiTheme="minorEastAsia" w:eastAsiaTheme="minorEastAsia" w:cstheme="minorEastAsia"/>
          <w:sz w:val="24"/>
          <w:szCs w:val="24"/>
        </w:rPr>
        <w:t>部分组成（以下由文件序号代称）。</w:t>
      </w:r>
    </w:p>
    <w:p>
      <w:pPr>
        <w:keepNext w:val="0"/>
        <w:keepLines w:val="0"/>
        <w:pageBreakBefore w:val="0"/>
        <w:widowControl w:val="0"/>
        <w:kinsoku/>
        <w:wordWrap/>
        <w:overflowPunct/>
        <w:topLinePunct w:val="0"/>
        <w:autoSpaceDE/>
        <w:autoSpaceDN/>
        <w:bidi w:val="0"/>
        <w:adjustRightInd/>
        <w:spacing w:line="360" w:lineRule="auto"/>
        <w:ind w:firstLine="484" w:firstLineChars="20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按磋商响应文件组成顺序编写响应文件，并牢固装订成册。磋商响应文件均需采用A4纸（图纸等除外），不允许使用活页夹、拉杆夹、文件夹、塑料方便式书脊（插入式或穿孔式）装订。磋商响应文件不得行间插字、涂改、增删。修改错漏处，须经供应商法人代表或其委托的代理人（以下称被委托授权人）签字（或盖章）并加盖公章。</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3、商务磋商响应文件中的所有报价表，必须装订成册。</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四、磋商响应文件的份数、签署和退还</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1、磋商响应文件中，均为一份“正本”和二份“副本”</w:t>
      </w:r>
      <w:r>
        <w:rPr>
          <w:rFonts w:hint="eastAsia" w:asciiTheme="minorEastAsia" w:hAnsiTheme="minorEastAsia" w:eastAsiaTheme="minorEastAsia" w:cstheme="minorEastAsia"/>
          <w:b/>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2、在每一份磋商响应文件上要明确标注项目名称、项目编号、磋商响应文件各自对应的名称、供应商全称、“正本”、“副本”字样，“正本”和“副本”若有差异，概以“正本”为准。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3、磋商响应文件中的所有“正本”，须为打印的，其正文内容由法定代表人或被委托授权人签字（或盖章）并加盖公章，“副本”可为“正本”的复印件。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4、磋商程序顺利进行后，所有磋商响应文件都将作为档案保存，不论成交与否，代理机构均不退回（未拆封的除外）。</w:t>
      </w:r>
    </w:p>
    <w:p>
      <w:pPr>
        <w:keepNext w:val="0"/>
        <w:keepLines w:val="0"/>
        <w:pageBreakBefore w:val="0"/>
        <w:widowControl w:val="0"/>
        <w:kinsoku/>
        <w:wordWrap/>
        <w:overflowPunct/>
        <w:topLinePunct w:val="0"/>
        <w:autoSpaceDE/>
        <w:autoSpaceDN/>
        <w:bidi w:val="0"/>
        <w:adjustRightInd/>
        <w:snapToGrid w:val="0"/>
        <w:spacing w:line="360" w:lineRule="auto"/>
        <w:ind w:firstLine="472" w:firstLineChars="196"/>
        <w:textAlignment w:val="auto"/>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五、磋商响应文件的密封及标记</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1、供应商须将本项目磋商响应文件：</w:t>
      </w:r>
      <w:r>
        <w:rPr>
          <w:rFonts w:hint="eastAsia" w:asciiTheme="minorEastAsia" w:hAnsiTheme="minorEastAsia" w:eastAsiaTheme="minorEastAsia" w:cstheme="minorEastAsia"/>
          <w:sz w:val="24"/>
          <w:szCs w:val="24"/>
          <w:highlight w:val="none"/>
        </w:rPr>
        <w:t>“A.”“B.”“C.”</w:t>
      </w:r>
      <w:r>
        <w:rPr>
          <w:rFonts w:hint="eastAsia" w:asciiTheme="minorEastAsia" w:hAnsiTheme="minorEastAsia" w:eastAsiaTheme="minorEastAsia" w:cstheme="minorEastAsia"/>
          <w:b/>
          <w:sz w:val="24"/>
          <w:szCs w:val="24"/>
        </w:rPr>
        <w:t>分</w:t>
      </w:r>
      <w:r>
        <w:rPr>
          <w:rFonts w:hint="eastAsia" w:asciiTheme="minorEastAsia" w:hAnsiTheme="minorEastAsia" w:eastAsiaTheme="minorEastAsia" w:cstheme="minorEastAsia"/>
          <w:b/>
          <w:sz w:val="24"/>
          <w:szCs w:val="24"/>
          <w:lang w:val="en-US" w:eastAsia="zh-CN"/>
        </w:rPr>
        <w:t>三</w:t>
      </w:r>
      <w:r>
        <w:rPr>
          <w:rFonts w:hint="eastAsia" w:asciiTheme="minorEastAsia" w:hAnsiTheme="minorEastAsia" w:eastAsiaTheme="minorEastAsia" w:cstheme="minorEastAsia"/>
          <w:b/>
          <w:sz w:val="24"/>
          <w:szCs w:val="24"/>
        </w:rPr>
        <w:t>个包，单独进行密封</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2、密封后，应在每一密封包上明确标注磋商项目名称、项目编号、磋商响应文件各自对应的名称、供应商全称及日期，同时加盖供应商公章。</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特别提醒：</w:t>
      </w:r>
      <w:r>
        <w:rPr>
          <w:rFonts w:hint="eastAsia" w:asciiTheme="minorEastAsia" w:hAnsiTheme="minorEastAsia" w:eastAsiaTheme="minorEastAsia" w:cstheme="minorEastAsia"/>
          <w:sz w:val="24"/>
          <w:szCs w:val="24"/>
        </w:rPr>
        <w:t>磋商响应文件中的</w:t>
      </w:r>
      <w:r>
        <w:rPr>
          <w:rFonts w:hint="eastAsia" w:asciiTheme="minorEastAsia" w:hAnsiTheme="minorEastAsia" w:eastAsiaTheme="minorEastAsia" w:cstheme="minorEastAsia"/>
          <w:sz w:val="24"/>
          <w:szCs w:val="24"/>
          <w:highlight w:val="none"/>
        </w:rPr>
        <w:t>“A.”“B.”</w:t>
      </w:r>
      <w:r>
        <w:rPr>
          <w:rFonts w:hint="eastAsia" w:asciiTheme="minorEastAsia" w:hAnsiTheme="minorEastAsia" w:eastAsiaTheme="minorEastAsia" w:cstheme="minorEastAsia"/>
          <w:sz w:val="24"/>
          <w:szCs w:val="24"/>
        </w:rPr>
        <w:t>的“正本”或“副本”中，均不得含有任何商务磋商响应文件中报价表（报价单）的内容，否则作无效磋商处理。</w:t>
      </w:r>
    </w:p>
    <w:p>
      <w:pPr>
        <w:keepNext w:val="0"/>
        <w:keepLines w:val="0"/>
        <w:pageBreakBefore w:val="0"/>
        <w:widowControl w:val="0"/>
        <w:kinsoku/>
        <w:wordWrap/>
        <w:overflowPunct/>
        <w:topLinePunct w:val="0"/>
        <w:autoSpaceDE/>
        <w:autoSpaceDN/>
        <w:bidi w:val="0"/>
        <w:adjustRightInd/>
        <w:snapToGrid w:val="0"/>
        <w:spacing w:line="360" w:lineRule="auto"/>
        <w:ind w:firstLine="472" w:firstLineChars="196"/>
        <w:textAlignment w:val="auto"/>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六、项目涉及到的现场勘察</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磋商文件所提供的项目相关数据仅供参考，根据自身需要，供应商可在磋商响应文件递交日前自行对有关现场和周围环境进行勘察，以获取编制磋商响应文件所需的信息。勘察现场如有费用产生，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2、采购人向供应商提供有关现场的资料和数据，是采购人现有的并认为能使供应商可利用的资料。采购人对供应商由此而做出的推论、理解和结论概不负责。</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3、潜在供应商为响应项目而勘察现场，但不得因此使采购人承担有关的责任和蒙受损失。供应商须承担勘察现场而带来的一切责任及风险。</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供应商应在现场勘察时，熟悉现场及周围交通道路等情况，以获得一切可能影响磋商响应内容的直接资料。供应商成交后，不得以不完全了解现场情况为理由而向采购人提出任何索赔的要求，对此采购人不承担任何责任，并且将不作任何答复。</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jc w:val="left"/>
        <w:textAlignment w:val="auto"/>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七、磋商响应文件内容</w:t>
      </w:r>
    </w:p>
    <w:p>
      <w:pPr>
        <w:keepNext w:val="0"/>
        <w:keepLines w:val="0"/>
        <w:pageBreakBefore w:val="0"/>
        <w:widowControl w:val="0"/>
        <w:kinsoku/>
        <w:wordWrap/>
        <w:overflowPunct/>
        <w:topLinePunct w:val="0"/>
        <w:autoSpaceDE/>
        <w:autoSpaceDN/>
        <w:bidi w:val="0"/>
        <w:adjustRightInd/>
        <w:snapToGrid w:val="0"/>
        <w:spacing w:line="360" w:lineRule="auto"/>
        <w:ind w:firstLine="487" w:firstLineChars="202"/>
        <w:textAlignment w:val="auto"/>
        <w:outlineLvl w:val="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A</w:t>
      </w:r>
      <w:r>
        <w:rPr>
          <w:rFonts w:hint="eastAsia" w:asciiTheme="minorEastAsia" w:hAnsiTheme="minorEastAsia" w:eastAsiaTheme="minorEastAsia" w:cstheme="minorEastAsia"/>
          <w:b/>
          <w:sz w:val="24"/>
          <w:szCs w:val="24"/>
        </w:rPr>
        <w:t>.资格后审材料文件（一个密封包，含一正二副文件）</w:t>
      </w:r>
    </w:p>
    <w:p>
      <w:pPr>
        <w:keepNext w:val="0"/>
        <w:keepLines w:val="0"/>
        <w:pageBreakBefore w:val="0"/>
        <w:widowControl w:val="0"/>
        <w:kinsoku/>
        <w:wordWrap/>
        <w:overflowPunct/>
        <w:topLinePunct w:val="0"/>
        <w:autoSpaceDE/>
        <w:autoSpaceDN/>
        <w:bidi w:val="0"/>
        <w:adjustRightInd/>
        <w:snapToGrid w:val="0"/>
        <w:spacing w:line="360" w:lineRule="auto"/>
        <w:ind w:firstLine="487" w:firstLineChars="202"/>
        <w:textAlignment w:val="auto"/>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【特别提醒】</w:t>
      </w:r>
      <w:r>
        <w:rPr>
          <w:rFonts w:hint="eastAsia" w:asciiTheme="minorEastAsia" w:hAnsiTheme="minorEastAsia" w:eastAsiaTheme="minorEastAsia" w:cstheme="minorEastAsia"/>
          <w:sz w:val="24"/>
          <w:szCs w:val="24"/>
        </w:rPr>
        <w:t>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如发现供应商递交的资格后审材料有弄虚作假行为，该供应商将记入不良记录，并上报有关部门，如已成交，招标采购单位有权取消其成</w:t>
      </w:r>
    </w:p>
    <w:p>
      <w:pPr>
        <w:keepNext w:val="0"/>
        <w:keepLines w:val="0"/>
        <w:pageBreakBefore w:val="0"/>
        <w:widowControl w:val="0"/>
        <w:kinsoku/>
        <w:wordWrap/>
        <w:overflowPunct/>
        <w:topLinePunct w:val="0"/>
        <w:autoSpaceDE/>
        <w:autoSpaceDN/>
        <w:bidi w:val="0"/>
        <w:adjustRightInd/>
        <w:snapToGrid w:val="0"/>
        <w:spacing w:line="360" w:lineRule="auto"/>
        <w:ind w:firstLine="491" w:firstLineChars="205"/>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交资格，并由该供应商承担一切责任和损失。</w:t>
      </w:r>
    </w:p>
    <w:p>
      <w:pPr>
        <w:keepNext w:val="0"/>
        <w:keepLines w:val="0"/>
        <w:pageBreakBefore w:val="0"/>
        <w:widowControl w:val="0"/>
        <w:kinsoku/>
        <w:wordWrap/>
        <w:overflowPunct/>
        <w:topLinePunct w:val="0"/>
        <w:autoSpaceDE/>
        <w:autoSpaceDN/>
        <w:bidi w:val="0"/>
        <w:adjustRightInd/>
        <w:spacing w:line="360" w:lineRule="auto"/>
        <w:ind w:firstLine="484" w:firstLineChars="20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1、提供法人企业《营业执照》（副本）及《税务登记证》（副本，提供新版“三证合一”营业执照的除外）这两项复印件（须加盖公章）；</w:t>
      </w:r>
    </w:p>
    <w:p>
      <w:pPr>
        <w:keepNext w:val="0"/>
        <w:keepLines w:val="0"/>
        <w:pageBreakBefore w:val="0"/>
        <w:widowControl w:val="0"/>
        <w:kinsoku/>
        <w:wordWrap/>
        <w:overflowPunct/>
        <w:topLinePunct w:val="0"/>
        <w:autoSpaceDE/>
        <w:autoSpaceDN/>
        <w:bidi w:val="0"/>
        <w:adjustRightInd/>
        <w:spacing w:line="360" w:lineRule="auto"/>
        <w:ind w:firstLine="484" w:firstLineChars="20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如为法定代表人参加磋商响应的，必须提供法定代表人身份证明及本人身份证这两项原件的复印件。非法定代表人参加磋商响应的，必须提供法定代表人签名或盖章的授权委托书、被委托授权人身份证原件的复印件（须加盖公章）；</w:t>
      </w:r>
    </w:p>
    <w:p>
      <w:pPr>
        <w:keepNext w:val="0"/>
        <w:keepLines w:val="0"/>
        <w:pageBreakBefore w:val="0"/>
        <w:widowControl w:val="0"/>
        <w:kinsoku/>
        <w:wordWrap/>
        <w:overflowPunct/>
        <w:topLinePunct w:val="0"/>
        <w:autoSpaceDE/>
        <w:autoSpaceDN/>
        <w:bidi w:val="0"/>
        <w:adjustRightInd/>
        <w:spacing w:line="360" w:lineRule="auto"/>
        <w:ind w:firstLine="484" w:firstLineChars="20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、供应商须提供参与本次项目政府采购活动前三年内在经营活动中没有重大违法记录的书面《无重大违法记录声明函》（须加盖公章）。</w:t>
      </w:r>
    </w:p>
    <w:p>
      <w:pPr>
        <w:keepNext w:val="0"/>
        <w:keepLines w:val="0"/>
        <w:pageBreakBefore w:val="0"/>
        <w:widowControl w:val="0"/>
        <w:kinsoku/>
        <w:wordWrap/>
        <w:overflowPunct/>
        <w:topLinePunct w:val="0"/>
        <w:autoSpaceDE/>
        <w:autoSpaceDN/>
        <w:bidi w:val="0"/>
        <w:adjustRightInd/>
        <w:spacing w:line="360" w:lineRule="auto"/>
        <w:ind w:firstLine="484" w:firstLineChars="202"/>
        <w:textAlignment w:val="auto"/>
        <w:outlineLvl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、供应商还须提供本磋商文件第八章磋商响应相关格式及</w:t>
      </w:r>
      <w:r>
        <w:rPr>
          <w:rFonts w:hint="eastAsia" w:asciiTheme="minorEastAsia" w:hAnsiTheme="minorEastAsia" w:eastAsiaTheme="minorEastAsia" w:cstheme="minorEastAsia"/>
          <w:sz w:val="24"/>
          <w:szCs w:val="24"/>
          <w:lang w:val="en-US" w:eastAsia="zh-CN"/>
        </w:rPr>
        <w:t>附件二、六（</w:t>
      </w:r>
      <w:r>
        <w:rPr>
          <w:rFonts w:hint="eastAsia" w:asciiTheme="minorEastAsia" w:hAnsiTheme="minorEastAsia" w:eastAsiaTheme="minorEastAsia" w:cstheme="minorEastAsia"/>
          <w:sz w:val="24"/>
          <w:szCs w:val="24"/>
        </w:rPr>
        <w:t>关于资格文件的声明函、供应商一般情况</w:t>
      </w:r>
      <w:r>
        <w:rPr>
          <w:rFonts w:hint="eastAsia" w:asciiTheme="minorEastAsia" w:hAnsiTheme="minorEastAsia" w:eastAsiaTheme="minorEastAsia" w:cstheme="minorEastAsia"/>
          <w:sz w:val="24"/>
          <w:szCs w:val="24"/>
          <w:highlight w:val="none"/>
        </w:rPr>
        <w:t>表</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rPr>
        <w:t>。</w:t>
      </w:r>
    </w:p>
    <w:p>
      <w:pPr>
        <w:keepNext w:val="0"/>
        <w:keepLines w:val="0"/>
        <w:pageBreakBefore w:val="0"/>
        <w:widowControl w:val="0"/>
        <w:kinsoku/>
        <w:wordWrap/>
        <w:overflowPunct/>
        <w:topLinePunct w:val="0"/>
        <w:autoSpaceDE/>
        <w:autoSpaceDN/>
        <w:bidi w:val="0"/>
        <w:adjustRightInd/>
        <w:spacing w:line="360" w:lineRule="auto"/>
        <w:ind w:firstLine="487" w:firstLineChars="202"/>
        <w:textAlignment w:val="auto"/>
        <w:outlineLvl w:val="2"/>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bCs w:val="0"/>
          <w:sz w:val="24"/>
          <w:szCs w:val="24"/>
          <w:highlight w:val="none"/>
          <w:lang w:val="en-US" w:eastAsia="zh-CN"/>
        </w:rPr>
        <w:t>B</w:t>
      </w:r>
      <w:r>
        <w:rPr>
          <w:rFonts w:hint="eastAsia" w:asciiTheme="minorEastAsia" w:hAnsiTheme="minorEastAsia" w:eastAsiaTheme="minorEastAsia" w:cstheme="minorEastAsia"/>
          <w:b/>
          <w:sz w:val="24"/>
          <w:szCs w:val="24"/>
          <w:highlight w:val="none"/>
        </w:rPr>
        <w:t>.技术磋商响应文件（一个密封包，含一正二副文件）：</w:t>
      </w:r>
    </w:p>
    <w:p>
      <w:pPr>
        <w:keepNext w:val="0"/>
        <w:keepLines w:val="0"/>
        <w:pageBreakBefore w:val="0"/>
        <w:widowControl w:val="0"/>
        <w:kinsoku/>
        <w:wordWrap/>
        <w:overflowPunct/>
        <w:topLinePunct w:val="0"/>
        <w:autoSpaceDE/>
        <w:autoSpaceDN/>
        <w:bidi w:val="0"/>
        <w:adjustRightInd/>
        <w:snapToGrid/>
        <w:spacing w:line="360" w:lineRule="auto"/>
        <w:ind w:firstLine="487" w:firstLineChars="202"/>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bCs/>
          <w:sz w:val="24"/>
          <w:szCs w:val="24"/>
          <w:highlight w:val="none"/>
        </w:rPr>
        <w:t>【特别提醒】</w:t>
      </w:r>
      <w:r>
        <w:rPr>
          <w:rFonts w:hint="eastAsia" w:asciiTheme="minorEastAsia" w:hAnsiTheme="minorEastAsia" w:eastAsiaTheme="minorEastAsia" w:cstheme="minorEastAsia"/>
          <w:sz w:val="24"/>
          <w:szCs w:val="24"/>
          <w:highlight w:val="none"/>
        </w:rPr>
        <w:t>供应商应根据本磋商文件第三章“项目需求”提供的主要内容、要求和服务标准等，仔细阅读并在理解的基础上结合第四章“评审方法和程序”内的评审细则，编写编制技术磋商响应文件。以下技术磋商响应文件的内容，不得有缺项或漏项。否则将有可能被视为未实质性响应磋商文件要求而作无效投磋商处理，或可能直接影响技术磋商评审的得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485" w:leftChars="0"/>
        <w:textAlignment w:val="auto"/>
        <w:outlineLvl w:val="3"/>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竞争性磋商响应函；</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2"/>
        <w:textAlignment w:val="auto"/>
        <w:outlineLvl w:val="3"/>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、产品技术响应文件：</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2"/>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（1）对本次</w:t>
      </w:r>
      <w:r>
        <w:rPr>
          <w:rFonts w:hint="eastAsia" w:asciiTheme="minorEastAsia" w:hAnsiTheme="minorEastAsia" w:eastAsiaTheme="minorEastAsia" w:cstheme="minorEastAsia"/>
          <w:sz w:val="24"/>
          <w:szCs w:val="24"/>
          <w:highlight w:val="none"/>
          <w:lang w:val="en-US" w:eastAsia="zh-CN"/>
        </w:rPr>
        <w:t>项目</w:t>
      </w:r>
      <w:r>
        <w:rPr>
          <w:rFonts w:hint="eastAsia" w:asciiTheme="minorEastAsia" w:hAnsiTheme="minorEastAsia" w:eastAsiaTheme="minorEastAsia" w:cstheme="minorEastAsia"/>
          <w:sz w:val="24"/>
          <w:szCs w:val="24"/>
          <w:highlight w:val="none"/>
        </w:rPr>
        <w:t>的技术参数、规格的详细描述的说明（格式自定）：可根据本标书第三章“项目需求”提供的主要技术规范，配置要求和投标产品标准，结合第四章评审方法内的评审细则编写提供详细的</w:t>
      </w:r>
      <w:r>
        <w:rPr>
          <w:rFonts w:hint="eastAsia" w:asciiTheme="minorEastAsia" w:hAnsiTheme="minorEastAsia" w:eastAsiaTheme="minorEastAsia" w:cstheme="minorEastAsia"/>
          <w:sz w:val="24"/>
          <w:szCs w:val="24"/>
          <w:highlight w:val="none"/>
          <w:lang w:val="en-US" w:eastAsia="zh-CN"/>
        </w:rPr>
        <w:t>投标</w:t>
      </w:r>
      <w:r>
        <w:rPr>
          <w:rFonts w:hint="eastAsia" w:asciiTheme="minorEastAsia" w:hAnsiTheme="minorEastAsia" w:eastAsiaTheme="minorEastAsia" w:cstheme="minorEastAsia"/>
          <w:sz w:val="24"/>
          <w:szCs w:val="24"/>
          <w:highlight w:val="none"/>
        </w:rPr>
        <w:t>产品</w:t>
      </w:r>
      <w:r>
        <w:rPr>
          <w:rFonts w:hint="eastAsia" w:asciiTheme="minorEastAsia" w:hAnsiTheme="minorEastAsia" w:eastAsiaTheme="minorEastAsia" w:cstheme="minorEastAsia"/>
          <w:sz w:val="24"/>
          <w:szCs w:val="24"/>
          <w:highlight w:val="none"/>
          <w:lang w:val="en-US" w:eastAsia="zh-CN"/>
        </w:rPr>
        <w:t>设计方案</w:t>
      </w:r>
      <w:r>
        <w:rPr>
          <w:rFonts w:hint="eastAsia" w:asciiTheme="minorEastAsia" w:hAnsiTheme="minorEastAsia" w:eastAsiaTheme="minorEastAsia" w:cstheme="minorEastAsia"/>
          <w:sz w:val="24"/>
          <w:szCs w:val="24"/>
          <w:highlight w:val="none"/>
        </w:rPr>
        <w:t>等以及应提供的资料明细、样品图片等。</w:t>
      </w:r>
      <w:bookmarkStart w:id="72" w:name="_GoBack"/>
      <w:bookmarkEnd w:id="72"/>
    </w:p>
    <w:p>
      <w:pPr>
        <w:keepNext w:val="0"/>
        <w:keepLines w:val="0"/>
        <w:pageBreakBefore w:val="0"/>
        <w:widowControl w:val="0"/>
        <w:kinsoku/>
        <w:wordWrap/>
        <w:overflowPunct/>
        <w:topLinePunct w:val="0"/>
        <w:autoSpaceDE/>
        <w:autoSpaceDN/>
        <w:bidi w:val="0"/>
        <w:adjustRightInd/>
        <w:snapToGrid/>
        <w:spacing w:line="360" w:lineRule="auto"/>
        <w:ind w:firstLine="484" w:firstLineChars="20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rPr>
        <w:t>（2）对本次项目响应的详细</w:t>
      </w:r>
      <w:r>
        <w:rPr>
          <w:rFonts w:hint="eastAsia" w:asciiTheme="minorEastAsia" w:hAnsiTheme="minorEastAsia" w:eastAsiaTheme="minorEastAsia" w:cstheme="minorEastAsia"/>
          <w:sz w:val="24"/>
          <w:szCs w:val="24"/>
        </w:rPr>
        <w:t>说明，与项目需求一致，提供竞标</w:t>
      </w:r>
      <w:r>
        <w:rPr>
          <w:rFonts w:hint="eastAsia" w:asciiTheme="minorEastAsia" w:hAnsiTheme="minorEastAsia" w:eastAsiaTheme="minorEastAsia" w:cstheme="minorEastAsia"/>
          <w:sz w:val="24"/>
          <w:szCs w:val="24"/>
          <w:lang w:val="en-US" w:eastAsia="zh-CN"/>
        </w:rPr>
        <w:t>产品的</w:t>
      </w:r>
      <w:r>
        <w:rPr>
          <w:rFonts w:hint="eastAsia" w:asciiTheme="minorEastAsia" w:hAnsiTheme="minorEastAsia" w:eastAsiaTheme="minorEastAsia" w:cstheme="minorEastAsia"/>
          <w:sz w:val="24"/>
          <w:szCs w:val="24"/>
        </w:rPr>
        <w:t>交货期、付款方式等。</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技术条款响应正负偏离表：</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（1）供应商必须满足磋商文件中针对产品设备提出的全部技术规格与要求，逐一逐条响应填写《技术条款响应正负偏离表》； </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（2）供应商提供的服务与采购人提出的项目需求说明中的技术要求不同，必须在逐一逐条填写响应的《技术条款响应正负偏离表》上明示偏离的部分。</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2"/>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、验收标准及方案：</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应提供明确的</w:t>
      </w:r>
      <w:r>
        <w:rPr>
          <w:rFonts w:hint="eastAsia" w:asciiTheme="minorEastAsia" w:hAnsiTheme="minorEastAsia" w:eastAsiaTheme="minorEastAsia" w:cstheme="minorEastAsia"/>
          <w:sz w:val="24"/>
          <w:szCs w:val="24"/>
          <w:lang w:val="en-US" w:eastAsia="zh-CN"/>
        </w:rPr>
        <w:t>项目</w:t>
      </w:r>
      <w:r>
        <w:rPr>
          <w:rFonts w:hint="eastAsia" w:asciiTheme="minorEastAsia" w:hAnsiTheme="minorEastAsia" w:eastAsiaTheme="minorEastAsia" w:cstheme="minorEastAsia"/>
          <w:sz w:val="24"/>
          <w:szCs w:val="24"/>
        </w:rPr>
        <w:t>质量标准以及验收标准与验收方案，该方案可能在中标后会作为双方合同文件内的验收条款依据。</w:t>
      </w:r>
    </w:p>
    <w:p>
      <w:pPr>
        <w:keepNext w:val="0"/>
        <w:keepLines w:val="0"/>
        <w:pageBreakBefore w:val="0"/>
        <w:widowControl w:val="0"/>
        <w:kinsoku/>
        <w:wordWrap/>
        <w:overflowPunct/>
        <w:topLinePunct w:val="0"/>
        <w:autoSpaceDE/>
        <w:autoSpaceDN/>
        <w:bidi w:val="0"/>
        <w:adjustRightInd/>
        <w:spacing w:line="360" w:lineRule="auto"/>
        <w:ind w:firstLine="487" w:firstLineChars="202"/>
        <w:textAlignment w:val="auto"/>
        <w:outlineLvl w:val="2"/>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C</w:t>
      </w:r>
      <w:r>
        <w:rPr>
          <w:rFonts w:hint="eastAsia" w:asciiTheme="minorEastAsia" w:hAnsiTheme="minorEastAsia" w:eastAsiaTheme="minorEastAsia" w:cstheme="minorEastAsia"/>
          <w:b/>
          <w:sz w:val="24"/>
          <w:szCs w:val="24"/>
        </w:rPr>
        <w:t>.商务磋商响应文件（一个密封包，含一正二副文件）（格式参见</w:t>
      </w:r>
      <w:r>
        <w:rPr>
          <w:rFonts w:hint="eastAsia" w:asciiTheme="minorEastAsia" w:hAnsiTheme="minorEastAsia" w:eastAsiaTheme="minorEastAsia" w:cstheme="minorEastAsia"/>
          <w:b/>
          <w:sz w:val="24"/>
          <w:szCs w:val="24"/>
          <w:lang w:val="en-US" w:eastAsia="zh-CN"/>
        </w:rPr>
        <w:t>附件五、六</w:t>
      </w:r>
      <w:r>
        <w:rPr>
          <w:rFonts w:hint="eastAsia" w:asciiTheme="minorEastAsia" w:hAnsiTheme="minorEastAsia" w:eastAsiaTheme="minorEastAsia" w:cstheme="minorEastAsia"/>
          <w:b/>
          <w:sz w:val="24"/>
          <w:szCs w:val="24"/>
        </w:rPr>
        <w:t>）：</w:t>
      </w:r>
    </w:p>
    <w:p>
      <w:pPr>
        <w:keepNext w:val="0"/>
        <w:keepLines w:val="0"/>
        <w:pageBreakBefore w:val="0"/>
        <w:widowControl w:val="0"/>
        <w:kinsoku/>
        <w:wordWrap/>
        <w:overflowPunct/>
        <w:topLinePunct w:val="0"/>
        <w:autoSpaceDE/>
        <w:autoSpaceDN/>
        <w:bidi w:val="0"/>
        <w:adjustRightInd/>
        <w:spacing w:line="360" w:lineRule="auto"/>
        <w:ind w:firstLine="487" w:firstLineChars="20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【特别提醒】</w:t>
      </w:r>
      <w:r>
        <w:rPr>
          <w:rFonts w:hint="eastAsia" w:asciiTheme="minorEastAsia" w:hAnsiTheme="minorEastAsia" w:eastAsiaTheme="minorEastAsia" w:cstheme="minorEastAsia"/>
          <w:sz w:val="24"/>
          <w:szCs w:val="24"/>
        </w:rPr>
        <w:t>商务磋商响应文件中的报价，包括本磋商文件规定涵盖的所有招标范围及相应说明的全部内容涉及到的费用。本次磋商采购项目的商务付款方式要求，必须全部响应不得有任何负偏离，且不接受任何意在更改的说明，否则作无效磋商处理。供应商成交后如据此提出疑义，不履行签订合同等下一步工作，采购人有权没收其全额磋商保证金并取消其成交资格。</w:t>
      </w:r>
    </w:p>
    <w:p>
      <w:pPr>
        <w:keepNext w:val="0"/>
        <w:keepLines w:val="0"/>
        <w:pageBreakBefore w:val="0"/>
        <w:widowControl w:val="0"/>
        <w:kinsoku/>
        <w:wordWrap/>
        <w:overflowPunct/>
        <w:topLinePunct w:val="0"/>
        <w:autoSpaceDE/>
        <w:autoSpaceDN/>
        <w:bidi w:val="0"/>
        <w:adjustRightInd/>
        <w:spacing w:line="360" w:lineRule="auto"/>
        <w:ind w:firstLine="484" w:firstLineChars="202"/>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1、磋商响应报价（首次）总表（格式）；</w:t>
      </w:r>
    </w:p>
    <w:p>
      <w:pPr>
        <w:keepNext w:val="0"/>
        <w:keepLines w:val="0"/>
        <w:pageBreakBefore w:val="0"/>
        <w:widowControl w:val="0"/>
        <w:kinsoku/>
        <w:wordWrap/>
        <w:overflowPunct/>
        <w:topLinePunct w:val="0"/>
        <w:autoSpaceDE/>
        <w:autoSpaceDN/>
        <w:bidi w:val="0"/>
        <w:adjustRightInd/>
        <w:spacing w:line="360" w:lineRule="auto"/>
        <w:ind w:firstLine="484" w:firstLineChars="202"/>
        <w:textAlignment w:val="auto"/>
        <w:outlineLvl w:val="3"/>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2、磋商响应报价明细表。</w:t>
      </w:r>
    </w:p>
    <w:p>
      <w:pPr>
        <w:keepNext w:val="0"/>
        <w:keepLines w:val="0"/>
        <w:pageBreakBefore w:val="0"/>
        <w:widowControl w:val="0"/>
        <w:kinsoku/>
        <w:wordWrap/>
        <w:overflowPunct/>
        <w:topLinePunct w:val="0"/>
        <w:autoSpaceDE/>
        <w:autoSpaceDN/>
        <w:bidi w:val="0"/>
        <w:adjustRightInd/>
        <w:snapToGrid w:val="0"/>
        <w:spacing w:line="360" w:lineRule="auto"/>
        <w:ind w:firstLine="496" w:firstLineChars="206"/>
        <w:textAlignment w:val="auto"/>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八、联合体</w:t>
      </w:r>
    </w:p>
    <w:p>
      <w:pPr>
        <w:keepNext w:val="0"/>
        <w:keepLines w:val="0"/>
        <w:pageBreakBefore w:val="0"/>
        <w:widowControl w:val="0"/>
        <w:kinsoku/>
        <w:wordWrap/>
        <w:overflowPunct/>
        <w:topLinePunct w:val="0"/>
        <w:autoSpaceDE/>
        <w:autoSpaceDN/>
        <w:bidi w:val="0"/>
        <w:adjustRightInd/>
        <w:snapToGrid w:val="0"/>
        <w:spacing w:line="360" w:lineRule="auto"/>
        <w:ind w:firstLine="484" w:firstLineChars="202"/>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本项目不接受多个供应商组成联合体参与磋商响应。</w:t>
      </w:r>
    </w:p>
    <w:p>
      <w:pPr>
        <w:keepNext w:val="0"/>
        <w:keepLines w:val="0"/>
        <w:pageBreakBefore w:val="0"/>
        <w:widowControl w:val="0"/>
        <w:numPr>
          <w:ilvl w:val="0"/>
          <w:numId w:val="1"/>
        </w:numPr>
        <w:kinsoku/>
        <w:wordWrap/>
        <w:overflowPunct/>
        <w:topLinePunct w:val="0"/>
        <w:autoSpaceDE/>
        <w:autoSpaceDN/>
        <w:bidi w:val="0"/>
        <w:adjustRightInd/>
        <w:snapToGrid w:val="0"/>
        <w:spacing w:line="360" w:lineRule="auto"/>
        <w:ind w:firstLine="487" w:firstLineChars="202"/>
        <w:textAlignment w:val="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磋商响应文件递交时间及地址</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供应商必须在2019年</w:t>
      </w:r>
      <w:r>
        <w:rPr>
          <w:rFonts w:hint="eastAsia" w:asciiTheme="minorEastAsia" w:hAnsiTheme="minorEastAsia" w:eastAsiaTheme="minorEastAsia" w:cstheme="minorEastAsia"/>
          <w:color w:val="000000"/>
          <w:sz w:val="24"/>
          <w:szCs w:val="24"/>
          <w:highlight w:val="none"/>
          <w:lang w:val="en-US" w:eastAsia="zh-CN"/>
        </w:rPr>
        <w:t>9</w:t>
      </w:r>
      <w:r>
        <w:rPr>
          <w:rFonts w:hint="eastAsia" w:asciiTheme="minorEastAsia" w:hAnsiTheme="minorEastAsia" w:eastAsiaTheme="minorEastAsia" w:cstheme="minorEastAsia"/>
          <w:color w:val="000000"/>
          <w:sz w:val="24"/>
          <w:szCs w:val="24"/>
          <w:highlight w:val="none"/>
        </w:rPr>
        <w:t>月</w:t>
      </w:r>
      <w:r>
        <w:rPr>
          <w:rFonts w:hint="eastAsia" w:asciiTheme="minorEastAsia" w:hAnsiTheme="minorEastAsia" w:eastAsiaTheme="minorEastAsia" w:cstheme="minorEastAsia"/>
          <w:color w:val="000000"/>
          <w:sz w:val="24"/>
          <w:szCs w:val="24"/>
          <w:highlight w:val="none"/>
          <w:lang w:val="en-US" w:eastAsia="zh-CN"/>
        </w:rPr>
        <w:t>2</w:t>
      </w:r>
      <w:r>
        <w:rPr>
          <w:rFonts w:hint="eastAsia" w:asciiTheme="minorEastAsia" w:hAnsiTheme="minorEastAsia" w:eastAsiaTheme="minorEastAsia" w:cstheme="minorEastAsia"/>
          <w:color w:val="000000"/>
          <w:sz w:val="24"/>
          <w:szCs w:val="24"/>
          <w:highlight w:val="none"/>
        </w:rPr>
        <w:t>日</w:t>
      </w:r>
      <w:r>
        <w:rPr>
          <w:rFonts w:hint="eastAsia" w:asciiTheme="minorEastAsia" w:hAnsiTheme="minorEastAsia" w:eastAsiaTheme="minorEastAsia" w:cstheme="minorEastAsia"/>
          <w:color w:val="000000"/>
          <w:sz w:val="24"/>
          <w:szCs w:val="24"/>
          <w:highlight w:val="none"/>
          <w:lang w:val="en-US" w:eastAsia="zh-CN"/>
        </w:rPr>
        <w:t>上</w:t>
      </w:r>
      <w:r>
        <w:rPr>
          <w:rFonts w:hint="eastAsia" w:asciiTheme="minorEastAsia" w:hAnsiTheme="minorEastAsia" w:eastAsiaTheme="minorEastAsia" w:cstheme="minorEastAsia"/>
          <w:color w:val="000000"/>
          <w:sz w:val="24"/>
          <w:szCs w:val="24"/>
          <w:highlight w:val="none"/>
        </w:rPr>
        <w:t>午</w:t>
      </w:r>
      <w:r>
        <w:rPr>
          <w:rFonts w:hint="eastAsia" w:asciiTheme="minorEastAsia" w:hAnsiTheme="minorEastAsia" w:eastAsiaTheme="minorEastAsia" w:cstheme="minorEastAsia"/>
          <w:color w:val="000000"/>
          <w:sz w:val="24"/>
          <w:szCs w:val="24"/>
          <w:highlight w:val="none"/>
          <w:lang w:val="en-US" w:eastAsia="zh-CN"/>
        </w:rPr>
        <w:t>9</w:t>
      </w:r>
      <w:r>
        <w:rPr>
          <w:rFonts w:hint="eastAsia" w:asciiTheme="minorEastAsia" w:hAnsiTheme="minorEastAsia" w:eastAsiaTheme="minorEastAsia" w:cstheme="minorEastAsia"/>
          <w:color w:val="000000"/>
          <w:sz w:val="24"/>
          <w:szCs w:val="24"/>
          <w:highlight w:val="none"/>
        </w:rPr>
        <w:t>:30分</w:t>
      </w:r>
      <w:r>
        <w:rPr>
          <w:rFonts w:hint="eastAsia" w:asciiTheme="minorEastAsia" w:hAnsiTheme="minorEastAsia" w:eastAsiaTheme="minorEastAsia" w:cstheme="minorEastAsia"/>
          <w:color w:val="000000"/>
          <w:sz w:val="24"/>
          <w:szCs w:val="24"/>
          <w:highlight w:val="none"/>
          <w:lang w:val="en-US" w:eastAsia="zh-CN"/>
        </w:rPr>
        <w:t>前</w:t>
      </w:r>
      <w:r>
        <w:rPr>
          <w:rFonts w:hint="eastAsia" w:asciiTheme="minorEastAsia" w:hAnsiTheme="minorEastAsia" w:eastAsiaTheme="minorEastAsia" w:cstheme="minorEastAsia"/>
          <w:sz w:val="24"/>
          <w:szCs w:val="24"/>
          <w:highlight w:val="none"/>
        </w:rPr>
        <w:t>，将磋商响应文件送达指定地点，拒绝接收在截止时间后递交的磋商响应文件。地址：</w:t>
      </w:r>
      <w:r>
        <w:rPr>
          <w:rFonts w:hint="eastAsia" w:asciiTheme="minorEastAsia" w:hAnsiTheme="minorEastAsia" w:eastAsiaTheme="minorEastAsia" w:cstheme="minorEastAsia"/>
          <w:kern w:val="0"/>
          <w:sz w:val="24"/>
          <w:szCs w:val="24"/>
          <w:highlight w:val="none"/>
          <w:lang w:val="en-US" w:eastAsia="zh-CN"/>
        </w:rPr>
        <w:t>南通市紫琅第一小学会议室；</w:t>
      </w:r>
      <w:r>
        <w:rPr>
          <w:rFonts w:hint="eastAsia" w:asciiTheme="minorEastAsia" w:hAnsiTheme="minorEastAsia" w:eastAsiaTheme="minorEastAsia" w:cstheme="minorEastAsia"/>
          <w:color w:val="000000"/>
          <w:sz w:val="24"/>
          <w:szCs w:val="24"/>
          <w:highlight w:val="none"/>
        </w:rPr>
        <w:t>如有变动另行通知。</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十、供货安装期</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1"/>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highlight w:val="none"/>
        </w:rPr>
        <w:t>自合同签订并生效后的次日起</w:t>
      </w:r>
      <w:r>
        <w:rPr>
          <w:rFonts w:hint="eastAsia" w:asciiTheme="minorEastAsia" w:hAnsiTheme="minorEastAsia" w:eastAsiaTheme="minorEastAsia" w:cstheme="minorEastAsia"/>
          <w:color w:val="000000"/>
          <w:sz w:val="24"/>
          <w:szCs w:val="24"/>
          <w:highlight w:val="none"/>
          <w:u w:val="single"/>
          <w:lang w:val="en-US" w:eastAsia="zh-CN"/>
        </w:rPr>
        <w:t xml:space="preserve"> 5 </w:t>
      </w:r>
      <w:r>
        <w:rPr>
          <w:rFonts w:hint="eastAsia" w:asciiTheme="minorEastAsia" w:hAnsiTheme="minorEastAsia" w:eastAsiaTheme="minorEastAsia" w:cstheme="minorEastAsia"/>
          <w:color w:val="000000"/>
          <w:sz w:val="24"/>
          <w:szCs w:val="24"/>
          <w:highlight w:val="none"/>
        </w:rPr>
        <w:t>个日历天内完成加工制作并送至采购人指</w:t>
      </w:r>
      <w:r>
        <w:rPr>
          <w:rFonts w:hint="eastAsia" w:asciiTheme="minorEastAsia" w:hAnsiTheme="minorEastAsia" w:eastAsiaTheme="minorEastAsia" w:cstheme="minorEastAsia"/>
          <w:color w:val="000000"/>
          <w:sz w:val="24"/>
          <w:szCs w:val="24"/>
        </w:rPr>
        <w:t>定地点安装完成。</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1"/>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十</w:t>
      </w:r>
      <w:r>
        <w:rPr>
          <w:rFonts w:hint="eastAsia" w:asciiTheme="minorEastAsia" w:hAnsiTheme="minorEastAsia" w:eastAsiaTheme="minorEastAsia" w:cstheme="minorEastAsia"/>
          <w:b/>
          <w:bCs/>
          <w:sz w:val="24"/>
          <w:szCs w:val="24"/>
          <w:lang w:val="en-US" w:eastAsia="zh-CN"/>
        </w:rPr>
        <w:t>一</w:t>
      </w:r>
      <w:r>
        <w:rPr>
          <w:rFonts w:hint="eastAsia" w:asciiTheme="minorEastAsia" w:hAnsiTheme="minorEastAsia" w:eastAsiaTheme="minorEastAsia" w:cstheme="minorEastAsia"/>
          <w:b/>
          <w:bCs/>
          <w:sz w:val="24"/>
          <w:szCs w:val="24"/>
        </w:rPr>
        <w:t>、磋商报价</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1、本项目不接受任何有选择的报价。</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2、磋商报价均以人民币为报价的货币单位。</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3、报价表必须加盖供应商公章且必须经法定代表人或被委托授权人签署。总价和明细价的大小写金额必须一致，若有差异，以大写为准。</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4、报价总价金额与按单价汇总金额不一致的，以单价金额计算结果为准。</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5、磋商响应报价应包含：</w:t>
      </w:r>
      <w:r>
        <w:rPr>
          <w:rFonts w:hint="eastAsia" w:asciiTheme="minorEastAsia" w:hAnsiTheme="minorEastAsia" w:eastAsiaTheme="minorEastAsia" w:cstheme="minorEastAsia"/>
          <w:sz w:val="24"/>
          <w:szCs w:val="24"/>
          <w:highlight w:val="none"/>
          <w:lang w:val="en-US" w:eastAsia="zh-CN"/>
        </w:rPr>
        <w:t>本</w:t>
      </w:r>
      <w:r>
        <w:rPr>
          <w:rFonts w:hint="eastAsia" w:asciiTheme="minorEastAsia" w:hAnsiTheme="minorEastAsia" w:eastAsiaTheme="minorEastAsia" w:cstheme="minorEastAsia"/>
          <w:sz w:val="24"/>
          <w:szCs w:val="24"/>
          <w:highlight w:val="none"/>
        </w:rPr>
        <w:t>项目所发生的全部费用，以及供应商企业利润、税金和政策性文件规定及合同包含的所有风险、责任等，即招标物交付使用前的所有费用以及免保期内的服务费用等包含响应招标文件采购要求的所有各项应有费用。</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6、除非因特殊原因并经买卖双方协商同意，成交的供应商（以下称成交人）不得再要求追加任何费用。同时，除非合同条款中另有规定，否则，成交人的成交价在合同实施期间不因市场变化因素而变动。</w:t>
      </w:r>
    </w:p>
    <w:p>
      <w:pPr>
        <w:keepNext w:val="0"/>
        <w:keepLines w:val="0"/>
        <w:pageBreakBefore w:val="0"/>
        <w:widowControl w:val="0"/>
        <w:kinsoku/>
        <w:wordWrap/>
        <w:overflowPunct/>
        <w:topLinePunct w:val="0"/>
        <w:autoSpaceDE/>
        <w:autoSpaceDN/>
        <w:bidi w:val="0"/>
        <w:adjustRightInd/>
        <w:snapToGrid w:val="0"/>
        <w:spacing w:line="360" w:lineRule="auto"/>
        <w:ind w:firstLine="496" w:firstLineChars="206"/>
        <w:textAlignment w:val="auto"/>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w:t>
      </w:r>
      <w:r>
        <w:rPr>
          <w:rFonts w:hint="eastAsia" w:asciiTheme="minorEastAsia" w:hAnsiTheme="minorEastAsia" w:eastAsiaTheme="minorEastAsia" w:cstheme="minorEastAsia"/>
          <w:b/>
          <w:sz w:val="24"/>
          <w:szCs w:val="24"/>
          <w:lang w:val="en-US" w:eastAsia="zh-CN"/>
        </w:rPr>
        <w:t>二</w:t>
      </w:r>
      <w:r>
        <w:rPr>
          <w:rFonts w:hint="eastAsia" w:asciiTheme="minorEastAsia" w:hAnsiTheme="minorEastAsia" w:eastAsiaTheme="minorEastAsia" w:cstheme="minorEastAsia"/>
          <w:b/>
          <w:sz w:val="24"/>
          <w:szCs w:val="24"/>
        </w:rPr>
        <w:t>、磋商费用</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无论磋商过程和结果如何，供应商自行承担与本项目磋商有关的全部费用。</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1"/>
        <w:rPr>
          <w:rFonts w:hint="eastAsia"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b/>
          <w:bCs/>
          <w:sz w:val="24"/>
          <w:szCs w:val="24"/>
          <w:lang w:val="zh-CN"/>
        </w:rPr>
        <w:t>十</w:t>
      </w:r>
      <w:r>
        <w:rPr>
          <w:rFonts w:hint="eastAsia" w:asciiTheme="minorEastAsia" w:hAnsiTheme="minorEastAsia" w:eastAsiaTheme="minorEastAsia" w:cstheme="minorEastAsia"/>
          <w:b/>
          <w:bCs/>
          <w:sz w:val="24"/>
          <w:szCs w:val="24"/>
          <w:lang w:val="en-US" w:eastAsia="zh-CN"/>
        </w:rPr>
        <w:t>三</w:t>
      </w:r>
      <w:r>
        <w:rPr>
          <w:rFonts w:hint="eastAsia" w:asciiTheme="minorEastAsia" w:hAnsiTheme="minorEastAsia" w:eastAsiaTheme="minorEastAsia" w:cstheme="minorEastAsia"/>
          <w:b/>
          <w:bCs/>
          <w:sz w:val="24"/>
          <w:szCs w:val="24"/>
          <w:lang w:val="zh-CN"/>
        </w:rPr>
        <w:t>、</w:t>
      </w:r>
      <w:r>
        <w:rPr>
          <w:rFonts w:hint="eastAsia" w:asciiTheme="minorEastAsia" w:hAnsiTheme="minorEastAsia" w:eastAsiaTheme="minorEastAsia" w:cstheme="minorEastAsia"/>
          <w:b/>
          <w:bCs/>
          <w:sz w:val="24"/>
          <w:szCs w:val="24"/>
        </w:rPr>
        <w:t>磋商</w:t>
      </w:r>
      <w:r>
        <w:rPr>
          <w:rFonts w:hint="eastAsia" w:asciiTheme="minorEastAsia" w:hAnsiTheme="minorEastAsia" w:eastAsiaTheme="minorEastAsia" w:cstheme="minorEastAsia"/>
          <w:b/>
          <w:bCs/>
          <w:sz w:val="24"/>
          <w:szCs w:val="24"/>
          <w:lang w:val="zh-CN"/>
        </w:rPr>
        <w:t>保证金</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1、本项目磋商保证金为：</w:t>
      </w:r>
      <w:r>
        <w:rPr>
          <w:rFonts w:hint="eastAsia" w:asciiTheme="minorEastAsia" w:hAnsiTheme="minorEastAsia" w:eastAsiaTheme="minorEastAsia" w:cstheme="minorEastAsia"/>
          <w:b/>
          <w:sz w:val="24"/>
          <w:szCs w:val="24"/>
        </w:rPr>
        <w:t>人民币</w:t>
      </w:r>
      <w:r>
        <w:rPr>
          <w:rFonts w:hint="eastAsia" w:asciiTheme="minorEastAsia" w:hAnsiTheme="minorEastAsia" w:eastAsiaTheme="minorEastAsia" w:cstheme="minorEastAsia"/>
          <w:b/>
          <w:sz w:val="24"/>
          <w:szCs w:val="24"/>
          <w:lang w:val="en-US" w:eastAsia="zh-CN"/>
        </w:rPr>
        <w:t>壹</w:t>
      </w:r>
      <w:r>
        <w:rPr>
          <w:rFonts w:hint="eastAsia" w:asciiTheme="minorEastAsia" w:hAnsiTheme="minorEastAsia" w:eastAsiaTheme="minorEastAsia" w:cstheme="minorEastAsia"/>
          <w:b/>
          <w:sz w:val="24"/>
          <w:szCs w:val="24"/>
        </w:rPr>
        <w:t>仟圆整（¥</w:t>
      </w:r>
      <w:r>
        <w:rPr>
          <w:rFonts w:hint="eastAsia" w:asciiTheme="minorEastAsia" w:hAnsiTheme="minorEastAsia" w:eastAsiaTheme="minorEastAsia" w:cstheme="minorEastAsia"/>
          <w:b/>
          <w:sz w:val="24"/>
          <w:szCs w:val="24"/>
          <w:lang w:val="en-US" w:eastAsia="zh-CN"/>
        </w:rPr>
        <w:t>1</w:t>
      </w:r>
      <w:r>
        <w:rPr>
          <w:rFonts w:hint="eastAsia" w:asciiTheme="minorEastAsia" w:hAnsiTheme="minorEastAsia" w:eastAsiaTheme="minorEastAsia" w:cstheme="minorEastAsia"/>
          <w:b/>
          <w:sz w:val="24"/>
          <w:szCs w:val="24"/>
        </w:rPr>
        <w:t>000.00元）</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2、供应商交纳的</w:t>
      </w:r>
      <w:r>
        <w:rPr>
          <w:rFonts w:hint="eastAsia" w:asciiTheme="minorEastAsia" w:hAnsiTheme="minorEastAsia" w:eastAsiaTheme="minorEastAsia" w:cstheme="minorEastAsia"/>
          <w:sz w:val="24"/>
          <w:szCs w:val="24"/>
          <w:highlight w:val="none"/>
        </w:rPr>
        <w:t>磋商保证金</w:t>
      </w:r>
      <w:r>
        <w:rPr>
          <w:rFonts w:hint="eastAsia" w:asciiTheme="minorEastAsia" w:hAnsiTheme="minorEastAsia" w:eastAsiaTheme="minorEastAsia" w:cstheme="minorEastAsia"/>
          <w:sz w:val="24"/>
          <w:szCs w:val="24"/>
          <w:highlight w:val="none"/>
          <w:u w:val="thick"/>
        </w:rPr>
        <w:t xml:space="preserve">  仅限</w:t>
      </w:r>
      <w:r>
        <w:rPr>
          <w:rFonts w:hint="eastAsia" w:asciiTheme="minorEastAsia" w:hAnsiTheme="minorEastAsia" w:eastAsiaTheme="minorEastAsia" w:cstheme="minorEastAsia"/>
          <w:sz w:val="24"/>
          <w:szCs w:val="24"/>
          <w:highlight w:val="none"/>
          <w:u w:val="thick"/>
          <w:lang w:val="en-US" w:eastAsia="zh-CN"/>
        </w:rPr>
        <w:t>现金（信封密封）</w:t>
      </w:r>
      <w:r>
        <w:rPr>
          <w:rFonts w:hint="eastAsia" w:asciiTheme="minorEastAsia" w:hAnsiTheme="minorEastAsia" w:eastAsiaTheme="minorEastAsia" w:cstheme="minorEastAsia"/>
          <w:b/>
          <w:sz w:val="24"/>
          <w:szCs w:val="24"/>
          <w:highlight w:val="none"/>
          <w:u w:val="thick"/>
        </w:rPr>
        <w:t xml:space="preserve"> </w:t>
      </w:r>
      <w:r>
        <w:rPr>
          <w:rFonts w:hint="eastAsia" w:asciiTheme="minorEastAsia" w:hAnsiTheme="minorEastAsia" w:eastAsiaTheme="minorEastAsia" w:cstheme="minorEastAsia"/>
          <w:sz w:val="24"/>
          <w:szCs w:val="24"/>
          <w:highlight w:val="none"/>
        </w:rPr>
        <w:t>的形式（其他形式概不</w:t>
      </w:r>
      <w:r>
        <w:rPr>
          <w:rFonts w:hint="eastAsia" w:asciiTheme="minorEastAsia" w:hAnsiTheme="minorEastAsia" w:eastAsiaTheme="minorEastAsia" w:cstheme="minorEastAsia"/>
          <w:sz w:val="24"/>
          <w:szCs w:val="24"/>
        </w:rPr>
        <w:t>接收）带至磋商现场,在递交磋商响应文件时交给采购代理机构。</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3、未按上述要求提交磋商保证金的供应商，招标采购单位有权拒绝其磋商响应文件。</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4、未成交供应商其磋商保证金，当场退还。成交人的磋商保证金将在与采购人签订的合同生效后的</w:t>
      </w:r>
      <w:r>
        <w:rPr>
          <w:rFonts w:hint="eastAsia" w:asciiTheme="minorEastAsia" w:hAnsiTheme="minorEastAsia" w:eastAsiaTheme="minorEastAsia" w:cstheme="minorEastAsia"/>
          <w:b/>
          <w:sz w:val="24"/>
          <w:szCs w:val="24"/>
          <w:u w:val="single"/>
        </w:rPr>
        <w:t xml:space="preserve">  5  </w:t>
      </w:r>
      <w:r>
        <w:rPr>
          <w:rFonts w:hint="eastAsia" w:asciiTheme="minorEastAsia" w:hAnsiTheme="minorEastAsia" w:eastAsiaTheme="minorEastAsia" w:cstheme="minorEastAsia"/>
          <w:sz w:val="24"/>
          <w:szCs w:val="24"/>
        </w:rPr>
        <w:t>个工作日内 ，予以退还（无息）。</w:t>
      </w:r>
    </w:p>
    <w:p>
      <w:pPr>
        <w:keepNext w:val="0"/>
        <w:keepLines w:val="0"/>
        <w:pageBreakBefore w:val="0"/>
        <w:widowControl w:val="0"/>
        <w:kinsoku/>
        <w:wordWrap/>
        <w:overflowPunct/>
        <w:topLinePunct w:val="0"/>
        <w:autoSpaceDE/>
        <w:autoSpaceDN/>
        <w:bidi w:val="0"/>
        <w:adjustRightInd/>
        <w:snapToGrid w:val="0"/>
        <w:spacing w:line="360" w:lineRule="auto"/>
        <w:ind w:firstLine="494" w:firstLineChars="206"/>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5、发生下列情况之一，磋商保证金将不予退还。</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（1）供应商在提交磋商响应文件截止时间后撤回磋商响应文件的；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（2）供应商与采购人、其他供应商或者采购代理机构恶意串通的；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（3）除因不可抗力或磋商文件认可的情形以外，成交人不与采购人签订合同的；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（4）供应商在磋商过程中有违反有关法律法规的行为；</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1"/>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（5）磋商文件规定的其他情形。</w:t>
      </w:r>
    </w:p>
    <w:p>
      <w:pPr>
        <w:keepNext w:val="0"/>
        <w:keepLines w:val="0"/>
        <w:pageBreakBefore w:val="0"/>
        <w:widowControl w:val="0"/>
        <w:kinsoku/>
        <w:wordWrap/>
        <w:overflowPunct/>
        <w:topLinePunct w:val="0"/>
        <w:autoSpaceDE/>
        <w:autoSpaceDN/>
        <w:bidi w:val="0"/>
        <w:adjustRightInd/>
        <w:snapToGrid w:val="0"/>
        <w:spacing w:line="360" w:lineRule="auto"/>
        <w:ind w:firstLine="496" w:firstLineChars="206"/>
        <w:textAlignment w:val="auto"/>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w:t>
      </w:r>
      <w:r>
        <w:rPr>
          <w:rFonts w:hint="eastAsia" w:asciiTheme="minorEastAsia" w:hAnsiTheme="minorEastAsia" w:eastAsiaTheme="minorEastAsia" w:cstheme="minorEastAsia"/>
          <w:b/>
          <w:sz w:val="24"/>
          <w:szCs w:val="24"/>
          <w:lang w:val="en-US" w:eastAsia="zh-CN"/>
        </w:rPr>
        <w:t>四</w:t>
      </w:r>
      <w:r>
        <w:rPr>
          <w:rFonts w:hint="eastAsia" w:asciiTheme="minorEastAsia" w:hAnsiTheme="minorEastAsia" w:eastAsiaTheme="minorEastAsia" w:cstheme="minorEastAsia"/>
          <w:b/>
          <w:sz w:val="24"/>
          <w:szCs w:val="24"/>
        </w:rPr>
        <w:t>、履约保证金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bCs/>
          <w:color w:val="000000"/>
          <w:sz w:val="24"/>
          <w:szCs w:val="24"/>
          <w:highlight w:val="none"/>
          <w:lang w:val="zh-CN"/>
        </w:rPr>
      </w:pPr>
      <w:r>
        <w:rPr>
          <w:rFonts w:hint="eastAsia" w:asciiTheme="minorEastAsia" w:hAnsiTheme="minorEastAsia" w:eastAsiaTheme="minorEastAsia" w:cstheme="minorEastAsia"/>
          <w:bCs/>
          <w:sz w:val="24"/>
          <w:szCs w:val="24"/>
          <w:lang w:val="zh-CN"/>
        </w:rPr>
        <w:t>1、本项目成交后的履约</w:t>
      </w:r>
      <w:r>
        <w:rPr>
          <w:rFonts w:hint="eastAsia" w:asciiTheme="minorEastAsia" w:hAnsiTheme="minorEastAsia" w:eastAsiaTheme="minorEastAsia" w:cstheme="minorEastAsia"/>
          <w:bCs/>
          <w:sz w:val="24"/>
          <w:szCs w:val="24"/>
        </w:rPr>
        <w:t>保证金</w:t>
      </w:r>
      <w:r>
        <w:rPr>
          <w:rFonts w:hint="eastAsia" w:asciiTheme="minorEastAsia" w:hAnsiTheme="minorEastAsia" w:eastAsiaTheme="minorEastAsia" w:cstheme="minorEastAsia"/>
          <w:bCs/>
          <w:sz w:val="24"/>
          <w:szCs w:val="24"/>
          <w:lang w:val="zh-CN"/>
        </w:rPr>
        <w:t>为项目合同总</w:t>
      </w:r>
      <w:r>
        <w:rPr>
          <w:rFonts w:hint="eastAsia" w:asciiTheme="minorEastAsia" w:hAnsiTheme="minorEastAsia" w:eastAsiaTheme="minorEastAsia" w:cstheme="minorEastAsia"/>
          <w:bCs/>
          <w:sz w:val="24"/>
          <w:szCs w:val="24"/>
          <w:highlight w:val="none"/>
          <w:lang w:val="zh-CN"/>
        </w:rPr>
        <w:t>价款的</w:t>
      </w:r>
      <w:r>
        <w:rPr>
          <w:rFonts w:hint="eastAsia" w:asciiTheme="minorEastAsia" w:hAnsiTheme="minorEastAsia" w:eastAsiaTheme="minorEastAsia" w:cstheme="minorEastAsia"/>
          <w:bCs/>
          <w:sz w:val="24"/>
          <w:szCs w:val="24"/>
          <w:highlight w:val="none"/>
          <w:u w:val="single"/>
          <w:lang w:val="zh-CN"/>
        </w:rPr>
        <w:t xml:space="preserve"> </w:t>
      </w:r>
      <w:r>
        <w:rPr>
          <w:rFonts w:hint="eastAsia" w:asciiTheme="minorEastAsia" w:hAnsiTheme="minorEastAsia" w:eastAsiaTheme="minorEastAsia" w:cstheme="minorEastAsia"/>
          <w:bCs/>
          <w:color w:val="000000"/>
          <w:sz w:val="24"/>
          <w:szCs w:val="24"/>
          <w:highlight w:val="none"/>
          <w:u w:val="single"/>
          <w:lang w:val="zh-CN"/>
        </w:rPr>
        <w:t xml:space="preserve"> </w:t>
      </w:r>
      <w:r>
        <w:rPr>
          <w:rFonts w:hint="eastAsia" w:asciiTheme="minorEastAsia" w:hAnsiTheme="minorEastAsia" w:eastAsiaTheme="minorEastAsia" w:cstheme="minorEastAsia"/>
          <w:b/>
          <w:bCs/>
          <w:color w:val="000000"/>
          <w:sz w:val="24"/>
          <w:szCs w:val="24"/>
          <w:highlight w:val="none"/>
          <w:u w:val="single"/>
          <w:lang w:val="zh-CN"/>
        </w:rPr>
        <w:t xml:space="preserve">10%  </w:t>
      </w:r>
      <w:r>
        <w:rPr>
          <w:rFonts w:hint="eastAsia" w:asciiTheme="minorEastAsia" w:hAnsiTheme="minorEastAsia" w:eastAsiaTheme="minorEastAsia" w:cstheme="minorEastAsia"/>
          <w:bCs/>
          <w:color w:val="000000"/>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bCs/>
          <w:color w:val="000000"/>
          <w:sz w:val="24"/>
          <w:szCs w:val="24"/>
          <w:lang w:val="zh-CN"/>
        </w:rPr>
      </w:pPr>
      <w:r>
        <w:rPr>
          <w:rFonts w:hint="eastAsia" w:asciiTheme="minorEastAsia" w:hAnsiTheme="minorEastAsia" w:eastAsiaTheme="minorEastAsia" w:cstheme="minorEastAsia"/>
          <w:bCs/>
          <w:color w:val="000000"/>
          <w:sz w:val="24"/>
          <w:szCs w:val="24"/>
          <w:lang w:val="zh-CN"/>
        </w:rPr>
        <w:t>2、在成交通知书发出送达后的30日内，成交人凭成交通知书和已经汇至采购人账上的履约保证金凭证，与采购人签订合同，超期或未有协商，则视为自动放弃成交资格。</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bCs/>
          <w:color w:val="000000"/>
          <w:sz w:val="24"/>
          <w:szCs w:val="24"/>
          <w:lang w:val="zh-CN"/>
        </w:rPr>
      </w:pPr>
      <w:r>
        <w:rPr>
          <w:rFonts w:hint="eastAsia" w:asciiTheme="minorEastAsia" w:hAnsiTheme="minorEastAsia" w:eastAsiaTheme="minorEastAsia" w:cstheme="minorEastAsia"/>
          <w:bCs/>
          <w:color w:val="000000"/>
          <w:sz w:val="24"/>
          <w:szCs w:val="24"/>
          <w:lang w:val="zh-CN"/>
        </w:rPr>
        <w:t>3、成交人在按要求保质保量的完成项目且通过最终验收后，一次性无息退还履约保证金。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bCs/>
          <w:color w:val="000000"/>
          <w:sz w:val="24"/>
          <w:szCs w:val="24"/>
          <w:highlight w:val="none"/>
          <w:lang w:val="zh-CN"/>
        </w:rPr>
      </w:pPr>
      <w:r>
        <w:rPr>
          <w:rFonts w:hint="eastAsia" w:asciiTheme="minorEastAsia" w:hAnsiTheme="minorEastAsia" w:eastAsiaTheme="minorEastAsia" w:cstheme="minorEastAsia"/>
          <w:bCs/>
          <w:color w:val="000000"/>
          <w:sz w:val="24"/>
          <w:szCs w:val="24"/>
          <w:lang w:val="zh-CN"/>
        </w:rPr>
        <w:t>4、由于成交人原因，在签订合同后出现不按合同履行的情况，采购人有权将履约保证金作为违约金，全额不予退还，同时采购人亦有权终止合同，成交人还</w:t>
      </w:r>
      <w:r>
        <w:rPr>
          <w:rFonts w:hint="eastAsia" w:asciiTheme="minorEastAsia" w:hAnsiTheme="minorEastAsia" w:eastAsiaTheme="minorEastAsia" w:cstheme="minorEastAsia"/>
          <w:bCs/>
          <w:color w:val="000000"/>
          <w:sz w:val="24"/>
          <w:szCs w:val="24"/>
          <w:highlight w:val="none"/>
          <w:lang w:val="zh-CN"/>
        </w:rPr>
        <w:t>须依法承担相应的赔偿责任。</w:t>
      </w:r>
    </w:p>
    <w:p>
      <w:pPr>
        <w:keepNext w:val="0"/>
        <w:keepLines w:val="0"/>
        <w:pageBreakBefore w:val="0"/>
        <w:widowControl w:val="0"/>
        <w:kinsoku/>
        <w:wordWrap/>
        <w:overflowPunct/>
        <w:topLinePunct w:val="0"/>
        <w:autoSpaceDE/>
        <w:autoSpaceDN/>
        <w:bidi w:val="0"/>
        <w:adjustRightInd/>
        <w:snapToGrid w:val="0"/>
        <w:spacing w:line="360" w:lineRule="auto"/>
        <w:ind w:firstLine="496" w:firstLineChars="206"/>
        <w:textAlignment w:val="auto"/>
        <w:outlineLvl w:val="1"/>
        <w:rPr>
          <w:rFonts w:hint="eastAsia" w:asciiTheme="minorEastAsia" w:hAnsiTheme="minorEastAsia" w:eastAsiaTheme="minorEastAsia" w:cstheme="minorEastAsia"/>
          <w:b/>
          <w:color w:val="000000"/>
          <w:sz w:val="24"/>
          <w:szCs w:val="24"/>
          <w:highlight w:val="none"/>
        </w:rPr>
      </w:pPr>
      <w:r>
        <w:rPr>
          <w:rFonts w:hint="eastAsia" w:asciiTheme="minorEastAsia" w:hAnsiTheme="minorEastAsia" w:eastAsiaTheme="minorEastAsia" w:cstheme="minorEastAsia"/>
          <w:b/>
          <w:color w:val="000000"/>
          <w:sz w:val="24"/>
          <w:szCs w:val="24"/>
          <w:highlight w:val="none"/>
        </w:rPr>
        <w:t>十</w:t>
      </w:r>
      <w:r>
        <w:rPr>
          <w:rFonts w:hint="eastAsia" w:asciiTheme="minorEastAsia" w:hAnsiTheme="minorEastAsia" w:eastAsiaTheme="minorEastAsia" w:cstheme="minorEastAsia"/>
          <w:b/>
          <w:color w:val="000000"/>
          <w:sz w:val="24"/>
          <w:szCs w:val="24"/>
          <w:highlight w:val="none"/>
          <w:lang w:val="en-US" w:eastAsia="zh-CN"/>
        </w:rPr>
        <w:t>五</w:t>
      </w:r>
      <w:r>
        <w:rPr>
          <w:rFonts w:hint="eastAsia" w:asciiTheme="minorEastAsia" w:hAnsiTheme="minorEastAsia" w:eastAsiaTheme="minorEastAsia" w:cstheme="minorEastAsia"/>
          <w:b/>
          <w:color w:val="000000"/>
          <w:sz w:val="24"/>
          <w:szCs w:val="24"/>
          <w:highlight w:val="none"/>
        </w:rPr>
        <w:t>、付款方式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【特别提醒】付款方式不接受负偏离及任何意图改变付款方式的意图表达，否则作无效投标处理。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1、所有产品</w:t>
      </w:r>
      <w:r>
        <w:rPr>
          <w:rFonts w:hint="eastAsia" w:asciiTheme="minorEastAsia" w:hAnsiTheme="minorEastAsia" w:eastAsiaTheme="minorEastAsia" w:cstheme="minorEastAsia"/>
          <w:color w:val="000000"/>
          <w:sz w:val="24"/>
          <w:szCs w:val="24"/>
          <w:highlight w:val="none"/>
          <w:lang w:val="en-US" w:eastAsia="zh-CN"/>
        </w:rPr>
        <w:t>设计根据采购人要求</w:t>
      </w:r>
      <w:r>
        <w:rPr>
          <w:rFonts w:hint="eastAsia" w:asciiTheme="minorEastAsia" w:hAnsiTheme="minorEastAsia" w:eastAsiaTheme="minorEastAsia" w:cstheme="minorEastAsia"/>
          <w:color w:val="000000"/>
          <w:sz w:val="24"/>
          <w:szCs w:val="24"/>
          <w:highlight w:val="none"/>
        </w:rPr>
        <w:t>完成后，采购人支付合同价款的95%；</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2、余下合同价款的5%作为质保金，</w:t>
      </w:r>
      <w:r>
        <w:rPr>
          <w:rFonts w:hint="eastAsia" w:asciiTheme="minorEastAsia" w:hAnsiTheme="minorEastAsia" w:eastAsiaTheme="minorEastAsia" w:cstheme="minorEastAsia"/>
          <w:color w:val="000000"/>
          <w:sz w:val="24"/>
          <w:szCs w:val="24"/>
          <w:highlight w:val="none"/>
          <w:lang w:val="en-US" w:eastAsia="zh-CN"/>
        </w:rPr>
        <w:t>质保期为项目完成合格后一年</w:t>
      </w:r>
      <w:r>
        <w:rPr>
          <w:rFonts w:hint="eastAsia" w:asciiTheme="minorEastAsia" w:hAnsiTheme="minorEastAsia" w:eastAsiaTheme="minorEastAsia" w:cstheme="minorEastAsia"/>
          <w:color w:val="000000"/>
          <w:sz w:val="24"/>
          <w:szCs w:val="24"/>
          <w:highlight w:val="none"/>
        </w:rPr>
        <w:t>，质保期满后无质量问题的前提下，不计息全额一次性付清；</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color w:val="000000"/>
          <w:sz w:val="24"/>
          <w:szCs w:val="24"/>
          <w:highlight w:val="none"/>
        </w:rPr>
      </w:pPr>
      <w:r>
        <w:rPr>
          <w:rFonts w:hint="eastAsia" w:asciiTheme="minorEastAsia" w:hAnsiTheme="minorEastAsia" w:eastAsiaTheme="minorEastAsia" w:cstheme="minorEastAsia"/>
          <w:color w:val="000000"/>
          <w:sz w:val="24"/>
          <w:szCs w:val="24"/>
          <w:highlight w:val="none"/>
        </w:rPr>
        <w:t>3、最终以双方签订的政府采购合同内确定的方式为准。</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1"/>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b/>
          <w:sz w:val="24"/>
          <w:szCs w:val="24"/>
          <w:highlight w:val="none"/>
        </w:rPr>
        <w:t>十</w:t>
      </w:r>
      <w:r>
        <w:rPr>
          <w:rFonts w:hint="eastAsia" w:asciiTheme="minorEastAsia" w:hAnsiTheme="minorEastAsia" w:eastAsiaTheme="minorEastAsia" w:cstheme="minorEastAsia"/>
          <w:b/>
          <w:sz w:val="24"/>
          <w:szCs w:val="24"/>
          <w:highlight w:val="none"/>
          <w:lang w:val="en-US" w:eastAsia="zh-CN"/>
        </w:rPr>
        <w:t>六</w:t>
      </w:r>
      <w:r>
        <w:rPr>
          <w:rFonts w:hint="eastAsia" w:asciiTheme="minorEastAsia" w:hAnsiTheme="minorEastAsia" w:eastAsiaTheme="minorEastAsia" w:cstheme="minorEastAsia"/>
          <w:b/>
          <w:sz w:val="24"/>
          <w:szCs w:val="24"/>
          <w:highlight w:val="none"/>
        </w:rPr>
        <w:t>、</w:t>
      </w:r>
      <w:r>
        <w:rPr>
          <w:rFonts w:hint="eastAsia" w:asciiTheme="minorEastAsia" w:hAnsiTheme="minorEastAsia" w:eastAsiaTheme="minorEastAsia" w:cstheme="minorEastAsia"/>
          <w:b/>
          <w:sz w:val="24"/>
          <w:szCs w:val="24"/>
          <w:highlight w:val="none"/>
          <w:lang w:val="en-US" w:eastAsia="zh-CN"/>
        </w:rPr>
        <w:t>项目</w:t>
      </w:r>
      <w:r>
        <w:rPr>
          <w:rFonts w:hint="eastAsia" w:asciiTheme="minorEastAsia" w:hAnsiTheme="minorEastAsia" w:eastAsiaTheme="minorEastAsia" w:cstheme="minorEastAsia"/>
          <w:b/>
          <w:sz w:val="24"/>
          <w:szCs w:val="24"/>
          <w:highlight w:val="none"/>
        </w:rPr>
        <w:t>结算方式</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竞争性磋商成交价在结算时按比例拆分到综合单价，并按实际</w:t>
      </w:r>
      <w:r>
        <w:rPr>
          <w:rFonts w:hint="eastAsia" w:asciiTheme="minorEastAsia" w:hAnsiTheme="minorEastAsia" w:eastAsiaTheme="minorEastAsia" w:cstheme="minorEastAsia"/>
          <w:sz w:val="24"/>
          <w:szCs w:val="24"/>
          <w:highlight w:val="none"/>
          <w:lang w:val="en-US" w:eastAsia="zh-CN"/>
        </w:rPr>
        <w:t>内容</w:t>
      </w:r>
      <w:r>
        <w:rPr>
          <w:rFonts w:hint="eastAsia" w:asciiTheme="minorEastAsia" w:hAnsiTheme="minorEastAsia" w:eastAsiaTheme="minorEastAsia" w:cstheme="minorEastAsia"/>
          <w:sz w:val="24"/>
          <w:szCs w:val="24"/>
          <w:highlight w:val="none"/>
        </w:rPr>
        <w:t>进行结算。</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w:t>
      </w:r>
      <w:r>
        <w:rPr>
          <w:rFonts w:hint="eastAsia" w:asciiTheme="minorEastAsia" w:hAnsiTheme="minorEastAsia" w:eastAsiaTheme="minorEastAsia" w:cstheme="minorEastAsia"/>
          <w:b/>
          <w:sz w:val="24"/>
          <w:szCs w:val="24"/>
          <w:lang w:val="en-US" w:eastAsia="zh-CN"/>
        </w:rPr>
        <w:t>七</w:t>
      </w:r>
      <w:r>
        <w:rPr>
          <w:rFonts w:hint="eastAsia" w:asciiTheme="minorEastAsia" w:hAnsiTheme="minorEastAsia" w:eastAsiaTheme="minorEastAsia" w:cstheme="minorEastAsia"/>
          <w:b/>
          <w:sz w:val="24"/>
          <w:szCs w:val="24"/>
        </w:rPr>
        <w:t>、代理服务费</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1、本次磋商采购代理服务费人民币</w:t>
      </w:r>
      <w:r>
        <w:rPr>
          <w:rFonts w:hint="eastAsia" w:asciiTheme="minorEastAsia" w:hAnsiTheme="minorEastAsia" w:eastAsiaTheme="minorEastAsia" w:cstheme="minorEastAsia"/>
          <w:sz w:val="24"/>
          <w:szCs w:val="24"/>
          <w:lang w:val="en-US" w:eastAsia="zh-CN"/>
        </w:rPr>
        <w:t>4500</w:t>
      </w:r>
      <w:r>
        <w:rPr>
          <w:rFonts w:hint="eastAsia" w:asciiTheme="minorEastAsia" w:hAnsiTheme="minorEastAsia" w:eastAsiaTheme="minorEastAsia" w:cstheme="minorEastAsia"/>
          <w:sz w:val="24"/>
          <w:szCs w:val="24"/>
        </w:rPr>
        <w:t>元，供应商须综合考虑在响应报价内，代理服务费应在成交通知书发出送达后3日内一次性付清。</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1"/>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十八</w:t>
      </w:r>
      <w:r>
        <w:rPr>
          <w:rFonts w:hint="eastAsia" w:asciiTheme="minorEastAsia" w:hAnsiTheme="minorEastAsia" w:eastAsiaTheme="minorEastAsia" w:cstheme="minorEastAsia"/>
          <w:b/>
          <w:sz w:val="24"/>
          <w:szCs w:val="24"/>
        </w:rPr>
        <w:t>、未尽事宜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Theme="minorEastAsia" w:hAnsiTheme="minorEastAsia" w:eastAsiaTheme="minorEastAsia" w:cstheme="minorEastAsia"/>
          <w:sz w:val="24"/>
          <w:szCs w:val="24"/>
          <w:lang w:val="en-US"/>
        </w:rPr>
        <w:sectPr>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sz w:val="24"/>
          <w:szCs w:val="24"/>
        </w:rPr>
        <w:t>按《中华人民共和国政府采购法》及《政府采购竞争性磋商采购方式管理暂行办法》与其他有关法律法规的规定执行。</w:t>
      </w:r>
    </w:p>
    <w:p>
      <w:pPr>
        <w:keepNext w:val="0"/>
        <w:keepLines w:val="0"/>
        <w:pageBreakBefore w:val="0"/>
        <w:tabs>
          <w:tab w:val="left" w:pos="1050"/>
          <w:tab w:val="right" w:leader="dot" w:pos="9402"/>
        </w:tabs>
        <w:kinsoku/>
        <w:wordWrap/>
        <w:overflowPunct/>
        <w:topLinePunct w:val="0"/>
        <w:bidi w:val="0"/>
        <w:spacing w:before="240" w:beforeLines="100" w:line="360" w:lineRule="auto"/>
        <w:jc w:val="center"/>
        <w:textAlignment w:val="auto"/>
        <w:outlineLvl w:val="0"/>
        <w:rPr>
          <w:rFonts w:hint="eastAsia" w:asciiTheme="majorEastAsia" w:hAnsiTheme="majorEastAsia" w:eastAsiaTheme="majorEastAsia" w:cstheme="majorEastAsia"/>
          <w:b/>
          <w:w w:val="80"/>
          <w:sz w:val="36"/>
          <w:szCs w:val="36"/>
        </w:rPr>
      </w:pPr>
      <w:bookmarkStart w:id="14" w:name="_Toc16911_WPSOffice_Level1"/>
      <w:r>
        <w:rPr>
          <w:rFonts w:hint="eastAsia" w:asciiTheme="majorEastAsia" w:hAnsiTheme="majorEastAsia" w:eastAsiaTheme="majorEastAsia" w:cstheme="majorEastAsia"/>
          <w:b/>
          <w:w w:val="80"/>
          <w:sz w:val="36"/>
          <w:szCs w:val="36"/>
        </w:rPr>
        <w:t>第三章  项目需求</w:t>
      </w:r>
      <w:bookmarkEnd w:id="14"/>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1"/>
        <w:rPr>
          <w:rFonts w:hint="eastAsia"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sz w:val="24"/>
          <w:szCs w:val="24"/>
          <w:highlight w:val="none"/>
          <w:lang w:val="en-US" w:eastAsia="zh-CN"/>
        </w:rPr>
        <w:t>一、项目概况</w:t>
      </w:r>
    </w:p>
    <w:p>
      <w:pPr>
        <w:pStyle w:val="9"/>
        <w:ind w:left="0" w:leftChars="0" w:firstLine="482" w:firstLineChars="200"/>
        <w:rPr>
          <w:rFonts w:hint="default"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sz w:val="24"/>
          <w:szCs w:val="24"/>
          <w:highlight w:val="none"/>
          <w:lang w:val="en-US" w:eastAsia="zh-CN"/>
        </w:rPr>
        <w:t>1、学校名称：</w:t>
      </w:r>
      <w:r>
        <w:rPr>
          <w:rFonts w:hint="eastAsia" w:asciiTheme="minorEastAsia" w:hAnsiTheme="minorEastAsia" w:eastAsiaTheme="minorEastAsia" w:cstheme="minorEastAsia"/>
          <w:b w:val="0"/>
          <w:bCs/>
          <w:sz w:val="24"/>
          <w:szCs w:val="24"/>
          <w:highlight w:val="none"/>
          <w:lang w:val="en-US" w:eastAsia="zh-CN"/>
        </w:rPr>
        <w:t>南通市紫琅第一小学</w:t>
      </w:r>
    </w:p>
    <w:p>
      <w:pPr>
        <w:pStyle w:val="9"/>
        <w:ind w:left="0" w:leftChars="0" w:firstLine="723" w:firstLineChars="300"/>
        <w:rPr>
          <w:rFonts w:hint="eastAsia"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sz w:val="24"/>
          <w:szCs w:val="24"/>
          <w:highlight w:val="none"/>
          <w:lang w:val="en-US" w:eastAsia="zh-CN"/>
        </w:rPr>
        <w:t>办学宗旨 ：</w:t>
      </w:r>
      <w:r>
        <w:rPr>
          <w:rFonts w:hint="eastAsia" w:asciiTheme="minorEastAsia" w:hAnsiTheme="minorEastAsia" w:eastAsiaTheme="minorEastAsia" w:cstheme="minorEastAsia"/>
          <w:b w:val="0"/>
          <w:bCs/>
          <w:sz w:val="24"/>
          <w:szCs w:val="24"/>
          <w:highlight w:val="none"/>
          <w:lang w:val="en-US" w:eastAsia="zh-CN"/>
        </w:rPr>
        <w:t>培养有爱心、有创见、有行动的时代少年。</w:t>
      </w:r>
    </w:p>
    <w:p>
      <w:pPr>
        <w:pStyle w:val="9"/>
        <w:ind w:firstLine="723" w:firstLineChars="300"/>
        <w:rPr>
          <w:rFonts w:hint="eastAsia"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sz w:val="24"/>
          <w:szCs w:val="24"/>
          <w:highlight w:val="none"/>
          <w:lang w:val="en-US" w:eastAsia="zh-CN"/>
        </w:rPr>
        <w:t>校     训：</w:t>
      </w:r>
      <w:r>
        <w:rPr>
          <w:rFonts w:hint="eastAsia" w:asciiTheme="minorEastAsia" w:hAnsiTheme="minorEastAsia" w:eastAsiaTheme="minorEastAsia" w:cstheme="minorEastAsia"/>
          <w:b w:val="0"/>
          <w:bCs/>
          <w:sz w:val="24"/>
          <w:szCs w:val="24"/>
          <w:highlight w:val="none"/>
          <w:lang w:val="en-US" w:eastAsia="zh-CN"/>
        </w:rPr>
        <w:t>守朴开新</w:t>
      </w:r>
    </w:p>
    <w:p>
      <w:pPr>
        <w:pStyle w:val="9"/>
        <w:ind w:left="0" w:leftChars="0" w:firstLine="723" w:firstLineChars="300"/>
        <w:rPr>
          <w:rFonts w:hint="eastAsia" w:asciiTheme="minorEastAsia" w:hAnsiTheme="minorEastAsia" w:eastAsiaTheme="minorEastAsia" w:cstheme="minorEastAsia"/>
          <w:b w:val="0"/>
          <w:bCs/>
          <w:sz w:val="24"/>
          <w:szCs w:val="24"/>
          <w:highlight w:val="none"/>
          <w:lang w:val="en-US" w:eastAsia="zh-CN"/>
        </w:rPr>
      </w:pPr>
      <w:r>
        <w:rPr>
          <w:rFonts w:hint="eastAsia" w:asciiTheme="minorEastAsia" w:hAnsiTheme="minorEastAsia" w:eastAsiaTheme="minorEastAsia" w:cstheme="minorEastAsia"/>
          <w:b/>
          <w:sz w:val="24"/>
          <w:szCs w:val="24"/>
          <w:highlight w:val="none"/>
          <w:lang w:val="en-US" w:eastAsia="zh-CN"/>
        </w:rPr>
        <w:t>素养目标 ：</w:t>
      </w:r>
      <w:r>
        <w:rPr>
          <w:rFonts w:hint="eastAsia" w:asciiTheme="minorEastAsia" w:hAnsiTheme="minorEastAsia" w:eastAsiaTheme="minorEastAsia" w:cstheme="minorEastAsia"/>
          <w:b w:val="0"/>
          <w:bCs/>
          <w:sz w:val="24"/>
          <w:szCs w:val="24"/>
          <w:highlight w:val="none"/>
          <w:lang w:val="en-US" w:eastAsia="zh-CN"/>
        </w:rPr>
        <w:t>1.学生：有爱心、有创见、有行动</w:t>
      </w:r>
    </w:p>
    <w:p>
      <w:pPr>
        <w:pStyle w:val="9"/>
        <w:ind w:left="0" w:leftChars="0" w:firstLine="2160" w:firstLineChars="900"/>
        <w:rPr>
          <w:rFonts w:hint="default"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2.教师：有情怀、有思想、有本领</w:t>
      </w:r>
    </w:p>
    <w:p>
      <w:pPr>
        <w:pStyle w:val="9"/>
        <w:rPr>
          <w:rFonts w:hint="eastAsia"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sz w:val="24"/>
          <w:szCs w:val="24"/>
          <w:highlight w:val="none"/>
          <w:lang w:val="en-US" w:eastAsia="zh-CN"/>
        </w:rPr>
        <w:t>2、校园LOGO</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校园LOGO代表着学校的形象，是人们识别学校重要的标识。校园LOGO中，不仅蕴含着学校的办学理念、人文精神等，同时能够展现学校的教学宗旨和文化氛围。南通市紫琅第一小学作为中创区现代化配套学校，在办学定位、培养目标、培养规模、培养方式等方面都有高要求。在校园LOGO设计中应结合紫琅第一小学的办学宗旨、校训、培养目标、地域文化等，进行融合、提炼、加工和创新，统一设计，整体构思，形成系统性的、有特色的设计，设计的LOGO应有识别度及丰富的内涵。</w:t>
      </w:r>
    </w:p>
    <w:p>
      <w:pPr>
        <w:pStyle w:val="9"/>
        <w:rPr>
          <w:rFonts w:hint="default"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sz w:val="24"/>
          <w:szCs w:val="24"/>
          <w:highlight w:val="none"/>
          <w:lang w:val="en-US" w:eastAsia="zh-CN"/>
        </w:rPr>
        <w:t>3、VI视觉识别系统</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1"/>
        <w:rPr>
          <w:rFonts w:hint="eastAsia" w:asciiTheme="minorEastAsia" w:hAnsiTheme="minorEastAsia" w:eastAsiaTheme="minorEastAsia" w:cstheme="minorEastAsia"/>
          <w:b w:val="0"/>
          <w:bCs/>
          <w:sz w:val="24"/>
          <w:szCs w:val="24"/>
          <w:lang w:val="en-US" w:eastAsia="zh-CN"/>
        </w:rPr>
      </w:pPr>
      <w:r>
        <w:rPr>
          <w:rFonts w:hint="eastAsia" w:asciiTheme="minorEastAsia" w:hAnsiTheme="minorEastAsia" w:eastAsiaTheme="minorEastAsia" w:cstheme="minorEastAsia"/>
          <w:b w:val="0"/>
          <w:bCs/>
          <w:sz w:val="24"/>
          <w:szCs w:val="24"/>
          <w:lang w:val="en-US" w:eastAsia="zh-CN"/>
        </w:rPr>
        <w:t>VIS 即（Visual Identity System），通译为视觉识别系统，是将CI系统的非可视内容转化为静态的视觉识别符号，以丰富多样的应用形式，在最为广泛的层面上，进行最直接的传播。</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1"/>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val="0"/>
          <w:bCs/>
          <w:sz w:val="24"/>
          <w:szCs w:val="24"/>
          <w:lang w:val="en-US" w:eastAsia="zh-CN"/>
        </w:rPr>
        <w:t>学校VI设计包括两个部分：基础部分，通常包括校徽、校名中英文标准字体、标准色、辅助图形等；应用部分，包括办公用品、服装、纪念礼品、视觉导视系统等。学校的视觉识别系统是对学校形象的各种视觉因素进行全面统一的规划和设计，将学校的办学理念、文化特质等抽象语言转换为具体符号概念，以有形的方式展示出来，通过组织化、统一化、标准化、系统化的视觉方案体现学校的办学理念和精神文化，以形成独特的学校形象。本项目一旦成交，设计成果全部交于采购人，采购人可随意使用此设计。其他详见本项目采购技术规范书。</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outlineLvl w:val="1"/>
        <w:rPr>
          <w:rFonts w:hint="eastAsia" w:asciiTheme="minorEastAsia" w:hAnsiTheme="minorEastAsia" w:eastAsiaTheme="minorEastAsia" w:cstheme="minorEastAsia"/>
          <w:b/>
          <w:sz w:val="24"/>
          <w:szCs w:val="24"/>
          <w:lang w:val="en-US" w:eastAsia="zh-CN"/>
        </w:rPr>
      </w:pPr>
      <w:r>
        <w:rPr>
          <w:rFonts w:hint="eastAsia" w:asciiTheme="minorEastAsia" w:hAnsiTheme="minorEastAsia" w:eastAsiaTheme="minorEastAsia" w:cstheme="minorEastAsia"/>
          <w:b/>
          <w:sz w:val="24"/>
          <w:szCs w:val="24"/>
          <w:lang w:val="en-US" w:eastAsia="zh-CN"/>
        </w:rPr>
        <w:t>二、设计内容</w:t>
      </w:r>
    </w:p>
    <w:tbl>
      <w:tblPr>
        <w:tblStyle w:val="10"/>
        <w:tblW w:w="8906" w:type="dxa"/>
        <w:tblInd w:w="96" w:type="dxa"/>
        <w:tblLayout w:type="fixed"/>
        <w:tblCellMar>
          <w:top w:w="0" w:type="dxa"/>
          <w:left w:w="108" w:type="dxa"/>
          <w:bottom w:w="0" w:type="dxa"/>
          <w:right w:w="108" w:type="dxa"/>
        </w:tblCellMar>
      </w:tblPr>
      <w:tblGrid>
        <w:gridCol w:w="8906"/>
      </w:tblGrid>
      <w:tr>
        <w:tblPrEx>
          <w:tblLayout w:type="fixed"/>
          <w:tblCellMar>
            <w:top w:w="0" w:type="dxa"/>
            <w:left w:w="108" w:type="dxa"/>
            <w:bottom w:w="0" w:type="dxa"/>
            <w:right w:w="108" w:type="dxa"/>
          </w:tblCellMar>
        </w:tblPrEx>
        <w:trPr>
          <w:trHeight w:val="23" w:hRule="atLeast"/>
        </w:trPr>
        <w:tc>
          <w:tcPr>
            <w:tcW w:w="8906" w:type="dxa"/>
            <w:tcBorders>
              <w:top w:val="single" w:color="auto" w:sz="8" w:space="0"/>
              <w:left w:val="single" w:color="auto" w:sz="8" w:space="0"/>
              <w:bottom w:val="single" w:color="auto" w:sz="4" w:space="0"/>
              <w:right w:val="single" w:color="auto" w:sz="4" w:space="0"/>
            </w:tcBorders>
            <w:shd w:val="clear" w:color="auto" w:fill="auto"/>
            <w:noWrap/>
            <w:vAlign w:val="center"/>
          </w:tcPr>
          <w:p>
            <w:pPr>
              <w:widowControl/>
              <w:spacing w:line="276" w:lineRule="auto"/>
              <w:jc w:val="center"/>
              <w:rPr>
                <w:rFonts w:ascii="仿宋" w:hAnsi="仿宋" w:eastAsia="仿宋" w:cs="宋体"/>
                <w:b/>
                <w:bCs/>
                <w:color w:val="000000" w:themeColor="text1"/>
                <w:szCs w:val="21"/>
                <w14:textFill>
                  <w14:solidFill>
                    <w14:schemeClr w14:val="tx1"/>
                  </w14:solidFill>
                </w14:textFill>
              </w:rPr>
            </w:pPr>
            <w:r>
              <w:rPr>
                <w:rFonts w:hint="eastAsia" w:ascii="仿宋" w:hAnsi="仿宋" w:eastAsia="仿宋" w:cs="宋体"/>
                <w:b/>
                <w:bCs/>
                <w:color w:val="000000" w:themeColor="text1"/>
                <w:szCs w:val="21"/>
                <w14:textFill>
                  <w14:solidFill>
                    <w14:schemeClr w14:val="tx1"/>
                  </w14:solidFill>
                </w14:textFill>
              </w:rPr>
              <w:t xml:space="preserve">Ａ 基础部分 </w:t>
            </w:r>
          </w:p>
        </w:tc>
      </w:tr>
      <w:tr>
        <w:tblPrEx>
          <w:tblLayout w:type="fixed"/>
          <w:tblCellMar>
            <w:top w:w="0" w:type="dxa"/>
            <w:left w:w="108" w:type="dxa"/>
            <w:bottom w:w="0" w:type="dxa"/>
            <w:right w:w="108" w:type="dxa"/>
          </w:tblCellMar>
        </w:tblPrEx>
        <w:trPr>
          <w:trHeight w:val="23" w:hRule="atLeast"/>
        </w:trPr>
        <w:tc>
          <w:tcPr>
            <w:tcW w:w="890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76" w:lineRule="auto"/>
              <w:jc w:val="center"/>
              <w:rPr>
                <w:rFonts w:ascii="仿宋" w:hAnsi="仿宋" w:eastAsia="仿宋" w:cs="宋体"/>
                <w:b/>
                <w:bCs/>
                <w:color w:val="000000" w:themeColor="text1"/>
                <w:szCs w:val="21"/>
                <w14:textFill>
                  <w14:solidFill>
                    <w14:schemeClr w14:val="tx1"/>
                  </w14:solidFill>
                </w14:textFill>
              </w:rPr>
            </w:pPr>
            <w:r>
              <w:rPr>
                <w:rFonts w:hint="eastAsia" w:ascii="仿宋" w:hAnsi="仿宋" w:eastAsia="仿宋" w:cs="宋体"/>
                <w:b/>
                <w:bCs/>
                <w:color w:val="000000" w:themeColor="text1"/>
                <w:szCs w:val="21"/>
                <w14:textFill>
                  <w14:solidFill>
                    <w14:schemeClr w14:val="tx1"/>
                  </w14:solidFill>
                </w14:textFill>
              </w:rPr>
              <w:t>Ａ－１品牌标识规范</w:t>
            </w:r>
          </w:p>
        </w:tc>
      </w:tr>
      <w:tr>
        <w:tblPrEx>
          <w:tblLayout w:type="fixed"/>
          <w:tblCellMar>
            <w:top w:w="0" w:type="dxa"/>
            <w:left w:w="108" w:type="dxa"/>
            <w:bottom w:w="0" w:type="dxa"/>
            <w:right w:w="108" w:type="dxa"/>
          </w:tblCellMar>
        </w:tblPrEx>
        <w:trPr>
          <w:trHeight w:val="23" w:hRule="atLeast"/>
        </w:trPr>
        <w:tc>
          <w:tcPr>
            <w:tcW w:w="8906" w:type="dxa"/>
            <w:tcBorders>
              <w:top w:val="nil"/>
              <w:left w:val="single" w:color="auto" w:sz="8" w:space="0"/>
              <w:bottom w:val="single" w:color="auto" w:sz="4" w:space="0"/>
              <w:right w:val="single" w:color="auto" w:sz="4" w:space="0"/>
            </w:tcBorders>
            <w:shd w:val="clear" w:color="auto" w:fill="auto"/>
            <w:noWrap/>
            <w:vAlign w:val="center"/>
          </w:tcPr>
          <w:p>
            <w:pPr>
              <w:widowControl/>
              <w:spacing w:line="276" w:lineRule="auto"/>
              <w:jc w:val="left"/>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标准彩色标志</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标志释义</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标志制图及视觉修正</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标志墨稿反白稿</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标志的最小使用规范（印刷和像素）</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标志的安全空间</w:t>
            </w:r>
          </w:p>
        </w:tc>
      </w:tr>
      <w:tr>
        <w:tblPrEx>
          <w:tblLayout w:type="fixed"/>
          <w:tblCellMar>
            <w:top w:w="0" w:type="dxa"/>
            <w:left w:w="108" w:type="dxa"/>
            <w:bottom w:w="0" w:type="dxa"/>
            <w:right w:w="108" w:type="dxa"/>
          </w:tblCellMar>
        </w:tblPrEx>
        <w:trPr>
          <w:trHeight w:val="23" w:hRule="atLeast"/>
        </w:trPr>
        <w:tc>
          <w:tcPr>
            <w:tcW w:w="890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76" w:lineRule="auto"/>
              <w:jc w:val="center"/>
              <w:rPr>
                <w:rFonts w:ascii="仿宋" w:hAnsi="仿宋" w:eastAsia="仿宋" w:cs="宋体"/>
                <w:b/>
                <w:bCs/>
                <w:color w:val="000000" w:themeColor="text1"/>
                <w:szCs w:val="21"/>
                <w14:textFill>
                  <w14:solidFill>
                    <w14:schemeClr w14:val="tx1"/>
                  </w14:solidFill>
                </w14:textFill>
              </w:rPr>
            </w:pPr>
            <w:r>
              <w:rPr>
                <w:rFonts w:hint="eastAsia" w:ascii="仿宋" w:hAnsi="仿宋" w:eastAsia="仿宋" w:cs="宋体"/>
                <w:b/>
                <w:bCs/>
                <w:color w:val="000000" w:themeColor="text1"/>
                <w:szCs w:val="21"/>
                <w14:textFill>
                  <w14:solidFill>
                    <w14:schemeClr w14:val="tx1"/>
                  </w14:solidFill>
                </w14:textFill>
              </w:rPr>
              <w:t>Ａ－2 标准组合规范</w:t>
            </w:r>
          </w:p>
        </w:tc>
      </w:tr>
      <w:tr>
        <w:tblPrEx>
          <w:tblLayout w:type="fixed"/>
          <w:tblCellMar>
            <w:top w:w="0" w:type="dxa"/>
            <w:left w:w="108" w:type="dxa"/>
            <w:bottom w:w="0" w:type="dxa"/>
            <w:right w:w="108" w:type="dxa"/>
          </w:tblCellMar>
        </w:tblPrEx>
        <w:trPr>
          <w:trHeight w:val="23" w:hRule="atLeast"/>
        </w:trPr>
        <w:tc>
          <w:tcPr>
            <w:tcW w:w="8906" w:type="dxa"/>
            <w:tcBorders>
              <w:top w:val="nil"/>
              <w:left w:val="single" w:color="auto" w:sz="8" w:space="0"/>
              <w:bottom w:val="single" w:color="auto" w:sz="4" w:space="0"/>
              <w:right w:val="single" w:color="auto" w:sz="4" w:space="0"/>
            </w:tcBorders>
            <w:shd w:val="clear" w:color="auto" w:fill="auto"/>
            <w:noWrap/>
            <w:vAlign w:val="center"/>
          </w:tcPr>
          <w:p>
            <w:pPr>
              <w:widowControl/>
              <w:spacing w:line="276" w:lineRule="auto"/>
              <w:jc w:val="left"/>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标准组合集合列表</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标准组合集合墨稿</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 xml:space="preserve"> 标准组合集合列表反白稿</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标志与中英文简称首选组合</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标志与中英文简称可选组合</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标志与英文简称首选组合</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标志与英文简称可选组合</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标志与中英文全称首选组合</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标志与中英文全称可选组合</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标识与SLOGAN组合</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标识最小使用规范（印刷和像素）</w:t>
            </w:r>
          </w:p>
        </w:tc>
      </w:tr>
      <w:tr>
        <w:tblPrEx>
          <w:tblLayout w:type="fixed"/>
          <w:tblCellMar>
            <w:top w:w="0" w:type="dxa"/>
            <w:left w:w="108" w:type="dxa"/>
            <w:bottom w:w="0" w:type="dxa"/>
            <w:right w:w="108" w:type="dxa"/>
          </w:tblCellMar>
        </w:tblPrEx>
        <w:trPr>
          <w:trHeight w:val="23" w:hRule="atLeast"/>
        </w:trPr>
        <w:tc>
          <w:tcPr>
            <w:tcW w:w="890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76" w:lineRule="auto"/>
              <w:jc w:val="center"/>
              <w:rPr>
                <w:rFonts w:ascii="仿宋" w:hAnsi="仿宋" w:eastAsia="仿宋" w:cs="宋体"/>
                <w:b/>
                <w:bCs/>
                <w:color w:val="000000" w:themeColor="text1"/>
                <w:szCs w:val="21"/>
                <w14:textFill>
                  <w14:solidFill>
                    <w14:schemeClr w14:val="tx1"/>
                  </w14:solidFill>
                </w14:textFill>
              </w:rPr>
            </w:pPr>
            <w:r>
              <w:rPr>
                <w:rFonts w:hint="eastAsia" w:ascii="仿宋" w:hAnsi="仿宋" w:eastAsia="仿宋" w:cs="宋体"/>
                <w:b/>
                <w:bCs/>
                <w:color w:val="000000" w:themeColor="text1"/>
                <w:szCs w:val="21"/>
                <w14:textFill>
                  <w14:solidFill>
                    <w14:schemeClr w14:val="tx1"/>
                  </w14:solidFill>
                </w14:textFill>
              </w:rPr>
              <w:t>Ａ－3 色彩规范</w:t>
            </w:r>
          </w:p>
        </w:tc>
      </w:tr>
      <w:tr>
        <w:tblPrEx>
          <w:tblLayout w:type="fixed"/>
          <w:tblCellMar>
            <w:top w:w="0" w:type="dxa"/>
            <w:left w:w="108" w:type="dxa"/>
            <w:bottom w:w="0" w:type="dxa"/>
            <w:right w:w="108" w:type="dxa"/>
          </w:tblCellMar>
        </w:tblPrEx>
        <w:trPr>
          <w:trHeight w:val="23" w:hRule="atLeast"/>
        </w:trPr>
        <w:tc>
          <w:tcPr>
            <w:tcW w:w="8906" w:type="dxa"/>
            <w:tcBorders>
              <w:top w:val="nil"/>
              <w:left w:val="single" w:color="auto" w:sz="8" w:space="0"/>
              <w:right w:val="single" w:color="auto" w:sz="4" w:space="0"/>
            </w:tcBorders>
            <w:shd w:val="clear" w:color="auto" w:fill="auto"/>
            <w:noWrap/>
            <w:vAlign w:val="center"/>
          </w:tcPr>
          <w:p>
            <w:pPr>
              <w:widowControl/>
              <w:spacing w:line="276" w:lineRule="auto"/>
              <w:jc w:val="left"/>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标准色规范（含色阶）</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辅助色彩规范（含色阶）</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 xml:space="preserve"> 特殊工艺</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色彩配比及品牌色彩占位</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品牌专用色彩搭配表</w:t>
            </w:r>
          </w:p>
        </w:tc>
      </w:tr>
      <w:tr>
        <w:tblPrEx>
          <w:tblLayout w:type="fixed"/>
          <w:tblCellMar>
            <w:top w:w="0" w:type="dxa"/>
            <w:left w:w="108" w:type="dxa"/>
            <w:bottom w:w="0" w:type="dxa"/>
            <w:right w:w="108" w:type="dxa"/>
          </w:tblCellMar>
        </w:tblPrEx>
        <w:trPr>
          <w:trHeight w:val="23" w:hRule="atLeast"/>
        </w:trPr>
        <w:tc>
          <w:tcPr>
            <w:tcW w:w="890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76" w:lineRule="auto"/>
              <w:jc w:val="center"/>
              <w:rPr>
                <w:rFonts w:ascii="仿宋" w:hAnsi="仿宋" w:eastAsia="仿宋" w:cs="宋体"/>
                <w:b/>
                <w:bCs/>
                <w:color w:val="000000" w:themeColor="text1"/>
                <w:szCs w:val="21"/>
                <w14:textFill>
                  <w14:solidFill>
                    <w14:schemeClr w14:val="tx1"/>
                  </w14:solidFill>
                </w14:textFill>
              </w:rPr>
            </w:pPr>
            <w:r>
              <w:rPr>
                <w:rFonts w:hint="eastAsia" w:ascii="仿宋" w:hAnsi="仿宋" w:eastAsia="仿宋" w:cs="宋体"/>
                <w:b/>
                <w:bCs/>
                <w:color w:val="000000" w:themeColor="text1"/>
                <w:szCs w:val="21"/>
                <w14:textFill>
                  <w14:solidFill>
                    <w14:schemeClr w14:val="tx1"/>
                  </w14:solidFill>
                </w14:textFill>
              </w:rPr>
              <w:t>Ａ－4 辅助图形规范</w:t>
            </w:r>
          </w:p>
        </w:tc>
      </w:tr>
      <w:tr>
        <w:tblPrEx>
          <w:tblLayout w:type="fixed"/>
          <w:tblCellMar>
            <w:top w:w="0" w:type="dxa"/>
            <w:left w:w="108" w:type="dxa"/>
            <w:bottom w:w="0" w:type="dxa"/>
            <w:right w:w="108" w:type="dxa"/>
          </w:tblCellMar>
        </w:tblPrEx>
        <w:trPr>
          <w:trHeight w:val="23" w:hRule="atLeast"/>
        </w:trPr>
        <w:tc>
          <w:tcPr>
            <w:tcW w:w="8906" w:type="dxa"/>
            <w:tcBorders>
              <w:top w:val="nil"/>
              <w:left w:val="single" w:color="auto" w:sz="8" w:space="0"/>
              <w:bottom w:val="single" w:color="auto" w:sz="4" w:space="0"/>
              <w:right w:val="single" w:color="auto" w:sz="4" w:space="0"/>
            </w:tcBorders>
            <w:shd w:val="clear" w:color="auto" w:fill="auto"/>
            <w:noWrap/>
            <w:vAlign w:val="center"/>
          </w:tcPr>
          <w:p>
            <w:pPr>
              <w:widowControl/>
              <w:spacing w:line="276" w:lineRule="auto"/>
              <w:jc w:val="left"/>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辅助图形释义</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辅助图形基本使用形式</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辅助图形使用规范</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辅助图形的应用延展</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辅助底纹制作</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辅助底纹应用延展</w:t>
            </w:r>
          </w:p>
        </w:tc>
      </w:tr>
      <w:tr>
        <w:tblPrEx>
          <w:tblLayout w:type="fixed"/>
          <w:tblCellMar>
            <w:top w:w="0" w:type="dxa"/>
            <w:left w:w="108" w:type="dxa"/>
            <w:bottom w:w="0" w:type="dxa"/>
            <w:right w:w="108" w:type="dxa"/>
          </w:tblCellMar>
        </w:tblPrEx>
        <w:trPr>
          <w:trHeight w:val="23" w:hRule="atLeast"/>
        </w:trPr>
        <w:tc>
          <w:tcPr>
            <w:tcW w:w="890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76" w:lineRule="auto"/>
              <w:jc w:val="center"/>
              <w:rPr>
                <w:rFonts w:ascii="仿宋" w:hAnsi="仿宋" w:eastAsia="仿宋" w:cs="宋体"/>
                <w:b/>
                <w:bCs/>
                <w:color w:val="000000" w:themeColor="text1"/>
                <w:szCs w:val="21"/>
                <w14:textFill>
                  <w14:solidFill>
                    <w14:schemeClr w14:val="tx1"/>
                  </w14:solidFill>
                </w14:textFill>
              </w:rPr>
            </w:pPr>
            <w:r>
              <w:rPr>
                <w:rFonts w:hint="eastAsia" w:ascii="仿宋" w:hAnsi="仿宋" w:eastAsia="仿宋" w:cs="宋体"/>
                <w:b/>
                <w:bCs/>
                <w:color w:val="000000" w:themeColor="text1"/>
                <w:szCs w:val="21"/>
                <w14:textFill>
                  <w14:solidFill>
                    <w14:schemeClr w14:val="tx1"/>
                  </w14:solidFill>
                </w14:textFill>
              </w:rPr>
              <w:t xml:space="preserve">Ａ－5 文字规范 </w:t>
            </w:r>
          </w:p>
        </w:tc>
      </w:tr>
      <w:tr>
        <w:tblPrEx>
          <w:tblLayout w:type="fixed"/>
          <w:tblCellMar>
            <w:top w:w="0" w:type="dxa"/>
            <w:left w:w="108" w:type="dxa"/>
            <w:bottom w:w="0" w:type="dxa"/>
            <w:right w:w="108" w:type="dxa"/>
          </w:tblCellMar>
        </w:tblPrEx>
        <w:trPr>
          <w:trHeight w:val="23" w:hRule="atLeast"/>
        </w:trPr>
        <w:tc>
          <w:tcPr>
            <w:tcW w:w="8906" w:type="dxa"/>
            <w:tcBorders>
              <w:top w:val="nil"/>
              <w:left w:val="single" w:color="auto" w:sz="8" w:space="0"/>
              <w:bottom w:val="single" w:color="auto" w:sz="4" w:space="0"/>
              <w:right w:val="single" w:color="auto" w:sz="4" w:space="0"/>
            </w:tcBorders>
            <w:shd w:val="clear" w:color="auto" w:fill="auto"/>
            <w:noWrap/>
            <w:vAlign w:val="center"/>
          </w:tcPr>
          <w:p>
            <w:pPr>
              <w:widowControl/>
              <w:spacing w:line="276" w:lineRule="auto"/>
              <w:jc w:val="left"/>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学校专用办公字体（用途与分类）</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学校专用印刷字体（用途与分类）</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中文简称横式规范</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英文（他语）简称横式规范</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中文全称横式规范</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英文（他语）全称横式规范</w:t>
            </w:r>
          </w:p>
        </w:tc>
      </w:tr>
      <w:tr>
        <w:tblPrEx>
          <w:tblLayout w:type="fixed"/>
          <w:tblCellMar>
            <w:top w:w="0" w:type="dxa"/>
            <w:left w:w="108" w:type="dxa"/>
            <w:bottom w:w="0" w:type="dxa"/>
            <w:right w:w="108" w:type="dxa"/>
          </w:tblCellMar>
        </w:tblPrEx>
        <w:trPr>
          <w:trHeight w:val="23" w:hRule="atLeast"/>
        </w:trPr>
        <w:tc>
          <w:tcPr>
            <w:tcW w:w="890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76" w:lineRule="auto"/>
              <w:jc w:val="center"/>
              <w:rPr>
                <w:rFonts w:ascii="仿宋" w:hAnsi="仿宋" w:eastAsia="仿宋" w:cs="宋体"/>
                <w:b/>
                <w:bCs/>
                <w:color w:val="000000" w:themeColor="text1"/>
                <w:szCs w:val="21"/>
                <w14:textFill>
                  <w14:solidFill>
                    <w14:schemeClr w14:val="tx1"/>
                  </w14:solidFill>
                </w14:textFill>
              </w:rPr>
            </w:pPr>
            <w:r>
              <w:rPr>
                <w:rFonts w:hint="eastAsia" w:ascii="仿宋" w:hAnsi="仿宋" w:eastAsia="仿宋" w:cs="宋体"/>
                <w:b/>
                <w:bCs/>
                <w:color w:val="000000" w:themeColor="text1"/>
                <w:szCs w:val="21"/>
                <w14:textFill>
                  <w14:solidFill>
                    <w14:schemeClr w14:val="tx1"/>
                  </w14:solidFill>
                </w14:textFill>
              </w:rPr>
              <w:t>Ａ－6 常见错误预演</w:t>
            </w:r>
          </w:p>
        </w:tc>
      </w:tr>
      <w:tr>
        <w:tblPrEx>
          <w:tblLayout w:type="fixed"/>
          <w:tblCellMar>
            <w:top w:w="0" w:type="dxa"/>
            <w:left w:w="108" w:type="dxa"/>
            <w:bottom w:w="0" w:type="dxa"/>
            <w:right w:w="108" w:type="dxa"/>
          </w:tblCellMar>
        </w:tblPrEx>
        <w:trPr>
          <w:trHeight w:val="23" w:hRule="atLeast"/>
        </w:trPr>
        <w:tc>
          <w:tcPr>
            <w:tcW w:w="8906" w:type="dxa"/>
            <w:tcBorders>
              <w:top w:val="nil"/>
              <w:left w:val="single" w:color="auto" w:sz="8" w:space="0"/>
              <w:bottom w:val="single" w:color="auto" w:sz="4" w:space="0"/>
              <w:right w:val="single" w:color="auto" w:sz="4" w:space="0"/>
            </w:tcBorders>
            <w:shd w:val="clear" w:color="auto" w:fill="auto"/>
            <w:noWrap/>
            <w:vAlign w:val="center"/>
          </w:tcPr>
          <w:p>
            <w:pPr>
              <w:widowControl/>
              <w:spacing w:line="276" w:lineRule="auto"/>
              <w:jc w:val="left"/>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标志的错误应用</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品牌标识的错误应用</w:t>
            </w:r>
          </w:p>
        </w:tc>
      </w:tr>
      <w:tr>
        <w:tblPrEx>
          <w:tblLayout w:type="fixed"/>
          <w:tblCellMar>
            <w:top w:w="0" w:type="dxa"/>
            <w:left w:w="108" w:type="dxa"/>
            <w:bottom w:w="0" w:type="dxa"/>
            <w:right w:w="108" w:type="dxa"/>
          </w:tblCellMar>
        </w:tblPrEx>
        <w:trPr>
          <w:trHeight w:val="23" w:hRule="atLeast"/>
        </w:trPr>
        <w:tc>
          <w:tcPr>
            <w:tcW w:w="890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76" w:lineRule="auto"/>
              <w:jc w:val="center"/>
              <w:rPr>
                <w:rFonts w:ascii="仿宋" w:hAnsi="仿宋" w:eastAsia="仿宋" w:cs="宋体"/>
                <w:b/>
                <w:bCs/>
                <w:color w:val="000000" w:themeColor="text1"/>
                <w:szCs w:val="21"/>
                <w14:textFill>
                  <w14:solidFill>
                    <w14:schemeClr w14:val="tx1"/>
                  </w14:solidFill>
                </w14:textFill>
              </w:rPr>
            </w:pPr>
            <w:r>
              <w:rPr>
                <w:rFonts w:hint="eastAsia" w:ascii="仿宋" w:hAnsi="仿宋" w:eastAsia="仿宋" w:cs="宋体"/>
                <w:b/>
                <w:bCs/>
                <w:color w:val="000000" w:themeColor="text1"/>
                <w:szCs w:val="21"/>
                <w14:textFill>
                  <w14:solidFill>
                    <w14:schemeClr w14:val="tx1"/>
                  </w14:solidFill>
                </w14:textFill>
              </w:rPr>
              <w:t>Ｂ应用部分</w:t>
            </w:r>
          </w:p>
        </w:tc>
      </w:tr>
      <w:tr>
        <w:tblPrEx>
          <w:tblLayout w:type="fixed"/>
          <w:tblCellMar>
            <w:top w:w="0" w:type="dxa"/>
            <w:left w:w="108" w:type="dxa"/>
            <w:bottom w:w="0" w:type="dxa"/>
            <w:right w:w="108" w:type="dxa"/>
          </w:tblCellMar>
        </w:tblPrEx>
        <w:trPr>
          <w:trHeight w:val="23" w:hRule="atLeast"/>
        </w:trPr>
        <w:tc>
          <w:tcPr>
            <w:tcW w:w="890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76" w:lineRule="auto"/>
              <w:jc w:val="center"/>
              <w:rPr>
                <w:rFonts w:ascii="仿宋" w:hAnsi="仿宋" w:eastAsia="仿宋" w:cs="宋体"/>
                <w:b/>
                <w:bCs/>
                <w:color w:val="000000" w:themeColor="text1"/>
                <w:szCs w:val="21"/>
                <w14:textFill>
                  <w14:solidFill>
                    <w14:schemeClr w14:val="tx1"/>
                  </w14:solidFill>
                </w14:textFill>
              </w:rPr>
            </w:pPr>
            <w:r>
              <w:rPr>
                <w:rFonts w:hint="eastAsia" w:ascii="仿宋" w:hAnsi="仿宋" w:eastAsia="仿宋" w:cs="宋体"/>
                <w:b/>
                <w:bCs/>
                <w:color w:val="000000" w:themeColor="text1"/>
                <w:szCs w:val="21"/>
                <w14:textFill>
                  <w14:solidFill>
                    <w14:schemeClr w14:val="tx1"/>
                  </w14:solidFill>
                </w14:textFill>
              </w:rPr>
              <w:t>B－1 行政办公系统</w:t>
            </w:r>
          </w:p>
        </w:tc>
      </w:tr>
      <w:tr>
        <w:tblPrEx>
          <w:tblLayout w:type="fixed"/>
          <w:tblCellMar>
            <w:top w:w="0" w:type="dxa"/>
            <w:left w:w="108" w:type="dxa"/>
            <w:bottom w:w="0" w:type="dxa"/>
            <w:right w:w="108" w:type="dxa"/>
          </w:tblCellMar>
        </w:tblPrEx>
        <w:trPr>
          <w:trHeight w:val="23" w:hRule="atLeast"/>
        </w:trPr>
        <w:tc>
          <w:tcPr>
            <w:tcW w:w="8906" w:type="dxa"/>
            <w:tcBorders>
              <w:top w:val="nil"/>
              <w:left w:val="single" w:color="auto" w:sz="8" w:space="0"/>
              <w:bottom w:val="single" w:color="auto" w:sz="4" w:space="0"/>
              <w:right w:val="single" w:color="auto" w:sz="4" w:space="0"/>
            </w:tcBorders>
            <w:shd w:val="clear" w:color="auto" w:fill="auto"/>
            <w:noWrap/>
            <w:vAlign w:val="center"/>
          </w:tcPr>
          <w:p>
            <w:pPr>
              <w:widowControl/>
              <w:spacing w:line="276" w:lineRule="auto"/>
              <w:jc w:val="left"/>
              <w:rPr>
                <w:rFonts w:hint="default" w:ascii="仿宋" w:hAnsi="仿宋" w:eastAsia="仿宋" w:cs="宋体"/>
                <w:color w:val="000000" w:themeColor="text1"/>
                <w:szCs w:val="21"/>
                <w:lang w:val="en-US" w:eastAsia="zh-CN"/>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名片</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国内信封（DL/C4/C5）</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国际信封（DL）</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信纸</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传真纸</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信笺纸</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文件封套</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公文袋</w:t>
            </w:r>
            <w:r>
              <w:rPr>
                <w:rFonts w:hint="eastAsia" w:ascii="仿宋" w:hAnsi="仿宋" w:eastAsia="仿宋" w:cs="宋体"/>
                <w:color w:val="000000" w:themeColor="text1"/>
                <w:szCs w:val="21"/>
                <w:lang w:val="en-US" w:eastAsia="zh-CN"/>
                <w14:textFill>
                  <w14:solidFill>
                    <w14:schemeClr w14:val="tx1"/>
                  </w14:solidFill>
                </w14:textFill>
              </w:rPr>
              <w:t>等不少于18个单项（其余由供应商自由选择提供）</w:t>
            </w:r>
          </w:p>
        </w:tc>
      </w:tr>
      <w:tr>
        <w:tblPrEx>
          <w:tblLayout w:type="fixed"/>
          <w:tblCellMar>
            <w:top w:w="0" w:type="dxa"/>
            <w:left w:w="108" w:type="dxa"/>
            <w:bottom w:w="0" w:type="dxa"/>
            <w:right w:w="108" w:type="dxa"/>
          </w:tblCellMar>
        </w:tblPrEx>
        <w:trPr>
          <w:trHeight w:val="23" w:hRule="atLeast"/>
        </w:trPr>
        <w:tc>
          <w:tcPr>
            <w:tcW w:w="890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76" w:lineRule="auto"/>
              <w:jc w:val="center"/>
              <w:rPr>
                <w:rFonts w:ascii="仿宋" w:hAnsi="仿宋" w:eastAsia="仿宋" w:cs="宋体"/>
                <w:b/>
                <w:bCs/>
                <w:color w:val="000000" w:themeColor="text1"/>
                <w:szCs w:val="21"/>
                <w14:textFill>
                  <w14:solidFill>
                    <w14:schemeClr w14:val="tx1"/>
                  </w14:solidFill>
                </w14:textFill>
              </w:rPr>
            </w:pPr>
            <w:r>
              <w:rPr>
                <w:rFonts w:hint="eastAsia" w:ascii="仿宋" w:hAnsi="仿宋" w:eastAsia="仿宋" w:cs="宋体"/>
                <w:b/>
                <w:bCs/>
                <w:color w:val="000000" w:themeColor="text1"/>
                <w:szCs w:val="21"/>
                <w14:textFill>
                  <w14:solidFill>
                    <w14:schemeClr w14:val="tx1"/>
                  </w14:solidFill>
                </w14:textFill>
              </w:rPr>
              <w:t xml:space="preserve">B—2多媒体办公系统 </w:t>
            </w:r>
          </w:p>
        </w:tc>
      </w:tr>
      <w:tr>
        <w:tblPrEx>
          <w:tblLayout w:type="fixed"/>
          <w:tblCellMar>
            <w:top w:w="0" w:type="dxa"/>
            <w:left w:w="108" w:type="dxa"/>
            <w:bottom w:w="0" w:type="dxa"/>
            <w:right w:w="108" w:type="dxa"/>
          </w:tblCellMar>
        </w:tblPrEx>
        <w:trPr>
          <w:trHeight w:val="23" w:hRule="atLeast"/>
        </w:trPr>
        <w:tc>
          <w:tcPr>
            <w:tcW w:w="8906" w:type="dxa"/>
            <w:tcBorders>
              <w:top w:val="nil"/>
              <w:left w:val="single" w:color="auto" w:sz="8" w:space="0"/>
              <w:bottom w:val="single" w:color="auto" w:sz="4" w:space="0"/>
              <w:right w:val="single" w:color="auto" w:sz="4" w:space="0"/>
            </w:tcBorders>
            <w:shd w:val="clear" w:color="auto" w:fill="auto"/>
            <w:noWrap/>
            <w:vAlign w:val="center"/>
          </w:tcPr>
          <w:p>
            <w:pPr>
              <w:widowControl/>
              <w:spacing w:line="276" w:lineRule="auto"/>
              <w:jc w:val="left"/>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WORD标准样式</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excel标准样式</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PPT模版</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电子邮件格式</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电脑、平板、手机</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桌面样式规范</w:t>
            </w:r>
          </w:p>
        </w:tc>
      </w:tr>
      <w:tr>
        <w:tblPrEx>
          <w:tblLayout w:type="fixed"/>
          <w:tblCellMar>
            <w:top w:w="0" w:type="dxa"/>
            <w:left w:w="108" w:type="dxa"/>
            <w:bottom w:w="0" w:type="dxa"/>
            <w:right w:w="108" w:type="dxa"/>
          </w:tblCellMar>
        </w:tblPrEx>
        <w:trPr>
          <w:trHeight w:val="23" w:hRule="atLeast"/>
        </w:trPr>
        <w:tc>
          <w:tcPr>
            <w:tcW w:w="890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76" w:lineRule="auto"/>
              <w:jc w:val="center"/>
              <w:rPr>
                <w:rFonts w:ascii="仿宋" w:hAnsi="仿宋" w:eastAsia="仿宋" w:cs="宋体"/>
                <w:b/>
                <w:bCs/>
                <w:color w:val="000000" w:themeColor="text1"/>
                <w:szCs w:val="21"/>
                <w:highlight w:val="none"/>
                <w14:textFill>
                  <w14:solidFill>
                    <w14:schemeClr w14:val="tx1"/>
                  </w14:solidFill>
                </w14:textFill>
              </w:rPr>
            </w:pPr>
            <w:r>
              <w:rPr>
                <w:rFonts w:hint="eastAsia" w:ascii="仿宋" w:hAnsi="仿宋" w:eastAsia="仿宋" w:cs="宋体"/>
                <w:b/>
                <w:bCs/>
                <w:color w:val="000000" w:themeColor="text1"/>
                <w:szCs w:val="21"/>
                <w:highlight w:val="none"/>
                <w14:textFill>
                  <w14:solidFill>
                    <w14:schemeClr w14:val="tx1"/>
                  </w14:solidFill>
                </w14:textFill>
              </w:rPr>
              <w:t xml:space="preserve">B－3 会务系统 </w:t>
            </w:r>
          </w:p>
        </w:tc>
      </w:tr>
      <w:tr>
        <w:tblPrEx>
          <w:tblLayout w:type="fixed"/>
          <w:tblCellMar>
            <w:top w:w="0" w:type="dxa"/>
            <w:left w:w="108" w:type="dxa"/>
            <w:bottom w:w="0" w:type="dxa"/>
            <w:right w:w="108" w:type="dxa"/>
          </w:tblCellMar>
        </w:tblPrEx>
        <w:trPr>
          <w:trHeight w:val="23" w:hRule="atLeast"/>
        </w:trPr>
        <w:tc>
          <w:tcPr>
            <w:tcW w:w="8906" w:type="dxa"/>
            <w:tcBorders>
              <w:top w:val="nil"/>
              <w:left w:val="single" w:color="auto" w:sz="8" w:space="0"/>
              <w:bottom w:val="single" w:color="auto" w:sz="4" w:space="0"/>
              <w:right w:val="single" w:color="auto" w:sz="4" w:space="0"/>
            </w:tcBorders>
            <w:shd w:val="clear" w:color="auto" w:fill="auto"/>
            <w:noWrap/>
            <w:vAlign w:val="center"/>
          </w:tcPr>
          <w:p>
            <w:pPr>
              <w:widowControl/>
              <w:spacing w:line="276" w:lineRule="auto"/>
              <w:jc w:val="left"/>
              <w:rPr>
                <w:rFonts w:hint="default" w:ascii="仿宋" w:hAnsi="仿宋" w:eastAsia="仿宋" w:cs="宋体"/>
                <w:color w:val="000000" w:themeColor="text1"/>
                <w:szCs w:val="21"/>
                <w:lang w:val="en-US" w:eastAsia="zh-CN"/>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会议证件 (会议证，来宾证）</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请柬</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停车证</w:t>
            </w:r>
            <w:r>
              <w:rPr>
                <w:rFonts w:hint="eastAsia" w:ascii="仿宋" w:hAnsi="仿宋" w:eastAsia="仿宋" w:cs="宋体"/>
                <w:color w:val="000000" w:themeColor="text1"/>
                <w:szCs w:val="21"/>
                <w:lang w:val="en-US" w:eastAsia="zh-CN"/>
                <w14:textFill>
                  <w14:solidFill>
                    <w14:schemeClr w14:val="tx1"/>
                  </w14:solidFill>
                </w14:textFill>
              </w:rPr>
              <w:t>等不少于9个单项（其余由供应商自由选择提供）</w:t>
            </w:r>
          </w:p>
        </w:tc>
      </w:tr>
      <w:tr>
        <w:tblPrEx>
          <w:tblLayout w:type="fixed"/>
          <w:tblCellMar>
            <w:top w:w="0" w:type="dxa"/>
            <w:left w:w="108" w:type="dxa"/>
            <w:bottom w:w="0" w:type="dxa"/>
            <w:right w:w="108" w:type="dxa"/>
          </w:tblCellMar>
        </w:tblPrEx>
        <w:trPr>
          <w:trHeight w:val="23" w:hRule="atLeast"/>
        </w:trPr>
        <w:tc>
          <w:tcPr>
            <w:tcW w:w="890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76" w:lineRule="auto"/>
              <w:jc w:val="center"/>
              <w:rPr>
                <w:rFonts w:ascii="仿宋" w:hAnsi="仿宋" w:eastAsia="仿宋" w:cs="宋体"/>
                <w:b/>
                <w:bCs/>
                <w:color w:val="000000" w:themeColor="text1"/>
                <w:szCs w:val="21"/>
                <w14:textFill>
                  <w14:solidFill>
                    <w14:schemeClr w14:val="tx1"/>
                  </w14:solidFill>
                </w14:textFill>
              </w:rPr>
            </w:pPr>
            <w:r>
              <w:rPr>
                <w:rFonts w:hint="eastAsia" w:ascii="仿宋" w:hAnsi="仿宋" w:eastAsia="仿宋" w:cs="宋体"/>
                <w:b/>
                <w:bCs/>
                <w:color w:val="000000" w:themeColor="text1"/>
                <w:szCs w:val="21"/>
                <w14:textFill>
                  <w14:solidFill>
                    <w14:schemeClr w14:val="tx1"/>
                  </w14:solidFill>
                </w14:textFill>
              </w:rPr>
              <w:t>B－</w:t>
            </w:r>
            <w:r>
              <w:rPr>
                <w:rFonts w:ascii="仿宋" w:hAnsi="仿宋" w:eastAsia="仿宋" w:cs="宋体"/>
                <w:b/>
                <w:bCs/>
                <w:color w:val="000000" w:themeColor="text1"/>
                <w:szCs w:val="21"/>
                <w14:textFill>
                  <w14:solidFill>
                    <w14:schemeClr w14:val="tx1"/>
                  </w14:solidFill>
                </w14:textFill>
              </w:rPr>
              <w:t>4</w:t>
            </w:r>
            <w:r>
              <w:rPr>
                <w:rFonts w:hint="eastAsia" w:ascii="仿宋" w:hAnsi="仿宋" w:eastAsia="仿宋" w:cs="宋体"/>
                <w:b/>
                <w:bCs/>
                <w:color w:val="000000" w:themeColor="text1"/>
                <w:szCs w:val="21"/>
                <w14:textFill>
                  <w14:solidFill>
                    <w14:schemeClr w14:val="tx1"/>
                  </w14:solidFill>
                </w14:textFill>
              </w:rPr>
              <w:t xml:space="preserve"> 线上媒介系统</w:t>
            </w:r>
          </w:p>
        </w:tc>
      </w:tr>
      <w:tr>
        <w:tblPrEx>
          <w:tblLayout w:type="fixed"/>
          <w:tblCellMar>
            <w:top w:w="0" w:type="dxa"/>
            <w:left w:w="108" w:type="dxa"/>
            <w:bottom w:w="0" w:type="dxa"/>
            <w:right w:w="108" w:type="dxa"/>
          </w:tblCellMar>
        </w:tblPrEx>
        <w:trPr>
          <w:trHeight w:val="23" w:hRule="atLeast"/>
        </w:trPr>
        <w:tc>
          <w:tcPr>
            <w:tcW w:w="8906" w:type="dxa"/>
            <w:tcBorders>
              <w:top w:val="nil"/>
              <w:left w:val="single" w:color="auto" w:sz="8" w:space="0"/>
              <w:right w:val="single" w:color="auto" w:sz="4" w:space="0"/>
            </w:tcBorders>
            <w:shd w:val="clear" w:color="auto" w:fill="auto"/>
            <w:noWrap/>
            <w:vAlign w:val="center"/>
          </w:tcPr>
          <w:p>
            <w:pPr>
              <w:widowControl/>
              <w:spacing w:line="276" w:lineRule="auto"/>
              <w:jc w:val="left"/>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官微（微博/微信)标识规范</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二维码样式</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网页广告（banner、横幅、竖幅、浮动窗）</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电视节目赞助角标</w:t>
            </w:r>
          </w:p>
        </w:tc>
      </w:tr>
      <w:tr>
        <w:tblPrEx>
          <w:tblLayout w:type="fixed"/>
          <w:tblCellMar>
            <w:top w:w="0" w:type="dxa"/>
            <w:left w:w="108" w:type="dxa"/>
            <w:bottom w:w="0" w:type="dxa"/>
            <w:right w:w="108" w:type="dxa"/>
          </w:tblCellMar>
        </w:tblPrEx>
        <w:trPr>
          <w:trHeight w:val="23" w:hRule="atLeast"/>
        </w:trPr>
        <w:tc>
          <w:tcPr>
            <w:tcW w:w="890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76" w:lineRule="auto"/>
              <w:jc w:val="center"/>
              <w:rPr>
                <w:rFonts w:ascii="仿宋" w:hAnsi="仿宋" w:eastAsia="仿宋" w:cs="宋体"/>
                <w:b/>
                <w:bCs/>
                <w:color w:val="000000" w:themeColor="text1"/>
                <w:szCs w:val="21"/>
                <w14:textFill>
                  <w14:solidFill>
                    <w14:schemeClr w14:val="tx1"/>
                  </w14:solidFill>
                </w14:textFill>
              </w:rPr>
            </w:pPr>
            <w:r>
              <w:rPr>
                <w:rFonts w:hint="eastAsia" w:ascii="仿宋" w:hAnsi="仿宋" w:eastAsia="仿宋" w:cs="宋体"/>
                <w:b/>
                <w:bCs/>
                <w:color w:val="000000" w:themeColor="text1"/>
                <w:szCs w:val="21"/>
                <w14:textFill>
                  <w14:solidFill>
                    <w14:schemeClr w14:val="tx1"/>
                  </w14:solidFill>
                </w14:textFill>
              </w:rPr>
              <w:t>B－</w:t>
            </w:r>
            <w:r>
              <w:rPr>
                <w:rFonts w:ascii="仿宋" w:hAnsi="仿宋" w:eastAsia="仿宋" w:cs="宋体"/>
                <w:b/>
                <w:bCs/>
                <w:color w:val="000000" w:themeColor="text1"/>
                <w:szCs w:val="21"/>
                <w14:textFill>
                  <w14:solidFill>
                    <w14:schemeClr w14:val="tx1"/>
                  </w14:solidFill>
                </w14:textFill>
              </w:rPr>
              <w:t>5</w:t>
            </w:r>
            <w:r>
              <w:rPr>
                <w:rFonts w:hint="eastAsia" w:ascii="仿宋" w:hAnsi="仿宋" w:eastAsia="仿宋" w:cs="宋体"/>
                <w:b/>
                <w:bCs/>
                <w:color w:val="000000" w:themeColor="text1"/>
                <w:szCs w:val="21"/>
                <w14:textFill>
                  <w14:solidFill>
                    <w14:schemeClr w14:val="tx1"/>
                  </w14:solidFill>
                </w14:textFill>
              </w:rPr>
              <w:t xml:space="preserve"> 环境导示系统</w:t>
            </w:r>
          </w:p>
        </w:tc>
      </w:tr>
      <w:tr>
        <w:tblPrEx>
          <w:tblLayout w:type="fixed"/>
          <w:tblCellMar>
            <w:top w:w="0" w:type="dxa"/>
            <w:left w:w="108" w:type="dxa"/>
            <w:bottom w:w="0" w:type="dxa"/>
            <w:right w:w="108" w:type="dxa"/>
          </w:tblCellMar>
        </w:tblPrEx>
        <w:trPr>
          <w:trHeight w:val="23" w:hRule="atLeast"/>
        </w:trPr>
        <w:tc>
          <w:tcPr>
            <w:tcW w:w="8906" w:type="dxa"/>
            <w:tcBorders>
              <w:top w:val="nil"/>
              <w:left w:val="single" w:color="auto" w:sz="8" w:space="0"/>
              <w:bottom w:val="single" w:color="auto" w:sz="4" w:space="0"/>
              <w:right w:val="single" w:color="auto" w:sz="4" w:space="0"/>
            </w:tcBorders>
            <w:shd w:val="clear" w:color="auto" w:fill="auto"/>
            <w:noWrap/>
            <w:vAlign w:val="center"/>
          </w:tcPr>
          <w:p>
            <w:pPr>
              <w:widowControl/>
              <w:spacing w:line="276" w:lineRule="auto"/>
              <w:jc w:val="left"/>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校旗</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楼顶标识</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标志铭牌</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玻璃警示贴</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接待台及背景板</w:t>
            </w:r>
            <w:r>
              <w:rPr>
                <w:rFonts w:hint="eastAsia" w:ascii="仿宋" w:hAnsi="仿宋" w:eastAsia="仿宋" w:cs="宋体"/>
                <w:color w:val="000000" w:themeColor="text1"/>
                <w:szCs w:val="21"/>
                <w:lang w:val="en-US" w:eastAsia="zh-CN"/>
                <w14:textFill>
                  <w14:solidFill>
                    <w14:schemeClr w14:val="tx1"/>
                  </w14:solidFill>
                </w14:textFill>
              </w:rPr>
              <w:t>等不少于10个单项（其余由供应商自由选择提供）</w:t>
            </w:r>
          </w:p>
        </w:tc>
      </w:tr>
      <w:tr>
        <w:tblPrEx>
          <w:tblLayout w:type="fixed"/>
          <w:tblCellMar>
            <w:top w:w="0" w:type="dxa"/>
            <w:left w:w="108" w:type="dxa"/>
            <w:bottom w:w="0" w:type="dxa"/>
            <w:right w:w="108" w:type="dxa"/>
          </w:tblCellMar>
        </w:tblPrEx>
        <w:trPr>
          <w:trHeight w:val="23" w:hRule="atLeast"/>
        </w:trPr>
        <w:tc>
          <w:tcPr>
            <w:tcW w:w="890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76" w:lineRule="auto"/>
              <w:jc w:val="center"/>
              <w:rPr>
                <w:rFonts w:ascii="仿宋" w:hAnsi="仿宋" w:eastAsia="仿宋" w:cs="宋体"/>
                <w:b/>
                <w:bCs/>
                <w:color w:val="000000" w:themeColor="text1"/>
                <w:szCs w:val="21"/>
                <w14:textFill>
                  <w14:solidFill>
                    <w14:schemeClr w14:val="tx1"/>
                  </w14:solidFill>
                </w14:textFill>
              </w:rPr>
            </w:pPr>
            <w:r>
              <w:rPr>
                <w:rFonts w:hint="eastAsia" w:ascii="仿宋" w:hAnsi="仿宋" w:eastAsia="仿宋" w:cs="宋体"/>
                <w:b/>
                <w:bCs/>
                <w:color w:val="000000" w:themeColor="text1"/>
                <w:szCs w:val="21"/>
                <w14:textFill>
                  <w14:solidFill>
                    <w14:schemeClr w14:val="tx1"/>
                  </w14:solidFill>
                </w14:textFill>
              </w:rPr>
              <w:t>B－</w:t>
            </w:r>
            <w:r>
              <w:rPr>
                <w:rFonts w:ascii="仿宋" w:hAnsi="仿宋" w:eastAsia="仿宋" w:cs="宋体"/>
                <w:b/>
                <w:bCs/>
                <w:color w:val="000000" w:themeColor="text1"/>
                <w:szCs w:val="21"/>
                <w14:textFill>
                  <w14:solidFill>
                    <w14:schemeClr w14:val="tx1"/>
                  </w14:solidFill>
                </w14:textFill>
              </w:rPr>
              <w:t>6</w:t>
            </w:r>
            <w:r>
              <w:rPr>
                <w:rFonts w:hint="eastAsia" w:ascii="仿宋" w:hAnsi="仿宋" w:eastAsia="仿宋" w:cs="宋体"/>
                <w:b/>
                <w:bCs/>
                <w:color w:val="000000" w:themeColor="text1"/>
                <w:szCs w:val="21"/>
                <w14:textFill>
                  <w14:solidFill>
                    <w14:schemeClr w14:val="tx1"/>
                  </w14:solidFill>
                </w14:textFill>
              </w:rPr>
              <w:t xml:space="preserve"> 礼赠附属品</w:t>
            </w:r>
          </w:p>
        </w:tc>
      </w:tr>
      <w:tr>
        <w:tblPrEx>
          <w:tblLayout w:type="fixed"/>
          <w:tblCellMar>
            <w:top w:w="0" w:type="dxa"/>
            <w:left w:w="108" w:type="dxa"/>
            <w:bottom w:w="0" w:type="dxa"/>
            <w:right w:w="108" w:type="dxa"/>
          </w:tblCellMar>
        </w:tblPrEx>
        <w:trPr>
          <w:trHeight w:val="23" w:hRule="atLeast"/>
        </w:trPr>
        <w:tc>
          <w:tcPr>
            <w:tcW w:w="8906" w:type="dxa"/>
            <w:tcBorders>
              <w:top w:val="nil"/>
              <w:left w:val="single" w:color="auto" w:sz="8" w:space="0"/>
              <w:bottom w:val="single" w:color="auto" w:sz="4" w:space="0"/>
              <w:right w:val="single" w:color="auto" w:sz="4" w:space="0"/>
            </w:tcBorders>
            <w:shd w:val="clear" w:color="auto" w:fill="auto"/>
            <w:noWrap/>
            <w:vAlign w:val="center"/>
          </w:tcPr>
          <w:p>
            <w:pPr>
              <w:widowControl/>
              <w:spacing w:line="276" w:lineRule="auto"/>
              <w:jc w:val="left"/>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鼠标垫</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办公笔</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U盘</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T恤</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伞</w:t>
            </w:r>
            <w:r>
              <w:rPr>
                <w:rFonts w:hint="eastAsia" w:ascii="仿宋" w:hAnsi="仿宋" w:eastAsia="仿宋" w:cs="宋体"/>
                <w:color w:val="000000" w:themeColor="text1"/>
                <w:szCs w:val="21"/>
                <w:lang w:eastAsia="zh-CN"/>
                <w14:textFill>
                  <w14:solidFill>
                    <w14:schemeClr w14:val="tx1"/>
                  </w14:solidFill>
                </w14:textFill>
              </w:rPr>
              <w:t>、</w:t>
            </w:r>
            <w:r>
              <w:rPr>
                <w:rFonts w:hint="eastAsia" w:ascii="仿宋" w:hAnsi="仿宋" w:eastAsia="仿宋" w:cs="宋体"/>
                <w:color w:val="000000" w:themeColor="text1"/>
                <w:szCs w:val="21"/>
                <w14:textFill>
                  <w14:solidFill>
                    <w14:schemeClr w14:val="tx1"/>
                  </w14:solidFill>
                </w14:textFill>
              </w:rPr>
              <w:t>名片夹</w:t>
            </w:r>
            <w:r>
              <w:rPr>
                <w:rFonts w:hint="eastAsia" w:ascii="仿宋" w:hAnsi="仿宋" w:eastAsia="仿宋" w:cs="宋体"/>
                <w:color w:val="000000" w:themeColor="text1"/>
                <w:szCs w:val="21"/>
                <w:lang w:val="en-US" w:eastAsia="zh-CN"/>
                <w14:textFill>
                  <w14:solidFill>
                    <w14:schemeClr w14:val="tx1"/>
                  </w14:solidFill>
                </w14:textFill>
              </w:rPr>
              <w:t>等不少于12个单项（其余由供应商自由选择提供）</w:t>
            </w:r>
          </w:p>
        </w:tc>
      </w:tr>
      <w:tr>
        <w:tblPrEx>
          <w:tblLayout w:type="fixed"/>
          <w:tblCellMar>
            <w:top w:w="0" w:type="dxa"/>
            <w:left w:w="108" w:type="dxa"/>
            <w:bottom w:w="0" w:type="dxa"/>
            <w:right w:w="108" w:type="dxa"/>
          </w:tblCellMar>
        </w:tblPrEx>
        <w:trPr>
          <w:trHeight w:val="23" w:hRule="atLeast"/>
        </w:trPr>
        <w:tc>
          <w:tcPr>
            <w:tcW w:w="8906"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spacing w:line="276" w:lineRule="auto"/>
              <w:jc w:val="center"/>
              <w:rPr>
                <w:rFonts w:ascii="仿宋" w:hAnsi="仿宋" w:eastAsia="仿宋" w:cs="宋体"/>
                <w:b/>
                <w:bCs/>
                <w:color w:val="000000" w:themeColor="text1"/>
                <w:szCs w:val="21"/>
                <w14:textFill>
                  <w14:solidFill>
                    <w14:schemeClr w14:val="tx1"/>
                  </w14:solidFill>
                </w14:textFill>
              </w:rPr>
            </w:pPr>
            <w:r>
              <w:rPr>
                <w:rFonts w:hint="eastAsia" w:ascii="仿宋" w:hAnsi="仿宋" w:eastAsia="仿宋" w:cs="宋体"/>
                <w:b/>
                <w:bCs/>
                <w:color w:val="000000" w:themeColor="text1"/>
                <w:szCs w:val="21"/>
                <w14:textFill>
                  <w14:solidFill>
                    <w14:schemeClr w14:val="tx1"/>
                  </w14:solidFill>
                </w14:textFill>
              </w:rPr>
              <w:t>B－</w:t>
            </w:r>
            <w:r>
              <w:rPr>
                <w:rFonts w:ascii="仿宋" w:hAnsi="仿宋" w:eastAsia="仿宋" w:cs="宋体"/>
                <w:b/>
                <w:bCs/>
                <w:color w:val="000000" w:themeColor="text1"/>
                <w:szCs w:val="21"/>
                <w14:textFill>
                  <w14:solidFill>
                    <w14:schemeClr w14:val="tx1"/>
                  </w14:solidFill>
                </w14:textFill>
              </w:rPr>
              <w:t>7</w:t>
            </w:r>
            <w:r>
              <w:rPr>
                <w:rFonts w:hint="eastAsia" w:ascii="仿宋" w:hAnsi="仿宋" w:eastAsia="仿宋" w:cs="宋体"/>
                <w:b/>
                <w:bCs/>
                <w:color w:val="000000" w:themeColor="text1"/>
                <w:szCs w:val="21"/>
                <w14:textFill>
                  <w14:solidFill>
                    <w14:schemeClr w14:val="tx1"/>
                  </w14:solidFill>
                </w14:textFill>
              </w:rPr>
              <w:t xml:space="preserve"> 特殊</w:t>
            </w:r>
          </w:p>
        </w:tc>
      </w:tr>
      <w:tr>
        <w:tblPrEx>
          <w:tblLayout w:type="fixed"/>
          <w:tblCellMar>
            <w:top w:w="0" w:type="dxa"/>
            <w:left w:w="108" w:type="dxa"/>
            <w:bottom w:w="0" w:type="dxa"/>
            <w:right w:w="108" w:type="dxa"/>
          </w:tblCellMar>
        </w:tblPrEx>
        <w:trPr>
          <w:trHeight w:val="23" w:hRule="atLeast"/>
        </w:trPr>
        <w:tc>
          <w:tcPr>
            <w:tcW w:w="8906" w:type="dxa"/>
            <w:tcBorders>
              <w:top w:val="nil"/>
              <w:left w:val="single" w:color="auto" w:sz="8" w:space="0"/>
              <w:bottom w:val="single" w:color="auto" w:sz="4" w:space="0"/>
              <w:right w:val="single" w:color="auto" w:sz="4" w:space="0"/>
            </w:tcBorders>
            <w:shd w:val="clear" w:color="auto" w:fill="auto"/>
            <w:noWrap/>
            <w:vAlign w:val="center"/>
          </w:tcPr>
          <w:p>
            <w:pPr>
              <w:widowControl/>
              <w:spacing w:line="276" w:lineRule="auto"/>
              <w:jc w:val="left"/>
              <w:rPr>
                <w:rFonts w:ascii="仿宋" w:hAnsi="仿宋" w:eastAsia="仿宋" w:cs="宋体"/>
                <w:color w:val="000000" w:themeColor="text1"/>
                <w:szCs w:val="21"/>
                <w14:textFill>
                  <w14:solidFill>
                    <w14:schemeClr w14:val="tx1"/>
                  </w14:solidFill>
                </w14:textFill>
              </w:rPr>
            </w:pPr>
            <w:r>
              <w:rPr>
                <w:rFonts w:hint="eastAsia" w:ascii="仿宋" w:hAnsi="仿宋" w:eastAsia="仿宋" w:cs="宋体"/>
                <w:color w:val="000000" w:themeColor="text1"/>
                <w:szCs w:val="21"/>
                <w14:textFill>
                  <w14:solidFill>
                    <w14:schemeClr w14:val="tx1"/>
                  </w14:solidFill>
                </w14:textFill>
              </w:rPr>
              <w:t>中心连廊</w:t>
            </w:r>
          </w:p>
        </w:tc>
      </w:tr>
    </w:tbl>
    <w:p>
      <w:pPr>
        <w:pStyle w:val="9"/>
        <w:widowControl w:val="0"/>
        <w:numPr>
          <w:ilvl w:val="0"/>
          <w:numId w:val="0"/>
        </w:numPr>
        <w:spacing w:after="156" w:afterLines="0"/>
        <w:jc w:val="both"/>
        <w:rPr>
          <w:rFonts w:hint="eastAsia" w:asciiTheme="minorEastAsia" w:hAnsiTheme="minorEastAsia" w:eastAsiaTheme="minorEastAsia" w:cstheme="minorEastAsia"/>
          <w:kern w:val="2"/>
          <w:sz w:val="24"/>
          <w:szCs w:val="24"/>
          <w:highlight w:val="yellow"/>
          <w:lang w:val="en-US" w:eastAsia="zh-CN" w:bidi="ar-SA"/>
        </w:rPr>
        <w:sectPr>
          <w:pgSz w:w="11906" w:h="16838"/>
          <w:pgMar w:top="1440" w:right="1800" w:bottom="1440" w:left="1800" w:header="851" w:footer="992" w:gutter="0"/>
          <w:cols w:space="425" w:num="1"/>
          <w:docGrid w:type="lines" w:linePitch="312" w:charSpace="0"/>
        </w:sectPr>
      </w:pPr>
    </w:p>
    <w:p>
      <w:pPr>
        <w:keepNext w:val="0"/>
        <w:keepLines w:val="0"/>
        <w:pageBreakBefore w:val="0"/>
        <w:tabs>
          <w:tab w:val="left" w:pos="1050"/>
          <w:tab w:val="right" w:leader="dot" w:pos="9402"/>
        </w:tabs>
        <w:kinsoku/>
        <w:wordWrap/>
        <w:overflowPunct/>
        <w:topLinePunct w:val="0"/>
        <w:bidi w:val="0"/>
        <w:spacing w:before="240" w:beforeLines="100" w:line="360" w:lineRule="auto"/>
        <w:jc w:val="center"/>
        <w:textAlignment w:val="auto"/>
        <w:outlineLvl w:val="0"/>
        <w:rPr>
          <w:rFonts w:hint="eastAsia" w:asciiTheme="majorEastAsia" w:hAnsiTheme="majorEastAsia" w:eastAsiaTheme="majorEastAsia" w:cstheme="majorEastAsia"/>
          <w:b/>
          <w:w w:val="80"/>
          <w:sz w:val="36"/>
          <w:szCs w:val="36"/>
        </w:rPr>
      </w:pPr>
      <w:bookmarkStart w:id="15" w:name="_Toc20081_WPSOffice_Level1"/>
      <w:bookmarkStart w:id="16" w:name="_Toc12619_WPSOffice_Level1"/>
      <w:r>
        <w:rPr>
          <w:rFonts w:hint="eastAsia" w:asciiTheme="majorEastAsia" w:hAnsiTheme="majorEastAsia" w:eastAsiaTheme="majorEastAsia" w:cstheme="majorEastAsia"/>
          <w:b/>
          <w:w w:val="80"/>
          <w:sz w:val="36"/>
          <w:szCs w:val="36"/>
        </w:rPr>
        <w:t>第四章  评审方法和程序</w:t>
      </w:r>
      <w:bookmarkEnd w:id="15"/>
      <w:bookmarkEnd w:id="16"/>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一、采购人组织磋商活动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kern w:val="2"/>
          <w:sz w:val="24"/>
          <w:szCs w:val="24"/>
        </w:rPr>
        <w:t>1、本次竞争性磋商依据《中华人民共和国政府采购法》、《政府采购竞争性磋商采购方式管理暂行办法》及有关法规成立磋商小组。磋商小组由采购人代表和评审专</w:t>
      </w:r>
      <w:r>
        <w:rPr>
          <w:rFonts w:hint="eastAsia" w:asciiTheme="minorEastAsia" w:hAnsiTheme="minorEastAsia" w:eastAsiaTheme="minorEastAsia" w:cstheme="minorEastAsia"/>
          <w:kern w:val="2"/>
          <w:sz w:val="24"/>
          <w:szCs w:val="24"/>
          <w:highlight w:val="none"/>
        </w:rPr>
        <w:t>家共</w:t>
      </w:r>
      <w:r>
        <w:rPr>
          <w:rFonts w:hint="eastAsia" w:asciiTheme="minorEastAsia" w:hAnsiTheme="minorEastAsia" w:eastAsiaTheme="minorEastAsia" w:cstheme="minorEastAsia"/>
          <w:kern w:val="2"/>
          <w:sz w:val="24"/>
          <w:szCs w:val="24"/>
          <w:highlight w:val="none"/>
          <w:lang w:val="en-US" w:eastAsia="zh-CN"/>
        </w:rPr>
        <w:t>3</w:t>
      </w:r>
      <w:r>
        <w:rPr>
          <w:rFonts w:hint="eastAsia" w:asciiTheme="minorEastAsia" w:hAnsiTheme="minorEastAsia" w:eastAsiaTheme="minorEastAsia" w:cstheme="minorEastAsia"/>
          <w:kern w:val="2"/>
          <w:sz w:val="24"/>
          <w:szCs w:val="24"/>
          <w:highlight w:val="none"/>
        </w:rPr>
        <w:t>人组成。</w:t>
      </w:r>
      <w:r>
        <w:rPr>
          <w:rFonts w:hint="eastAsia" w:asciiTheme="minorEastAsia" w:hAnsiTheme="minorEastAsia" w:eastAsiaTheme="minorEastAsia" w:cstheme="minorEastAsia"/>
          <w:kern w:val="2"/>
          <w:sz w:val="24"/>
          <w:szCs w:val="24"/>
          <w:highlight w:val="none"/>
          <w:lang w:val="en-US" w:eastAsia="zh-CN"/>
        </w:rPr>
        <w:t>采购人</w:t>
      </w:r>
      <w:r>
        <w:rPr>
          <w:rFonts w:hint="eastAsia" w:asciiTheme="minorEastAsia" w:hAnsiTheme="minorEastAsia" w:eastAsiaTheme="minorEastAsia" w:cstheme="minorEastAsia"/>
          <w:kern w:val="2"/>
          <w:sz w:val="24"/>
          <w:szCs w:val="24"/>
          <w:lang w:val="en-US" w:eastAsia="zh-CN"/>
        </w:rPr>
        <w:t>不以评审专家身份参加本采购项目的评审。</w:t>
      </w:r>
      <w:r>
        <w:rPr>
          <w:rFonts w:hint="eastAsia" w:asciiTheme="minorEastAsia" w:hAnsiTheme="minorEastAsia" w:eastAsiaTheme="minorEastAsia" w:cstheme="minorEastAsia"/>
          <w:b w:val="0"/>
          <w:bCs w:val="0"/>
          <w:sz w:val="24"/>
          <w:szCs w:val="24"/>
          <w:highlight w:val="none"/>
          <w:lang w:val="en-US" w:eastAsia="zh-CN"/>
        </w:rPr>
        <w:t>招标代理机构人员不得参加本机构代理的采购项目的评审。</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2、竞争性磋商小组的职责：</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评审专家应当遵守评审工作纪律，不得泄露评审情况和评审中获悉的商业秘密。</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磋商小组在评审过程中发现供应商有行贿、提供虚假材料或者串通等违法行为的，应当及时向采购人报告。</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评审专家在评审过程中受到非法干涉的，应当及时向纪检、监察等部门举报。</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磋商文件内容违反国家有关强制性规定的，磋商小组应当停止评审并向采购人或者采购代理机构说明情况。</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3、竞争性磋商小组成员的义务：</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遵纪守法，客观、公正、廉洁地履行职责；根据采购文件的规定独立进行评审，对个人的评审意见承担法律责任；参与评审报告的起草；配合采购人、采购中心答复供应商提出的质疑；配合财政部门的投诉处理和监督检查工作。</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482" w:firstLineChars="200"/>
        <w:textAlignment w:val="auto"/>
        <w:outlineLvl w:val="1"/>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供应商的法定代表人或授权人须持本人身份证原件准时参加磋商。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三、评审程序、内容</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1、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w:t>
      </w:r>
    </w:p>
    <w:p>
      <w:pPr>
        <w:pStyle w:val="15"/>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超出响应文件的范围或者改变响应文件的实质性内容。</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2、磋商小组所有成员应当集中与单一供应商分别进行磋商，并给予所有参加磋商的供应商平等的磋商机会。</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highlight w:val="none"/>
        </w:rPr>
      </w:pPr>
      <w:r>
        <w:rPr>
          <w:rFonts w:hint="eastAsia" w:asciiTheme="minorEastAsia" w:hAnsiTheme="minorEastAsia" w:eastAsiaTheme="minorEastAsia" w:cstheme="minorEastAsia"/>
          <w:kern w:val="2"/>
          <w:sz w:val="24"/>
          <w:szCs w:val="24"/>
          <w:highlight w:val="none"/>
        </w:rPr>
        <w:t>3、在磋商过程中，磋商小组可以根据磋商文件和磋商情况实质性变动采购需求中的技术、服务要求以及合同草案条款，但不得变动磋商文件中的其他内容。实质性变动的内容，须经采购人代表确认。</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对磋商文件作出的实质性变动是磋商文件的有效组成部分，磋商小组应当及时以书面形式同时通知所有参加磋商的供应商。</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4、磋商文件能够详细列明采购标的的技术、服务要求的，磋商结束后，磋商小组应当要求所有实质性响应的供应商在规定时间内提交最后报价，供应商的现场报价在货物（服务）数量没有增加，配置、服务标准没有重大提高的情况下，各投标人的现场第一轮报价不得高于其投标文件中的书面报价且下一轮报价不得高于上一轮报价。否则，磋商小组有权拒绝该谈判报价并不再给予报价补救机会。提交最后报价的供应商不得少于3家。</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5、最后报价是供应商响应文件的有效组成部分。</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6、已提交响应文件的供应商，在提交最后报价之前，可以根据磋商情况退出磋商。</w:t>
      </w:r>
    </w:p>
    <w:p>
      <w:pPr>
        <w:pStyle w:val="9"/>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7、</w:t>
      </w:r>
      <w:r>
        <w:rPr>
          <w:rFonts w:hint="eastAsia" w:asciiTheme="minorEastAsia" w:hAnsiTheme="minorEastAsia" w:eastAsiaTheme="minorEastAsia" w:cstheme="minorEastAsia"/>
          <w:kern w:val="2"/>
          <w:sz w:val="24"/>
          <w:szCs w:val="24"/>
        </w:rPr>
        <w:t>磋商时间由磋商小组掌握。</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四、评审方法(综合评分法)</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494"/>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经磋商确定最终采购需求和提交最后报价的供应商后，由磋商小组采用综合评分法对提交最后报价的供应商的响应文件和最后报价进行综合评分。</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494"/>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综合评分法，是指响应文件满足磋商文件全部实质性要求且按评审因素的量化指标评审得分最高的供应商为成交候选供应商的评审方法。</w:t>
      </w:r>
    </w:p>
    <w:p>
      <w:pPr>
        <w:pStyle w:val="15"/>
        <w:keepNext w:val="0"/>
        <w:keepLines w:val="0"/>
        <w:pageBreakBefore w:val="0"/>
        <w:widowControl w:val="0"/>
        <w:kinsoku/>
        <w:wordWrap/>
        <w:overflowPunct/>
        <w:topLinePunct w:val="0"/>
        <w:autoSpaceDE/>
        <w:autoSpaceDN/>
        <w:bidi w:val="0"/>
        <w:adjustRightInd/>
        <w:snapToGrid w:val="0"/>
        <w:spacing w:line="360" w:lineRule="auto"/>
        <w:ind w:firstLine="494"/>
        <w:contextualSpacing/>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评审时，磋商小组各成员应当独立对每个有效响应的文件进行评价、打分，然后汇总每个供应商每项评分因素的得分。</w:t>
      </w:r>
    </w:p>
    <w:p>
      <w:pPr>
        <w:pStyle w:val="15"/>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494"/>
        <w:contextualSpacing/>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审查响应文件的有效性、完整性、响应程度</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1、要求的保证金是否已提供；</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2、供应商资格是否符合;</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3、响应文件是否完整；</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4、响应文件是否恰当地签署；</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5、是否作出实质性响应（是否有实质性响应，只根据响应文件本身，而不寻求外部证据）；</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6、是否有计算错误。</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(二)误差纠正</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1、如果单价汇总金额与总价金额有出入，以单价金额计算结果为准；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2、单价金额小数点有明显错位的，应以总价为准；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3、正本与副本有矛盾的，以正本为准；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4、若文件大写表示的数据与数字表示的有差别，以大写表示的数据为准。</w:t>
      </w:r>
    </w:p>
    <w:p>
      <w:pPr>
        <w:keepNext w:val="0"/>
        <w:keepLines w:val="0"/>
        <w:pageBreakBefore w:val="0"/>
        <w:widowControl w:val="0"/>
        <w:tabs>
          <w:tab w:val="left" w:pos="6555"/>
          <w:tab w:val="right" w:pos="8306"/>
        </w:tabs>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(三)出现下列情形之一的，作无效响应处理：</w:t>
      </w:r>
    </w:p>
    <w:p>
      <w:pPr>
        <w:keepNext w:val="0"/>
        <w:keepLines w:val="0"/>
        <w:pageBreakBefore w:val="0"/>
        <w:widowControl w:val="0"/>
        <w:tabs>
          <w:tab w:val="left" w:pos="6555"/>
          <w:tab w:val="right" w:pos="8306"/>
        </w:tabs>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1、未提供原件包</w:t>
      </w:r>
      <w:r>
        <w:rPr>
          <w:rFonts w:hint="eastAsia" w:asciiTheme="minorEastAsia" w:hAnsiTheme="minorEastAsia" w:eastAsiaTheme="minorEastAsia" w:cstheme="minorEastAsia"/>
          <w:sz w:val="24"/>
          <w:szCs w:val="24"/>
          <w:lang w:val="en-US" w:eastAsia="zh-CN"/>
        </w:rPr>
        <w:t>、样品</w:t>
      </w:r>
      <w:r>
        <w:rPr>
          <w:rFonts w:hint="eastAsia" w:asciiTheme="minorEastAsia" w:hAnsiTheme="minorEastAsia" w:eastAsiaTheme="minorEastAsia" w:cstheme="minorEastAsia"/>
          <w:sz w:val="24"/>
          <w:szCs w:val="24"/>
        </w:rPr>
        <w:t>的；</w:t>
      </w:r>
    </w:p>
    <w:p>
      <w:pPr>
        <w:keepNext w:val="0"/>
        <w:keepLines w:val="0"/>
        <w:pageBreakBefore w:val="0"/>
        <w:widowControl w:val="0"/>
        <w:tabs>
          <w:tab w:val="left" w:pos="6555"/>
          <w:tab w:val="right" w:pos="8306"/>
        </w:tabs>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2、未按照磋商文件规定要求装订、密封、签署、盖章的；</w:t>
      </w:r>
    </w:p>
    <w:p>
      <w:pPr>
        <w:keepNext w:val="0"/>
        <w:keepLines w:val="0"/>
        <w:pageBreakBefore w:val="0"/>
        <w:widowControl w:val="0"/>
        <w:tabs>
          <w:tab w:val="left" w:pos="6555"/>
        </w:tabs>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3、不具备磋商文件中规定的资格要求的；</w:t>
      </w:r>
    </w:p>
    <w:p>
      <w:pPr>
        <w:keepNext w:val="0"/>
        <w:keepLines w:val="0"/>
        <w:pageBreakBefore w:val="0"/>
        <w:widowControl w:val="0"/>
        <w:tabs>
          <w:tab w:val="left" w:pos="6555"/>
        </w:tabs>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4、响应报价超出预算的；</w:t>
      </w:r>
    </w:p>
    <w:p>
      <w:pPr>
        <w:keepNext w:val="0"/>
        <w:keepLines w:val="0"/>
        <w:pageBreakBefore w:val="0"/>
        <w:widowControl w:val="0"/>
        <w:tabs>
          <w:tab w:val="left" w:pos="6555"/>
        </w:tabs>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5、不符合法律、法规和磋商文件中规定的其他实质性要求的。</w:t>
      </w:r>
    </w:p>
    <w:p>
      <w:pPr>
        <w:keepNext w:val="0"/>
        <w:keepLines w:val="0"/>
        <w:pageBreakBefore w:val="0"/>
        <w:widowControl w:val="0"/>
        <w:kinsoku/>
        <w:wordWrap/>
        <w:overflowPunct/>
        <w:topLinePunct w:val="0"/>
        <w:autoSpaceDE/>
        <w:autoSpaceDN/>
        <w:bidi w:val="0"/>
        <w:adjustRightInd/>
        <w:snapToGrid w:val="0"/>
        <w:spacing w:line="360" w:lineRule="auto"/>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(四)出现下列情形之一的，磋商失败：</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1、符合条件的供应商或者对磋商文件作实质响应的供应商不足3家的；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2、出现影响采购公正的违法违规行为的；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3、供应商的最后报价均超过了采购预算，采购人不能支付的；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4、因重大变故，采购任务取消的。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除资格性检查认定错误、分值汇总计算错误、分项评分超出评分标准范围、客观分评分不一致、经磋商小组一致认定评分畸高、畸低的情形外，采购人不以任何理由组织重新评审。</w:t>
      </w:r>
    </w:p>
    <w:p>
      <w:pPr>
        <w:keepNext w:val="0"/>
        <w:keepLines w:val="0"/>
        <w:pageBreakBefore w:val="0"/>
        <w:widowControl w:val="0"/>
        <w:kinsoku/>
        <w:wordWrap/>
        <w:overflowPunct/>
        <w:topLinePunct w:val="0"/>
        <w:autoSpaceDE/>
        <w:autoSpaceDN/>
        <w:bidi w:val="0"/>
        <w:adjustRightInd/>
        <w:snapToGrid w:val="0"/>
        <w:spacing w:line="360" w:lineRule="auto"/>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五、评审标准</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line="360" w:lineRule="auto"/>
        <w:contextualSpacing/>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如果磋商小组由</w:t>
      </w:r>
      <w:r>
        <w:rPr>
          <w:rFonts w:hint="eastAsia" w:asciiTheme="minorEastAsia" w:hAnsiTheme="minorEastAsia" w:eastAsiaTheme="minorEastAsia" w:cstheme="minorEastAsia"/>
          <w:sz w:val="24"/>
          <w:szCs w:val="24"/>
          <w:highlight w:val="none"/>
        </w:rPr>
        <w:t>3</w:t>
      </w:r>
      <w:r>
        <w:rPr>
          <w:rFonts w:hint="eastAsia" w:asciiTheme="minorEastAsia" w:hAnsiTheme="minorEastAsia" w:eastAsiaTheme="minorEastAsia" w:cstheme="minorEastAsia"/>
          <w:sz w:val="24"/>
          <w:szCs w:val="24"/>
        </w:rPr>
        <w:t>人组成，供应商得分为磋商小组3个成员的平均分；如果磋商小组由5人以上组成，供应商得分为磋商小组成员评分中去除一个最高分和一个最低分后的平均分。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82" w:leftChars="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lang w:val="en-US" w:eastAsia="zh-CN"/>
        </w:rPr>
        <w:t>一</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技术商务响应文件(满分70分)</w:t>
      </w:r>
    </w:p>
    <w:tbl>
      <w:tblPr>
        <w:tblStyle w:val="10"/>
        <w:tblW w:w="9640" w:type="dxa"/>
        <w:jc w:val="center"/>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1245"/>
        <w:gridCol w:w="6795"/>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742" w:type="dxa"/>
            <w:noWrap w:val="0"/>
            <w:vAlign w:val="center"/>
          </w:tcPr>
          <w:p>
            <w:pPr>
              <w:keepNext w:val="0"/>
              <w:keepLines w:val="0"/>
              <w:pageBreakBefore w:val="0"/>
              <w:widowControl w:val="0"/>
              <w:kinsoku w:val="0"/>
              <w:wordWrap/>
              <w:overflowPunct w:val="0"/>
              <w:topLinePunct w:val="0"/>
              <w:bidi w:val="0"/>
              <w:spacing w:line="360" w:lineRule="exact"/>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序号</w:t>
            </w:r>
          </w:p>
        </w:tc>
        <w:tc>
          <w:tcPr>
            <w:tcW w:w="1245" w:type="dxa"/>
            <w:noWrap w:val="0"/>
            <w:vAlign w:val="center"/>
          </w:tcPr>
          <w:p>
            <w:pPr>
              <w:keepNext w:val="0"/>
              <w:keepLines w:val="0"/>
              <w:pageBreakBefore w:val="0"/>
              <w:widowControl w:val="0"/>
              <w:kinsoku w:val="0"/>
              <w:wordWrap/>
              <w:overflowPunct w:val="0"/>
              <w:topLinePunct w:val="0"/>
              <w:bidi w:val="0"/>
              <w:spacing w:line="360" w:lineRule="exact"/>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评审内容</w:t>
            </w:r>
          </w:p>
        </w:tc>
        <w:tc>
          <w:tcPr>
            <w:tcW w:w="6795" w:type="dxa"/>
            <w:noWrap w:val="0"/>
            <w:vAlign w:val="center"/>
          </w:tcPr>
          <w:p>
            <w:pPr>
              <w:keepNext w:val="0"/>
              <w:keepLines w:val="0"/>
              <w:pageBreakBefore w:val="0"/>
              <w:widowControl w:val="0"/>
              <w:kinsoku w:val="0"/>
              <w:wordWrap/>
              <w:overflowPunct w:val="0"/>
              <w:topLinePunct w:val="0"/>
              <w:bidi w:val="0"/>
              <w:spacing w:line="360" w:lineRule="exact"/>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评分细则</w:t>
            </w:r>
          </w:p>
        </w:tc>
        <w:tc>
          <w:tcPr>
            <w:tcW w:w="858" w:type="dxa"/>
            <w:noWrap w:val="0"/>
            <w:vAlign w:val="center"/>
          </w:tcPr>
          <w:p>
            <w:pPr>
              <w:keepNext w:val="0"/>
              <w:keepLines w:val="0"/>
              <w:pageBreakBefore w:val="0"/>
              <w:widowControl w:val="0"/>
              <w:kinsoku w:val="0"/>
              <w:wordWrap/>
              <w:overflowPunct w:val="0"/>
              <w:topLinePunct w:val="0"/>
              <w:bidi w:val="0"/>
              <w:spacing w:line="360" w:lineRule="exact"/>
              <w:jc w:val="center"/>
              <w:textAlignment w:val="auto"/>
              <w:rPr>
                <w:rFonts w:hint="eastAsia" w:ascii="宋体" w:hAnsi="宋体" w:eastAsia="宋体" w:cs="宋体"/>
                <w:b/>
                <w:sz w:val="24"/>
                <w:szCs w:val="24"/>
                <w:highlight w:val="none"/>
              </w:rPr>
            </w:pPr>
            <w:r>
              <w:rPr>
                <w:rFonts w:hint="eastAsia" w:ascii="宋体" w:hAnsi="宋体" w:eastAsia="宋体" w:cs="宋体"/>
                <w:b/>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3" w:hRule="atLeast"/>
          <w:jc w:val="center"/>
        </w:trPr>
        <w:tc>
          <w:tcPr>
            <w:tcW w:w="742" w:type="dxa"/>
            <w:noWrap w:val="0"/>
            <w:vAlign w:val="center"/>
          </w:tcPr>
          <w:p>
            <w:pPr>
              <w:keepNext w:val="0"/>
              <w:keepLines w:val="0"/>
              <w:pageBreakBefore w:val="0"/>
              <w:widowControl w:val="0"/>
              <w:kinsoku w:val="0"/>
              <w:wordWrap/>
              <w:overflowPunct w:val="0"/>
              <w:topLinePunct w:val="0"/>
              <w:bidi w:val="0"/>
              <w:spacing w:line="360" w:lineRule="exact"/>
              <w:jc w:val="center"/>
              <w:textAlignment w:val="auto"/>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1</w:t>
            </w:r>
          </w:p>
        </w:tc>
        <w:tc>
          <w:tcPr>
            <w:tcW w:w="1245" w:type="dxa"/>
            <w:noWrap w:val="0"/>
            <w:vAlign w:val="center"/>
          </w:tcPr>
          <w:p>
            <w:pPr>
              <w:keepNext w:val="0"/>
              <w:keepLines w:val="0"/>
              <w:pageBreakBefore w:val="0"/>
              <w:widowControl w:val="0"/>
              <w:kinsoku w:val="0"/>
              <w:wordWrap/>
              <w:overflowPunct w:val="0"/>
              <w:topLinePunct w:val="0"/>
              <w:bidi w:val="0"/>
              <w:spacing w:line="360" w:lineRule="exact"/>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校园LOGO设计方案</w:t>
            </w:r>
          </w:p>
        </w:tc>
        <w:tc>
          <w:tcPr>
            <w:tcW w:w="6795" w:type="dxa"/>
            <w:noWrap w:val="0"/>
            <w:vAlign w:val="center"/>
          </w:tcPr>
          <w:p>
            <w:pPr>
              <w:keepNext w:val="0"/>
              <w:keepLines w:val="0"/>
              <w:pageBreakBefore w:val="0"/>
              <w:widowControl w:val="0"/>
              <w:kinsoku w:val="0"/>
              <w:wordWrap/>
              <w:overflowPunct w:val="0"/>
              <w:topLinePunct w:val="0"/>
              <w:bidi w:val="0"/>
              <w:spacing w:line="360" w:lineRule="exact"/>
              <w:jc w:val="both"/>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1、设计方案的满足学校的办学理念，体现人文精神，满分分值为10分，按优劣分为三档：优秀（10-8分）、良好（6-4分）、一般（2-1分）。</w:t>
            </w:r>
          </w:p>
          <w:p>
            <w:pPr>
              <w:keepNext w:val="0"/>
              <w:keepLines w:val="0"/>
              <w:pageBreakBefore w:val="0"/>
              <w:widowControl w:val="0"/>
              <w:kinsoku w:val="0"/>
              <w:wordWrap/>
              <w:overflowPunct w:val="0"/>
              <w:topLinePunct w:val="0"/>
              <w:bidi w:val="0"/>
              <w:spacing w:line="360" w:lineRule="exact"/>
              <w:jc w:val="both"/>
              <w:textAlignment w:val="auto"/>
              <w:rPr>
                <w:rFonts w:hint="default"/>
                <w:highlight w:val="none"/>
                <w:lang w:val="en-US" w:eastAsia="zh-CN"/>
              </w:rPr>
            </w:pPr>
            <w:r>
              <w:rPr>
                <w:rFonts w:hint="eastAsia" w:ascii="宋体" w:hAnsi="宋体" w:eastAsia="宋体" w:cs="宋体"/>
                <w:sz w:val="24"/>
                <w:szCs w:val="24"/>
                <w:highlight w:val="none"/>
                <w:lang w:val="en-US" w:eastAsia="zh-CN"/>
              </w:rPr>
              <w:t>2、设计方案色彩搭配、设计美感及整体协调性，满分分值为</w:t>
            </w:r>
            <w:r>
              <w:rPr>
                <w:rFonts w:hint="eastAsia" w:ascii="宋体" w:hAnsi="宋体" w:cs="宋体"/>
                <w:sz w:val="24"/>
                <w:szCs w:val="24"/>
                <w:highlight w:val="none"/>
                <w:lang w:val="en-US" w:eastAsia="zh-CN"/>
              </w:rPr>
              <w:t>10</w:t>
            </w:r>
            <w:r>
              <w:rPr>
                <w:rFonts w:hint="eastAsia" w:ascii="宋体" w:hAnsi="宋体" w:eastAsia="宋体" w:cs="宋体"/>
                <w:sz w:val="24"/>
                <w:szCs w:val="24"/>
                <w:highlight w:val="none"/>
                <w:lang w:val="en-US" w:eastAsia="zh-CN"/>
              </w:rPr>
              <w:t>分，按优劣分为三档：优秀（10-8分）、良好（6-4分）、一般（2-1分）。</w:t>
            </w:r>
          </w:p>
        </w:tc>
        <w:tc>
          <w:tcPr>
            <w:tcW w:w="858" w:type="dxa"/>
            <w:noWrap w:val="0"/>
            <w:vAlign w:val="center"/>
          </w:tcPr>
          <w:p>
            <w:pPr>
              <w:keepNext w:val="0"/>
              <w:keepLines w:val="0"/>
              <w:pageBreakBefore w:val="0"/>
              <w:widowControl w:val="0"/>
              <w:kinsoku w:val="0"/>
              <w:wordWrap/>
              <w:overflowPunct w:val="0"/>
              <w:topLinePunct w:val="0"/>
              <w:bidi w:val="0"/>
              <w:spacing w:line="360" w:lineRule="exact"/>
              <w:jc w:val="center"/>
              <w:textAlignment w:val="auto"/>
              <w:rPr>
                <w:rFonts w:hint="eastAsia" w:ascii="宋体" w:hAnsi="宋体" w:eastAsia="宋体" w:cs="宋体"/>
                <w:bCs/>
                <w:sz w:val="24"/>
                <w:szCs w:val="24"/>
                <w:highlight w:val="none"/>
              </w:rPr>
            </w:pPr>
            <w:r>
              <w:rPr>
                <w:rFonts w:hint="eastAsia" w:ascii="宋体" w:hAnsi="宋体" w:eastAsia="宋体" w:cs="宋体"/>
                <w:bCs/>
                <w:sz w:val="24"/>
                <w:szCs w:val="24"/>
                <w:highlight w:val="none"/>
                <w:lang w:val="en-US" w:eastAsia="zh-CN"/>
              </w:rPr>
              <w:t>20</w:t>
            </w:r>
            <w:r>
              <w:rPr>
                <w:rFonts w:hint="eastAsia" w:ascii="宋体" w:hAnsi="宋体" w:eastAsia="宋体" w:cs="宋体"/>
                <w:bCs/>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jc w:val="center"/>
        </w:trPr>
        <w:tc>
          <w:tcPr>
            <w:tcW w:w="742" w:type="dxa"/>
            <w:noWrap w:val="0"/>
            <w:vAlign w:val="center"/>
          </w:tcPr>
          <w:p>
            <w:pPr>
              <w:keepNext w:val="0"/>
              <w:keepLines w:val="0"/>
              <w:pageBreakBefore w:val="0"/>
              <w:widowControl w:val="0"/>
              <w:kinsoku w:val="0"/>
              <w:wordWrap/>
              <w:overflowPunct w:val="0"/>
              <w:topLinePunct w:val="0"/>
              <w:bidi w:val="0"/>
              <w:spacing w:line="360" w:lineRule="exact"/>
              <w:jc w:val="center"/>
              <w:textAlignment w:val="auto"/>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2</w:t>
            </w:r>
          </w:p>
        </w:tc>
        <w:tc>
          <w:tcPr>
            <w:tcW w:w="1245" w:type="dxa"/>
            <w:noWrap w:val="0"/>
            <w:vAlign w:val="center"/>
          </w:tcPr>
          <w:p>
            <w:pPr>
              <w:keepNext w:val="0"/>
              <w:keepLines w:val="0"/>
              <w:pageBreakBefore w:val="0"/>
              <w:widowControl w:val="0"/>
              <w:kinsoku w:val="0"/>
              <w:wordWrap/>
              <w:overflowPunct w:val="0"/>
              <w:topLinePunct w:val="0"/>
              <w:bidi w:val="0"/>
              <w:spacing w:line="360" w:lineRule="exact"/>
              <w:jc w:val="center"/>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LOGO应用效果图</w:t>
            </w:r>
          </w:p>
        </w:tc>
        <w:tc>
          <w:tcPr>
            <w:tcW w:w="6795" w:type="dxa"/>
            <w:noWrap w:val="0"/>
            <w:vAlign w:val="center"/>
          </w:tcPr>
          <w:p>
            <w:pPr>
              <w:keepNext w:val="0"/>
              <w:keepLines w:val="0"/>
              <w:pageBreakBefore w:val="0"/>
              <w:widowControl w:val="0"/>
              <w:kinsoku w:val="0"/>
              <w:wordWrap/>
              <w:overflowPunct w:val="0"/>
              <w:topLinePunct w:val="0"/>
              <w:bidi w:val="0"/>
              <w:spacing w:line="360" w:lineRule="exact"/>
              <w:jc w:val="both"/>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提供清单“B－1行政办公系统”中大于等于10个单品彩色效果图；按优劣分为三档：优秀（1分/个）、良好（0.6分/个）、一般（0.3分/个）。</w:t>
            </w:r>
          </w:p>
        </w:tc>
        <w:tc>
          <w:tcPr>
            <w:tcW w:w="858" w:type="dxa"/>
            <w:noWrap w:val="0"/>
            <w:vAlign w:val="center"/>
          </w:tcPr>
          <w:p>
            <w:pPr>
              <w:keepNext w:val="0"/>
              <w:keepLines w:val="0"/>
              <w:pageBreakBefore w:val="0"/>
              <w:widowControl w:val="0"/>
              <w:kinsoku w:val="0"/>
              <w:wordWrap/>
              <w:overflowPunct w:val="0"/>
              <w:topLinePunct w:val="0"/>
              <w:bidi w:val="0"/>
              <w:spacing w:line="360" w:lineRule="exact"/>
              <w:jc w:val="center"/>
              <w:textAlignment w:val="auto"/>
              <w:rPr>
                <w:rFonts w:hint="default"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42" w:type="dxa"/>
            <w:shd w:val="clear" w:color="auto" w:fill="auto"/>
            <w:noWrap w:val="0"/>
            <w:vAlign w:val="center"/>
          </w:tcPr>
          <w:p>
            <w:pPr>
              <w:keepNext w:val="0"/>
              <w:keepLines w:val="0"/>
              <w:pageBreakBefore w:val="0"/>
              <w:widowControl w:val="0"/>
              <w:kinsoku w:val="0"/>
              <w:wordWrap/>
              <w:overflowPunct w:val="0"/>
              <w:topLinePunct w:val="0"/>
              <w:bidi w:val="0"/>
              <w:spacing w:line="360" w:lineRule="exact"/>
              <w:jc w:val="center"/>
              <w:textAlignment w:val="auto"/>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3</w:t>
            </w:r>
          </w:p>
        </w:tc>
        <w:tc>
          <w:tcPr>
            <w:tcW w:w="1245" w:type="dxa"/>
            <w:shd w:val="clear" w:color="auto" w:fill="auto"/>
            <w:noWrap w:val="0"/>
            <w:vAlign w:val="center"/>
          </w:tcPr>
          <w:p>
            <w:pPr>
              <w:keepNext w:val="0"/>
              <w:keepLines w:val="0"/>
              <w:pageBreakBefore w:val="0"/>
              <w:widowControl w:val="0"/>
              <w:kinsoku w:val="0"/>
              <w:wordWrap/>
              <w:overflowPunct w:val="0"/>
              <w:topLinePunct w:val="0"/>
              <w:bidi w:val="0"/>
              <w:spacing w:line="360" w:lineRule="exact"/>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VI视觉识别系统设计方案</w:t>
            </w:r>
          </w:p>
        </w:tc>
        <w:tc>
          <w:tcPr>
            <w:tcW w:w="6795" w:type="dxa"/>
            <w:shd w:val="clear" w:color="000000" w:fill="FFFFFF"/>
            <w:noWrap w:val="0"/>
            <w:vAlign w:val="center"/>
          </w:tcPr>
          <w:p>
            <w:pPr>
              <w:keepNext w:val="0"/>
              <w:keepLines w:val="0"/>
              <w:pageBreakBefore w:val="0"/>
              <w:widowControl w:val="0"/>
              <w:kinsoku w:val="0"/>
              <w:wordWrap/>
              <w:overflowPunct w:val="0"/>
              <w:topLinePunct w:val="0"/>
              <w:bidi w:val="0"/>
              <w:spacing w:line="360" w:lineRule="exact"/>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1、设计方案</w:t>
            </w:r>
            <w:r>
              <w:rPr>
                <w:rFonts w:hint="eastAsia" w:ascii="宋体" w:hAnsi="宋体" w:eastAsia="宋体" w:cs="宋体"/>
                <w:sz w:val="24"/>
                <w:szCs w:val="24"/>
                <w:highlight w:val="none"/>
              </w:rPr>
              <w:t>的创意、理解、总体构思及设计主题的符合性，满分值为</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分；按优劣分为三档：</w:t>
            </w:r>
            <w:r>
              <w:rPr>
                <w:rFonts w:hint="eastAsia" w:ascii="宋体" w:hAnsi="宋体" w:eastAsia="宋体" w:cs="宋体"/>
                <w:sz w:val="24"/>
                <w:szCs w:val="24"/>
                <w:highlight w:val="none"/>
                <w:lang w:val="en-US" w:eastAsia="zh-CN"/>
              </w:rPr>
              <w:t>优秀（10-8分）、良好（6-4分）、一般（2-1分）。</w:t>
            </w:r>
          </w:p>
          <w:p>
            <w:pPr>
              <w:keepNext w:val="0"/>
              <w:keepLines w:val="0"/>
              <w:pageBreakBefore w:val="0"/>
              <w:widowControl w:val="0"/>
              <w:kinsoku w:val="0"/>
              <w:wordWrap/>
              <w:overflowPunct w:val="0"/>
              <w:topLinePunct w:val="0"/>
              <w:bidi w:val="0"/>
              <w:spacing w:line="360" w:lineRule="exact"/>
              <w:jc w:val="both"/>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2、设计方案的合理性、独特性、可行性，</w:t>
            </w:r>
            <w:r>
              <w:rPr>
                <w:rFonts w:hint="eastAsia" w:ascii="宋体" w:hAnsi="宋体" w:eastAsia="宋体" w:cs="宋体"/>
                <w:sz w:val="24"/>
                <w:szCs w:val="24"/>
                <w:highlight w:val="none"/>
              </w:rPr>
              <w:t>满分值为</w:t>
            </w: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分；按优劣分为三档：</w:t>
            </w:r>
            <w:r>
              <w:rPr>
                <w:rFonts w:hint="eastAsia" w:ascii="宋体" w:hAnsi="宋体" w:eastAsia="宋体" w:cs="宋体"/>
                <w:sz w:val="24"/>
                <w:szCs w:val="24"/>
                <w:highlight w:val="none"/>
                <w:lang w:val="en-US" w:eastAsia="zh-CN"/>
              </w:rPr>
              <w:t>优秀（10-8分）、良好（6-4分）、一般（2-1分）。</w:t>
            </w:r>
          </w:p>
          <w:p>
            <w:pPr>
              <w:keepNext w:val="0"/>
              <w:keepLines w:val="0"/>
              <w:pageBreakBefore w:val="0"/>
              <w:widowControl w:val="0"/>
              <w:kinsoku w:val="0"/>
              <w:wordWrap/>
              <w:overflowPunct w:val="0"/>
              <w:topLinePunct w:val="0"/>
              <w:bidi w:val="0"/>
              <w:spacing w:line="360" w:lineRule="exact"/>
              <w:jc w:val="both"/>
              <w:textAlignment w:val="auto"/>
              <w:rPr>
                <w:rFonts w:hint="default"/>
                <w:highlight w:val="none"/>
                <w:lang w:val="en-US" w:eastAsia="zh-CN"/>
              </w:rPr>
            </w:pPr>
            <w:r>
              <w:rPr>
                <w:rFonts w:hint="eastAsia" w:ascii="宋体" w:hAnsi="宋体" w:eastAsia="宋体" w:cs="宋体"/>
                <w:sz w:val="24"/>
                <w:szCs w:val="24"/>
                <w:highlight w:val="none"/>
                <w:lang w:val="en-US" w:eastAsia="zh-CN"/>
              </w:rPr>
              <w:t>3、设计造型、风格、色彩搭配、设计美感及整体协调性，</w:t>
            </w:r>
            <w:r>
              <w:rPr>
                <w:rFonts w:hint="eastAsia" w:ascii="宋体" w:hAnsi="宋体" w:eastAsia="宋体" w:cs="宋体"/>
                <w:sz w:val="24"/>
                <w:szCs w:val="24"/>
                <w:highlight w:val="none"/>
              </w:rPr>
              <w:t>满分值为</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分；按优劣分为三档：</w:t>
            </w:r>
            <w:r>
              <w:rPr>
                <w:rFonts w:hint="eastAsia" w:ascii="宋体" w:hAnsi="宋体" w:eastAsia="宋体" w:cs="宋体"/>
                <w:sz w:val="24"/>
                <w:szCs w:val="24"/>
                <w:highlight w:val="none"/>
                <w:lang w:val="en-US" w:eastAsia="zh-CN"/>
              </w:rPr>
              <w:t>优秀（5-4分）、良好（3-2分）、一般（1-0分）。</w:t>
            </w:r>
          </w:p>
        </w:tc>
        <w:tc>
          <w:tcPr>
            <w:tcW w:w="858" w:type="dxa"/>
            <w:shd w:val="clear" w:color="000000" w:fill="FFFFFF"/>
            <w:noWrap w:val="0"/>
            <w:vAlign w:val="center"/>
          </w:tcPr>
          <w:p>
            <w:pPr>
              <w:keepNext w:val="0"/>
              <w:keepLines w:val="0"/>
              <w:pageBreakBefore w:val="0"/>
              <w:widowControl w:val="0"/>
              <w:kinsoku w:val="0"/>
              <w:wordWrap/>
              <w:overflowPunct w:val="0"/>
              <w:topLinePunct w:val="0"/>
              <w:autoSpaceDE w:val="0"/>
              <w:autoSpaceDN w:val="0"/>
              <w:bidi w:val="0"/>
              <w:adjustRightInd w:val="0"/>
              <w:spacing w:line="360" w:lineRule="exact"/>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25</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742" w:type="dxa"/>
            <w:shd w:val="clear" w:color="auto" w:fill="auto"/>
            <w:noWrap w:val="0"/>
            <w:vAlign w:val="center"/>
          </w:tcPr>
          <w:p>
            <w:pPr>
              <w:keepNext w:val="0"/>
              <w:keepLines w:val="0"/>
              <w:pageBreakBefore w:val="0"/>
              <w:widowControl w:val="0"/>
              <w:kinsoku w:val="0"/>
              <w:wordWrap/>
              <w:overflowPunct w:val="0"/>
              <w:topLinePunct w:val="0"/>
              <w:bidi w:val="0"/>
              <w:spacing w:line="360" w:lineRule="exact"/>
              <w:jc w:val="center"/>
              <w:textAlignment w:val="auto"/>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4</w:t>
            </w:r>
          </w:p>
        </w:tc>
        <w:tc>
          <w:tcPr>
            <w:tcW w:w="1245" w:type="dxa"/>
            <w:shd w:val="clear" w:color="auto" w:fill="auto"/>
            <w:noWrap w:val="0"/>
            <w:vAlign w:val="center"/>
          </w:tcPr>
          <w:p>
            <w:pPr>
              <w:keepNext w:val="0"/>
              <w:keepLines w:val="0"/>
              <w:pageBreakBefore w:val="0"/>
              <w:widowControl w:val="0"/>
              <w:kinsoku w:val="0"/>
              <w:wordWrap/>
              <w:overflowPunct w:val="0"/>
              <w:topLinePunct w:val="0"/>
              <w:bidi w:val="0"/>
              <w:spacing w:line="360" w:lineRule="exact"/>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服务承诺</w:t>
            </w:r>
          </w:p>
        </w:tc>
        <w:tc>
          <w:tcPr>
            <w:tcW w:w="6795" w:type="dxa"/>
            <w:shd w:val="clear" w:color="000000" w:fill="FFFFFF"/>
            <w:noWrap w:val="0"/>
            <w:vAlign w:val="center"/>
          </w:tcPr>
          <w:p>
            <w:pPr>
              <w:keepNext w:val="0"/>
              <w:keepLines w:val="0"/>
              <w:pageBreakBefore w:val="0"/>
              <w:widowControl w:val="0"/>
              <w:kinsoku w:val="0"/>
              <w:wordWrap/>
              <w:overflowPunct w:val="0"/>
              <w:topLinePunct w:val="0"/>
              <w:bidi w:val="0"/>
              <w:spacing w:line="360" w:lineRule="exact"/>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1、由磋商小组根据供应商响应文件对本项目的服务承诺打分，满分分值为5分，</w:t>
            </w:r>
            <w:r>
              <w:rPr>
                <w:rFonts w:hint="eastAsia" w:ascii="宋体" w:hAnsi="宋体" w:eastAsia="宋体" w:cs="宋体"/>
                <w:sz w:val="24"/>
                <w:szCs w:val="24"/>
                <w:highlight w:val="none"/>
              </w:rPr>
              <w:t>按优劣分为三档：</w:t>
            </w:r>
            <w:r>
              <w:rPr>
                <w:rFonts w:hint="eastAsia" w:ascii="宋体" w:hAnsi="宋体" w:eastAsia="宋体" w:cs="宋体"/>
                <w:sz w:val="24"/>
                <w:szCs w:val="24"/>
                <w:highlight w:val="none"/>
                <w:lang w:val="en-US" w:eastAsia="zh-CN"/>
              </w:rPr>
              <w:t>优秀（5-4分）、良好（3-2分）、一般（1-0分）。</w:t>
            </w:r>
          </w:p>
        </w:tc>
        <w:tc>
          <w:tcPr>
            <w:tcW w:w="858" w:type="dxa"/>
            <w:shd w:val="clear" w:color="000000" w:fill="FFFFFF"/>
            <w:noWrap w:val="0"/>
            <w:vAlign w:val="center"/>
          </w:tcPr>
          <w:p>
            <w:pPr>
              <w:keepNext w:val="0"/>
              <w:keepLines w:val="0"/>
              <w:pageBreakBefore w:val="0"/>
              <w:widowControl w:val="0"/>
              <w:kinsoku w:val="0"/>
              <w:wordWrap/>
              <w:overflowPunct w:val="0"/>
              <w:topLinePunct w:val="0"/>
              <w:autoSpaceDE w:val="0"/>
              <w:autoSpaceDN w:val="0"/>
              <w:bidi w:val="0"/>
              <w:adjustRightInd w:val="0"/>
              <w:spacing w:line="360" w:lineRule="exact"/>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jc w:val="center"/>
        </w:trPr>
        <w:tc>
          <w:tcPr>
            <w:tcW w:w="742" w:type="dxa"/>
            <w:shd w:val="clear" w:color="auto" w:fill="auto"/>
            <w:noWrap w:val="0"/>
            <w:vAlign w:val="center"/>
          </w:tcPr>
          <w:p>
            <w:pPr>
              <w:keepNext w:val="0"/>
              <w:keepLines w:val="0"/>
              <w:pageBreakBefore w:val="0"/>
              <w:widowControl w:val="0"/>
              <w:kinsoku w:val="0"/>
              <w:wordWrap/>
              <w:overflowPunct w:val="0"/>
              <w:topLinePunct w:val="0"/>
              <w:bidi w:val="0"/>
              <w:spacing w:line="360" w:lineRule="exact"/>
              <w:jc w:val="center"/>
              <w:textAlignment w:val="auto"/>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5</w:t>
            </w:r>
          </w:p>
        </w:tc>
        <w:tc>
          <w:tcPr>
            <w:tcW w:w="1245" w:type="dxa"/>
            <w:shd w:val="clear" w:color="auto" w:fill="auto"/>
            <w:noWrap w:val="0"/>
            <w:vAlign w:val="center"/>
          </w:tcPr>
          <w:p>
            <w:pPr>
              <w:keepNext w:val="0"/>
              <w:keepLines w:val="0"/>
              <w:pageBreakBefore w:val="0"/>
              <w:widowControl w:val="0"/>
              <w:kinsoku w:val="0"/>
              <w:wordWrap/>
              <w:overflowPunct w:val="0"/>
              <w:topLinePunct w:val="0"/>
              <w:bidi w:val="0"/>
              <w:spacing w:line="360" w:lineRule="exact"/>
              <w:jc w:val="center"/>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企业</w:t>
            </w:r>
            <w:r>
              <w:rPr>
                <w:rFonts w:hint="eastAsia" w:ascii="宋体" w:hAnsi="宋体" w:eastAsia="宋体" w:cs="宋体"/>
                <w:sz w:val="24"/>
                <w:szCs w:val="24"/>
                <w:highlight w:val="none"/>
                <w:lang w:val="en-US" w:eastAsia="zh-CN"/>
              </w:rPr>
              <w:t>实力</w:t>
            </w:r>
          </w:p>
        </w:tc>
        <w:tc>
          <w:tcPr>
            <w:tcW w:w="6795" w:type="dxa"/>
            <w:shd w:val="clear" w:color="000000" w:fill="FFFFFF"/>
            <w:noWrap w:val="0"/>
            <w:vAlign w:val="center"/>
          </w:tcPr>
          <w:p>
            <w:pPr>
              <w:keepNext w:val="0"/>
              <w:keepLines w:val="0"/>
              <w:pageBreakBefore w:val="0"/>
              <w:widowControl w:val="0"/>
              <w:kinsoku w:val="0"/>
              <w:wordWrap/>
              <w:overflowPunct w:val="0"/>
              <w:topLinePunct w:val="0"/>
              <w:bidi w:val="0"/>
              <w:spacing w:line="360" w:lineRule="exact"/>
              <w:jc w:val="both"/>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供应商近3年内（以合同签订时间为准）承担过与本项目类似（学校、教育机构等）业绩的，每提供一份合同</w:t>
            </w:r>
            <w:r>
              <w:rPr>
                <w:rFonts w:hint="eastAsia" w:ascii="宋体" w:hAnsi="宋体" w:eastAsia="宋体" w:cs="宋体"/>
                <w:sz w:val="24"/>
                <w:szCs w:val="24"/>
                <w:highlight w:val="none"/>
                <w:lang w:val="en-US" w:eastAsia="zh-CN"/>
              </w:rPr>
              <w:t>复印件</w:t>
            </w:r>
            <w:r>
              <w:rPr>
                <w:rFonts w:hint="eastAsia" w:ascii="宋体" w:hAnsi="宋体" w:eastAsia="宋体" w:cs="宋体"/>
                <w:sz w:val="24"/>
                <w:szCs w:val="24"/>
                <w:highlight w:val="none"/>
              </w:rPr>
              <w:t xml:space="preserve">得2分，最多得10分。 </w:t>
            </w:r>
          </w:p>
        </w:tc>
        <w:tc>
          <w:tcPr>
            <w:tcW w:w="858" w:type="dxa"/>
            <w:shd w:val="clear" w:color="000000" w:fill="FFFFFF"/>
            <w:noWrap w:val="0"/>
            <w:vAlign w:val="center"/>
          </w:tcPr>
          <w:p>
            <w:pPr>
              <w:keepNext w:val="0"/>
              <w:keepLines w:val="0"/>
              <w:pageBreakBefore w:val="0"/>
              <w:widowControl w:val="0"/>
              <w:kinsoku w:val="0"/>
              <w:wordWrap/>
              <w:overflowPunct w:val="0"/>
              <w:topLinePunct w:val="0"/>
              <w:autoSpaceDE w:val="0"/>
              <w:autoSpaceDN w:val="0"/>
              <w:bidi w:val="0"/>
              <w:adjustRightInd w:val="0"/>
              <w:spacing w:line="360" w:lineRule="exact"/>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10</w:t>
            </w:r>
            <w:r>
              <w:rPr>
                <w:rFonts w:hint="eastAsia" w:ascii="宋体" w:hAnsi="宋体" w:eastAsia="宋体" w:cs="宋体"/>
                <w:sz w:val="24"/>
                <w:szCs w:val="24"/>
                <w:highlight w:val="none"/>
              </w:rPr>
              <w:t>分</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482" w:leftChars="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（二）商务报价响应评分：（30分）</w:t>
      </w:r>
    </w:p>
    <w:p>
      <w:pPr>
        <w:keepNext w:val="0"/>
        <w:keepLines w:val="0"/>
        <w:pageBreakBefore w:val="0"/>
        <w:widowControl w:val="0"/>
        <w:kinsoku/>
        <w:wordWrap/>
        <w:overflowPunct/>
        <w:topLinePunct w:val="0"/>
        <w:autoSpaceDE/>
        <w:autoSpaceDN/>
        <w:bidi w:val="0"/>
        <w:adjustRightInd/>
        <w:snapToGrid w:val="0"/>
        <w:spacing w:line="360" w:lineRule="auto"/>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1、本次项目最高限价为9.8万元；投标报价不得超过该项目最高限价，否则做无效投标处理。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以投标人所报的有效报价的算数平均值作为评标基准价。投标报价与评标基准价相同的得满分30分，比评标基准价每高1%减1分；比评标基准价每低1%减0.5分；（四舍五入保留两位小数）。</w:t>
      </w:r>
    </w:p>
    <w:p>
      <w:pPr>
        <w:keepNext w:val="0"/>
        <w:keepLines w:val="0"/>
        <w:pageBreakBefore w:val="0"/>
        <w:widowControl w:val="0"/>
        <w:kinsoku/>
        <w:wordWrap/>
        <w:overflowPunct/>
        <w:topLinePunct w:val="0"/>
        <w:autoSpaceDE/>
        <w:autoSpaceDN/>
        <w:bidi w:val="0"/>
        <w:adjustRightInd/>
        <w:snapToGrid w:val="0"/>
        <w:spacing w:line="360" w:lineRule="auto"/>
        <w:ind w:firstLine="57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招标人对未中标的投标人不进行任何补偿。本次招标所有投标人提交的设计大纲、合理化建议、设计方案（含效果图）等文字、图形作品，其著作权均归招标人所有。</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b/>
          <w:bCs/>
          <w:sz w:val="24"/>
          <w:highlight w:val="none"/>
        </w:rPr>
        <w:t>六、变更为其他方式采购的情形</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提交响应文件截止时间时参加磋商的供应商不足3家的，及磋商中出现符合专业条件的供应商或对磋商文件作实质响应的供应商不足3家，除采购任务取消外，磋商人报告</w:t>
      </w:r>
      <w:r>
        <w:rPr>
          <w:rFonts w:hint="eastAsia" w:asciiTheme="minorEastAsia" w:hAnsiTheme="minorEastAsia" w:eastAsiaTheme="minorEastAsia" w:cstheme="minorEastAsia"/>
          <w:sz w:val="24"/>
          <w:highlight w:val="none"/>
          <w:lang w:val="en-US" w:eastAsia="zh-CN"/>
        </w:rPr>
        <w:t>主管单位</w:t>
      </w:r>
      <w:r>
        <w:rPr>
          <w:rFonts w:hint="eastAsia" w:asciiTheme="minorEastAsia" w:hAnsiTheme="minorEastAsia" w:eastAsiaTheme="minorEastAsia" w:cstheme="minorEastAsia"/>
          <w:sz w:val="24"/>
          <w:highlight w:val="none"/>
        </w:rPr>
        <w:t>，视情采取其他方式采购。磋商文件中对供应商资质、技术等要求，将作为其他方式采购的基本要求和依据。原已经参加磋商并符合要求的供应商，根据自愿原则，参加其他方式采购。</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七、出现下列情形之一的，竞争性磋商采购活动终止，发布项目终止公告并说明原因，重新开展采购活动：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(一)因情况变化，不再符合规定的竞争性磋商采购方式适用情形的；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(二)出现影响采购公正的违法、违规行为的；</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(三)在采购过程中符合要求的供应商或者报价未超过采购预算的供应商不足3家的（市场竞争不充分的科研项目，以及需要扶持的科技成果转化项目除外）。</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b/>
          <w:bCs/>
          <w:sz w:val="24"/>
          <w:highlight w:val="none"/>
          <w:lang w:val="en-US" w:eastAsia="zh-CN"/>
        </w:rPr>
        <w:t>八、成交供应商的确定</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sz w:val="24"/>
          <w:highlight w:val="none"/>
          <w:lang w:val="en-US" w:eastAsia="zh-CN"/>
        </w:rPr>
        <w:t>评委会评审确定中标人： 评委会汇总各评委评分后，评标结果按评审后得分由高到低顺序排列，确定评审得分最高的投标人为成交供应商。如出现相同最高分，按投标报价低的确定为成交供应商；如得分且投标报价相同的，由评委会根据技术指标优劣，优者确定为成交供应商。评委会写出评标报告。</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lang w:val="en-US" w:eastAsia="zh-CN"/>
        </w:rPr>
        <w:t>采购人代表现场宣布评标结果，告知未中标原因。《成交通知书》一经发出，采购单位改变成交结果，或者成交供应商放弃成交的，各自承担相应的法律责任。《成交通知书》是采购合同的组成部分。</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b/>
          <w:bCs/>
          <w:sz w:val="24"/>
          <w:highlight w:val="none"/>
        </w:rPr>
      </w:pPr>
      <w:r>
        <w:rPr>
          <w:rFonts w:hint="eastAsia" w:asciiTheme="minorEastAsia" w:hAnsiTheme="minorEastAsia" w:eastAsiaTheme="minorEastAsia" w:cstheme="minorEastAsia"/>
          <w:b/>
          <w:bCs/>
          <w:sz w:val="24"/>
          <w:highlight w:val="none"/>
          <w:lang w:val="en-US" w:eastAsia="zh-CN"/>
        </w:rPr>
        <w:t>九</w:t>
      </w:r>
      <w:r>
        <w:rPr>
          <w:rFonts w:hint="eastAsia" w:asciiTheme="minorEastAsia" w:hAnsiTheme="minorEastAsia" w:eastAsiaTheme="minorEastAsia" w:cstheme="minorEastAsia"/>
          <w:b/>
          <w:bCs/>
          <w:sz w:val="24"/>
          <w:highlight w:val="none"/>
        </w:rPr>
        <w:t>、成交通知</w:t>
      </w:r>
    </w:p>
    <w:p>
      <w:pPr>
        <w:pStyle w:val="15"/>
        <w:keepNext w:val="0"/>
        <w:keepLines w:val="0"/>
        <w:pageBreakBefore w:val="0"/>
        <w:widowControl w:val="0"/>
        <w:numPr>
          <w:ilvl w:val="0"/>
          <w:numId w:val="0"/>
        </w:numPr>
        <w:kinsoku/>
        <w:wordWrap/>
        <w:overflowPunct/>
        <w:topLinePunct w:val="0"/>
        <w:autoSpaceDE/>
        <w:autoSpaceDN/>
        <w:bidi w:val="0"/>
        <w:adjustRightInd/>
        <w:snapToGrid w:val="0"/>
        <w:spacing w:line="360" w:lineRule="auto"/>
        <w:contextualSpacing/>
        <w:jc w:val="both"/>
        <w:textAlignment w:val="auto"/>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成交结果在南通市公共资源交易网公告期限为1个工作日。《成交通知书》一经发出，采购单位改变成交结果，或者成交供应商放弃成交的，各自承担相应的法律责任。《成交通知书》是采购合同的组成部分。</w:t>
      </w:r>
    </w:p>
    <w:p>
      <w:pPr>
        <w:pStyle w:val="9"/>
        <w:rPr>
          <w:rFonts w:hint="default"/>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tabs>
          <w:tab w:val="left" w:pos="1050"/>
          <w:tab w:val="right" w:leader="dot" w:pos="9402"/>
        </w:tabs>
        <w:kinsoku/>
        <w:wordWrap/>
        <w:overflowPunct/>
        <w:topLinePunct w:val="0"/>
        <w:bidi w:val="0"/>
        <w:spacing w:before="240" w:beforeLines="100" w:line="360" w:lineRule="auto"/>
        <w:jc w:val="center"/>
        <w:textAlignment w:val="auto"/>
        <w:outlineLvl w:val="0"/>
        <w:rPr>
          <w:rFonts w:hint="eastAsia" w:asciiTheme="majorEastAsia" w:hAnsiTheme="majorEastAsia" w:eastAsiaTheme="majorEastAsia" w:cstheme="majorEastAsia"/>
          <w:b/>
          <w:w w:val="80"/>
          <w:sz w:val="36"/>
          <w:szCs w:val="36"/>
        </w:rPr>
      </w:pPr>
      <w:bookmarkStart w:id="17" w:name="_Toc6594_WPSOffice_Level1"/>
      <w:bookmarkStart w:id="18" w:name="_Toc222_WPSOffice_Level1"/>
      <w:r>
        <w:rPr>
          <w:rFonts w:hint="eastAsia" w:asciiTheme="majorEastAsia" w:hAnsiTheme="majorEastAsia" w:eastAsiaTheme="majorEastAsia" w:cstheme="majorEastAsia"/>
          <w:b/>
          <w:w w:val="80"/>
          <w:sz w:val="36"/>
          <w:szCs w:val="36"/>
        </w:rPr>
        <w:t>第五章  合同授予</w:t>
      </w:r>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firstLine="484" w:firstLineChars="202"/>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一、成交人在接到代理机构发出送达的《成交通知书》后30日内与采购人</w:t>
      </w:r>
      <w:r>
        <w:rPr>
          <w:rFonts w:hint="eastAsia" w:asciiTheme="minorEastAsia" w:hAnsiTheme="minorEastAsia" w:eastAsiaTheme="minorEastAsia" w:cstheme="minorEastAsia"/>
          <w:kern w:val="0"/>
          <w:sz w:val="24"/>
          <w:szCs w:val="24"/>
          <w:highlight w:val="none"/>
        </w:rPr>
        <w:t>签订政府采购合同（一式</w:t>
      </w:r>
      <w:r>
        <w:rPr>
          <w:rFonts w:hint="eastAsia" w:asciiTheme="minorEastAsia" w:hAnsiTheme="minorEastAsia" w:eastAsiaTheme="minorEastAsia" w:cstheme="minorEastAsia"/>
          <w:kern w:val="0"/>
          <w:sz w:val="24"/>
          <w:szCs w:val="24"/>
          <w:highlight w:val="none"/>
          <w:lang w:val="en-US" w:eastAsia="zh-CN"/>
        </w:rPr>
        <w:t>四</w:t>
      </w:r>
      <w:r>
        <w:rPr>
          <w:rFonts w:hint="eastAsia" w:asciiTheme="minorEastAsia" w:hAnsiTheme="minorEastAsia" w:eastAsiaTheme="minorEastAsia" w:cstheme="minorEastAsia"/>
          <w:kern w:val="0"/>
          <w:sz w:val="24"/>
          <w:szCs w:val="24"/>
          <w:highlight w:val="none"/>
        </w:rPr>
        <w:t>份，采购人、成交人各执两份。），所签合同不得对</w:t>
      </w:r>
      <w:r>
        <w:rPr>
          <w:rFonts w:hint="eastAsia" w:asciiTheme="minorEastAsia" w:hAnsiTheme="minorEastAsia" w:eastAsiaTheme="minorEastAsia" w:cstheme="minorEastAsia"/>
          <w:kern w:val="0"/>
          <w:sz w:val="24"/>
          <w:szCs w:val="24"/>
        </w:rPr>
        <w:t>招标文件作实质性修改，否则投标保证金将不予退还，由此给采购人造成损失的，成交人还应承担赔偿责任。采购人不得向成交人提出不合理的要求作为签订合同的条件，不得与成交人私下订立背离磋商文件实质性内容的协议。</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2"/>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二、磋商文件、成交人的磋商响应文件及评审过程中有关书面澄清、承诺等均应作为合同附件，具有同等的法律效力。</w:t>
      </w:r>
    </w:p>
    <w:p>
      <w:pPr>
        <w:pStyle w:val="9"/>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kern w:val="0"/>
          <w:sz w:val="24"/>
          <w:szCs w:val="24"/>
          <w:lang w:val="en-US" w:eastAsia="zh-CN" w:bidi="ar-SA"/>
        </w:rPr>
      </w:pPr>
      <w:r>
        <w:rPr>
          <w:rFonts w:hint="eastAsia" w:asciiTheme="minorEastAsia" w:hAnsiTheme="minorEastAsia" w:eastAsiaTheme="minorEastAsia" w:cstheme="minorEastAsia"/>
          <w:kern w:val="0"/>
          <w:sz w:val="24"/>
          <w:szCs w:val="24"/>
          <w:lang w:val="en-US" w:eastAsia="zh-CN" w:bidi="ar-SA"/>
        </w:rPr>
        <w:t>三、成交人不得采用转包、分包的形式履行合同，否则，采购人有权终止合同，造成采购人损失的，成交人应承担相应赔偿责任。</w:t>
      </w:r>
    </w:p>
    <w:p>
      <w:pPr>
        <w:pStyle w:val="13"/>
        <w:rPr>
          <w:rFonts w:hint="eastAsia"/>
        </w:rPr>
        <w:sectPr>
          <w:pgSz w:w="11906" w:h="16838"/>
          <w:pgMar w:top="1440" w:right="1800" w:bottom="1440" w:left="1800" w:header="851" w:footer="992" w:gutter="0"/>
          <w:cols w:space="425" w:num="1"/>
          <w:docGrid w:type="lines" w:linePitch="312" w:charSpace="0"/>
        </w:sectPr>
      </w:pPr>
    </w:p>
    <w:p>
      <w:pPr>
        <w:keepNext w:val="0"/>
        <w:keepLines w:val="0"/>
        <w:pageBreakBefore w:val="0"/>
        <w:tabs>
          <w:tab w:val="left" w:pos="1050"/>
          <w:tab w:val="right" w:leader="dot" w:pos="9402"/>
        </w:tabs>
        <w:kinsoku/>
        <w:wordWrap/>
        <w:overflowPunct/>
        <w:topLinePunct w:val="0"/>
        <w:bidi w:val="0"/>
        <w:spacing w:before="240" w:beforeLines="100" w:line="360" w:lineRule="auto"/>
        <w:jc w:val="center"/>
        <w:textAlignment w:val="auto"/>
        <w:outlineLvl w:val="0"/>
        <w:rPr>
          <w:rFonts w:hint="eastAsia" w:asciiTheme="majorEastAsia" w:hAnsiTheme="majorEastAsia" w:eastAsiaTheme="majorEastAsia" w:cstheme="majorEastAsia"/>
          <w:b/>
          <w:w w:val="80"/>
          <w:sz w:val="36"/>
          <w:szCs w:val="36"/>
        </w:rPr>
      </w:pPr>
      <w:bookmarkStart w:id="19" w:name="_Toc16666_WPSOffice_Level1"/>
      <w:bookmarkStart w:id="20" w:name="_Toc577_WPSOffice_Level1"/>
      <w:r>
        <w:rPr>
          <w:rFonts w:hint="eastAsia" w:asciiTheme="majorEastAsia" w:hAnsiTheme="majorEastAsia" w:eastAsiaTheme="majorEastAsia" w:cstheme="majorEastAsia"/>
          <w:b/>
          <w:w w:val="80"/>
          <w:sz w:val="36"/>
          <w:szCs w:val="36"/>
        </w:rPr>
        <w:t>第六章  履约验收及付款</w:t>
      </w:r>
      <w:bookmarkEnd w:id="19"/>
      <w:bookmarkEnd w:id="20"/>
    </w:p>
    <w:p>
      <w:pPr>
        <w:keepNext w:val="0"/>
        <w:keepLines w:val="0"/>
        <w:pageBreakBefore w:val="0"/>
        <w:widowControl w:val="0"/>
        <w:kinsoku/>
        <w:wordWrap/>
        <w:overflowPunct/>
        <w:topLinePunct w:val="0"/>
        <w:autoSpaceDE/>
        <w:autoSpaceDN/>
        <w:bidi w:val="0"/>
        <w:adjustRightInd/>
        <w:snapToGrid/>
        <w:spacing w:line="360" w:lineRule="auto"/>
        <w:ind w:firstLine="484" w:firstLineChars="202"/>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一、采购人和成交人应相互配合，按政府采购合同约定积极组织本项目的实施，确保项目按时完成。</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2"/>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二、供应商履约到位后，应以书面形式向采购单位提出验收申请。采购人接到申请后应及时组织验收。</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2"/>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采购人、成交人不按政府采购合同规定履约，出现违约情形，应当及时纠正或补偿，造成损失的，按合同约定追究违约责任；履约中发现有假冒、伪劣、走私产品、商业贿赂等违法情形的，应由采购人移交工商、质监、公安等行政执法部门依法查处。</w:t>
      </w:r>
    </w:p>
    <w:p>
      <w:pPr>
        <w:pStyle w:val="13"/>
        <w:rPr>
          <w:rFonts w:hint="eastAsia"/>
        </w:rPr>
        <w:sectPr>
          <w:pgSz w:w="11906" w:h="16838"/>
          <w:pgMar w:top="1440" w:right="1800" w:bottom="1440" w:left="1800" w:header="851" w:footer="992" w:gutter="0"/>
          <w:cols w:space="425" w:num="1"/>
          <w:docGrid w:type="lines" w:linePitch="312" w:charSpace="0"/>
        </w:sectPr>
      </w:pPr>
    </w:p>
    <w:p>
      <w:pPr>
        <w:keepNext w:val="0"/>
        <w:keepLines w:val="0"/>
        <w:pageBreakBefore w:val="0"/>
        <w:tabs>
          <w:tab w:val="left" w:pos="1050"/>
          <w:tab w:val="right" w:leader="dot" w:pos="9402"/>
        </w:tabs>
        <w:kinsoku/>
        <w:wordWrap/>
        <w:overflowPunct/>
        <w:topLinePunct w:val="0"/>
        <w:bidi w:val="0"/>
        <w:spacing w:before="240" w:beforeLines="100" w:line="360" w:lineRule="auto"/>
        <w:jc w:val="center"/>
        <w:textAlignment w:val="auto"/>
        <w:outlineLvl w:val="0"/>
        <w:rPr>
          <w:rFonts w:hint="eastAsia" w:asciiTheme="majorEastAsia" w:hAnsiTheme="majorEastAsia" w:eastAsiaTheme="majorEastAsia" w:cstheme="majorEastAsia"/>
          <w:b/>
          <w:w w:val="80"/>
          <w:sz w:val="36"/>
          <w:szCs w:val="36"/>
        </w:rPr>
      </w:pPr>
      <w:bookmarkStart w:id="21" w:name="_Toc18351_WPSOffice_Level1"/>
      <w:bookmarkStart w:id="22" w:name="_Toc24351_WPSOffice_Level1"/>
      <w:r>
        <w:rPr>
          <w:rFonts w:hint="eastAsia" w:asciiTheme="majorEastAsia" w:hAnsiTheme="majorEastAsia" w:eastAsiaTheme="majorEastAsia" w:cstheme="majorEastAsia"/>
          <w:b/>
          <w:w w:val="80"/>
          <w:sz w:val="36"/>
          <w:szCs w:val="36"/>
        </w:rPr>
        <w:t>第</w:t>
      </w:r>
      <w:r>
        <w:rPr>
          <w:rFonts w:hint="eastAsia" w:asciiTheme="majorEastAsia" w:hAnsiTheme="majorEastAsia" w:eastAsiaTheme="majorEastAsia" w:cstheme="majorEastAsia"/>
          <w:b/>
          <w:w w:val="80"/>
          <w:sz w:val="36"/>
          <w:szCs w:val="36"/>
          <w:lang w:val="en-US" w:eastAsia="zh-CN"/>
        </w:rPr>
        <w:t>七章</w:t>
      </w:r>
      <w:r>
        <w:rPr>
          <w:rFonts w:hint="eastAsia" w:asciiTheme="majorEastAsia" w:hAnsiTheme="majorEastAsia" w:eastAsiaTheme="majorEastAsia" w:cstheme="majorEastAsia"/>
          <w:b/>
          <w:w w:val="80"/>
          <w:sz w:val="36"/>
          <w:szCs w:val="36"/>
        </w:rPr>
        <w:t xml:space="preserve">  质疑提出和处理</w:t>
      </w:r>
      <w:bookmarkEnd w:id="21"/>
      <w:bookmarkEnd w:id="22"/>
    </w:p>
    <w:p>
      <w:pPr>
        <w:keepNext w:val="0"/>
        <w:keepLines w:val="0"/>
        <w:pageBreakBefore w:val="0"/>
        <w:kinsoku/>
        <w:wordWrap/>
        <w:overflowPunct/>
        <w:topLinePunct w:val="0"/>
        <w:autoSpaceDE w:val="0"/>
        <w:autoSpaceDN w:val="0"/>
        <w:bidi w:val="0"/>
        <w:adjustRightInd w:val="0"/>
        <w:snapToGrid w:val="0"/>
        <w:spacing w:line="360" w:lineRule="auto"/>
        <w:ind w:firstLine="482" w:firstLineChars="200"/>
        <w:contextualSpacing/>
        <w:textAlignment w:val="auto"/>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一、质疑的提出</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1、质疑人必须是直接参加本次磋商活动的当事人。</w:t>
      </w:r>
    </w:p>
    <w:p>
      <w:pPr>
        <w:keepNext w:val="0"/>
        <w:keepLines w:val="0"/>
        <w:pageBreakBefore w:val="0"/>
        <w:kinsoku/>
        <w:wordWrap/>
        <w:overflowPunct/>
        <w:topLinePunct w:val="0"/>
        <w:bidi w:val="0"/>
        <w:snapToGrid w:val="0"/>
        <w:spacing w:line="360" w:lineRule="auto"/>
        <w:ind w:firstLine="480" w:firstLineChars="200"/>
        <w:textAlignment w:val="auto"/>
        <w:outlineLvl w:val="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2、领取磋商文件的供应商应根据第二部分“投标须知”中“第一款”的约定提出疑问；质疑提出的有效时限，见《中华人民共和国政府采购法实施条例》第五十三条。</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rPr>
        <w:t>3</w:t>
      </w:r>
      <w:r>
        <w:rPr>
          <w:rFonts w:hint="eastAsia" w:asciiTheme="minorEastAsia" w:hAnsiTheme="minorEastAsia" w:eastAsiaTheme="minorEastAsia" w:cstheme="minorEastAsia"/>
          <w:kern w:val="0"/>
          <w:sz w:val="24"/>
          <w:szCs w:val="24"/>
          <w:highlight w:val="none"/>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keepNext w:val="0"/>
        <w:keepLines w:val="0"/>
        <w:pageBreakBefore w:val="0"/>
        <w:kinsoku/>
        <w:wordWrap/>
        <w:overflowPunct/>
        <w:topLinePunct w:val="0"/>
        <w:bidi w:val="0"/>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4、对本次磋商有质疑的，实行实名制，不得进行虚假、恶意质疑。质疑人应在质疑有效期内以书面形式</w:t>
      </w:r>
      <w:r>
        <w:rPr>
          <w:rFonts w:hint="eastAsia" w:asciiTheme="minorEastAsia" w:hAnsiTheme="minorEastAsia" w:eastAsiaTheme="minorEastAsia" w:cstheme="minorEastAsia"/>
          <w:kern w:val="0"/>
          <w:sz w:val="24"/>
          <w:szCs w:val="24"/>
          <w:highlight w:val="none"/>
          <w:lang w:val="zh-CN"/>
        </w:rPr>
        <w:t>提出《质疑函》（格式请</w:t>
      </w:r>
      <w:r>
        <w:rPr>
          <w:rFonts w:hint="eastAsia" w:asciiTheme="minorEastAsia" w:hAnsiTheme="minorEastAsia" w:eastAsiaTheme="minorEastAsia" w:cstheme="minorEastAsia"/>
          <w:kern w:val="0"/>
          <w:sz w:val="24"/>
          <w:szCs w:val="24"/>
          <w:highlight w:val="none"/>
          <w:lang w:val="en-US" w:eastAsia="zh-CN"/>
        </w:rPr>
        <w:t>自行</w:t>
      </w:r>
      <w:r>
        <w:rPr>
          <w:rFonts w:hint="eastAsia" w:asciiTheme="minorEastAsia" w:hAnsiTheme="minorEastAsia" w:eastAsiaTheme="minorEastAsia" w:cstheme="minorEastAsia"/>
          <w:kern w:val="0"/>
          <w:sz w:val="24"/>
          <w:szCs w:val="24"/>
          <w:highlight w:val="none"/>
          <w:lang w:val="zh-CN"/>
        </w:rPr>
        <w:t>下载）</w:t>
      </w:r>
      <w:r>
        <w:rPr>
          <w:rFonts w:hint="eastAsia" w:asciiTheme="minorEastAsia" w:hAnsiTheme="minorEastAsia" w:eastAsiaTheme="minorEastAsia" w:cstheme="minorEastAsia"/>
          <w:sz w:val="24"/>
          <w:szCs w:val="24"/>
          <w:highlight w:val="none"/>
        </w:rPr>
        <w:t>，《质疑函》内容应</w:t>
      </w:r>
      <w:r>
        <w:rPr>
          <w:rFonts w:hint="eastAsia" w:asciiTheme="minorEastAsia" w:hAnsiTheme="minorEastAsia" w:eastAsiaTheme="minorEastAsia" w:cstheme="minorEastAsia"/>
          <w:kern w:val="0"/>
          <w:sz w:val="24"/>
          <w:szCs w:val="24"/>
          <w:highlight w:val="none"/>
          <w:lang w:val="zh-CN"/>
        </w:rPr>
        <w:t>包括</w:t>
      </w:r>
      <w:r>
        <w:rPr>
          <w:rFonts w:hint="eastAsia" w:asciiTheme="minorEastAsia" w:hAnsiTheme="minorEastAsia" w:eastAsiaTheme="minorEastAsia" w:cstheme="minorEastAsia"/>
          <w:sz w:val="24"/>
          <w:szCs w:val="24"/>
          <w:highlight w:val="none"/>
        </w:rPr>
        <w:t>质疑事项、主要内容、事实依据、适应法规条款、佐证材料等。同时，</w:t>
      </w:r>
      <w:r>
        <w:rPr>
          <w:rFonts w:hint="eastAsia" w:asciiTheme="minorEastAsia" w:hAnsiTheme="minorEastAsia" w:eastAsiaTheme="minorEastAsia" w:cstheme="minorEastAsia"/>
          <w:kern w:val="0"/>
          <w:sz w:val="24"/>
          <w:szCs w:val="24"/>
          <w:highlight w:val="none"/>
        </w:rPr>
        <w:t>质疑人应保证其提出的质疑内容及</w:t>
      </w:r>
      <w:r>
        <w:rPr>
          <w:rFonts w:hint="eastAsia" w:asciiTheme="minorEastAsia" w:hAnsiTheme="minorEastAsia" w:eastAsiaTheme="minorEastAsia" w:cstheme="minorEastAsia"/>
          <w:sz w:val="24"/>
          <w:szCs w:val="24"/>
          <w:highlight w:val="none"/>
        </w:rPr>
        <w:t>相关佐证材料</w:t>
      </w:r>
      <w:r>
        <w:rPr>
          <w:rFonts w:hint="eastAsia" w:asciiTheme="minorEastAsia" w:hAnsiTheme="minorEastAsia" w:eastAsiaTheme="minorEastAsia" w:cstheme="minorEastAsia"/>
          <w:kern w:val="0"/>
          <w:sz w:val="24"/>
          <w:szCs w:val="24"/>
          <w:highlight w:val="none"/>
        </w:rPr>
        <w:t>的真实性及来源的合法性，并承担相应的法律责任。</w:t>
      </w:r>
    </w:p>
    <w:p>
      <w:pPr>
        <w:keepNext w:val="0"/>
        <w:keepLines w:val="0"/>
        <w:pageBreakBefore w:val="0"/>
        <w:kinsoku/>
        <w:wordWrap/>
        <w:overflowPunct/>
        <w:topLinePunct w:val="0"/>
        <w:bidi w:val="0"/>
        <w:snapToGrid w:val="0"/>
        <w:spacing w:line="360" w:lineRule="auto"/>
        <w:ind w:firstLine="480" w:firstLineChars="200"/>
        <w:contextualSpacing/>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kern w:val="0"/>
          <w:sz w:val="24"/>
          <w:szCs w:val="24"/>
          <w:highlight w:val="none"/>
          <w:lang w:val="zh-CN"/>
        </w:rPr>
        <w:t>对不能提供</w:t>
      </w:r>
      <w:r>
        <w:rPr>
          <w:rFonts w:hint="eastAsia" w:asciiTheme="minorEastAsia" w:hAnsiTheme="minorEastAsia" w:eastAsiaTheme="minorEastAsia" w:cstheme="minorEastAsia"/>
          <w:sz w:val="24"/>
          <w:szCs w:val="24"/>
          <w:highlight w:val="none"/>
        </w:rPr>
        <w:t>相关佐证材料的、涉及商业秘密的、非书面形式的、非送达的、匿名的《质疑函》将不予受理。</w:t>
      </w:r>
    </w:p>
    <w:p>
      <w:pPr>
        <w:keepNext w:val="0"/>
        <w:keepLines w:val="0"/>
        <w:pageBreakBefore w:val="0"/>
        <w:kinsoku/>
        <w:wordWrap/>
        <w:overflowPunct/>
        <w:topLinePunct w:val="0"/>
        <w:bidi w:val="0"/>
        <w:snapToGrid w:val="0"/>
        <w:spacing w:line="360" w:lineRule="auto"/>
        <w:ind w:firstLine="480" w:firstLineChars="200"/>
        <w:contextualSpacing/>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相关佐证材料要具备客观性、关联性、合法性，无法查实的（如宣传册、媒体报道、猜测、推理等）不能作为佐证材料。</w:t>
      </w:r>
    </w:p>
    <w:p>
      <w:pPr>
        <w:keepNext w:val="0"/>
        <w:keepLines w:val="0"/>
        <w:pageBreakBefore w:val="0"/>
        <w:kinsoku/>
        <w:wordWrap/>
        <w:overflowPunct/>
        <w:topLinePunct w:val="0"/>
        <w:bidi w:val="0"/>
        <w:snapToGrid w:val="0"/>
        <w:spacing w:line="360" w:lineRule="auto"/>
        <w:ind w:firstLine="482" w:firstLineChars="200"/>
        <w:contextualSpacing/>
        <w:textAlignment w:val="auto"/>
        <w:rPr>
          <w:rFonts w:hint="eastAsia" w:asciiTheme="minorEastAsia" w:hAnsiTheme="minorEastAsia" w:eastAsiaTheme="minorEastAsia" w:cstheme="minorEastAsia"/>
          <w:b/>
          <w:kern w:val="0"/>
          <w:sz w:val="24"/>
          <w:szCs w:val="24"/>
          <w:highlight w:val="none"/>
        </w:rPr>
      </w:pPr>
      <w:r>
        <w:rPr>
          <w:rFonts w:hint="eastAsia" w:asciiTheme="minorEastAsia" w:hAnsiTheme="minorEastAsia" w:eastAsiaTheme="minorEastAsia" w:cstheme="minorEastAsia"/>
          <w:b/>
          <w:sz w:val="24"/>
          <w:szCs w:val="24"/>
          <w:highlight w:val="none"/>
        </w:rPr>
        <w:t>采购人、磋商代理机构</w:t>
      </w:r>
      <w:r>
        <w:rPr>
          <w:rFonts w:hint="eastAsia" w:asciiTheme="minorEastAsia" w:hAnsiTheme="minorEastAsia" w:eastAsiaTheme="minorEastAsia" w:cstheme="minorEastAsia"/>
          <w:b/>
          <w:kern w:val="0"/>
          <w:sz w:val="24"/>
          <w:szCs w:val="24"/>
          <w:highlight w:val="none"/>
        </w:rPr>
        <w:t>不负责搜集相关佐证材料等工作。</w:t>
      </w:r>
    </w:p>
    <w:p>
      <w:pPr>
        <w:keepNext w:val="0"/>
        <w:keepLines w:val="0"/>
        <w:pageBreakBefore w:val="0"/>
        <w:kinsoku/>
        <w:wordWrap/>
        <w:overflowPunct/>
        <w:topLinePunct w:val="0"/>
        <w:autoSpaceDE w:val="0"/>
        <w:autoSpaceDN w:val="0"/>
        <w:bidi w:val="0"/>
        <w:adjustRightInd w:val="0"/>
        <w:snapToGrid w:val="0"/>
        <w:spacing w:line="360" w:lineRule="auto"/>
        <w:ind w:firstLine="482" w:firstLineChars="200"/>
        <w:contextualSpacing/>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二、《质疑函》的受理和回复</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sz w:val="24"/>
          <w:szCs w:val="24"/>
          <w:highlight w:val="none"/>
        </w:rPr>
        <w:t>1、《质疑函》须由质疑人的法定代表人或参加本次磋商授权人</w:t>
      </w:r>
      <w:r>
        <w:rPr>
          <w:rFonts w:hint="eastAsia" w:asciiTheme="minorEastAsia" w:hAnsiTheme="minorEastAsia" w:eastAsiaTheme="minorEastAsia" w:cstheme="minorEastAsia"/>
          <w:kern w:val="0"/>
          <w:sz w:val="24"/>
          <w:szCs w:val="24"/>
          <w:highlight w:val="none"/>
          <w:lang w:val="zh-CN"/>
        </w:rPr>
        <w:t>送达磋商代理机构和采购人。</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2、对符合提出质疑要求的，磋商代理机构和采购人签收并出具《质疑受理通知书》。在处理过程中，发现需要质疑人进一步补充相关佐证材料的，请质疑人在规定的时间内提供，质疑回复时间相应顺延。质疑人不能按时提供相关佐证材料的，视同放弃质疑。</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3、对不符合提出质疑要求的，出具《质疑退回通知书》并提出相关补充材料要求，质疑人未在规定的时间内提供补充佐证材料的，视同放弃质疑。</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kern w:val="0"/>
          <w:sz w:val="24"/>
          <w:szCs w:val="24"/>
          <w:highlight w:val="none"/>
          <w:lang w:val="zh-CN"/>
        </w:rPr>
        <w:t>4、磋商代理机构、</w:t>
      </w:r>
      <w:r>
        <w:rPr>
          <w:rFonts w:hint="eastAsia" w:asciiTheme="minorEastAsia" w:hAnsiTheme="minorEastAsia" w:eastAsiaTheme="minorEastAsia" w:cstheme="minorEastAsia"/>
          <w:kern w:val="0"/>
          <w:sz w:val="24"/>
          <w:szCs w:val="24"/>
          <w:highlight w:val="none"/>
        </w:rPr>
        <w:t>采购人负责将质疑人提出的质疑相关材料提供给相关专家或评委审核，并将审核意见回复质疑人。</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rPr>
      </w:pPr>
      <w:r>
        <w:rPr>
          <w:rFonts w:hint="eastAsia" w:asciiTheme="minorEastAsia" w:hAnsiTheme="minorEastAsia" w:eastAsiaTheme="minorEastAsia" w:cstheme="minorEastAsia"/>
          <w:sz w:val="24"/>
          <w:szCs w:val="24"/>
          <w:highlight w:val="none"/>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rPr>
        <w:t>5、</w:t>
      </w:r>
      <w:r>
        <w:rPr>
          <w:rFonts w:hint="eastAsia" w:asciiTheme="minorEastAsia" w:hAnsiTheme="minorEastAsia" w:eastAsiaTheme="minorEastAsia" w:cstheme="minorEastAsia"/>
          <w:kern w:val="0"/>
          <w:sz w:val="24"/>
          <w:szCs w:val="24"/>
          <w:highlight w:val="none"/>
          <w:lang w:val="zh-CN"/>
        </w:rPr>
        <w:t>因质疑情况复杂，组织论证或审查时间较长的，磋商代理机构、采购人以书面形式通知质疑人，可适当延长质疑回复处理时间。</w:t>
      </w:r>
    </w:p>
    <w:p>
      <w:pPr>
        <w:keepNext w:val="0"/>
        <w:keepLines w:val="0"/>
        <w:pageBreakBefore w:val="0"/>
        <w:kinsoku/>
        <w:wordWrap/>
        <w:overflowPunct/>
        <w:topLinePunct w:val="0"/>
        <w:autoSpaceDE w:val="0"/>
        <w:autoSpaceDN w:val="0"/>
        <w:bidi w:val="0"/>
        <w:adjustRightInd w:val="0"/>
        <w:snapToGrid w:val="0"/>
        <w:spacing w:line="360" w:lineRule="auto"/>
        <w:ind w:firstLine="482" w:firstLineChars="200"/>
        <w:contextualSpacing/>
        <w:textAlignment w:val="auto"/>
        <w:rPr>
          <w:rFonts w:hint="eastAsia" w:asciiTheme="minorEastAsia" w:hAnsiTheme="minorEastAsia" w:eastAsiaTheme="minorEastAsia" w:cstheme="minorEastAsia"/>
          <w:b/>
          <w:kern w:val="0"/>
          <w:sz w:val="24"/>
          <w:szCs w:val="24"/>
          <w:highlight w:val="none"/>
          <w:lang w:val="zh-CN"/>
        </w:rPr>
      </w:pPr>
      <w:r>
        <w:rPr>
          <w:rFonts w:hint="eastAsia" w:asciiTheme="minorEastAsia" w:hAnsiTheme="minorEastAsia" w:eastAsiaTheme="minorEastAsia" w:cstheme="minorEastAsia"/>
          <w:b/>
          <w:kern w:val="0"/>
          <w:sz w:val="24"/>
          <w:szCs w:val="24"/>
          <w:highlight w:val="none"/>
          <w:lang w:val="zh-CN"/>
        </w:rPr>
        <w:t>三、质疑处理</w:t>
      </w:r>
    </w:p>
    <w:p>
      <w:pPr>
        <w:keepNext w:val="0"/>
        <w:keepLines w:val="0"/>
        <w:pageBreakBefore w:val="0"/>
        <w:kinsoku/>
        <w:wordWrap/>
        <w:overflowPunct/>
        <w:topLinePunct w:val="0"/>
        <w:autoSpaceDE w:val="0"/>
        <w:autoSpaceDN w:val="0"/>
        <w:bidi w:val="0"/>
        <w:adjustRightInd w:val="0"/>
        <w:snapToGrid w:val="0"/>
        <w:spacing w:line="360" w:lineRule="auto"/>
        <w:ind w:firstLine="482"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b/>
          <w:kern w:val="0"/>
          <w:sz w:val="24"/>
          <w:szCs w:val="24"/>
          <w:highlight w:val="none"/>
          <w:lang w:val="zh-CN"/>
        </w:rPr>
        <w:t>1、质疑成立的处理。</w:t>
      </w:r>
      <w:r>
        <w:rPr>
          <w:rFonts w:hint="eastAsia" w:asciiTheme="minorEastAsia" w:hAnsiTheme="minorEastAsia" w:eastAsiaTheme="minorEastAsia" w:cstheme="minorEastAsia"/>
          <w:kern w:val="0"/>
          <w:sz w:val="24"/>
          <w:szCs w:val="24"/>
          <w:highlight w:val="none"/>
          <w:lang w:val="zh-CN"/>
        </w:rPr>
        <w:t>采购人终止采购，并建议有关部门给相关当事人予以处理。</w:t>
      </w:r>
    </w:p>
    <w:p>
      <w:pPr>
        <w:keepNext w:val="0"/>
        <w:keepLines w:val="0"/>
        <w:pageBreakBefore w:val="0"/>
        <w:kinsoku/>
        <w:wordWrap/>
        <w:overflowPunct/>
        <w:topLinePunct w:val="0"/>
        <w:bidi w:val="0"/>
        <w:snapToGrid w:val="0"/>
        <w:spacing w:line="360" w:lineRule="auto"/>
        <w:ind w:firstLine="570"/>
        <w:contextualSpacing/>
        <w:textAlignment w:val="auto"/>
        <w:rPr>
          <w:rFonts w:hint="eastAsia" w:asciiTheme="minorEastAsia" w:hAnsiTheme="minorEastAsia" w:eastAsiaTheme="minorEastAsia" w:cstheme="minorEastAsia"/>
          <w:b/>
          <w:kern w:val="0"/>
          <w:sz w:val="24"/>
          <w:szCs w:val="24"/>
          <w:highlight w:val="none"/>
          <w:lang w:val="zh-CN"/>
        </w:rPr>
      </w:pPr>
      <w:r>
        <w:rPr>
          <w:rFonts w:hint="eastAsia" w:asciiTheme="minorEastAsia" w:hAnsiTheme="minorEastAsia" w:eastAsiaTheme="minorEastAsia" w:cstheme="minorEastAsia"/>
          <w:b/>
          <w:kern w:val="0"/>
          <w:sz w:val="24"/>
          <w:szCs w:val="24"/>
          <w:highlight w:val="none"/>
          <w:lang w:val="zh-CN"/>
        </w:rPr>
        <w:t>2、质疑不成立的处理。</w:t>
      </w:r>
    </w:p>
    <w:p>
      <w:pPr>
        <w:keepNext w:val="0"/>
        <w:keepLines w:val="0"/>
        <w:pageBreakBefore w:val="0"/>
        <w:kinsoku/>
        <w:wordWrap/>
        <w:overflowPunct/>
        <w:topLinePunct w:val="0"/>
        <w:bidi w:val="0"/>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1）质疑人书面《申请撤回质疑函》的，不作违约处理。</w:t>
      </w:r>
    </w:p>
    <w:p>
      <w:pPr>
        <w:keepNext w:val="0"/>
        <w:keepLines w:val="0"/>
        <w:pageBreakBefore w:val="0"/>
        <w:kinsoku/>
        <w:wordWrap/>
        <w:overflowPunct/>
        <w:topLinePunct w:val="0"/>
        <w:bidi w:val="0"/>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sz w:val="24"/>
          <w:szCs w:val="24"/>
          <w:highlight w:val="none"/>
        </w:rPr>
        <w:t>2）质疑人在规定的时间内不配合进行质疑调查处理的，按自动撤回《质疑函》处理。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3）质疑人不按《质疑函》格式就提出质疑的，作违约处理。</w:t>
      </w:r>
      <w:r>
        <w:rPr>
          <w:rFonts w:hint="eastAsia" w:asciiTheme="minorEastAsia" w:hAnsiTheme="minorEastAsia" w:eastAsiaTheme="minorEastAsia" w:cstheme="minorEastAsia"/>
          <w:sz w:val="24"/>
          <w:szCs w:val="24"/>
          <w:highlight w:val="none"/>
        </w:rPr>
        <w:t>采购人有权收取其保证金的10%作为违约金；同时，视情</w:t>
      </w:r>
      <w:r>
        <w:rPr>
          <w:rFonts w:hint="eastAsia" w:asciiTheme="minorEastAsia" w:hAnsiTheme="minorEastAsia" w:eastAsiaTheme="minorEastAsia" w:cstheme="minorEastAsia"/>
          <w:kern w:val="0"/>
          <w:sz w:val="24"/>
          <w:szCs w:val="24"/>
          <w:highlight w:val="none"/>
          <w:lang w:val="zh-CN"/>
        </w:rPr>
        <w:t>列入不良供应商名单。</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4）质疑人虽提供了相关</w:t>
      </w:r>
      <w:r>
        <w:rPr>
          <w:rFonts w:hint="eastAsia" w:asciiTheme="minorEastAsia" w:hAnsiTheme="minorEastAsia" w:eastAsiaTheme="minorEastAsia" w:cstheme="minorEastAsia"/>
          <w:sz w:val="24"/>
          <w:szCs w:val="24"/>
          <w:highlight w:val="none"/>
        </w:rPr>
        <w:t>佐证材料</w:t>
      </w:r>
      <w:r>
        <w:rPr>
          <w:rFonts w:hint="eastAsia" w:asciiTheme="minorEastAsia" w:hAnsiTheme="minorEastAsia" w:eastAsiaTheme="minorEastAsia" w:cstheme="minorEastAsia"/>
          <w:kern w:val="0"/>
          <w:sz w:val="24"/>
          <w:szCs w:val="24"/>
          <w:highlight w:val="none"/>
          <w:lang w:val="zh-CN"/>
        </w:rPr>
        <w:t>，但不能证明其质疑成立的，采购人请质疑人补充相关</w:t>
      </w:r>
      <w:r>
        <w:rPr>
          <w:rFonts w:hint="eastAsia" w:asciiTheme="minorEastAsia" w:hAnsiTheme="minorEastAsia" w:eastAsiaTheme="minorEastAsia" w:cstheme="minorEastAsia"/>
          <w:sz w:val="24"/>
          <w:szCs w:val="24"/>
          <w:highlight w:val="none"/>
        </w:rPr>
        <w:t>佐证材料</w:t>
      </w:r>
      <w:r>
        <w:rPr>
          <w:rFonts w:hint="eastAsia" w:asciiTheme="minorEastAsia" w:hAnsiTheme="minorEastAsia" w:eastAsiaTheme="minorEastAsia" w:cstheme="minorEastAsia"/>
          <w:kern w:val="0"/>
          <w:sz w:val="24"/>
          <w:szCs w:val="24"/>
          <w:highlight w:val="none"/>
          <w:lang w:val="zh-CN"/>
        </w:rPr>
        <w:t>，仍不能证明其质疑成立的，作违约处理。</w:t>
      </w:r>
      <w:r>
        <w:rPr>
          <w:rFonts w:hint="eastAsia" w:asciiTheme="minorEastAsia" w:hAnsiTheme="minorEastAsia" w:eastAsiaTheme="minorEastAsia" w:cstheme="minorEastAsia"/>
          <w:sz w:val="24"/>
          <w:szCs w:val="24"/>
          <w:highlight w:val="none"/>
        </w:rPr>
        <w:t>采购人有权收取其保证金的50%作为违约金；同时，</w:t>
      </w:r>
      <w:r>
        <w:rPr>
          <w:rFonts w:hint="eastAsia" w:asciiTheme="minorEastAsia" w:hAnsiTheme="minorEastAsia" w:eastAsiaTheme="minorEastAsia" w:cstheme="minorEastAsia"/>
          <w:kern w:val="0"/>
          <w:sz w:val="24"/>
          <w:szCs w:val="24"/>
          <w:highlight w:val="none"/>
          <w:lang w:val="zh-CN"/>
        </w:rPr>
        <w:t>列入不良供应商名单。</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5）质疑人不能提供相关</w:t>
      </w:r>
      <w:r>
        <w:rPr>
          <w:rFonts w:hint="eastAsia" w:asciiTheme="minorEastAsia" w:hAnsiTheme="minorEastAsia" w:eastAsiaTheme="minorEastAsia" w:cstheme="minorEastAsia"/>
          <w:sz w:val="24"/>
          <w:szCs w:val="24"/>
          <w:highlight w:val="none"/>
        </w:rPr>
        <w:t>佐证材料</w:t>
      </w:r>
      <w:r>
        <w:rPr>
          <w:rFonts w:hint="eastAsia" w:asciiTheme="minorEastAsia" w:hAnsiTheme="minorEastAsia" w:eastAsiaTheme="minorEastAsia" w:cstheme="minorEastAsia"/>
          <w:kern w:val="0"/>
          <w:sz w:val="24"/>
          <w:szCs w:val="24"/>
          <w:highlight w:val="none"/>
          <w:lang w:val="zh-CN"/>
        </w:rPr>
        <w:t>的，采购人已指出，质疑人仍然坚持提出质疑的，作违约处理。</w:t>
      </w:r>
      <w:r>
        <w:rPr>
          <w:rFonts w:hint="eastAsia" w:asciiTheme="minorEastAsia" w:hAnsiTheme="minorEastAsia" w:eastAsiaTheme="minorEastAsia" w:cstheme="minorEastAsia"/>
          <w:sz w:val="24"/>
          <w:szCs w:val="24"/>
          <w:highlight w:val="none"/>
        </w:rPr>
        <w:t>采购人有权收取其保证金的100%作为违约金；取消相应会员资格6个月，同时，</w:t>
      </w:r>
      <w:r>
        <w:rPr>
          <w:rFonts w:hint="eastAsia" w:asciiTheme="minorEastAsia" w:hAnsiTheme="minorEastAsia" w:eastAsiaTheme="minorEastAsia" w:cstheme="minorEastAsia"/>
          <w:kern w:val="0"/>
          <w:sz w:val="24"/>
          <w:szCs w:val="24"/>
          <w:highlight w:val="none"/>
          <w:lang w:val="zh-CN"/>
        </w:rPr>
        <w:t>列入不良供应商名单。</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6）对明显有违背事实的、经相关专家或评委认定无依据的、经其他供应商举证无依据的质疑，作违约处理，</w:t>
      </w:r>
      <w:r>
        <w:rPr>
          <w:rFonts w:hint="eastAsia" w:asciiTheme="minorEastAsia" w:hAnsiTheme="minorEastAsia" w:eastAsiaTheme="minorEastAsia" w:cstheme="minorEastAsia"/>
          <w:sz w:val="24"/>
          <w:szCs w:val="24"/>
          <w:highlight w:val="none"/>
        </w:rPr>
        <w:t>采购人有权取消其会员资格，收取其保证金的100%作为违约金，</w:t>
      </w:r>
      <w:r>
        <w:rPr>
          <w:rFonts w:hint="eastAsia" w:asciiTheme="minorEastAsia" w:hAnsiTheme="minorEastAsia" w:eastAsiaTheme="minorEastAsia" w:cstheme="minorEastAsia"/>
          <w:kern w:val="0"/>
          <w:sz w:val="24"/>
          <w:szCs w:val="24"/>
          <w:highlight w:val="none"/>
          <w:lang w:val="zh-CN"/>
        </w:rPr>
        <w:t>列入不良供应商名单；</w:t>
      </w:r>
      <w:r>
        <w:rPr>
          <w:rFonts w:hint="eastAsia" w:asciiTheme="minorEastAsia" w:hAnsiTheme="minorEastAsia" w:eastAsiaTheme="minorEastAsia" w:cstheme="minorEastAsia"/>
          <w:sz w:val="24"/>
          <w:szCs w:val="24"/>
          <w:highlight w:val="none"/>
        </w:rPr>
        <w:t>同时，</w:t>
      </w:r>
      <w:r>
        <w:rPr>
          <w:rFonts w:hint="eastAsia" w:asciiTheme="minorEastAsia" w:hAnsiTheme="minorEastAsia" w:eastAsiaTheme="minorEastAsia" w:cstheme="minorEastAsia"/>
          <w:kern w:val="0"/>
          <w:sz w:val="24"/>
          <w:szCs w:val="24"/>
          <w:highlight w:val="none"/>
          <w:lang w:val="zh-CN"/>
        </w:rPr>
        <w:t>对其中每一项不成立的质疑给予质疑人1年内禁入由采购人组织的政府采购活动的违约处理，依次类推；视情在南通市公共资源交易网、省、国家级相关媒体予以披露。</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zh-CN"/>
        </w:rPr>
        <w:t>7）</w:t>
      </w:r>
      <w:r>
        <w:rPr>
          <w:rFonts w:hint="eastAsia" w:asciiTheme="minorEastAsia" w:hAnsiTheme="minorEastAsia" w:eastAsiaTheme="minorEastAsia" w:cstheme="minorEastAsia"/>
          <w:sz w:val="24"/>
          <w:szCs w:val="24"/>
          <w:highlight w:val="none"/>
        </w:rPr>
        <w:t>质疑人</w:t>
      </w:r>
      <w:r>
        <w:rPr>
          <w:rFonts w:hint="eastAsia" w:asciiTheme="minorEastAsia" w:hAnsiTheme="minorEastAsia" w:eastAsiaTheme="minorEastAsia" w:cstheme="minorEastAsia"/>
          <w:kern w:val="0"/>
          <w:sz w:val="24"/>
          <w:szCs w:val="24"/>
          <w:highlight w:val="none"/>
          <w:lang w:val="zh-CN"/>
        </w:rPr>
        <w:t>承担使用虚假材料或恶意方式质疑的法律责任。</w:t>
      </w:r>
    </w:p>
    <w:p>
      <w:pPr>
        <w:keepNext w:val="0"/>
        <w:keepLines w:val="0"/>
        <w:pageBreakBefore w:val="0"/>
        <w:kinsoku/>
        <w:wordWrap/>
        <w:overflowPunct/>
        <w:topLinePunct w:val="0"/>
        <w:autoSpaceDE w:val="0"/>
        <w:autoSpaceDN w:val="0"/>
        <w:bidi w:val="0"/>
        <w:adjustRightInd w:val="0"/>
        <w:snapToGrid w:val="0"/>
        <w:spacing w:line="360" w:lineRule="auto"/>
        <w:contextualSpacing/>
        <w:textAlignment w:val="auto"/>
        <w:rPr>
          <w:rFonts w:hint="eastAsia" w:asciiTheme="minorEastAsia" w:hAnsiTheme="minorEastAsia" w:eastAsiaTheme="minorEastAsia" w:cstheme="minorEastAsia"/>
          <w:b/>
          <w:kern w:val="0"/>
          <w:sz w:val="24"/>
          <w:szCs w:val="24"/>
          <w:lang w:val="zh-CN"/>
        </w:rPr>
      </w:pPr>
      <w:r>
        <w:rPr>
          <w:rFonts w:hint="eastAsia" w:asciiTheme="minorEastAsia" w:hAnsiTheme="minorEastAsia" w:eastAsiaTheme="minorEastAsia" w:cstheme="minorEastAsia"/>
          <w:kern w:val="0"/>
          <w:sz w:val="24"/>
          <w:szCs w:val="24"/>
          <w:highlight w:val="none"/>
          <w:lang w:val="zh-CN"/>
        </w:rPr>
        <w:t xml:space="preserve">    </w:t>
      </w:r>
      <w:r>
        <w:rPr>
          <w:rFonts w:hint="eastAsia" w:asciiTheme="minorEastAsia" w:hAnsiTheme="minorEastAsia" w:eastAsiaTheme="minorEastAsia" w:cstheme="minorEastAsia"/>
          <w:b/>
          <w:kern w:val="0"/>
          <w:sz w:val="24"/>
          <w:szCs w:val="24"/>
          <w:highlight w:val="none"/>
          <w:lang w:val="zh-CN"/>
        </w:rPr>
        <w:t>四、无佐证材料的举报作违约处理。</w:t>
      </w:r>
      <w:r>
        <w:rPr>
          <w:rFonts w:hint="eastAsia" w:asciiTheme="minorEastAsia" w:hAnsiTheme="minorEastAsia" w:eastAsiaTheme="minorEastAsia" w:cstheme="minorEastAsia"/>
          <w:kern w:val="0"/>
          <w:sz w:val="24"/>
          <w:szCs w:val="24"/>
          <w:highlight w:val="none"/>
          <w:lang w:val="zh-CN"/>
        </w:rPr>
        <w:t>供应商不得进行不提供相关佐证材料（含</w:t>
      </w:r>
      <w:r>
        <w:rPr>
          <w:rFonts w:hint="eastAsia" w:asciiTheme="minorEastAsia" w:hAnsiTheme="minorEastAsia" w:eastAsiaTheme="minorEastAsia" w:cstheme="minorEastAsia"/>
          <w:kern w:val="0"/>
          <w:sz w:val="24"/>
          <w:szCs w:val="24"/>
          <w:lang w:val="zh-CN"/>
        </w:rPr>
        <w:t>无法查实的</w:t>
      </w:r>
      <w:r>
        <w:rPr>
          <w:rFonts w:hint="eastAsia" w:asciiTheme="minorEastAsia" w:hAnsiTheme="minorEastAsia" w:eastAsiaTheme="minorEastAsia" w:cstheme="minorEastAsia"/>
          <w:sz w:val="24"/>
          <w:szCs w:val="24"/>
        </w:rPr>
        <w:t>如宣传册、媒体报道、猜测、推理等）</w:t>
      </w:r>
      <w:r>
        <w:rPr>
          <w:rFonts w:hint="eastAsia" w:asciiTheme="minorEastAsia" w:hAnsiTheme="minorEastAsia" w:eastAsiaTheme="minorEastAsia" w:cstheme="minorEastAsia"/>
          <w:kern w:val="0"/>
          <w:sz w:val="24"/>
          <w:szCs w:val="24"/>
          <w:lang w:val="zh-CN"/>
        </w:rPr>
        <w:t>向有关部门的举报，否则作违约处理。采购人有权取消其相应的会员资格，同时对其在1至3年内禁入由采购人组织的政府采购活动的违约处理。</w:t>
      </w:r>
    </w:p>
    <w:p>
      <w:pPr>
        <w:keepNext w:val="0"/>
        <w:keepLines w:val="0"/>
        <w:pageBreakBefore w:val="0"/>
        <w:kinsoku/>
        <w:wordWrap/>
        <w:overflowPunct/>
        <w:topLinePunct w:val="0"/>
        <w:bidi w:val="0"/>
        <w:snapToGrid w:val="0"/>
        <w:spacing w:line="360" w:lineRule="auto"/>
        <w:ind w:firstLine="482" w:firstLineChars="200"/>
        <w:contextualSpacing/>
        <w:textAlignment w:val="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b/>
          <w:sz w:val="24"/>
          <w:szCs w:val="24"/>
        </w:rPr>
        <w:t>五、投诉不成立的作违约处理。</w:t>
      </w:r>
      <w:r>
        <w:rPr>
          <w:rFonts w:hint="eastAsia" w:asciiTheme="minorEastAsia" w:hAnsiTheme="minorEastAsia" w:eastAsiaTheme="minorEastAsia" w:cstheme="minorEastAsia"/>
          <w:sz w:val="24"/>
          <w:szCs w:val="24"/>
        </w:rPr>
        <w:t>供应商进行质疑后，采购人回复质疑不成立，供应商仍进行投诉的，并最终投诉不成立的，作违约处理。</w:t>
      </w:r>
      <w:r>
        <w:rPr>
          <w:rFonts w:hint="eastAsia" w:asciiTheme="minorEastAsia" w:hAnsiTheme="minorEastAsia" w:eastAsiaTheme="minorEastAsia" w:cstheme="minorEastAsia"/>
          <w:kern w:val="0"/>
          <w:sz w:val="24"/>
          <w:szCs w:val="24"/>
          <w:lang w:val="zh-CN"/>
        </w:rPr>
        <w:t>采购人有权取消其相应的会员资格，同时对其在1至3年内禁入由采购人组织的政府采购活动的违约处理。</w:t>
      </w:r>
    </w:p>
    <w:p>
      <w:pPr>
        <w:keepNext w:val="0"/>
        <w:keepLines w:val="0"/>
        <w:pageBreakBefore w:val="0"/>
        <w:kinsoku/>
        <w:wordWrap/>
        <w:overflowPunct/>
        <w:topLinePunct w:val="0"/>
        <w:bidi w:val="0"/>
        <w:snapToGrid w:val="0"/>
        <w:spacing w:line="360" w:lineRule="auto"/>
        <w:ind w:firstLine="482" w:firstLineChars="200"/>
        <w:contextualSpacing/>
        <w:textAlignment w:val="auto"/>
        <w:rPr>
          <w:rFonts w:hint="eastAsia" w:asciiTheme="minorEastAsia" w:hAnsiTheme="minorEastAsia" w:eastAsiaTheme="minorEastAsia" w:cstheme="minorEastAsia"/>
          <w:sz w:val="24"/>
          <w:szCs w:val="24"/>
          <w:highlight w:val="none"/>
          <w:lang w:eastAsia="zh-CN"/>
        </w:rPr>
        <w:sectPr>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b/>
          <w:sz w:val="24"/>
          <w:szCs w:val="24"/>
          <w:highlight w:val="none"/>
        </w:rPr>
        <w:t>六、《质疑函》、《质疑回复函》，质疑、举报、投诉不成立的</w:t>
      </w:r>
      <w:r>
        <w:rPr>
          <w:rFonts w:hint="eastAsia" w:asciiTheme="minorEastAsia" w:hAnsiTheme="minorEastAsia" w:eastAsiaTheme="minorEastAsia" w:cstheme="minorEastAsia"/>
          <w:sz w:val="24"/>
          <w:szCs w:val="24"/>
          <w:highlight w:val="none"/>
        </w:rPr>
        <w:t>等相关情况，视情在南通市公共资源交易网、省、国家级等相关媒体予以披露。并建议相关政府采购机构对该供应商同步实施1至3年内禁入</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tabs>
          <w:tab w:val="left" w:pos="1050"/>
          <w:tab w:val="right" w:leader="dot" w:pos="9402"/>
        </w:tabs>
        <w:kinsoku/>
        <w:wordWrap/>
        <w:overflowPunct/>
        <w:topLinePunct w:val="0"/>
        <w:bidi w:val="0"/>
        <w:spacing w:before="240" w:beforeLines="100" w:line="360" w:lineRule="auto"/>
        <w:jc w:val="center"/>
        <w:textAlignment w:val="auto"/>
        <w:outlineLvl w:val="0"/>
        <w:rPr>
          <w:rFonts w:hint="eastAsia" w:asciiTheme="majorEastAsia" w:hAnsiTheme="majorEastAsia" w:eastAsiaTheme="majorEastAsia" w:cstheme="majorEastAsia"/>
          <w:b/>
          <w:w w:val="80"/>
          <w:sz w:val="36"/>
          <w:szCs w:val="36"/>
        </w:rPr>
      </w:pPr>
      <w:bookmarkStart w:id="23" w:name="_Toc30996_WPSOffice_Level1"/>
      <w:bookmarkStart w:id="24" w:name="_Toc3281_WPSOffice_Level1"/>
      <w:r>
        <w:rPr>
          <w:rFonts w:hint="eastAsia" w:asciiTheme="majorEastAsia" w:hAnsiTheme="majorEastAsia" w:eastAsiaTheme="majorEastAsia" w:cstheme="majorEastAsia"/>
          <w:b/>
          <w:w w:val="80"/>
          <w:sz w:val="36"/>
          <w:szCs w:val="36"/>
        </w:rPr>
        <w:t>第</w:t>
      </w:r>
      <w:r>
        <w:rPr>
          <w:rFonts w:hint="eastAsia" w:asciiTheme="majorEastAsia" w:hAnsiTheme="majorEastAsia" w:eastAsiaTheme="majorEastAsia" w:cstheme="majorEastAsia"/>
          <w:b/>
          <w:w w:val="80"/>
          <w:sz w:val="36"/>
          <w:szCs w:val="36"/>
          <w:lang w:val="en-US" w:eastAsia="zh-CN"/>
        </w:rPr>
        <w:t>八章</w:t>
      </w:r>
      <w:r>
        <w:rPr>
          <w:rFonts w:hint="eastAsia" w:asciiTheme="majorEastAsia" w:hAnsiTheme="majorEastAsia" w:eastAsiaTheme="majorEastAsia" w:cstheme="majorEastAsia"/>
          <w:b/>
          <w:w w:val="80"/>
          <w:sz w:val="36"/>
          <w:szCs w:val="36"/>
        </w:rPr>
        <w:t xml:space="preserve">  响应文件组成</w:t>
      </w:r>
      <w:bookmarkEnd w:id="23"/>
      <w:bookmarkEnd w:id="24"/>
    </w:p>
    <w:p>
      <w:pPr>
        <w:keepNext w:val="0"/>
        <w:keepLines w:val="0"/>
        <w:pageBreakBefore w:val="0"/>
        <w:kinsoku/>
        <w:wordWrap/>
        <w:overflowPunct/>
        <w:topLinePunct w:val="0"/>
        <w:autoSpaceDE/>
        <w:autoSpaceDN/>
        <w:bidi w:val="0"/>
        <w:adjustRightInd/>
        <w:snapToGrid w:val="0"/>
        <w:spacing w:line="360" w:lineRule="auto"/>
        <w:ind w:firstLine="555"/>
        <w:jc w:val="left"/>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color w:val="000000"/>
          <w:sz w:val="24"/>
          <w:szCs w:val="24"/>
        </w:rPr>
        <w:t>资格后审材料文件</w:t>
      </w:r>
      <w:r>
        <w:rPr>
          <w:rFonts w:hint="eastAsia" w:asciiTheme="minorEastAsia" w:hAnsiTheme="minorEastAsia" w:eastAsiaTheme="minorEastAsia" w:cstheme="minorEastAsia"/>
          <w:b/>
          <w:bCs w:val="0"/>
          <w:sz w:val="24"/>
          <w:szCs w:val="24"/>
        </w:rPr>
        <w:t>、</w:t>
      </w:r>
      <w:r>
        <w:rPr>
          <w:rFonts w:hint="eastAsia" w:asciiTheme="minorEastAsia" w:hAnsiTheme="minorEastAsia" w:eastAsiaTheme="minorEastAsia" w:cstheme="minorEastAsia"/>
          <w:b/>
          <w:bCs w:val="0"/>
          <w:color w:val="000000"/>
          <w:sz w:val="24"/>
          <w:szCs w:val="24"/>
        </w:rPr>
        <w:t>技术磋商响应文件</w:t>
      </w:r>
      <w:r>
        <w:rPr>
          <w:rFonts w:hint="eastAsia" w:asciiTheme="minorEastAsia" w:hAnsiTheme="minorEastAsia" w:eastAsiaTheme="minorEastAsia" w:cstheme="minorEastAsia"/>
          <w:b/>
          <w:bCs w:val="0"/>
          <w:sz w:val="24"/>
          <w:szCs w:val="24"/>
        </w:rPr>
        <w:t>、</w:t>
      </w:r>
      <w:r>
        <w:rPr>
          <w:rFonts w:hint="eastAsia" w:asciiTheme="minorEastAsia" w:hAnsiTheme="minorEastAsia" w:eastAsiaTheme="minorEastAsia" w:cstheme="minorEastAsia"/>
          <w:b/>
          <w:bCs w:val="0"/>
          <w:color w:val="000000"/>
          <w:sz w:val="24"/>
          <w:szCs w:val="24"/>
        </w:rPr>
        <w:t>商务磋商响应文件</w:t>
      </w:r>
      <w:r>
        <w:rPr>
          <w:rFonts w:hint="eastAsia" w:asciiTheme="minorEastAsia" w:hAnsiTheme="minorEastAsia" w:eastAsiaTheme="minorEastAsia" w:cstheme="minorEastAsia"/>
          <w:b/>
          <w:bCs w:val="0"/>
          <w:sz w:val="24"/>
          <w:szCs w:val="24"/>
          <w:lang w:val="en-US" w:eastAsia="zh-CN"/>
        </w:rPr>
        <w:t>三</w:t>
      </w:r>
      <w:r>
        <w:rPr>
          <w:rFonts w:hint="eastAsia" w:asciiTheme="minorEastAsia" w:hAnsiTheme="minorEastAsia" w:eastAsiaTheme="minorEastAsia" w:cstheme="minorEastAsia"/>
          <w:b/>
          <w:bCs w:val="0"/>
          <w:sz w:val="24"/>
          <w:szCs w:val="24"/>
        </w:rPr>
        <w:t>部分组成。</w:t>
      </w:r>
    </w:p>
    <w:p>
      <w:pPr>
        <w:keepNext w:val="0"/>
        <w:keepLines w:val="0"/>
        <w:pageBreakBefore w:val="0"/>
        <w:numPr>
          <w:ilvl w:val="0"/>
          <w:numId w:val="4"/>
        </w:numPr>
        <w:kinsoku/>
        <w:wordWrap/>
        <w:overflowPunct/>
        <w:topLinePunct w:val="0"/>
        <w:autoSpaceDE/>
        <w:autoSpaceDN/>
        <w:bidi w:val="0"/>
        <w:adjustRightInd/>
        <w:snapToGrid w:val="0"/>
        <w:spacing w:line="360" w:lineRule="auto"/>
        <w:ind w:left="0" w:leftChars="0" w:firstLine="555" w:firstLineChars="0"/>
        <w:jc w:val="left"/>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bCs w:val="0"/>
          <w:color w:val="000000"/>
          <w:sz w:val="24"/>
          <w:szCs w:val="24"/>
        </w:rPr>
        <w:t>资格后审材料文件</w:t>
      </w:r>
      <w:r>
        <w:rPr>
          <w:rFonts w:hint="eastAsia" w:asciiTheme="minorEastAsia" w:hAnsiTheme="minorEastAsia" w:eastAsiaTheme="minorEastAsia" w:cstheme="minorEastAsia"/>
          <w:b/>
          <w:bCs w:val="0"/>
          <w:color w:val="000000"/>
          <w:sz w:val="24"/>
          <w:szCs w:val="24"/>
          <w:lang w:eastAsia="zh-CN"/>
        </w:rPr>
        <w:t>（</w:t>
      </w:r>
      <w:r>
        <w:rPr>
          <w:rFonts w:hint="eastAsia" w:asciiTheme="minorEastAsia" w:hAnsiTheme="minorEastAsia" w:eastAsiaTheme="minorEastAsia" w:cstheme="minorEastAsia"/>
          <w:b/>
          <w:sz w:val="24"/>
          <w:szCs w:val="24"/>
        </w:rPr>
        <w:t>正本一份、副本二份，单独密封</w:t>
      </w:r>
      <w:r>
        <w:rPr>
          <w:rFonts w:hint="eastAsia" w:asciiTheme="minorEastAsia" w:hAnsiTheme="minorEastAsia" w:eastAsiaTheme="minorEastAsia" w:cstheme="minorEastAsia"/>
          <w:bCs/>
          <w:color w:val="000000"/>
          <w:sz w:val="24"/>
          <w:szCs w:val="24"/>
          <w:lang w:eastAsia="zh-CN"/>
        </w:rPr>
        <w:t>）</w:t>
      </w:r>
      <w:r>
        <w:rPr>
          <w:rFonts w:hint="eastAsia" w:asciiTheme="minorEastAsia" w:hAnsiTheme="minorEastAsia" w:eastAsiaTheme="minorEastAsia" w:cstheme="minorEastAsia"/>
          <w:b/>
          <w:sz w:val="24"/>
          <w:szCs w:val="24"/>
        </w:rPr>
        <w:t>：</w:t>
      </w:r>
    </w:p>
    <w:p>
      <w:pPr>
        <w:keepNext w:val="0"/>
        <w:keepLines w:val="0"/>
        <w:pageBreakBefore w:val="0"/>
        <w:numPr>
          <w:ilvl w:val="0"/>
          <w:numId w:val="5"/>
        </w:numPr>
        <w:kinsoku/>
        <w:wordWrap/>
        <w:overflowPunct/>
        <w:topLinePunct w:val="0"/>
        <w:autoSpaceDE/>
        <w:autoSpaceDN/>
        <w:bidi w:val="0"/>
        <w:adjustRightInd/>
        <w:snapToGrid w:val="0"/>
        <w:spacing w:line="360" w:lineRule="auto"/>
        <w:ind w:left="555" w:leftChars="0"/>
        <w:jc w:val="left"/>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供应商关于资格的声明函；</w:t>
      </w:r>
    </w:p>
    <w:p>
      <w:pPr>
        <w:keepNext w:val="0"/>
        <w:keepLines w:val="0"/>
        <w:pageBreakBefore w:val="0"/>
        <w:numPr>
          <w:ilvl w:val="0"/>
          <w:numId w:val="5"/>
        </w:numPr>
        <w:kinsoku/>
        <w:wordWrap/>
        <w:overflowPunct/>
        <w:topLinePunct w:val="0"/>
        <w:autoSpaceDE/>
        <w:autoSpaceDN/>
        <w:bidi w:val="0"/>
        <w:adjustRightInd/>
        <w:snapToGrid w:val="0"/>
        <w:spacing w:line="360" w:lineRule="auto"/>
        <w:ind w:left="555" w:leftChars="0" w:firstLine="0" w:firstLineChars="0"/>
        <w:jc w:val="left"/>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rPr>
        <w:t>法定代表人身份证明书（提供复印件并加盖公章）；</w:t>
      </w:r>
    </w:p>
    <w:p>
      <w:pPr>
        <w:keepNext w:val="0"/>
        <w:keepLines w:val="0"/>
        <w:pageBreakBefore w:val="0"/>
        <w:numPr>
          <w:ilvl w:val="0"/>
          <w:numId w:val="5"/>
        </w:numPr>
        <w:kinsoku/>
        <w:wordWrap/>
        <w:overflowPunct/>
        <w:topLinePunct w:val="0"/>
        <w:autoSpaceDE/>
        <w:autoSpaceDN/>
        <w:bidi w:val="0"/>
        <w:adjustRightInd/>
        <w:snapToGrid w:val="0"/>
        <w:spacing w:line="360" w:lineRule="auto"/>
        <w:ind w:left="555" w:leftChars="0" w:firstLine="0" w:firstLineChars="0"/>
        <w:jc w:val="left"/>
        <w:textAlignment w:val="auto"/>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sz w:val="24"/>
          <w:szCs w:val="24"/>
          <w:highlight w:val="none"/>
          <w:lang w:val="zh-CN"/>
        </w:rPr>
        <w:t>法定代表人授权委托书原件，投标代表本人身份证复印件；</w:t>
      </w:r>
    </w:p>
    <w:p>
      <w:pPr>
        <w:keepNext w:val="0"/>
        <w:keepLines w:val="0"/>
        <w:pageBreakBefore w:val="0"/>
        <w:numPr>
          <w:ilvl w:val="0"/>
          <w:numId w:val="5"/>
        </w:numPr>
        <w:kinsoku/>
        <w:wordWrap/>
        <w:overflowPunct/>
        <w:topLinePunct w:val="0"/>
        <w:autoSpaceDE/>
        <w:autoSpaceDN/>
        <w:bidi w:val="0"/>
        <w:adjustRightInd/>
        <w:snapToGrid w:val="0"/>
        <w:spacing w:line="360" w:lineRule="auto"/>
        <w:ind w:left="555" w:leftChars="0" w:firstLine="0" w:firstLineChars="0"/>
        <w:jc w:val="left"/>
        <w:textAlignment w:val="auto"/>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提供磋商公告第五条资格要求中的相应的佐证材料（提供复印件并加盖公章）</w:t>
      </w:r>
      <w:r>
        <w:rPr>
          <w:rFonts w:hint="eastAsia" w:asciiTheme="minorEastAsia" w:hAnsiTheme="minorEastAsia" w:eastAsiaTheme="minorEastAsia" w:cstheme="minorEastAsia"/>
          <w:sz w:val="24"/>
          <w:szCs w:val="24"/>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555" w:left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.1营业执照副本；</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555" w:left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4</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参加政府采购活动前3年内在经营活动中没有重大违法记录的</w:t>
      </w:r>
      <w:r>
        <w:rPr>
          <w:rFonts w:hint="eastAsia" w:asciiTheme="minorEastAsia" w:hAnsiTheme="minorEastAsia" w:eastAsiaTheme="minorEastAsia" w:cstheme="minorEastAsia"/>
          <w:sz w:val="24"/>
          <w:szCs w:val="24"/>
          <w:highlight w:val="none"/>
          <w:lang w:val="en-US" w:eastAsia="zh-CN"/>
        </w:rPr>
        <w:t>书面声明</w:t>
      </w:r>
      <w:r>
        <w:rPr>
          <w:rFonts w:hint="eastAsia" w:asciiTheme="minorEastAsia" w:hAnsiTheme="minorEastAsia" w:eastAsiaTheme="minorEastAsia" w:cstheme="minorEastAsia"/>
          <w:sz w:val="24"/>
          <w:szCs w:val="24"/>
          <w:highlight w:val="none"/>
        </w:rPr>
        <w:t>；</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555" w:leftChars="0"/>
        <w:jc w:val="left"/>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4.</w:t>
      </w: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供应商根据磋商公告认为需要提交的其他资料。</w:t>
      </w:r>
    </w:p>
    <w:p>
      <w:pPr>
        <w:keepNext w:val="0"/>
        <w:keepLines w:val="0"/>
        <w:pageBreakBefore w:val="0"/>
        <w:widowControl w:val="0"/>
        <w:kinsoku/>
        <w:wordWrap/>
        <w:overflowPunct/>
        <w:topLinePunct w:val="0"/>
        <w:autoSpaceDE/>
        <w:autoSpaceDN/>
        <w:bidi w:val="0"/>
        <w:adjustRightInd/>
        <w:snapToGrid w:val="0"/>
        <w:spacing w:line="360" w:lineRule="auto"/>
        <w:ind w:left="478" w:leftChars="184" w:firstLine="0" w:firstLineChars="0"/>
        <w:contextualSpacing/>
        <w:textAlignment w:val="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b/>
          <w:bCs w:val="0"/>
          <w:color w:val="000000"/>
          <w:sz w:val="24"/>
          <w:szCs w:val="24"/>
          <w:lang w:val="en-US" w:eastAsia="zh-CN"/>
        </w:rPr>
        <w:t>二、</w:t>
      </w:r>
      <w:r>
        <w:rPr>
          <w:rFonts w:hint="eastAsia" w:asciiTheme="minorEastAsia" w:hAnsiTheme="minorEastAsia" w:eastAsiaTheme="minorEastAsia" w:cstheme="minorEastAsia"/>
          <w:b/>
          <w:bCs w:val="0"/>
          <w:color w:val="000000"/>
          <w:sz w:val="24"/>
          <w:szCs w:val="24"/>
        </w:rPr>
        <w:t>技术磋商响应文件</w:t>
      </w:r>
      <w:r>
        <w:rPr>
          <w:rFonts w:hint="eastAsia" w:asciiTheme="minorEastAsia" w:hAnsiTheme="minorEastAsia" w:eastAsiaTheme="minorEastAsia" w:cstheme="minorEastAsia"/>
          <w:b/>
          <w:sz w:val="24"/>
          <w:szCs w:val="24"/>
          <w:highlight w:val="none"/>
        </w:rPr>
        <w:t>（正本一份、副本二份。不得出现报价。单独密封）：</w:t>
      </w:r>
      <w:r>
        <w:rPr>
          <w:rFonts w:hint="eastAsia" w:asciiTheme="minorEastAsia" w:hAnsiTheme="minorEastAsia" w:eastAsiaTheme="minorEastAsia" w:cstheme="minorEastAsia"/>
          <w:b/>
          <w:sz w:val="24"/>
          <w:szCs w:val="24"/>
          <w:highlight w:val="none"/>
          <w:lang w:val="en-US" w:eastAsia="zh-CN"/>
        </w:rPr>
        <w:t xml:space="preserve">                             </w:t>
      </w:r>
      <w:r>
        <w:rPr>
          <w:rFonts w:hint="eastAsia" w:asciiTheme="minorEastAsia" w:hAnsiTheme="minorEastAsia" w:eastAsiaTheme="minorEastAsia" w:cstheme="minorEastAsia"/>
          <w:kern w:val="0"/>
          <w:sz w:val="24"/>
          <w:szCs w:val="24"/>
          <w:highlight w:val="none"/>
          <w:lang w:val="en-US" w:eastAsia="zh-CN"/>
        </w:rPr>
        <w:t>1、竞争性磋商响应函；</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2、产品技术响应文件：</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（1）对本次竞标产品的技术参数、详细描述和技术定位的说明（格式自定）：可根据本标书第三章“项目需求”提供的主要技术规范，配置要求和投标产品标准，</w:t>
      </w:r>
      <w:r>
        <w:rPr>
          <w:rFonts w:hint="eastAsia" w:asciiTheme="minorEastAsia" w:hAnsiTheme="minorEastAsia" w:eastAsiaTheme="minorEastAsia" w:cstheme="minorEastAsia"/>
          <w:sz w:val="24"/>
          <w:szCs w:val="24"/>
          <w:highlight w:val="none"/>
        </w:rPr>
        <w:t>结合第四章评审方法内的评审细则编写提供详细的</w:t>
      </w:r>
      <w:r>
        <w:rPr>
          <w:rFonts w:hint="eastAsia" w:asciiTheme="minorEastAsia" w:hAnsiTheme="minorEastAsia" w:eastAsiaTheme="minorEastAsia" w:cstheme="minorEastAsia"/>
          <w:sz w:val="24"/>
          <w:szCs w:val="24"/>
          <w:highlight w:val="none"/>
          <w:lang w:val="en-US" w:eastAsia="zh-CN"/>
        </w:rPr>
        <w:t>投标</w:t>
      </w:r>
      <w:r>
        <w:rPr>
          <w:rFonts w:hint="eastAsia" w:asciiTheme="minorEastAsia" w:hAnsiTheme="minorEastAsia" w:eastAsiaTheme="minorEastAsia" w:cstheme="minorEastAsia"/>
          <w:sz w:val="24"/>
          <w:szCs w:val="24"/>
          <w:highlight w:val="none"/>
        </w:rPr>
        <w:t>产品</w:t>
      </w:r>
      <w:r>
        <w:rPr>
          <w:rFonts w:hint="eastAsia" w:asciiTheme="minorEastAsia" w:hAnsiTheme="minorEastAsia" w:eastAsiaTheme="minorEastAsia" w:cstheme="minorEastAsia"/>
          <w:sz w:val="24"/>
          <w:szCs w:val="24"/>
          <w:highlight w:val="none"/>
          <w:lang w:val="en-US" w:eastAsia="zh-CN"/>
        </w:rPr>
        <w:t>设计方案</w:t>
      </w:r>
      <w:r>
        <w:rPr>
          <w:rFonts w:hint="eastAsia" w:asciiTheme="minorEastAsia" w:hAnsiTheme="minorEastAsia" w:eastAsiaTheme="minorEastAsia" w:cstheme="minorEastAsia"/>
          <w:sz w:val="24"/>
          <w:szCs w:val="24"/>
          <w:highlight w:val="none"/>
        </w:rPr>
        <w:t>，独有的技术介绍等以及应提供的资料明细、样品图片等。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（2）对本次项目响应的详细说明，与项目需求一致，提供竞标产品交货期、付款方式等。</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3.技术条款响应正负偏离表：</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 xml:space="preserve">（1）供应商必须满足磋商文件中针对产品设备提出的全部技术规格与要求，逐一逐条响应填写《技术条款响应正负偏离表》； </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（2）供应商提供的货物和服务与采购人提出的项目需求说明中的技术要求不同，必须在逐一逐条填写响应的《技术条款响应正负偏离表》上明示偏离的部分。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kern w:val="0"/>
          <w:sz w:val="24"/>
          <w:szCs w:val="24"/>
          <w:highlight w:val="none"/>
          <w:lang w:val="en-US" w:eastAsia="zh-CN"/>
        </w:rPr>
        <w:t>4、根据第四章综合评分评审因素中得分点的要求提供的其它材料（包含但不限于企业资质、业绩、信誉、</w:t>
      </w:r>
      <w:r>
        <w:rPr>
          <w:rFonts w:hint="eastAsia" w:asciiTheme="minorEastAsia" w:hAnsiTheme="minorEastAsia" w:eastAsiaTheme="minorEastAsia" w:cstheme="minorEastAsia"/>
          <w:sz w:val="24"/>
          <w:szCs w:val="24"/>
          <w:highlight w:val="none"/>
        </w:rPr>
        <w:t>设计团队人员</w:t>
      </w:r>
      <w:r>
        <w:rPr>
          <w:rFonts w:hint="eastAsia" w:asciiTheme="minorEastAsia" w:hAnsiTheme="minorEastAsia" w:eastAsiaTheme="minorEastAsia" w:cstheme="minorEastAsia"/>
          <w:kern w:val="0"/>
          <w:sz w:val="24"/>
          <w:szCs w:val="24"/>
          <w:highlight w:val="none"/>
          <w:lang w:val="en-US" w:eastAsia="zh-CN"/>
        </w:rPr>
        <w:t>、经验等）。</w:t>
      </w:r>
    </w:p>
    <w:p>
      <w:pPr>
        <w:pStyle w:val="16"/>
        <w:keepNext w:val="0"/>
        <w:keepLines w:val="0"/>
        <w:pageBreakBefore w:val="0"/>
        <w:kinsoku/>
        <w:wordWrap/>
        <w:overflowPunct/>
        <w:topLinePunct w:val="0"/>
        <w:autoSpaceDE/>
        <w:autoSpaceDN/>
        <w:bidi w:val="0"/>
        <w:adjustRightInd/>
        <w:snapToGrid w:val="0"/>
        <w:spacing w:line="360" w:lineRule="auto"/>
        <w:ind w:firstLine="482" w:firstLineChars="200"/>
        <w:contextualSpacing/>
        <w:textAlignment w:val="auto"/>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填制正负偏离表，完全响应的，请以空白表列示。不完全响应的，必须在偏离表中列示；列示不全的，视同故意隐瞒。</w:t>
      </w:r>
    </w:p>
    <w:p>
      <w:pPr>
        <w:pStyle w:val="16"/>
        <w:keepNext w:val="0"/>
        <w:keepLines w:val="0"/>
        <w:pageBreakBefore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en-US" w:eastAsia="zh-CN"/>
        </w:rPr>
        <w:t>5</w:t>
      </w:r>
      <w:r>
        <w:rPr>
          <w:rFonts w:hint="eastAsia" w:asciiTheme="minorEastAsia" w:hAnsiTheme="minorEastAsia" w:eastAsiaTheme="minorEastAsia" w:cstheme="minorEastAsia"/>
          <w:kern w:val="0"/>
          <w:sz w:val="24"/>
          <w:szCs w:val="24"/>
          <w:highlight w:val="none"/>
          <w:lang w:val="zh-CN"/>
        </w:rPr>
        <w:t>、技术部分评标办法中要求提供的全部资料。</w:t>
      </w:r>
    </w:p>
    <w:p>
      <w:pPr>
        <w:pStyle w:val="16"/>
        <w:keepNext w:val="0"/>
        <w:keepLines w:val="0"/>
        <w:pageBreakBefore w:val="0"/>
        <w:kinsoku/>
        <w:wordWrap/>
        <w:overflowPunct/>
        <w:topLinePunct w:val="0"/>
        <w:autoSpaceDE/>
        <w:autoSpaceDN/>
        <w:bidi w:val="0"/>
        <w:adjustRightInd/>
        <w:snapToGrid w:val="0"/>
        <w:spacing w:line="360" w:lineRule="auto"/>
        <w:ind w:firstLine="480" w:firstLineChars="200"/>
        <w:contextualSpacing/>
        <w:textAlignment w:val="auto"/>
        <w:rPr>
          <w:rFonts w:hint="eastAsia" w:asciiTheme="minorEastAsia" w:hAnsiTheme="minorEastAsia" w:eastAsiaTheme="minorEastAsia" w:cstheme="minorEastAsia"/>
          <w:kern w:val="0"/>
          <w:sz w:val="24"/>
          <w:szCs w:val="24"/>
          <w:highlight w:val="none"/>
          <w:lang w:val="zh-CN"/>
        </w:rPr>
      </w:pPr>
      <w:r>
        <w:rPr>
          <w:rFonts w:hint="eastAsia" w:asciiTheme="minorEastAsia" w:hAnsiTheme="minorEastAsia" w:eastAsiaTheme="minorEastAsia" w:cstheme="minorEastAsia"/>
          <w:kern w:val="0"/>
          <w:sz w:val="24"/>
          <w:szCs w:val="24"/>
          <w:highlight w:val="none"/>
          <w:lang w:val="en-US" w:eastAsia="zh-CN"/>
        </w:rPr>
        <w:t>6</w:t>
      </w:r>
      <w:r>
        <w:rPr>
          <w:rFonts w:hint="eastAsia" w:asciiTheme="minorEastAsia" w:hAnsiTheme="minorEastAsia" w:eastAsiaTheme="minorEastAsia" w:cstheme="minorEastAsia"/>
          <w:kern w:val="0"/>
          <w:sz w:val="24"/>
          <w:szCs w:val="24"/>
          <w:highlight w:val="none"/>
          <w:lang w:val="zh-CN"/>
        </w:rPr>
        <w:t>、供应商认为需要提交的其他资料。</w:t>
      </w:r>
    </w:p>
    <w:p>
      <w:pPr>
        <w:pStyle w:val="16"/>
        <w:keepNext w:val="0"/>
        <w:keepLines w:val="0"/>
        <w:pageBreakBefore w:val="0"/>
        <w:kinsoku/>
        <w:wordWrap/>
        <w:overflowPunct/>
        <w:topLinePunct w:val="0"/>
        <w:autoSpaceDE/>
        <w:autoSpaceDN/>
        <w:bidi w:val="0"/>
        <w:adjustRightInd/>
        <w:snapToGrid w:val="0"/>
        <w:spacing w:line="360" w:lineRule="auto"/>
        <w:ind w:firstLine="482" w:firstLineChars="200"/>
        <w:contextualSpacing/>
        <w:textAlignment w:val="auto"/>
        <w:rPr>
          <w:rFonts w:hint="eastAsia"/>
        </w:rPr>
      </w:pPr>
      <w:r>
        <w:rPr>
          <w:rFonts w:hint="eastAsia" w:asciiTheme="minorEastAsia" w:hAnsiTheme="minorEastAsia" w:eastAsiaTheme="minorEastAsia" w:cstheme="minorEastAsia"/>
          <w:b/>
          <w:sz w:val="24"/>
          <w:szCs w:val="24"/>
          <w:highlight w:val="none"/>
          <w:lang w:val="en-US" w:eastAsia="zh-CN"/>
        </w:rPr>
        <w:t>三</w:t>
      </w:r>
      <w:r>
        <w:rPr>
          <w:rFonts w:hint="eastAsia" w:asciiTheme="minorEastAsia" w:hAnsiTheme="minorEastAsia" w:eastAsiaTheme="minorEastAsia" w:cstheme="minorEastAsia"/>
          <w:b/>
          <w:sz w:val="24"/>
          <w:szCs w:val="24"/>
          <w:highlight w:val="none"/>
        </w:rPr>
        <w:t>、</w:t>
      </w:r>
      <w:r>
        <w:rPr>
          <w:rFonts w:hint="eastAsia" w:asciiTheme="minorEastAsia" w:hAnsiTheme="minorEastAsia" w:eastAsiaTheme="minorEastAsia" w:cstheme="minorEastAsia"/>
          <w:b/>
          <w:bCs w:val="0"/>
          <w:color w:val="000000"/>
          <w:sz w:val="24"/>
          <w:szCs w:val="24"/>
        </w:rPr>
        <w:t>商务磋商响应文件</w:t>
      </w:r>
      <w:r>
        <w:rPr>
          <w:rFonts w:hint="eastAsia" w:asciiTheme="minorEastAsia" w:hAnsiTheme="minorEastAsia" w:eastAsiaTheme="minorEastAsia" w:cstheme="minorEastAsia"/>
          <w:b/>
          <w:sz w:val="24"/>
          <w:szCs w:val="24"/>
          <w:highlight w:val="none"/>
        </w:rPr>
        <w:t>(一式二份，单独密封，不得出现在技术商务响应文件部分)：</w:t>
      </w:r>
    </w:p>
    <w:p>
      <w:pPr>
        <w:pStyle w:val="16"/>
        <w:keepNext w:val="0"/>
        <w:keepLines w:val="0"/>
        <w:pageBreakBefore w:val="0"/>
        <w:kinsoku/>
        <w:wordWrap/>
        <w:overflowPunct/>
        <w:topLinePunct w:val="0"/>
        <w:autoSpaceDE/>
        <w:autoSpaceDN/>
        <w:bidi w:val="0"/>
        <w:adjustRightInd/>
        <w:snapToGrid w:val="0"/>
        <w:spacing w:line="360" w:lineRule="auto"/>
        <w:ind w:left="549"/>
        <w:contextualSpacing/>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1、磋商响应报价(首次)表；</w:t>
      </w:r>
    </w:p>
    <w:p>
      <w:pPr>
        <w:pStyle w:val="16"/>
        <w:keepNext w:val="0"/>
        <w:keepLines w:val="0"/>
        <w:pageBreakBefore w:val="0"/>
        <w:kinsoku/>
        <w:wordWrap/>
        <w:overflowPunct/>
        <w:topLinePunct w:val="0"/>
        <w:autoSpaceDE/>
        <w:autoSpaceDN/>
        <w:bidi w:val="0"/>
        <w:adjustRightInd/>
        <w:snapToGrid w:val="0"/>
        <w:spacing w:line="360" w:lineRule="auto"/>
        <w:ind w:left="549"/>
        <w:contextualSpacing/>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highlight w:val="none"/>
        </w:rPr>
        <w:t>2、磋商响应报价明细表(按供货清单拓展编辑)。</w:t>
      </w:r>
    </w:p>
    <w:p>
      <w:pPr>
        <w:pStyle w:val="16"/>
        <w:keepNext w:val="0"/>
        <w:keepLines w:val="0"/>
        <w:pageBreakBefore w:val="0"/>
        <w:kinsoku/>
        <w:wordWrap/>
        <w:overflowPunct/>
        <w:topLinePunct w:val="0"/>
        <w:autoSpaceDE/>
        <w:autoSpaceDN/>
        <w:bidi w:val="0"/>
        <w:adjustRightInd/>
        <w:snapToGrid w:val="0"/>
        <w:spacing w:line="360" w:lineRule="auto"/>
        <w:ind w:firstLine="470" w:firstLineChars="196"/>
        <w:contextualSpacing/>
        <w:textAlignment w:val="auto"/>
        <w:rPr>
          <w:rFonts w:hint="eastAsia" w:asciiTheme="minorEastAsia" w:hAnsiTheme="minorEastAsia" w:eastAsiaTheme="minorEastAsia" w:cstheme="minorEastAsia"/>
          <w:sz w:val="24"/>
          <w:szCs w:val="24"/>
        </w:rPr>
      </w:pPr>
    </w:p>
    <w:p>
      <w:pPr>
        <w:pStyle w:val="16"/>
        <w:keepNext w:val="0"/>
        <w:keepLines w:val="0"/>
        <w:pageBreakBefore w:val="0"/>
        <w:kinsoku/>
        <w:wordWrap/>
        <w:overflowPunct/>
        <w:topLinePunct w:val="0"/>
        <w:autoSpaceDE/>
        <w:autoSpaceDN/>
        <w:bidi w:val="0"/>
        <w:adjustRightInd/>
        <w:snapToGrid w:val="0"/>
        <w:spacing w:line="360" w:lineRule="auto"/>
        <w:ind w:firstLine="470" w:firstLineChars="196"/>
        <w:contextualSpacing/>
        <w:textAlignment w:val="auto"/>
        <w:rPr>
          <w:rFonts w:hint="eastAsia" w:ascii="Times New Roman" w:hAnsi="Times New Roman" w:cs="Times New Roman"/>
        </w:rPr>
      </w:pPr>
      <w:r>
        <w:rPr>
          <w:rFonts w:hint="eastAsia" w:ascii="Times New Roman" w:hAnsi="Times New Roman" w:cs="Times New Roman"/>
        </w:rPr>
        <w:t xml:space="preserve">    </w:t>
      </w:r>
    </w:p>
    <w:p>
      <w:pPr>
        <w:pStyle w:val="13"/>
        <w:rPr>
          <w:rFonts w:hint="eastAsia" w:asciiTheme="minorEastAsia" w:hAnsiTheme="minorEastAsia" w:eastAsiaTheme="minorEastAsia" w:cstheme="minorEastAsia"/>
        </w:rPr>
        <w:sectPr>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rPr>
        <w:t>为方便评委评审，请供应商按评标办法中所涉及的事项顺序进行编制，可以补充相关材料。</w:t>
      </w:r>
    </w:p>
    <w:p>
      <w:pPr>
        <w:adjustRightInd w:val="0"/>
        <w:snapToGrid w:val="0"/>
        <w:spacing w:line="420" w:lineRule="exact"/>
        <w:jc w:val="left"/>
        <w:outlineLvl w:val="1"/>
        <w:rPr>
          <w:rFonts w:hint="eastAsia" w:ascii="宋体" w:hAnsi="宋体" w:eastAsia="宋体"/>
          <w:b/>
          <w:bCs/>
          <w:sz w:val="24"/>
          <w:szCs w:val="24"/>
        </w:rPr>
      </w:pPr>
      <w:r>
        <w:rPr>
          <w:rFonts w:hint="eastAsia" w:ascii="宋体" w:hAnsi="宋体" w:eastAsia="宋体"/>
          <w:b/>
          <w:bCs/>
          <w:sz w:val="24"/>
          <w:szCs w:val="24"/>
        </w:rPr>
        <w:t>磋商响应文件封面范例</w:t>
      </w:r>
    </w:p>
    <w:p>
      <w:pPr>
        <w:spacing w:line="420" w:lineRule="exact"/>
        <w:jc w:val="center"/>
        <w:rPr>
          <w:rFonts w:ascii="宋体" w:hAnsi="宋体" w:eastAsia="宋体"/>
          <w:w w:val="80"/>
          <w:kern w:val="44"/>
          <w:sz w:val="24"/>
          <w:szCs w:val="24"/>
        </w:rPr>
      </w:pPr>
    </w:p>
    <w:p>
      <w:pPr>
        <w:keepNext w:val="0"/>
        <w:keepLines w:val="0"/>
        <w:pageBreakBefore w:val="0"/>
        <w:widowControl/>
        <w:kinsoku/>
        <w:wordWrap/>
        <w:overflowPunct/>
        <w:topLinePunct w:val="0"/>
        <w:autoSpaceDE/>
        <w:autoSpaceDN/>
        <w:bidi w:val="0"/>
        <w:adjustRightInd/>
        <w:snapToGrid/>
        <w:ind w:left="-520" w:leftChars="-200" w:right="-520" w:rightChars="-200"/>
        <w:jc w:val="center"/>
        <w:textAlignment w:val="auto"/>
        <w:rPr>
          <w:rFonts w:hint="eastAsia" w:ascii="宋体" w:hAnsi="宋体" w:eastAsia="宋体"/>
          <w:b/>
          <w:w w:val="80"/>
          <w:sz w:val="52"/>
          <w:szCs w:val="52"/>
        </w:rPr>
      </w:pPr>
      <w:bookmarkStart w:id="25" w:name="_Toc31800_WPSOffice_Level1"/>
      <w:bookmarkStart w:id="26" w:name="_Toc32408_WPSOffice_Level1"/>
      <w:r>
        <w:rPr>
          <w:rFonts w:hint="eastAsia" w:ascii="宋体" w:hAnsi="宋体" w:eastAsia="宋体"/>
          <w:b/>
          <w:w w:val="80"/>
          <w:sz w:val="52"/>
          <w:szCs w:val="52"/>
        </w:rPr>
        <w:t>南通市</w:t>
      </w:r>
      <w:r>
        <w:rPr>
          <w:rFonts w:hint="eastAsia" w:ascii="宋体" w:hAnsi="宋体" w:eastAsia="宋体"/>
          <w:b/>
          <w:w w:val="80"/>
          <w:sz w:val="52"/>
          <w:szCs w:val="52"/>
          <w:lang w:val="en-US" w:eastAsia="zh-CN"/>
        </w:rPr>
        <w:t>紫琅第一</w:t>
      </w:r>
      <w:r>
        <w:rPr>
          <w:rFonts w:hint="eastAsia" w:ascii="宋体" w:hAnsi="宋体" w:eastAsia="宋体"/>
          <w:b/>
          <w:w w:val="80"/>
          <w:sz w:val="52"/>
          <w:szCs w:val="52"/>
        </w:rPr>
        <w:t>小学</w:t>
      </w:r>
      <w:r>
        <w:rPr>
          <w:rFonts w:hint="eastAsia" w:ascii="宋体" w:hAnsi="宋体" w:eastAsia="宋体"/>
          <w:b/>
          <w:w w:val="80"/>
          <w:sz w:val="52"/>
          <w:szCs w:val="52"/>
          <w:lang w:val="en-US" w:eastAsia="zh-CN"/>
        </w:rPr>
        <w:t>校园LOGO设计和</w:t>
      </w:r>
      <w:r>
        <w:rPr>
          <w:rFonts w:hint="eastAsia" w:ascii="宋体" w:hAnsi="宋体" w:eastAsia="宋体"/>
          <w:b/>
          <w:w w:val="80"/>
          <w:sz w:val="52"/>
          <w:szCs w:val="52"/>
        </w:rPr>
        <w:t>VI视觉</w:t>
      </w:r>
      <w:r>
        <w:rPr>
          <w:rFonts w:hint="eastAsia" w:ascii="宋体" w:hAnsi="宋体" w:eastAsia="宋体"/>
          <w:b/>
          <w:w w:val="80"/>
          <w:sz w:val="52"/>
          <w:szCs w:val="52"/>
          <w:lang w:val="en-US" w:eastAsia="zh-CN"/>
        </w:rPr>
        <w:t>识别系统设计</w:t>
      </w:r>
      <w:r>
        <w:rPr>
          <w:rFonts w:hint="eastAsia" w:ascii="宋体" w:hAnsi="宋体" w:eastAsia="宋体"/>
          <w:b/>
          <w:w w:val="80"/>
          <w:sz w:val="52"/>
          <w:szCs w:val="52"/>
        </w:rPr>
        <w:t>项目</w:t>
      </w:r>
      <w:bookmarkEnd w:id="25"/>
      <w:bookmarkEnd w:id="26"/>
    </w:p>
    <w:p>
      <w:pPr>
        <w:spacing w:line="420" w:lineRule="exact"/>
        <w:jc w:val="center"/>
        <w:rPr>
          <w:rFonts w:hint="eastAsia" w:ascii="宋体" w:hAnsi="宋体" w:eastAsia="宋体"/>
          <w:w w:val="80"/>
          <w:kern w:val="44"/>
          <w:sz w:val="24"/>
          <w:szCs w:val="24"/>
        </w:rPr>
      </w:pPr>
    </w:p>
    <w:p>
      <w:pPr>
        <w:spacing w:line="520" w:lineRule="exact"/>
        <w:jc w:val="center"/>
        <w:rPr>
          <w:rFonts w:hint="eastAsia" w:ascii="宋体" w:hAnsi="宋体" w:eastAsia="宋体"/>
          <w:sz w:val="36"/>
          <w:szCs w:val="36"/>
        </w:rPr>
      </w:pPr>
    </w:p>
    <w:p>
      <w:pPr>
        <w:spacing w:line="520" w:lineRule="exact"/>
        <w:jc w:val="center"/>
        <w:rPr>
          <w:rFonts w:hint="eastAsia" w:ascii="宋体" w:hAnsi="宋体" w:eastAsia="宋体"/>
          <w:sz w:val="36"/>
          <w:szCs w:val="36"/>
        </w:rPr>
      </w:pPr>
    </w:p>
    <w:p>
      <w:pPr>
        <w:spacing w:line="520" w:lineRule="exact"/>
        <w:jc w:val="center"/>
        <w:rPr>
          <w:rFonts w:hint="eastAsia" w:ascii="宋体" w:hAnsi="宋体" w:eastAsia="宋体"/>
          <w:sz w:val="36"/>
          <w:szCs w:val="36"/>
        </w:rPr>
      </w:pPr>
    </w:p>
    <w:p>
      <w:pPr>
        <w:spacing w:line="520" w:lineRule="exact"/>
        <w:jc w:val="center"/>
        <w:rPr>
          <w:rFonts w:hint="eastAsia" w:ascii="宋体" w:hAnsi="宋体" w:eastAsia="宋体"/>
          <w:sz w:val="36"/>
          <w:szCs w:val="36"/>
        </w:rPr>
      </w:pPr>
    </w:p>
    <w:p>
      <w:pPr>
        <w:spacing w:line="520" w:lineRule="exact"/>
        <w:jc w:val="center"/>
        <w:rPr>
          <w:rFonts w:hint="eastAsia" w:ascii="宋体" w:hAnsi="宋体" w:eastAsia="宋体"/>
          <w:sz w:val="36"/>
          <w:szCs w:val="36"/>
        </w:rPr>
      </w:pPr>
      <w:bookmarkStart w:id="27" w:name="_Toc9625_WPSOffice_Level1"/>
      <w:bookmarkStart w:id="28" w:name="_Toc8382_WPSOffice_Level1"/>
      <w:r>
        <w:rPr>
          <w:rFonts w:hint="eastAsia" w:ascii="宋体" w:hAnsi="宋体" w:eastAsia="宋体"/>
          <w:b/>
          <w:bCs/>
          <w:sz w:val="36"/>
          <w:szCs w:val="36"/>
        </w:rPr>
        <w:t>竞争性磋商响应文件</w:t>
      </w:r>
      <w:bookmarkEnd w:id="27"/>
      <w:bookmarkEnd w:id="28"/>
    </w:p>
    <w:p>
      <w:pPr>
        <w:pStyle w:val="13"/>
      </w:pPr>
    </w:p>
    <w:p>
      <w:pPr>
        <w:spacing w:line="420" w:lineRule="exact"/>
        <w:jc w:val="center"/>
        <w:rPr>
          <w:rFonts w:ascii="宋体" w:hAnsi="宋体" w:eastAsia="宋体"/>
          <w:b/>
          <w:sz w:val="24"/>
          <w:szCs w:val="24"/>
        </w:rPr>
      </w:pPr>
    </w:p>
    <w:p>
      <w:pPr>
        <w:spacing w:line="420" w:lineRule="exact"/>
        <w:ind w:firstLine="1920" w:firstLineChars="800"/>
        <w:rPr>
          <w:rFonts w:ascii="宋体" w:hAnsi="宋体" w:eastAsia="宋体"/>
          <w:sz w:val="24"/>
          <w:szCs w:val="24"/>
        </w:rPr>
      </w:pPr>
      <w:r>
        <w:rPr>
          <w:rFonts w:hint="eastAsia" w:ascii="宋体" w:hAnsi="宋体" w:eastAsia="宋体"/>
          <w:sz w:val="24"/>
          <w:szCs w:val="24"/>
        </w:rPr>
        <w:t>对应磋商响应文件，相应填写</w:t>
      </w:r>
      <w:r>
        <w:rPr>
          <w:rFonts w:ascii="宋体" w:hAnsi="宋体" w:eastAsia="宋体"/>
          <w:sz w:val="24"/>
          <w:szCs w:val="24"/>
        </w:rPr>
        <w:t xml:space="preserve">： </w:t>
      </w:r>
      <w:bookmarkStart w:id="29" w:name="_Toc15895_WPSOffice_Level1"/>
      <w:bookmarkStart w:id="30" w:name="_Toc13531_WPSOffice_Level1"/>
      <w:r>
        <w:rPr>
          <w:rFonts w:hint="eastAsia" w:ascii="宋体" w:hAnsi="宋体" w:eastAsia="宋体"/>
          <w:sz w:val="24"/>
          <w:szCs w:val="24"/>
          <w:lang w:val="en-US" w:eastAsia="zh-CN"/>
        </w:rPr>
        <w:t>A</w:t>
      </w:r>
      <w:r>
        <w:rPr>
          <w:rFonts w:ascii="宋体" w:hAnsi="宋体" w:eastAsia="宋体"/>
          <w:sz w:val="24"/>
          <w:szCs w:val="24"/>
        </w:rPr>
        <w:t>.资格后审材料文件</w:t>
      </w:r>
      <w:bookmarkEnd w:id="29"/>
      <w:bookmarkEnd w:id="30"/>
    </w:p>
    <w:p>
      <w:pPr>
        <w:spacing w:line="420" w:lineRule="exact"/>
        <w:ind w:firstLine="5438" w:firstLineChars="2266"/>
        <w:jc w:val="left"/>
        <w:rPr>
          <w:rFonts w:ascii="宋体" w:hAnsi="宋体" w:eastAsia="宋体"/>
          <w:sz w:val="24"/>
          <w:szCs w:val="24"/>
        </w:rPr>
      </w:pPr>
      <w:bookmarkStart w:id="31" w:name="_Toc14707_WPSOffice_Level1"/>
      <w:bookmarkStart w:id="32" w:name="_Toc10620_WPSOffice_Level1"/>
      <w:r>
        <w:rPr>
          <w:rFonts w:hint="eastAsia" w:ascii="宋体" w:hAnsi="宋体" w:eastAsia="宋体"/>
          <w:sz w:val="24"/>
          <w:szCs w:val="24"/>
          <w:lang w:val="en-US" w:eastAsia="zh-CN"/>
        </w:rPr>
        <w:t>B</w:t>
      </w:r>
      <w:r>
        <w:rPr>
          <w:rFonts w:ascii="宋体" w:hAnsi="宋体" w:eastAsia="宋体"/>
          <w:sz w:val="24"/>
          <w:szCs w:val="24"/>
        </w:rPr>
        <w:t>.技术磋商响应文件</w:t>
      </w:r>
      <w:bookmarkEnd w:id="31"/>
      <w:bookmarkEnd w:id="32"/>
    </w:p>
    <w:p>
      <w:pPr>
        <w:spacing w:line="420" w:lineRule="exact"/>
        <w:ind w:firstLine="5438" w:firstLineChars="2266"/>
        <w:jc w:val="left"/>
        <w:rPr>
          <w:rFonts w:ascii="宋体" w:hAnsi="宋体" w:eastAsia="宋体"/>
          <w:sz w:val="24"/>
          <w:szCs w:val="24"/>
        </w:rPr>
      </w:pPr>
      <w:bookmarkStart w:id="33" w:name="_Toc12403_WPSOffice_Level1"/>
      <w:bookmarkStart w:id="34" w:name="_Toc5889_WPSOffice_Level1"/>
      <w:r>
        <w:rPr>
          <w:rFonts w:hint="eastAsia" w:ascii="宋体" w:hAnsi="宋体" w:eastAsia="宋体"/>
          <w:sz w:val="24"/>
          <w:szCs w:val="24"/>
          <w:lang w:val="en-US" w:eastAsia="zh-CN"/>
        </w:rPr>
        <w:t>C</w:t>
      </w:r>
      <w:r>
        <w:rPr>
          <w:rFonts w:ascii="宋体" w:hAnsi="宋体" w:eastAsia="宋体"/>
          <w:sz w:val="24"/>
          <w:szCs w:val="24"/>
        </w:rPr>
        <w:t>.商务磋商响应文件</w:t>
      </w:r>
      <w:bookmarkEnd w:id="33"/>
      <w:bookmarkEnd w:id="34"/>
    </w:p>
    <w:p>
      <w:pPr>
        <w:spacing w:line="420" w:lineRule="exact"/>
        <w:ind w:firstLine="5438" w:firstLineChars="2266"/>
        <w:jc w:val="left"/>
        <w:rPr>
          <w:rFonts w:ascii="宋体" w:hAnsi="宋体" w:eastAsia="宋体"/>
          <w:sz w:val="24"/>
          <w:szCs w:val="24"/>
        </w:rPr>
      </w:pPr>
    </w:p>
    <w:p>
      <w:pPr>
        <w:spacing w:line="420" w:lineRule="exact"/>
        <w:ind w:firstLine="5438" w:firstLineChars="2266"/>
        <w:jc w:val="left"/>
        <w:rPr>
          <w:rFonts w:hint="eastAsia" w:ascii="宋体" w:hAnsi="宋体" w:eastAsia="宋体"/>
          <w:sz w:val="24"/>
          <w:szCs w:val="24"/>
        </w:rPr>
      </w:pPr>
    </w:p>
    <w:p>
      <w:pPr>
        <w:spacing w:line="420" w:lineRule="exact"/>
        <w:jc w:val="center"/>
        <w:rPr>
          <w:rFonts w:hint="eastAsia" w:ascii="宋体" w:hAnsi="宋体" w:eastAsia="宋体"/>
          <w:b/>
          <w:sz w:val="24"/>
          <w:szCs w:val="24"/>
        </w:rPr>
      </w:pPr>
      <w:bookmarkStart w:id="35" w:name="_Toc17868_WPSOffice_Level1"/>
      <w:bookmarkStart w:id="36" w:name="_Toc29956_WPSOffice_Level1"/>
      <w:r>
        <w:rPr>
          <w:rFonts w:hint="eastAsia" w:ascii="宋体" w:hAnsi="宋体" w:eastAsia="宋体"/>
          <w:b/>
          <w:sz w:val="24"/>
          <w:szCs w:val="24"/>
        </w:rPr>
        <w:t>（资格后审）</w:t>
      </w:r>
      <w:bookmarkEnd w:id="35"/>
      <w:bookmarkEnd w:id="36"/>
    </w:p>
    <w:p>
      <w:pPr>
        <w:adjustRightInd w:val="0"/>
        <w:snapToGrid w:val="0"/>
        <w:spacing w:line="420" w:lineRule="exact"/>
        <w:jc w:val="center"/>
        <w:rPr>
          <w:rFonts w:hint="eastAsia" w:ascii="宋体" w:hAnsi="宋体" w:eastAsia="宋体"/>
          <w:sz w:val="24"/>
          <w:szCs w:val="24"/>
          <w:lang w:eastAsia="zh-CN"/>
        </w:rPr>
      </w:pPr>
      <w:r>
        <w:rPr>
          <w:rFonts w:hint="eastAsia" w:ascii="宋体" w:hAnsi="宋体" w:eastAsia="宋体"/>
          <w:sz w:val="24"/>
          <w:szCs w:val="24"/>
          <w:lang w:val="en-US" w:eastAsia="zh-CN"/>
        </w:rPr>
        <w:t xml:space="preserve"> </w:t>
      </w:r>
    </w:p>
    <w:p>
      <w:pPr>
        <w:adjustRightInd w:val="0"/>
        <w:snapToGrid w:val="0"/>
        <w:spacing w:line="420" w:lineRule="exact"/>
        <w:jc w:val="center"/>
        <w:rPr>
          <w:rFonts w:ascii="宋体" w:hAnsi="宋体" w:eastAsia="宋体"/>
          <w:sz w:val="24"/>
          <w:szCs w:val="24"/>
        </w:rPr>
      </w:pPr>
    </w:p>
    <w:p>
      <w:pPr>
        <w:adjustRightInd w:val="0"/>
        <w:snapToGrid w:val="0"/>
        <w:spacing w:line="420" w:lineRule="exact"/>
        <w:jc w:val="center"/>
        <w:rPr>
          <w:rFonts w:ascii="宋体" w:hAnsi="宋体" w:eastAsia="宋体"/>
          <w:sz w:val="24"/>
          <w:szCs w:val="24"/>
        </w:rPr>
      </w:pPr>
    </w:p>
    <w:p>
      <w:pPr>
        <w:adjustRightInd w:val="0"/>
        <w:snapToGrid w:val="0"/>
        <w:spacing w:line="420" w:lineRule="exact"/>
        <w:jc w:val="center"/>
        <w:rPr>
          <w:rFonts w:ascii="宋体" w:hAnsi="宋体" w:eastAsia="宋体"/>
          <w:sz w:val="24"/>
          <w:szCs w:val="24"/>
        </w:rPr>
      </w:pPr>
    </w:p>
    <w:p>
      <w:pPr>
        <w:adjustRightInd w:val="0"/>
        <w:snapToGrid w:val="0"/>
        <w:spacing w:line="420" w:lineRule="exact"/>
        <w:jc w:val="center"/>
        <w:rPr>
          <w:rFonts w:ascii="宋体" w:hAnsi="宋体" w:eastAsia="宋体"/>
          <w:sz w:val="24"/>
          <w:szCs w:val="24"/>
        </w:rPr>
      </w:pPr>
    </w:p>
    <w:p>
      <w:pPr>
        <w:adjustRightInd w:val="0"/>
        <w:snapToGrid w:val="0"/>
        <w:spacing w:line="420" w:lineRule="exact"/>
        <w:jc w:val="center"/>
        <w:rPr>
          <w:rFonts w:ascii="宋体" w:hAnsi="宋体" w:eastAsia="宋体"/>
          <w:sz w:val="24"/>
          <w:szCs w:val="24"/>
        </w:rPr>
      </w:pPr>
    </w:p>
    <w:p>
      <w:pPr>
        <w:adjustRightInd w:val="0"/>
        <w:snapToGrid w:val="0"/>
        <w:spacing w:line="420" w:lineRule="exact"/>
        <w:jc w:val="both"/>
        <w:rPr>
          <w:rFonts w:ascii="宋体" w:hAnsi="宋体" w:eastAsia="宋体"/>
          <w:sz w:val="24"/>
          <w:szCs w:val="24"/>
        </w:rPr>
      </w:pPr>
    </w:p>
    <w:p>
      <w:pPr>
        <w:adjustRightInd w:val="0"/>
        <w:snapToGrid w:val="0"/>
        <w:spacing w:line="420" w:lineRule="exact"/>
        <w:jc w:val="both"/>
        <w:rPr>
          <w:rFonts w:hint="eastAsia" w:ascii="宋体" w:hAnsi="宋体" w:eastAsia="宋体"/>
          <w:sz w:val="24"/>
          <w:szCs w:val="24"/>
        </w:rPr>
      </w:pPr>
    </w:p>
    <w:p>
      <w:pPr>
        <w:adjustRightInd w:val="0"/>
        <w:snapToGrid w:val="0"/>
        <w:spacing w:line="420" w:lineRule="exact"/>
        <w:jc w:val="center"/>
        <w:rPr>
          <w:rFonts w:hint="eastAsia" w:ascii="宋体" w:hAnsi="宋体" w:eastAsia="宋体"/>
          <w:sz w:val="24"/>
          <w:szCs w:val="24"/>
        </w:rPr>
      </w:pPr>
      <w:r>
        <w:rPr>
          <w:rFonts w:hint="eastAsia" w:ascii="宋体" w:hAnsi="宋体" w:eastAsia="宋体"/>
          <w:sz w:val="24"/>
          <w:szCs w:val="24"/>
        </w:rPr>
        <w:t>供应商：参加磋商响应单位全称</w:t>
      </w:r>
    </w:p>
    <w:p>
      <w:pPr>
        <w:pStyle w:val="16"/>
        <w:snapToGrid w:val="0"/>
        <w:spacing w:line="360" w:lineRule="auto"/>
        <w:contextualSpacing/>
        <w:jc w:val="center"/>
        <w:rPr>
          <w:rFonts w:hint="eastAsia" w:ascii="黑体" w:hAnsi="黑体" w:eastAsia="黑体" w:cs="黑体"/>
          <w:b/>
          <w:bCs/>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sz w:val="24"/>
          <w:szCs w:val="24"/>
        </w:rPr>
        <w:t>二○一九年     月     日</w:t>
      </w:r>
    </w:p>
    <w:p>
      <w:pPr>
        <w:adjustRightInd w:val="0"/>
        <w:snapToGrid w:val="0"/>
        <w:spacing w:line="420" w:lineRule="exact"/>
        <w:rPr>
          <w:rFonts w:hint="eastAsia" w:ascii="宋体" w:hAnsi="宋体" w:eastAsia="宋体"/>
          <w:b/>
          <w:bCs/>
          <w:sz w:val="24"/>
          <w:szCs w:val="24"/>
          <w:lang w:val="en-US" w:eastAsia="zh-CN"/>
        </w:rPr>
      </w:pPr>
      <w:bookmarkStart w:id="37" w:name="_Toc11701_WPSOffice_Level1"/>
      <w:bookmarkStart w:id="38" w:name="_Toc2070_WPSOffice_Level1"/>
      <w:r>
        <w:rPr>
          <w:rFonts w:hint="eastAsia" w:ascii="宋体" w:hAnsi="宋体" w:eastAsia="宋体"/>
          <w:b/>
          <w:bCs/>
          <w:sz w:val="24"/>
          <w:szCs w:val="24"/>
          <w:lang w:val="en-US" w:eastAsia="zh-CN"/>
        </w:rPr>
        <w:t>附件一：</w:t>
      </w:r>
      <w:bookmarkEnd w:id="37"/>
      <w:bookmarkEnd w:id="38"/>
    </w:p>
    <w:p>
      <w:pPr>
        <w:pStyle w:val="9"/>
        <w:rPr>
          <w:rFonts w:hint="default"/>
          <w:lang w:val="en-US" w:eastAsia="zh-CN"/>
        </w:rPr>
      </w:pPr>
    </w:p>
    <w:tbl>
      <w:tblPr>
        <w:tblStyle w:val="10"/>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7938"/>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818" w:type="dxa"/>
            <w:noWrap w:val="0"/>
            <w:vAlign w:val="center"/>
          </w:tcPr>
          <w:p>
            <w:pPr>
              <w:spacing w:line="420" w:lineRule="exact"/>
              <w:jc w:val="center"/>
              <w:rPr>
                <w:rFonts w:ascii="宋体" w:hAnsi="宋体" w:eastAsia="宋体"/>
                <w:sz w:val="24"/>
                <w:szCs w:val="24"/>
              </w:rPr>
            </w:pPr>
            <w:r>
              <w:rPr>
                <w:rFonts w:ascii="宋体" w:hAnsi="宋体" w:eastAsia="宋体"/>
                <w:sz w:val="24"/>
                <w:szCs w:val="24"/>
              </w:rPr>
              <w:t>序号</w:t>
            </w:r>
          </w:p>
        </w:tc>
        <w:tc>
          <w:tcPr>
            <w:tcW w:w="7938" w:type="dxa"/>
            <w:noWrap w:val="0"/>
            <w:vAlign w:val="center"/>
          </w:tcPr>
          <w:p>
            <w:pPr>
              <w:spacing w:line="420" w:lineRule="exact"/>
              <w:jc w:val="center"/>
              <w:rPr>
                <w:rFonts w:ascii="宋体" w:hAnsi="宋体" w:eastAsia="宋体"/>
                <w:sz w:val="24"/>
                <w:szCs w:val="24"/>
              </w:rPr>
            </w:pPr>
            <w:r>
              <w:rPr>
                <w:rFonts w:ascii="宋体" w:hAnsi="宋体" w:eastAsia="宋体"/>
                <w:sz w:val="24"/>
                <w:szCs w:val="24"/>
              </w:rPr>
              <w:t>资格后审材料包 清单</w:t>
            </w:r>
          </w:p>
        </w:tc>
        <w:tc>
          <w:tcPr>
            <w:tcW w:w="1098" w:type="dxa"/>
            <w:noWrap w:val="0"/>
            <w:vAlign w:val="center"/>
          </w:tcPr>
          <w:p>
            <w:pPr>
              <w:spacing w:line="420" w:lineRule="exact"/>
              <w:jc w:val="center"/>
              <w:rPr>
                <w:rFonts w:ascii="宋体" w:hAnsi="宋体" w:eastAsia="宋体"/>
                <w:sz w:val="24"/>
                <w:szCs w:val="24"/>
              </w:rPr>
            </w:pPr>
            <w:r>
              <w:rPr>
                <w:rFonts w:ascii="宋体" w:hAnsi="宋体" w:eastAsia="宋体"/>
                <w:sz w:val="24"/>
                <w:szCs w:val="24"/>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818" w:type="dxa"/>
            <w:noWrap w:val="0"/>
            <w:vAlign w:val="center"/>
          </w:tcPr>
          <w:p>
            <w:pPr>
              <w:spacing w:line="420" w:lineRule="exact"/>
              <w:jc w:val="center"/>
              <w:rPr>
                <w:rFonts w:ascii="宋体" w:hAnsi="宋体" w:eastAsia="宋体"/>
                <w:sz w:val="24"/>
                <w:szCs w:val="24"/>
              </w:rPr>
            </w:pPr>
            <w:r>
              <w:rPr>
                <w:rFonts w:hint="eastAsia" w:ascii="宋体" w:hAnsi="宋体" w:eastAsia="宋体"/>
                <w:sz w:val="24"/>
                <w:szCs w:val="24"/>
              </w:rPr>
              <w:t>1</w:t>
            </w:r>
          </w:p>
        </w:tc>
        <w:tc>
          <w:tcPr>
            <w:tcW w:w="7938" w:type="dxa"/>
            <w:noWrap w:val="0"/>
            <w:vAlign w:val="center"/>
          </w:tcPr>
          <w:p>
            <w:pPr>
              <w:spacing w:line="420" w:lineRule="exact"/>
              <w:rPr>
                <w:rFonts w:hint="eastAsia" w:ascii="宋体" w:hAnsi="宋体" w:eastAsia="宋体"/>
                <w:bCs/>
                <w:sz w:val="24"/>
                <w:szCs w:val="24"/>
              </w:rPr>
            </w:pPr>
            <w:r>
              <w:rPr>
                <w:rFonts w:hint="eastAsia" w:ascii="宋体" w:hAnsi="宋体" w:eastAsia="宋体"/>
                <w:sz w:val="24"/>
                <w:szCs w:val="24"/>
              </w:rPr>
              <w:t>提供磋商响应供应商的《营业执照》（副本）及《税务登记证》（副本）（提供新版“三证合一”营业执照的除外）原件的复印件（须加盖公章）。</w:t>
            </w:r>
          </w:p>
        </w:tc>
        <w:tc>
          <w:tcPr>
            <w:tcW w:w="1098" w:type="dxa"/>
            <w:noWrap w:val="0"/>
            <w:vAlign w:val="center"/>
          </w:tcPr>
          <w:p>
            <w:pPr>
              <w:spacing w:line="42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jc w:val="center"/>
        </w:trPr>
        <w:tc>
          <w:tcPr>
            <w:tcW w:w="818" w:type="dxa"/>
            <w:noWrap w:val="0"/>
            <w:vAlign w:val="center"/>
          </w:tcPr>
          <w:p>
            <w:pPr>
              <w:spacing w:line="420" w:lineRule="exact"/>
              <w:jc w:val="center"/>
              <w:rPr>
                <w:rFonts w:ascii="宋体" w:hAnsi="宋体" w:eastAsia="宋体"/>
                <w:sz w:val="24"/>
                <w:szCs w:val="24"/>
              </w:rPr>
            </w:pPr>
            <w:r>
              <w:rPr>
                <w:rFonts w:hint="eastAsia" w:ascii="宋体" w:hAnsi="宋体" w:eastAsia="宋体"/>
                <w:sz w:val="24"/>
                <w:szCs w:val="24"/>
              </w:rPr>
              <w:t>2</w:t>
            </w:r>
          </w:p>
        </w:tc>
        <w:tc>
          <w:tcPr>
            <w:tcW w:w="7938" w:type="dxa"/>
            <w:noWrap w:val="0"/>
            <w:vAlign w:val="center"/>
          </w:tcPr>
          <w:p>
            <w:pPr>
              <w:spacing w:line="420" w:lineRule="exact"/>
              <w:rPr>
                <w:rFonts w:hint="eastAsia" w:ascii="宋体" w:hAnsi="宋体" w:eastAsiaTheme="minorEastAsia"/>
                <w:sz w:val="24"/>
                <w:szCs w:val="24"/>
                <w:lang w:eastAsia="zh-CN"/>
              </w:rPr>
            </w:pPr>
            <w:r>
              <w:rPr>
                <w:rFonts w:hint="eastAsia" w:asciiTheme="minorEastAsia" w:hAnsiTheme="minorEastAsia" w:eastAsiaTheme="minorEastAsia" w:cstheme="minorEastAsia"/>
                <w:sz w:val="24"/>
                <w:szCs w:val="24"/>
                <w:highlight w:val="none"/>
              </w:rPr>
              <w:t>如为法定代表人参加磋商响应的，必须提供法定代表人身份证明及本人身份证这两项原件的复印件。非法定代表人参加磋商响应的，必须提供法定代表人签名或盖章的授权委托书、被委托授权人</w:t>
            </w:r>
            <w:r>
              <w:rPr>
                <w:rFonts w:hint="eastAsia" w:asciiTheme="minorEastAsia" w:hAnsiTheme="minorEastAsia" w:eastAsiaTheme="minorEastAsia" w:cstheme="minorEastAsia"/>
                <w:sz w:val="24"/>
                <w:szCs w:val="24"/>
                <w:highlight w:val="none"/>
                <w:lang w:val="en-US" w:eastAsia="zh-CN"/>
              </w:rPr>
              <w:t>身</w:t>
            </w:r>
            <w:r>
              <w:rPr>
                <w:rFonts w:hint="eastAsia" w:asciiTheme="minorEastAsia" w:hAnsiTheme="minorEastAsia" w:eastAsiaTheme="minorEastAsia" w:cstheme="minorEastAsia"/>
                <w:sz w:val="24"/>
                <w:szCs w:val="24"/>
                <w:highlight w:val="none"/>
              </w:rPr>
              <w:t>份证</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（须加盖公章）</w:t>
            </w:r>
            <w:r>
              <w:rPr>
                <w:rFonts w:hint="eastAsia" w:asciiTheme="minorEastAsia" w:hAnsiTheme="minorEastAsia" w:eastAsiaTheme="minorEastAsia" w:cstheme="minorEastAsia"/>
                <w:sz w:val="24"/>
                <w:szCs w:val="24"/>
                <w:highlight w:val="none"/>
                <w:lang w:eastAsia="zh-CN"/>
              </w:rPr>
              <w:t>。</w:t>
            </w:r>
          </w:p>
        </w:tc>
        <w:tc>
          <w:tcPr>
            <w:tcW w:w="1098" w:type="dxa"/>
            <w:noWrap w:val="0"/>
            <w:vAlign w:val="center"/>
          </w:tcPr>
          <w:p>
            <w:pPr>
              <w:spacing w:line="42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jc w:val="center"/>
        </w:trPr>
        <w:tc>
          <w:tcPr>
            <w:tcW w:w="818" w:type="dxa"/>
            <w:noWrap w:val="0"/>
            <w:vAlign w:val="center"/>
          </w:tcPr>
          <w:p>
            <w:pPr>
              <w:spacing w:line="420" w:lineRule="exact"/>
              <w:jc w:val="center"/>
              <w:rPr>
                <w:rFonts w:ascii="宋体" w:hAnsi="宋体" w:eastAsia="宋体"/>
                <w:sz w:val="24"/>
                <w:szCs w:val="24"/>
              </w:rPr>
            </w:pPr>
            <w:r>
              <w:rPr>
                <w:rFonts w:hint="eastAsia" w:ascii="宋体" w:hAnsi="宋体" w:eastAsia="宋体"/>
                <w:sz w:val="24"/>
                <w:szCs w:val="24"/>
              </w:rPr>
              <w:t>3</w:t>
            </w:r>
          </w:p>
        </w:tc>
        <w:tc>
          <w:tcPr>
            <w:tcW w:w="7938" w:type="dxa"/>
            <w:noWrap w:val="0"/>
            <w:vAlign w:val="center"/>
          </w:tcPr>
          <w:p>
            <w:pPr>
              <w:snapToGrid w:val="0"/>
              <w:spacing w:line="420" w:lineRule="exact"/>
              <w:rPr>
                <w:rFonts w:hint="eastAsia" w:ascii="宋体" w:hAnsi="宋体" w:eastAsia="宋体"/>
                <w:sz w:val="24"/>
                <w:szCs w:val="24"/>
              </w:rPr>
            </w:pPr>
            <w:r>
              <w:rPr>
                <w:rFonts w:hint="eastAsia" w:asciiTheme="minorEastAsia" w:hAnsiTheme="minorEastAsia" w:eastAsiaTheme="minorEastAsia" w:cstheme="minorEastAsia"/>
                <w:sz w:val="24"/>
                <w:szCs w:val="24"/>
              </w:rPr>
              <w:t>供应商须提供参与本次项目政府采购活动前三年内在经营活动中没有重大违法记录的书面《无重大违法记录声明函》（须加盖公章）。</w:t>
            </w:r>
          </w:p>
        </w:tc>
        <w:tc>
          <w:tcPr>
            <w:tcW w:w="1098" w:type="dxa"/>
            <w:noWrap w:val="0"/>
            <w:vAlign w:val="center"/>
          </w:tcPr>
          <w:p>
            <w:pPr>
              <w:spacing w:line="420" w:lineRule="exact"/>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jc w:val="center"/>
        </w:trPr>
        <w:tc>
          <w:tcPr>
            <w:tcW w:w="818" w:type="dxa"/>
            <w:noWrap w:val="0"/>
            <w:vAlign w:val="center"/>
          </w:tcPr>
          <w:p>
            <w:pPr>
              <w:spacing w:line="420" w:lineRule="exact"/>
              <w:jc w:val="center"/>
              <w:rPr>
                <w:rFonts w:ascii="宋体" w:hAnsi="宋体" w:eastAsia="宋体"/>
                <w:sz w:val="24"/>
                <w:szCs w:val="24"/>
              </w:rPr>
            </w:pPr>
            <w:r>
              <w:rPr>
                <w:rFonts w:hint="eastAsia" w:ascii="宋体" w:hAnsi="宋体" w:eastAsia="宋体"/>
                <w:sz w:val="24"/>
                <w:szCs w:val="24"/>
              </w:rPr>
              <w:t>4</w:t>
            </w:r>
          </w:p>
        </w:tc>
        <w:tc>
          <w:tcPr>
            <w:tcW w:w="7938" w:type="dxa"/>
            <w:noWrap w:val="0"/>
            <w:vAlign w:val="center"/>
          </w:tcPr>
          <w:p>
            <w:pPr>
              <w:snapToGrid w:val="0"/>
              <w:spacing w:line="420" w:lineRule="exact"/>
              <w:rPr>
                <w:rFonts w:hint="eastAsia" w:ascii="宋体" w:hAnsi="宋体" w:eastAsia="宋体"/>
                <w:sz w:val="24"/>
                <w:szCs w:val="24"/>
              </w:rPr>
            </w:pPr>
            <w:r>
              <w:rPr>
                <w:rFonts w:hint="eastAsia" w:asciiTheme="minorEastAsia" w:hAnsiTheme="minorEastAsia" w:eastAsiaTheme="minorEastAsia" w:cstheme="minorEastAsia"/>
                <w:sz w:val="24"/>
                <w:szCs w:val="24"/>
              </w:rPr>
              <w:t>供应商还须提供本磋商文件第八章磋商响应相关格式及</w:t>
            </w:r>
            <w:r>
              <w:rPr>
                <w:rFonts w:hint="eastAsia" w:asciiTheme="minorEastAsia" w:hAnsiTheme="minorEastAsia" w:eastAsiaTheme="minorEastAsia" w:cstheme="minorEastAsia"/>
                <w:sz w:val="24"/>
                <w:szCs w:val="24"/>
                <w:lang w:val="en-US" w:eastAsia="zh-CN"/>
              </w:rPr>
              <w:t>附件二、六（</w:t>
            </w:r>
            <w:r>
              <w:rPr>
                <w:rFonts w:hint="eastAsia" w:asciiTheme="minorEastAsia" w:hAnsiTheme="minorEastAsia" w:eastAsiaTheme="minorEastAsia" w:cstheme="minorEastAsia"/>
                <w:sz w:val="24"/>
                <w:szCs w:val="24"/>
              </w:rPr>
              <w:t>关于资格文件的声明函、供应商一般情况</w:t>
            </w:r>
            <w:r>
              <w:rPr>
                <w:rFonts w:hint="eastAsia" w:asciiTheme="minorEastAsia" w:hAnsiTheme="minorEastAsia" w:eastAsiaTheme="minorEastAsia" w:cstheme="minorEastAsia"/>
                <w:sz w:val="24"/>
                <w:szCs w:val="24"/>
                <w:highlight w:val="none"/>
              </w:rPr>
              <w:t>表</w:t>
            </w:r>
            <w:r>
              <w:rPr>
                <w:rFonts w:hint="eastAsia" w:asciiTheme="minorEastAsia" w:hAnsiTheme="minorEastAsia" w:eastAsiaTheme="minorEastAsia" w:cstheme="minorEastAsia"/>
                <w:sz w:val="24"/>
                <w:szCs w:val="24"/>
                <w:highlight w:val="none"/>
                <w:lang w:val="en-US" w:eastAsia="zh-CN"/>
              </w:rPr>
              <w:t>）</w:t>
            </w:r>
            <w:r>
              <w:rPr>
                <w:rFonts w:hint="eastAsia" w:asciiTheme="minorEastAsia" w:hAnsiTheme="minorEastAsia" w:eastAsiaTheme="minorEastAsia" w:cstheme="minorEastAsia"/>
                <w:sz w:val="24"/>
                <w:szCs w:val="24"/>
                <w:highlight w:val="none"/>
              </w:rPr>
              <w:t>。</w:t>
            </w:r>
          </w:p>
        </w:tc>
        <w:tc>
          <w:tcPr>
            <w:tcW w:w="1098" w:type="dxa"/>
            <w:noWrap w:val="0"/>
            <w:vAlign w:val="center"/>
          </w:tcPr>
          <w:p>
            <w:pPr>
              <w:spacing w:line="420" w:lineRule="exact"/>
              <w:jc w:val="center"/>
              <w:rPr>
                <w:rFonts w:ascii="宋体" w:hAnsi="宋体" w:eastAsia="宋体"/>
                <w:sz w:val="24"/>
                <w:szCs w:val="24"/>
              </w:rPr>
            </w:pPr>
          </w:p>
        </w:tc>
      </w:tr>
    </w:tbl>
    <w:p>
      <w:pPr>
        <w:adjustRightInd w:val="0"/>
        <w:snapToGrid w:val="0"/>
        <w:spacing w:line="420" w:lineRule="exact"/>
        <w:rPr>
          <w:rFonts w:ascii="宋体" w:hAnsi="宋体" w:eastAsia="宋体"/>
          <w:sz w:val="24"/>
          <w:szCs w:val="24"/>
        </w:rPr>
      </w:pPr>
      <w:r>
        <w:rPr>
          <w:rFonts w:hint="eastAsia" w:ascii="宋体" w:hAnsi="宋体" w:eastAsia="宋体"/>
          <w:sz w:val="24"/>
          <w:szCs w:val="24"/>
        </w:rPr>
        <w:t>法定代表人或被委托授权人签字：</w:t>
      </w:r>
    </w:p>
    <w:p>
      <w:pPr>
        <w:adjustRightInd w:val="0"/>
        <w:snapToGrid w:val="0"/>
        <w:spacing w:line="420" w:lineRule="exact"/>
        <w:rPr>
          <w:rFonts w:hint="eastAsia" w:ascii="宋体" w:hAnsi="宋体" w:eastAsia="宋体"/>
          <w:sz w:val="24"/>
          <w:szCs w:val="24"/>
        </w:rPr>
      </w:pPr>
      <w:r>
        <w:rPr>
          <w:rFonts w:hint="eastAsia" w:ascii="宋体" w:hAnsi="宋体" w:eastAsia="宋体"/>
          <w:sz w:val="24"/>
          <w:szCs w:val="24"/>
        </w:rPr>
        <w:t>（加盖供应商公章）</w:t>
      </w:r>
    </w:p>
    <w:p>
      <w:pPr>
        <w:adjustRightInd w:val="0"/>
        <w:snapToGrid w:val="0"/>
        <w:spacing w:line="420" w:lineRule="exact"/>
        <w:rPr>
          <w:rFonts w:ascii="宋体" w:hAnsi="宋体" w:eastAsia="宋体"/>
          <w:sz w:val="24"/>
          <w:szCs w:val="24"/>
        </w:rPr>
      </w:pPr>
      <w:r>
        <w:rPr>
          <w:rFonts w:hint="eastAsia" w:ascii="宋体" w:hAnsi="宋体" w:eastAsia="宋体"/>
          <w:sz w:val="24"/>
          <w:szCs w:val="24"/>
        </w:rPr>
        <w:t>日期：</w:t>
      </w:r>
    </w:p>
    <w:p>
      <w:pPr>
        <w:pStyle w:val="16"/>
        <w:snapToGrid w:val="0"/>
        <w:spacing w:line="360" w:lineRule="auto"/>
        <w:contextualSpacing/>
        <w:rPr>
          <w:rFonts w:hint="eastAsia" w:ascii="宋体" w:hAnsi="宋体" w:eastAsia="宋体"/>
          <w:b/>
          <w:bCs/>
          <w:sz w:val="24"/>
          <w:szCs w:val="24"/>
        </w:rPr>
      </w:pPr>
      <w:r>
        <w:rPr>
          <w:rFonts w:hint="eastAsia" w:ascii="宋体" w:hAnsi="宋体" w:eastAsia="宋体"/>
          <w:b/>
          <w:bCs/>
          <w:sz w:val="24"/>
          <w:szCs w:val="24"/>
        </w:rPr>
        <w:t>注：</w:t>
      </w:r>
    </w:p>
    <w:p>
      <w:pPr>
        <w:pStyle w:val="16"/>
        <w:keepNext w:val="0"/>
        <w:keepLines w:val="0"/>
        <w:pageBreakBefore w:val="0"/>
        <w:widowControl/>
        <w:kinsoku/>
        <w:wordWrap/>
        <w:overflowPunct/>
        <w:topLinePunct w:val="0"/>
        <w:autoSpaceDE/>
        <w:autoSpaceDN/>
        <w:bidi w:val="0"/>
        <w:adjustRightInd/>
        <w:snapToGrid w:val="0"/>
        <w:spacing w:line="360" w:lineRule="auto"/>
        <w:ind w:firstLine="482" w:firstLineChars="200"/>
        <w:contextualSpacing/>
        <w:textAlignment w:val="auto"/>
        <w:rPr>
          <w:rFonts w:hint="eastAsia" w:ascii="宋体" w:hAnsi="宋体" w:eastAsia="宋体"/>
          <w:b/>
          <w:bCs/>
          <w:sz w:val="24"/>
          <w:szCs w:val="24"/>
        </w:rPr>
      </w:pPr>
      <w:r>
        <w:rPr>
          <w:rFonts w:hint="eastAsia" w:ascii="宋体" w:hAnsi="宋体" w:eastAsia="宋体"/>
          <w:b/>
          <w:bCs/>
          <w:sz w:val="24"/>
          <w:szCs w:val="24"/>
        </w:rPr>
        <w:t>（1）以上由供应商填写，作为提供的资格后审材料包内的材料首页清单目录。</w:t>
      </w:r>
    </w:p>
    <w:p>
      <w:pPr>
        <w:pStyle w:val="16"/>
        <w:keepNext w:val="0"/>
        <w:keepLines w:val="0"/>
        <w:pageBreakBefore w:val="0"/>
        <w:widowControl/>
        <w:kinsoku/>
        <w:wordWrap/>
        <w:overflowPunct/>
        <w:topLinePunct w:val="0"/>
        <w:autoSpaceDE/>
        <w:autoSpaceDN/>
        <w:bidi w:val="0"/>
        <w:adjustRightInd/>
        <w:snapToGrid w:val="0"/>
        <w:spacing w:line="360" w:lineRule="auto"/>
        <w:ind w:firstLine="482" w:firstLineChars="200"/>
        <w:contextualSpacing/>
        <w:textAlignment w:val="auto"/>
        <w:rPr>
          <w:rFonts w:hint="eastAsia" w:ascii="黑体" w:hAnsi="黑体" w:eastAsia="宋体" w:cs="黑体"/>
          <w:b/>
          <w:bCs/>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b/>
          <w:bCs/>
          <w:sz w:val="24"/>
          <w:szCs w:val="24"/>
        </w:rPr>
        <w:t>（2）所有资格证明复印件、相关的格式文件及表格，须加盖公章装订成册，正本1份副本2份，供审查及留存</w:t>
      </w:r>
      <w:r>
        <w:rPr>
          <w:rFonts w:hint="eastAsia" w:eastAsia="宋体"/>
          <w:b/>
          <w:bCs/>
          <w:sz w:val="24"/>
          <w:szCs w:val="24"/>
          <w:lang w:eastAsia="zh-CN"/>
        </w:rPr>
        <w:t>。</w:t>
      </w:r>
    </w:p>
    <w:p>
      <w:pPr>
        <w:pStyle w:val="16"/>
        <w:snapToGrid w:val="0"/>
        <w:spacing w:line="360" w:lineRule="auto"/>
        <w:contextualSpacing/>
        <w:rPr>
          <w:rFonts w:hint="eastAsia" w:asciiTheme="minorEastAsia" w:hAnsiTheme="minorEastAsia" w:eastAsiaTheme="minorEastAsia" w:cstheme="minorEastAsia"/>
          <w:b/>
          <w:bCs/>
          <w:lang w:val="en-US" w:eastAsia="zh-CN"/>
        </w:rPr>
      </w:pPr>
      <w:bookmarkStart w:id="39" w:name="_Toc20568_WPSOffice_Level1"/>
      <w:bookmarkStart w:id="40" w:name="_Toc22365_WPSOffice_Level1"/>
      <w:r>
        <w:rPr>
          <w:rFonts w:hint="eastAsia" w:asciiTheme="minorEastAsia" w:hAnsiTheme="minorEastAsia" w:eastAsiaTheme="minorEastAsia" w:cstheme="minorEastAsia"/>
          <w:b/>
          <w:bCs/>
          <w:lang w:val="en-US" w:eastAsia="zh-CN"/>
        </w:rPr>
        <w:t>附件二：</w:t>
      </w:r>
      <w:bookmarkEnd w:id="39"/>
      <w:bookmarkEnd w:id="40"/>
    </w:p>
    <w:p>
      <w:pPr>
        <w:pStyle w:val="16"/>
        <w:snapToGrid w:val="0"/>
        <w:spacing w:line="360" w:lineRule="auto"/>
        <w:contextualSpacing/>
        <w:rPr>
          <w:rFonts w:hint="eastAsia" w:ascii="黑体" w:hAnsi="黑体" w:eastAsia="黑体" w:cs="黑体"/>
          <w:b/>
          <w:bCs/>
          <w:lang w:val="en-US" w:eastAsia="zh-CN"/>
        </w:rPr>
      </w:pPr>
    </w:p>
    <w:p>
      <w:pPr>
        <w:pStyle w:val="16"/>
        <w:snapToGrid w:val="0"/>
        <w:spacing w:line="360" w:lineRule="auto"/>
        <w:contextualSpacing/>
        <w:rPr>
          <w:rFonts w:hint="eastAsia" w:ascii="黑体" w:hAnsi="黑体" w:eastAsia="黑体" w:cs="黑体"/>
          <w:b/>
          <w:bCs/>
          <w:lang w:val="en-US" w:eastAsia="zh-CN"/>
        </w:rPr>
      </w:pPr>
    </w:p>
    <w:p>
      <w:pPr>
        <w:pStyle w:val="16"/>
        <w:snapToGrid w:val="0"/>
        <w:spacing w:line="360" w:lineRule="auto"/>
        <w:contextualSpacing/>
        <w:jc w:val="center"/>
        <w:rPr>
          <w:rFonts w:hint="eastAsia" w:asciiTheme="minorEastAsia" w:hAnsiTheme="minorEastAsia" w:eastAsiaTheme="minorEastAsia" w:cstheme="minorEastAsia"/>
          <w:sz w:val="32"/>
          <w:szCs w:val="32"/>
          <w:lang w:val="zh-CN"/>
        </w:rPr>
      </w:pPr>
      <w:bookmarkStart w:id="41" w:name="_Toc26264_WPSOffice_Level1"/>
      <w:r>
        <w:rPr>
          <w:rFonts w:hint="eastAsia" w:asciiTheme="minorEastAsia" w:hAnsiTheme="minorEastAsia" w:eastAsiaTheme="minorEastAsia" w:cstheme="minorEastAsia"/>
          <w:b/>
          <w:sz w:val="32"/>
          <w:szCs w:val="32"/>
        </w:rPr>
        <w:t>供应商关于资格的声明函</w:t>
      </w:r>
      <w:bookmarkEnd w:id="41"/>
    </w:p>
    <w:p>
      <w:pPr>
        <w:snapToGrid w:val="0"/>
        <w:spacing w:line="300" w:lineRule="auto"/>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eastAsia="zh-CN"/>
        </w:rPr>
        <w:t>南通市紫琅第一小学</w:t>
      </w:r>
      <w:r>
        <w:rPr>
          <w:rFonts w:hint="eastAsia" w:asciiTheme="minorEastAsia" w:hAnsiTheme="minorEastAsia" w:eastAsiaTheme="minorEastAsia" w:cstheme="minorEastAsia"/>
          <w:sz w:val="24"/>
          <w:szCs w:val="24"/>
          <w:lang w:val="zh-CN"/>
        </w:rPr>
        <w:t>：</w:t>
      </w:r>
    </w:p>
    <w:p>
      <w:pPr>
        <w:snapToGrid w:val="0"/>
        <w:spacing w:line="300" w:lineRule="auto"/>
        <w:ind w:firstLine="480" w:firstLineChars="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我公司认真对照磋商公告，符合贵方提出的资格要求，自愿参加磋商响应，并保证提供的资料文件是准确的和真实的。提供虚假材料的愿意承担相应的法律责任。</w:t>
      </w:r>
    </w:p>
    <w:p>
      <w:pPr>
        <w:snapToGrid w:val="0"/>
        <w:spacing w:line="30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我公司承诺投标前3年内没有受各级管理部门的处分或处罚（含其授权服务的子公司、分公司等）。如被事后发现的，我公司同意被取消报名、投标、中标等资格，同时自愿承担违约处理（保证金作为违约金）。</w:t>
      </w:r>
    </w:p>
    <w:p>
      <w:pPr>
        <w:pStyle w:val="13"/>
        <w:rPr>
          <w:rFonts w:hint="eastAsia" w:asciiTheme="minorEastAsia" w:hAnsiTheme="minorEastAsia" w:eastAsiaTheme="minorEastAsia" w:cstheme="minorEastAsia"/>
          <w:sz w:val="24"/>
          <w:szCs w:val="24"/>
        </w:rPr>
      </w:pPr>
    </w:p>
    <w:p>
      <w:pPr>
        <w:pStyle w:val="13"/>
        <w:rPr>
          <w:rFonts w:hint="eastAsia" w:asciiTheme="minorEastAsia" w:hAnsiTheme="minorEastAsia" w:eastAsiaTheme="minorEastAsia" w:cstheme="minorEastAsia"/>
          <w:sz w:val="24"/>
          <w:szCs w:val="24"/>
        </w:rPr>
      </w:pPr>
    </w:p>
    <w:p>
      <w:pPr>
        <w:snapToGrid w:val="0"/>
        <w:spacing w:line="300" w:lineRule="auto"/>
        <w:ind w:firstLine="480" w:firstLineChars="200"/>
        <w:rPr>
          <w:rFonts w:hint="eastAsia" w:asciiTheme="minorEastAsia" w:hAnsiTheme="minorEastAsia" w:eastAsiaTheme="minorEastAsia" w:cstheme="minorEastAsia"/>
          <w:sz w:val="24"/>
          <w:szCs w:val="24"/>
        </w:rPr>
      </w:pPr>
    </w:p>
    <w:p>
      <w:pPr>
        <w:snapToGrid w:val="0"/>
        <w:spacing w:line="300" w:lineRule="auto"/>
        <w:ind w:firstLine="480" w:firstLineChars="200"/>
        <w:rPr>
          <w:rFonts w:hint="eastAsia" w:asciiTheme="minorEastAsia" w:hAnsiTheme="minorEastAsia" w:eastAsiaTheme="minorEastAsia" w:cstheme="minorEastAsia"/>
          <w:sz w:val="24"/>
          <w:szCs w:val="24"/>
        </w:rPr>
      </w:pPr>
    </w:p>
    <w:p>
      <w:pPr>
        <w:snapToGrid w:val="0"/>
        <w:spacing w:line="360" w:lineRule="auto"/>
        <w:ind w:firstLine="3280" w:firstLineChars="1367"/>
        <w:rPr>
          <w:rFonts w:hint="eastAsia" w:asciiTheme="minorEastAsia" w:hAnsiTheme="minorEastAsia" w:eastAsiaTheme="minorEastAsia" w:cstheme="minorEastAsia"/>
          <w:sz w:val="24"/>
          <w:szCs w:val="24"/>
        </w:rPr>
      </w:pPr>
    </w:p>
    <w:p>
      <w:pPr>
        <w:snapToGrid w:val="0"/>
        <w:spacing w:line="360" w:lineRule="auto"/>
        <w:ind w:firstLine="3280" w:firstLineChars="1367"/>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承诺供应商全称（公章）</w:t>
      </w:r>
    </w:p>
    <w:p>
      <w:pPr>
        <w:snapToGrid w:val="0"/>
        <w:spacing w:line="360" w:lineRule="auto"/>
        <w:ind w:firstLine="3280" w:firstLineChars="1367"/>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法定代表人(签字)：</w:t>
      </w:r>
    </w:p>
    <w:p>
      <w:pPr>
        <w:snapToGrid w:val="0"/>
        <w:spacing w:line="360" w:lineRule="auto"/>
        <w:ind w:firstLine="3280" w:firstLineChars="1367"/>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被委托授权人(签字)：</w:t>
      </w:r>
    </w:p>
    <w:p>
      <w:pPr>
        <w:pStyle w:val="13"/>
        <w:ind w:firstLine="3554" w:firstLineChars="1481"/>
        <w:jc w:val="right"/>
        <w:rPr>
          <w:rFonts w:hint="eastAsia" w:asciiTheme="minorEastAsia" w:hAnsiTheme="minorEastAsia" w:eastAsiaTheme="minorEastAsia" w:cstheme="minorEastAsia"/>
          <w:sz w:val="24"/>
          <w:szCs w:val="24"/>
        </w:rPr>
        <w:sectPr>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sz w:val="24"/>
          <w:szCs w:val="24"/>
        </w:rPr>
        <w:t>年   月   日</w:t>
      </w:r>
    </w:p>
    <w:p>
      <w:pPr>
        <w:pStyle w:val="16"/>
        <w:snapToGrid w:val="0"/>
        <w:spacing w:line="240" w:lineRule="auto"/>
        <w:contextualSpacing/>
        <w:jc w:val="both"/>
        <w:rPr>
          <w:rFonts w:hint="default" w:asciiTheme="minorEastAsia" w:hAnsiTheme="minorEastAsia" w:eastAsiaTheme="minorEastAsia" w:cstheme="minorEastAsia"/>
          <w:lang w:val="en-US"/>
        </w:rPr>
      </w:pPr>
      <w:bookmarkStart w:id="42" w:name="_Toc9676_WPSOffice_Level1"/>
      <w:r>
        <w:rPr>
          <w:rFonts w:hint="eastAsia" w:asciiTheme="minorEastAsia" w:hAnsiTheme="minorEastAsia" w:eastAsiaTheme="minorEastAsia" w:cstheme="minorEastAsia"/>
          <w:b/>
          <w:bCs/>
          <w:lang w:val="en-US" w:eastAsia="zh-CN"/>
        </w:rPr>
        <w:t>附件三：</w:t>
      </w:r>
      <w:bookmarkEnd w:id="42"/>
    </w:p>
    <w:p>
      <w:pPr>
        <w:pStyle w:val="15"/>
        <w:snapToGrid w:val="0"/>
        <w:spacing w:line="300" w:lineRule="auto"/>
        <w:ind w:firstLine="0" w:firstLineChars="0"/>
        <w:contextualSpacing/>
        <w:jc w:val="center"/>
        <w:rPr>
          <w:rFonts w:hint="eastAsia" w:asciiTheme="minorEastAsia" w:hAnsiTheme="minorEastAsia" w:eastAsiaTheme="minorEastAsia" w:cstheme="minorEastAsia"/>
          <w:b/>
          <w:sz w:val="32"/>
          <w:szCs w:val="32"/>
        </w:rPr>
      </w:pPr>
    </w:p>
    <w:p>
      <w:pPr>
        <w:pStyle w:val="15"/>
        <w:snapToGrid w:val="0"/>
        <w:spacing w:line="300" w:lineRule="auto"/>
        <w:ind w:firstLine="0" w:firstLineChars="0"/>
        <w:contextualSpacing/>
        <w:jc w:val="center"/>
        <w:rPr>
          <w:rFonts w:hint="eastAsia" w:asciiTheme="minorEastAsia" w:hAnsiTheme="minorEastAsia" w:eastAsiaTheme="minorEastAsia" w:cstheme="minorEastAsia"/>
          <w:b/>
          <w:sz w:val="32"/>
          <w:szCs w:val="32"/>
        </w:rPr>
      </w:pPr>
    </w:p>
    <w:p>
      <w:pPr>
        <w:pStyle w:val="15"/>
        <w:snapToGrid w:val="0"/>
        <w:spacing w:line="300" w:lineRule="auto"/>
        <w:ind w:firstLine="0" w:firstLineChars="0"/>
        <w:contextualSpacing/>
        <w:jc w:val="center"/>
        <w:rPr>
          <w:rFonts w:hint="eastAsia" w:asciiTheme="minorEastAsia" w:hAnsiTheme="minorEastAsia" w:eastAsiaTheme="minorEastAsia" w:cstheme="minorEastAsia"/>
          <w:b/>
          <w:sz w:val="24"/>
          <w:szCs w:val="24"/>
        </w:rPr>
      </w:pPr>
      <w:bookmarkStart w:id="43" w:name="_Toc24941_WPSOffice_Level1"/>
      <w:r>
        <w:rPr>
          <w:rFonts w:hint="eastAsia" w:asciiTheme="minorEastAsia" w:hAnsiTheme="minorEastAsia" w:eastAsiaTheme="minorEastAsia" w:cstheme="minorEastAsia"/>
          <w:b/>
          <w:sz w:val="32"/>
          <w:szCs w:val="32"/>
        </w:rPr>
        <w:t>法定代表人身份证明书</w:t>
      </w:r>
      <w:bookmarkEnd w:id="43"/>
    </w:p>
    <w:p>
      <w:pPr>
        <w:snapToGrid w:val="0"/>
        <w:spacing w:line="300" w:lineRule="auto"/>
        <w:ind w:firstLine="480" w:firstLineChars="200"/>
        <w:contextualSpacing/>
        <w:rPr>
          <w:rFonts w:hint="eastAsia" w:asciiTheme="minorEastAsia" w:hAnsiTheme="minorEastAsia" w:eastAsiaTheme="minorEastAsia" w:cstheme="minorEastAsia"/>
          <w:sz w:val="24"/>
          <w:szCs w:val="24"/>
        </w:rPr>
      </w:pPr>
    </w:p>
    <w:p>
      <w:pPr>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南通市紫琅第一小学</w:t>
      </w:r>
      <w:r>
        <w:rPr>
          <w:rFonts w:hint="eastAsia" w:asciiTheme="minorEastAsia" w:hAnsiTheme="minorEastAsia" w:eastAsiaTheme="minorEastAsia" w:cstheme="minorEastAsia"/>
          <w:sz w:val="24"/>
          <w:szCs w:val="24"/>
        </w:rPr>
        <w:t>：</w:t>
      </w:r>
    </w:p>
    <w:p>
      <w:pPr>
        <w:snapToGrid w:val="0"/>
        <w:spacing w:line="360" w:lineRule="auto"/>
        <w:ind w:firstLine="480" w:firstLineChars="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先生／女士，现任我单位</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职务，为本单位法定代表人，特此证明。</w:t>
      </w:r>
    </w:p>
    <w:p>
      <w:pPr>
        <w:snapToGrid w:val="0"/>
        <w:spacing w:line="360" w:lineRule="auto"/>
        <w:ind w:firstLine="480" w:firstLineChars="200"/>
        <w:contextualSpacing/>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身份证号码：</w:t>
      </w:r>
      <w:r>
        <w:rPr>
          <w:rFonts w:hint="eastAsia" w:asciiTheme="minorEastAsia" w:hAnsiTheme="minorEastAsia" w:eastAsiaTheme="minorEastAsia" w:cstheme="minorEastAsia"/>
          <w:sz w:val="24"/>
          <w:szCs w:val="24"/>
          <w:u w:val="single"/>
        </w:rPr>
        <w:t xml:space="preserve">                                               </w:t>
      </w:r>
    </w:p>
    <w:p>
      <w:pPr>
        <w:snapToGrid w:val="0"/>
        <w:spacing w:line="360" w:lineRule="auto"/>
        <w:contextualSpacing/>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须</w:t>
      </w:r>
      <w:r>
        <w:rPr>
          <w:rFonts w:hint="eastAsia" w:asciiTheme="minorEastAsia" w:hAnsiTheme="minorEastAsia" w:eastAsiaTheme="minorEastAsia" w:cstheme="minorEastAsia"/>
          <w:b/>
          <w:sz w:val="24"/>
          <w:szCs w:val="24"/>
        </w:rPr>
        <w:t>提供法定代表人的身份证复印件盖公章</w:t>
      </w:r>
    </w:p>
    <w:p>
      <w:pPr>
        <w:snapToGrid w:val="0"/>
        <w:spacing w:line="300" w:lineRule="auto"/>
        <w:ind w:firstLine="4440" w:firstLineChars="1850"/>
        <w:contextualSpacing/>
        <w:rPr>
          <w:rFonts w:hint="eastAsia" w:asciiTheme="minorEastAsia" w:hAnsiTheme="minorEastAsia" w:eastAsiaTheme="minorEastAsia" w:cstheme="minorEastAsia"/>
          <w:sz w:val="24"/>
          <w:szCs w:val="24"/>
        </w:rPr>
      </w:pPr>
    </w:p>
    <w:p>
      <w:pPr>
        <w:snapToGrid w:val="0"/>
        <w:spacing w:line="300" w:lineRule="auto"/>
        <w:ind w:firstLine="4440" w:firstLineChars="1850"/>
        <w:contextualSpacing/>
        <w:rPr>
          <w:rFonts w:hint="eastAsia" w:asciiTheme="minorEastAsia" w:hAnsiTheme="minorEastAsia" w:eastAsiaTheme="minorEastAsia" w:cstheme="minorEastAsia"/>
          <w:sz w:val="24"/>
          <w:szCs w:val="24"/>
        </w:rPr>
      </w:pPr>
    </w:p>
    <w:p>
      <w:pPr>
        <w:snapToGrid w:val="0"/>
        <w:spacing w:line="300" w:lineRule="auto"/>
        <w:ind w:firstLine="4440" w:firstLineChars="1850"/>
        <w:contextualSpacing/>
        <w:rPr>
          <w:rFonts w:hint="eastAsia" w:asciiTheme="minorEastAsia" w:hAnsiTheme="minorEastAsia" w:eastAsiaTheme="minorEastAsia" w:cstheme="minorEastAsia"/>
          <w:sz w:val="24"/>
          <w:szCs w:val="24"/>
        </w:rPr>
      </w:pPr>
    </w:p>
    <w:p>
      <w:pPr>
        <w:snapToGrid w:val="0"/>
        <w:spacing w:line="520" w:lineRule="exact"/>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（粘贴此处）</w:t>
      </w:r>
    </w:p>
    <w:p>
      <w:pPr>
        <w:snapToGrid w:val="0"/>
        <w:spacing w:line="520" w:lineRule="exact"/>
        <w:jc w:val="center"/>
        <w:rPr>
          <w:rFonts w:hint="eastAsia" w:asciiTheme="minorEastAsia" w:hAnsiTheme="minorEastAsia" w:eastAsiaTheme="minorEastAsia" w:cstheme="minorEastAsia"/>
          <w:color w:val="000000"/>
          <w:sz w:val="24"/>
          <w:szCs w:val="24"/>
        </w:rPr>
      </w:pPr>
    </w:p>
    <w:p>
      <w:pPr>
        <w:snapToGrid w:val="0"/>
        <w:spacing w:line="520" w:lineRule="exact"/>
        <w:ind w:firstLine="482" w:firstLineChars="200"/>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注:</w:t>
      </w:r>
      <w:r>
        <w:rPr>
          <w:rFonts w:hint="eastAsia" w:asciiTheme="minorEastAsia" w:hAnsiTheme="minorEastAsia" w:eastAsiaTheme="minorEastAsia" w:cstheme="minorEastAsia"/>
          <w:b/>
          <w:bCs/>
          <w:color w:val="000000"/>
          <w:sz w:val="24"/>
          <w:szCs w:val="24"/>
          <w:lang w:val="en-US" w:eastAsia="zh-CN"/>
        </w:rPr>
        <w:t>如</w:t>
      </w:r>
      <w:r>
        <w:rPr>
          <w:rFonts w:hint="eastAsia" w:asciiTheme="minorEastAsia" w:hAnsiTheme="minorEastAsia" w:eastAsiaTheme="minorEastAsia" w:cstheme="minorEastAsia"/>
          <w:b/>
          <w:sz w:val="24"/>
          <w:szCs w:val="24"/>
        </w:rPr>
        <w:t>法定代表人</w:t>
      </w:r>
      <w:r>
        <w:rPr>
          <w:rFonts w:hint="eastAsia" w:asciiTheme="minorEastAsia" w:hAnsiTheme="minorEastAsia" w:eastAsiaTheme="minorEastAsia" w:cstheme="minorEastAsia"/>
          <w:b/>
          <w:bCs/>
          <w:color w:val="000000"/>
          <w:sz w:val="24"/>
          <w:szCs w:val="24"/>
        </w:rPr>
        <w:t>参加谈判</w:t>
      </w:r>
      <w:r>
        <w:rPr>
          <w:rFonts w:hint="eastAsia" w:asciiTheme="minorEastAsia" w:hAnsiTheme="minorEastAsia" w:eastAsiaTheme="minorEastAsia" w:cstheme="minorEastAsia"/>
          <w:b/>
          <w:bCs/>
          <w:color w:val="000000"/>
          <w:sz w:val="24"/>
          <w:szCs w:val="24"/>
          <w:lang w:eastAsia="zh-CN"/>
        </w:rPr>
        <w:t>须</w:t>
      </w:r>
      <w:r>
        <w:rPr>
          <w:rFonts w:hint="eastAsia" w:asciiTheme="minorEastAsia" w:hAnsiTheme="minorEastAsia" w:eastAsiaTheme="minorEastAsia" w:cstheme="minorEastAsia"/>
          <w:b/>
          <w:bCs/>
          <w:color w:val="000000"/>
          <w:sz w:val="24"/>
          <w:szCs w:val="24"/>
        </w:rPr>
        <w:t>将身份证原件带至开标现场备查。</w:t>
      </w:r>
    </w:p>
    <w:p>
      <w:pPr>
        <w:snapToGrid w:val="0"/>
        <w:spacing w:line="300" w:lineRule="auto"/>
        <w:ind w:firstLine="4440" w:firstLineChars="1850"/>
        <w:contextualSpacing/>
        <w:rPr>
          <w:rFonts w:hint="eastAsia" w:asciiTheme="minorEastAsia" w:hAnsiTheme="minorEastAsia" w:eastAsiaTheme="minorEastAsia" w:cstheme="minorEastAsia"/>
          <w:sz w:val="24"/>
          <w:szCs w:val="24"/>
        </w:rPr>
      </w:pPr>
    </w:p>
    <w:p>
      <w:pPr>
        <w:snapToGrid w:val="0"/>
        <w:spacing w:line="300" w:lineRule="auto"/>
        <w:ind w:firstLine="4440" w:firstLineChars="1850"/>
        <w:contextualSpacing/>
        <w:rPr>
          <w:rFonts w:hint="eastAsia" w:asciiTheme="minorEastAsia" w:hAnsiTheme="minorEastAsia" w:eastAsiaTheme="minorEastAsia" w:cstheme="minorEastAsia"/>
          <w:sz w:val="24"/>
          <w:szCs w:val="24"/>
        </w:rPr>
      </w:pPr>
    </w:p>
    <w:p>
      <w:pPr>
        <w:snapToGrid w:val="0"/>
        <w:spacing w:line="300" w:lineRule="auto"/>
        <w:ind w:firstLine="4440" w:firstLineChars="1850"/>
        <w:contextualSpacing/>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供应商（盖章）</w:t>
      </w:r>
      <w:r>
        <w:rPr>
          <w:rFonts w:hint="eastAsia" w:asciiTheme="minorEastAsia" w:hAnsiTheme="minorEastAsia" w:eastAsiaTheme="minorEastAsia" w:cstheme="minorEastAsia"/>
          <w:sz w:val="24"/>
          <w:szCs w:val="24"/>
          <w:lang w:eastAsia="zh-CN"/>
        </w:rPr>
        <w:t>：</w:t>
      </w:r>
    </w:p>
    <w:p>
      <w:pPr>
        <w:snapToGrid w:val="0"/>
        <w:spacing w:line="300" w:lineRule="auto"/>
        <w:contextualSpacing/>
        <w:rPr>
          <w:rFonts w:hint="eastAsia" w:asciiTheme="minorEastAsia" w:hAnsiTheme="minorEastAsia" w:eastAsiaTheme="minorEastAsia" w:cstheme="minorEastAsia"/>
          <w:sz w:val="24"/>
          <w:szCs w:val="24"/>
        </w:rPr>
      </w:pPr>
    </w:p>
    <w:p>
      <w:pPr>
        <w:pStyle w:val="13"/>
        <w:ind w:firstLine="3554" w:firstLineChars="1481"/>
        <w:jc w:val="righ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年    月    日</w:t>
      </w:r>
    </w:p>
    <w:p>
      <w:pPr>
        <w:pStyle w:val="13"/>
        <w:ind w:firstLine="3554" w:firstLineChars="1481"/>
        <w:rPr>
          <w:rFonts w:hint="eastAsia" w:asciiTheme="minorEastAsia" w:hAnsiTheme="minorEastAsia" w:eastAsiaTheme="minorEastAsia" w:cstheme="minorEastAsia"/>
          <w:bCs/>
          <w:sz w:val="24"/>
          <w:szCs w:val="24"/>
        </w:rPr>
      </w:pPr>
    </w:p>
    <w:p>
      <w:pPr>
        <w:pStyle w:val="13"/>
        <w:ind w:firstLine="3554" w:firstLineChars="1481"/>
        <w:rPr>
          <w:rFonts w:hint="eastAsia" w:asciiTheme="minorEastAsia" w:hAnsiTheme="minorEastAsia" w:eastAsiaTheme="minorEastAsia" w:cstheme="minorEastAsia"/>
          <w:bCs/>
          <w:sz w:val="24"/>
          <w:szCs w:val="24"/>
        </w:rPr>
      </w:pPr>
    </w:p>
    <w:p>
      <w:pPr>
        <w:pStyle w:val="13"/>
        <w:ind w:firstLine="3554" w:firstLineChars="1481"/>
        <w:jc w:val="right"/>
        <w:rPr>
          <w:rFonts w:hint="eastAsia" w:asciiTheme="minorEastAsia" w:hAnsiTheme="minorEastAsia" w:eastAsiaTheme="minorEastAsia" w:cstheme="minorEastAsia"/>
          <w:sz w:val="24"/>
          <w:szCs w:val="24"/>
        </w:rPr>
        <w:sectPr>
          <w:pgSz w:w="11906" w:h="16838"/>
          <w:pgMar w:top="1440" w:right="1800" w:bottom="1440" w:left="1800" w:header="851" w:footer="992" w:gutter="0"/>
          <w:cols w:space="425" w:num="1"/>
          <w:docGrid w:type="lines" w:linePitch="312" w:charSpace="0"/>
        </w:sectPr>
      </w:pPr>
    </w:p>
    <w:p>
      <w:pPr>
        <w:pStyle w:val="16"/>
        <w:snapToGrid w:val="0"/>
        <w:spacing w:line="240" w:lineRule="auto"/>
        <w:contextualSpacing/>
        <w:jc w:val="both"/>
        <w:rPr>
          <w:rFonts w:hint="default" w:asciiTheme="minorEastAsia" w:hAnsiTheme="minorEastAsia" w:eastAsiaTheme="minorEastAsia" w:cstheme="minorEastAsia"/>
          <w:sz w:val="24"/>
          <w:szCs w:val="24"/>
          <w:lang w:val="en-US"/>
        </w:rPr>
      </w:pPr>
      <w:bookmarkStart w:id="44" w:name="_Toc2111_WPSOffice_Level1"/>
      <w:bookmarkStart w:id="45" w:name="_Toc18746_WPSOffice_Level1"/>
      <w:r>
        <w:rPr>
          <w:rFonts w:hint="eastAsia" w:asciiTheme="minorEastAsia" w:hAnsiTheme="minorEastAsia" w:eastAsiaTheme="minorEastAsia" w:cstheme="minorEastAsia"/>
          <w:b/>
          <w:bCs/>
          <w:sz w:val="24"/>
          <w:szCs w:val="24"/>
          <w:lang w:val="en-US" w:eastAsia="zh-CN"/>
        </w:rPr>
        <w:t>附件四：</w:t>
      </w:r>
      <w:bookmarkEnd w:id="44"/>
      <w:bookmarkEnd w:id="45"/>
    </w:p>
    <w:p>
      <w:pPr>
        <w:pStyle w:val="15"/>
        <w:snapToGrid w:val="0"/>
        <w:spacing w:line="300" w:lineRule="auto"/>
        <w:ind w:firstLine="0" w:firstLineChars="0"/>
        <w:contextualSpacing/>
        <w:jc w:val="center"/>
        <w:rPr>
          <w:rFonts w:hint="eastAsia" w:asciiTheme="minorEastAsia" w:hAnsiTheme="minorEastAsia" w:eastAsiaTheme="minorEastAsia" w:cstheme="minorEastAsia"/>
          <w:b/>
          <w:sz w:val="32"/>
          <w:szCs w:val="32"/>
        </w:rPr>
      </w:pPr>
      <w:bookmarkStart w:id="46" w:name="_Toc3429_WPSOffice_Level1"/>
      <w:r>
        <w:rPr>
          <w:rFonts w:hint="eastAsia" w:asciiTheme="minorEastAsia" w:hAnsiTheme="minorEastAsia" w:eastAsiaTheme="minorEastAsia" w:cstheme="minorEastAsia"/>
          <w:b/>
          <w:sz w:val="32"/>
          <w:szCs w:val="32"/>
        </w:rPr>
        <w:t>法定代表人授权委托书</w:t>
      </w:r>
      <w:bookmarkEnd w:id="46"/>
    </w:p>
    <w:p>
      <w:pPr>
        <w:snapToGrid w:val="0"/>
        <w:spacing w:line="300" w:lineRule="auto"/>
        <w:ind w:firstLine="590" w:firstLineChars="245"/>
        <w:contextualSpacing/>
        <w:jc w:val="center"/>
        <w:rPr>
          <w:rFonts w:hint="eastAsia" w:asciiTheme="minorEastAsia" w:hAnsiTheme="minorEastAsia" w:eastAsiaTheme="minorEastAsia" w:cstheme="minorEastAsia"/>
          <w:b/>
          <w:bCs/>
          <w:sz w:val="24"/>
          <w:szCs w:val="24"/>
        </w:rPr>
      </w:pPr>
    </w:p>
    <w:p>
      <w:pPr>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南通市紫琅第一小学</w:t>
      </w:r>
      <w:r>
        <w:rPr>
          <w:rFonts w:hint="eastAsia" w:asciiTheme="minorEastAsia" w:hAnsiTheme="minorEastAsia" w:eastAsiaTheme="minorEastAsia" w:cstheme="minorEastAsia"/>
          <w:sz w:val="24"/>
          <w:szCs w:val="24"/>
        </w:rPr>
        <w:t>：</w:t>
      </w:r>
    </w:p>
    <w:p>
      <w:pPr>
        <w:pStyle w:val="6"/>
        <w:snapToGrid w:val="0"/>
        <w:spacing w:line="360" w:lineRule="auto"/>
        <w:ind w:firstLine="42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本授权委托书声明：我</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（姓名）系</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（供应商名称）的法定代表人，现授权委托</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姓名）为我公司代理人，以本公司的名义参加本项目的磋商活动。代理人在开标、评标、合同磋商过程中所签署的一切文件和处理与之有关的一切事务，我均予以承认。</w:t>
      </w:r>
    </w:p>
    <w:p>
      <w:pPr>
        <w:pStyle w:val="6"/>
        <w:snapToGrid w:val="0"/>
        <w:spacing w:line="360" w:lineRule="auto"/>
        <w:ind w:firstLine="480" w:firstLineChars="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被委托授权人无转委权。特此委托。</w:t>
      </w:r>
    </w:p>
    <w:p>
      <w:pPr>
        <w:snapToGrid w:val="0"/>
        <w:spacing w:line="52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附：授权代表情况</w:t>
      </w:r>
    </w:p>
    <w:p>
      <w:pPr>
        <w:snapToGrid w:val="0"/>
        <w:spacing w:line="520" w:lineRule="exact"/>
        <w:rPr>
          <w:rFonts w:hint="eastAsia" w:asciiTheme="minorEastAsia" w:hAnsiTheme="minorEastAsia" w:eastAsiaTheme="minorEastAsia" w:cstheme="minorEastAsia"/>
          <w:color w:val="000000"/>
          <w:sz w:val="24"/>
          <w:szCs w:val="24"/>
          <w:u w:val="single"/>
        </w:rPr>
      </w:pPr>
      <w:r>
        <w:rPr>
          <w:rFonts w:hint="eastAsia" w:asciiTheme="minorEastAsia" w:hAnsiTheme="minorEastAsia" w:eastAsiaTheme="minorEastAsia" w:cstheme="minorEastAsia"/>
          <w:color w:val="000000"/>
          <w:sz w:val="24"/>
          <w:szCs w:val="24"/>
        </w:rPr>
        <w:t>姓名：</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性别：</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年龄：</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职务：</w:t>
      </w:r>
      <w:r>
        <w:rPr>
          <w:rFonts w:hint="eastAsia" w:asciiTheme="minorEastAsia" w:hAnsiTheme="minorEastAsia" w:eastAsiaTheme="minorEastAsia" w:cstheme="minorEastAsia"/>
          <w:color w:val="000000"/>
          <w:sz w:val="24"/>
          <w:szCs w:val="24"/>
          <w:u w:val="single"/>
        </w:rPr>
        <w:t xml:space="preserve">          </w:t>
      </w:r>
    </w:p>
    <w:p>
      <w:pPr>
        <w:snapToGrid w:val="0"/>
        <w:spacing w:line="52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身份证号码：</w:t>
      </w:r>
      <w:r>
        <w:rPr>
          <w:rFonts w:hint="eastAsia" w:asciiTheme="minorEastAsia" w:hAnsiTheme="minorEastAsia" w:eastAsiaTheme="minorEastAsia" w:cstheme="minorEastAsia"/>
          <w:color w:val="000000"/>
          <w:sz w:val="24"/>
          <w:szCs w:val="24"/>
          <w:u w:val="single"/>
        </w:rPr>
        <w:t xml:space="preserve">                                         </w:t>
      </w:r>
    </w:p>
    <w:p>
      <w:pPr>
        <w:snapToGrid w:val="0"/>
        <w:spacing w:line="520" w:lineRule="exac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手机：</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传真：</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u w:val="single"/>
          <w:lang w:val="en-US" w:eastAsia="zh-CN"/>
        </w:rPr>
        <w:t xml:space="preserve"> </w:t>
      </w:r>
      <w:r>
        <w:rPr>
          <w:rFonts w:hint="eastAsia" w:asciiTheme="minorEastAsia" w:hAnsiTheme="minorEastAsia" w:eastAsiaTheme="minorEastAsia" w:cstheme="minorEastAsia"/>
          <w:color w:val="000000"/>
          <w:sz w:val="24"/>
          <w:szCs w:val="24"/>
          <w:u w:val="single"/>
        </w:rPr>
        <w:t xml:space="preserve">  </w:t>
      </w:r>
    </w:p>
    <w:p>
      <w:pPr>
        <w:snapToGrid w:val="0"/>
        <w:spacing w:line="300" w:lineRule="auto"/>
        <w:contextualSpacing/>
        <w:rPr>
          <w:rFonts w:hint="eastAsia" w:asciiTheme="minorEastAsia" w:hAnsiTheme="minorEastAsia" w:eastAsiaTheme="minorEastAsia" w:cstheme="minorEastAsia"/>
          <w:sz w:val="24"/>
          <w:szCs w:val="24"/>
        </w:rPr>
      </w:pPr>
    </w:p>
    <w:p>
      <w:pPr>
        <w:snapToGrid w:val="0"/>
        <w:spacing w:line="300" w:lineRule="auto"/>
        <w:ind w:firstLine="480" w:firstLineChars="2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法定代表人签字：</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被委托授权人签字：</w:t>
      </w:r>
    </w:p>
    <w:p>
      <w:pPr>
        <w:snapToGrid w:val="0"/>
        <w:spacing w:line="300" w:lineRule="auto"/>
        <w:ind w:firstLine="4440" w:firstLineChars="1850"/>
        <w:contextualSpacing/>
        <w:rPr>
          <w:rFonts w:hint="eastAsia" w:asciiTheme="minorEastAsia" w:hAnsiTheme="minorEastAsia" w:eastAsiaTheme="minorEastAsia" w:cstheme="minorEastAsia"/>
          <w:sz w:val="24"/>
          <w:szCs w:val="24"/>
        </w:rPr>
      </w:pPr>
    </w:p>
    <w:p>
      <w:pPr>
        <w:snapToGrid w:val="0"/>
        <w:spacing w:line="300" w:lineRule="auto"/>
        <w:ind w:firstLine="4800" w:firstLineChars="2000"/>
        <w:contextualSpacing/>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供应商（盖章）</w:t>
      </w:r>
    </w:p>
    <w:p>
      <w:pPr>
        <w:snapToGrid w:val="0"/>
        <w:spacing w:line="300" w:lineRule="auto"/>
        <w:ind w:firstLine="4800" w:firstLineChars="2000"/>
        <w:contextualSpacing/>
        <w:rPr>
          <w:rFonts w:hint="eastAsia" w:asciiTheme="minorEastAsia" w:hAnsiTheme="minorEastAsia" w:eastAsiaTheme="minorEastAsia" w:cstheme="minorEastAsia"/>
          <w:sz w:val="24"/>
          <w:szCs w:val="24"/>
        </w:rPr>
      </w:pPr>
    </w:p>
    <w:p>
      <w:pPr>
        <w:pStyle w:val="7"/>
        <w:snapToGrid w:val="0"/>
        <w:spacing w:line="300" w:lineRule="auto"/>
        <w:ind w:firstLine="4440" w:firstLineChars="1850"/>
        <w:contextualSpacing/>
        <w:jc w:val="right"/>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年    月    日</w:t>
      </w:r>
    </w:p>
    <w:p>
      <w:pPr>
        <w:pStyle w:val="6"/>
        <w:snapToGrid w:val="0"/>
        <w:spacing w:line="300" w:lineRule="auto"/>
        <w:contextualSpacing/>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lang w:val="en-US" w:eastAsia="zh-CN"/>
        </w:rPr>
        <w:t>须</w:t>
      </w:r>
      <w:r>
        <w:rPr>
          <w:rFonts w:hint="eastAsia" w:asciiTheme="minorEastAsia" w:hAnsiTheme="minorEastAsia" w:eastAsiaTheme="minorEastAsia" w:cstheme="minorEastAsia"/>
          <w:b/>
          <w:sz w:val="24"/>
          <w:szCs w:val="24"/>
        </w:rPr>
        <w:t>提供被委托授权人的身份证复印件盖公章</w:t>
      </w:r>
    </w:p>
    <w:p>
      <w:pPr>
        <w:snapToGrid w:val="0"/>
        <w:spacing w:line="520" w:lineRule="exact"/>
        <w:jc w:val="both"/>
        <w:rPr>
          <w:rFonts w:hint="eastAsia" w:asciiTheme="minorEastAsia" w:hAnsiTheme="minorEastAsia" w:eastAsiaTheme="minorEastAsia" w:cstheme="minorEastAsia"/>
          <w:color w:val="000000"/>
          <w:sz w:val="24"/>
          <w:szCs w:val="24"/>
        </w:rPr>
      </w:pPr>
    </w:p>
    <w:p>
      <w:pPr>
        <w:snapToGrid w:val="0"/>
        <w:spacing w:line="520" w:lineRule="exact"/>
        <w:jc w:val="both"/>
        <w:rPr>
          <w:rFonts w:hint="eastAsia" w:asciiTheme="minorEastAsia" w:hAnsiTheme="minorEastAsia" w:eastAsiaTheme="minorEastAsia" w:cstheme="minorEastAsia"/>
          <w:color w:val="000000"/>
          <w:sz w:val="24"/>
          <w:szCs w:val="24"/>
        </w:rPr>
      </w:pPr>
    </w:p>
    <w:p>
      <w:pPr>
        <w:snapToGrid w:val="0"/>
        <w:spacing w:line="520" w:lineRule="exact"/>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（粘贴此处）</w:t>
      </w:r>
    </w:p>
    <w:p>
      <w:pPr>
        <w:snapToGrid w:val="0"/>
        <w:spacing w:line="520" w:lineRule="exact"/>
        <w:jc w:val="both"/>
        <w:rPr>
          <w:rFonts w:hint="eastAsia" w:asciiTheme="minorEastAsia" w:hAnsiTheme="minorEastAsia" w:eastAsiaTheme="minorEastAsia" w:cstheme="minorEastAsia"/>
          <w:color w:val="000000"/>
          <w:sz w:val="24"/>
          <w:szCs w:val="24"/>
        </w:rPr>
      </w:pPr>
    </w:p>
    <w:p>
      <w:pPr>
        <w:pStyle w:val="13"/>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注:</w:t>
      </w:r>
      <w:r>
        <w:rPr>
          <w:rFonts w:hint="eastAsia" w:asciiTheme="minorEastAsia" w:hAnsiTheme="minorEastAsia" w:eastAsiaTheme="minorEastAsia" w:cstheme="minorEastAsia"/>
          <w:b/>
          <w:bCs/>
          <w:color w:val="000000"/>
          <w:sz w:val="24"/>
          <w:szCs w:val="24"/>
          <w:lang w:val="en-US" w:eastAsia="zh-CN"/>
        </w:rPr>
        <w:t>如</w:t>
      </w:r>
      <w:r>
        <w:rPr>
          <w:rFonts w:hint="eastAsia" w:asciiTheme="minorEastAsia" w:hAnsiTheme="minorEastAsia" w:eastAsiaTheme="minorEastAsia" w:cstheme="minorEastAsia"/>
          <w:b/>
          <w:bCs/>
          <w:color w:val="000000"/>
          <w:sz w:val="24"/>
          <w:szCs w:val="24"/>
        </w:rPr>
        <w:t>授权代表参加</w:t>
      </w:r>
      <w:r>
        <w:rPr>
          <w:rFonts w:hint="eastAsia" w:asciiTheme="minorEastAsia" w:hAnsiTheme="minorEastAsia" w:eastAsiaTheme="minorEastAsia" w:cstheme="minorEastAsia"/>
          <w:b/>
          <w:bCs/>
          <w:color w:val="000000"/>
          <w:sz w:val="24"/>
          <w:szCs w:val="24"/>
          <w:lang w:val="en-US" w:eastAsia="zh-CN"/>
        </w:rPr>
        <w:t>磋商</w:t>
      </w:r>
      <w:r>
        <w:rPr>
          <w:rFonts w:hint="eastAsia" w:asciiTheme="minorEastAsia" w:hAnsiTheme="minorEastAsia" w:eastAsiaTheme="minorEastAsia" w:cstheme="minorEastAsia"/>
          <w:b/>
          <w:bCs/>
          <w:color w:val="000000"/>
          <w:sz w:val="24"/>
          <w:szCs w:val="24"/>
          <w:lang w:eastAsia="zh-CN"/>
        </w:rPr>
        <w:t>须</w:t>
      </w:r>
      <w:r>
        <w:rPr>
          <w:rFonts w:hint="eastAsia" w:asciiTheme="minorEastAsia" w:hAnsiTheme="minorEastAsia" w:eastAsiaTheme="minorEastAsia" w:cstheme="minorEastAsia"/>
          <w:b/>
          <w:bCs/>
          <w:color w:val="000000"/>
          <w:sz w:val="24"/>
          <w:szCs w:val="24"/>
        </w:rPr>
        <w:t>将身份证原件带至开标现场备查。</w:t>
      </w:r>
    </w:p>
    <w:p>
      <w:pPr>
        <w:pStyle w:val="13"/>
        <w:rPr>
          <w:rFonts w:hint="eastAsia" w:asciiTheme="minorEastAsia" w:hAnsiTheme="minorEastAsia" w:eastAsiaTheme="minorEastAsia" w:cstheme="minorEastAsia"/>
          <w:b/>
          <w:bCs/>
          <w:color w:val="000000"/>
          <w:sz w:val="24"/>
          <w:szCs w:val="24"/>
        </w:rPr>
      </w:pPr>
    </w:p>
    <w:p>
      <w:pPr>
        <w:pStyle w:val="13"/>
        <w:ind w:firstLine="3554" w:firstLineChars="1481"/>
        <w:rPr>
          <w:rFonts w:hint="eastAsia" w:asciiTheme="minorEastAsia" w:hAnsiTheme="minorEastAsia" w:eastAsiaTheme="minorEastAsia" w:cstheme="minorEastAsia"/>
          <w:sz w:val="24"/>
          <w:szCs w:val="24"/>
        </w:rPr>
      </w:pPr>
    </w:p>
    <w:p>
      <w:pPr>
        <w:snapToGrid w:val="0"/>
        <w:spacing w:line="420" w:lineRule="exact"/>
        <w:jc w:val="left"/>
        <w:outlineLvl w:val="4"/>
        <w:rPr>
          <w:rFonts w:hint="eastAsia" w:ascii="宋体" w:hAnsi="宋体" w:eastAsia="宋体"/>
          <w:b/>
          <w:bCs/>
          <w:sz w:val="24"/>
          <w:szCs w:val="24"/>
          <w:lang w:val="en-US" w:eastAsia="zh-CN"/>
        </w:rPr>
      </w:pPr>
      <w:bookmarkStart w:id="47" w:name="_Toc2163_WPSOffice_Level1"/>
    </w:p>
    <w:p>
      <w:pPr>
        <w:snapToGrid w:val="0"/>
        <w:spacing w:line="420" w:lineRule="exact"/>
        <w:jc w:val="left"/>
        <w:outlineLvl w:val="4"/>
        <w:rPr>
          <w:rFonts w:hint="default" w:ascii="宋体" w:hAnsi="宋体" w:eastAsia="宋体"/>
          <w:b/>
          <w:bCs/>
          <w:sz w:val="24"/>
          <w:szCs w:val="24"/>
          <w:lang w:val="en-US" w:eastAsia="zh-CN"/>
        </w:rPr>
      </w:pPr>
      <w:bookmarkStart w:id="48" w:name="_Toc8178_WPSOffice_Level1"/>
      <w:r>
        <w:rPr>
          <w:rFonts w:hint="eastAsia" w:ascii="宋体" w:hAnsi="宋体" w:eastAsia="宋体"/>
          <w:b/>
          <w:bCs/>
          <w:sz w:val="24"/>
          <w:szCs w:val="24"/>
          <w:lang w:val="en-US" w:eastAsia="zh-CN"/>
        </w:rPr>
        <w:t>附件五：</w:t>
      </w:r>
      <w:bookmarkEnd w:id="47"/>
      <w:bookmarkEnd w:id="48"/>
    </w:p>
    <w:p>
      <w:pPr>
        <w:keepNext w:val="0"/>
        <w:keepLines w:val="0"/>
        <w:pageBreakBefore w:val="0"/>
        <w:kinsoku/>
        <w:wordWrap/>
        <w:overflowPunct/>
        <w:topLinePunct w:val="0"/>
        <w:autoSpaceDE/>
        <w:autoSpaceDN/>
        <w:bidi w:val="0"/>
        <w:adjustRightInd/>
        <w:snapToGrid w:val="0"/>
        <w:spacing w:line="360" w:lineRule="auto"/>
        <w:jc w:val="center"/>
        <w:textAlignment w:val="auto"/>
        <w:outlineLvl w:val="4"/>
        <w:rPr>
          <w:rFonts w:hint="eastAsia" w:asciiTheme="minorEastAsia" w:hAnsiTheme="minorEastAsia" w:eastAsiaTheme="minorEastAsia" w:cstheme="minorEastAsia"/>
          <w:b/>
          <w:bCs/>
          <w:sz w:val="32"/>
          <w:szCs w:val="32"/>
        </w:rPr>
      </w:pPr>
    </w:p>
    <w:p>
      <w:pPr>
        <w:keepNext w:val="0"/>
        <w:keepLines w:val="0"/>
        <w:pageBreakBefore w:val="0"/>
        <w:kinsoku/>
        <w:wordWrap/>
        <w:overflowPunct/>
        <w:topLinePunct w:val="0"/>
        <w:autoSpaceDE/>
        <w:autoSpaceDN/>
        <w:bidi w:val="0"/>
        <w:adjustRightInd/>
        <w:snapToGrid w:val="0"/>
        <w:spacing w:line="360" w:lineRule="auto"/>
        <w:jc w:val="center"/>
        <w:textAlignment w:val="auto"/>
        <w:outlineLvl w:val="4"/>
        <w:rPr>
          <w:rFonts w:hint="eastAsia" w:asciiTheme="minorEastAsia" w:hAnsiTheme="minorEastAsia" w:eastAsiaTheme="minorEastAsia" w:cstheme="minorEastAsia"/>
          <w:b/>
          <w:bCs/>
          <w:sz w:val="32"/>
          <w:szCs w:val="32"/>
        </w:rPr>
      </w:pPr>
    </w:p>
    <w:p>
      <w:pPr>
        <w:keepNext w:val="0"/>
        <w:keepLines w:val="0"/>
        <w:pageBreakBefore w:val="0"/>
        <w:kinsoku/>
        <w:wordWrap/>
        <w:overflowPunct/>
        <w:topLinePunct w:val="0"/>
        <w:autoSpaceDE/>
        <w:autoSpaceDN/>
        <w:bidi w:val="0"/>
        <w:adjustRightInd/>
        <w:snapToGrid w:val="0"/>
        <w:spacing w:line="360" w:lineRule="auto"/>
        <w:jc w:val="center"/>
        <w:textAlignment w:val="auto"/>
        <w:outlineLvl w:val="4"/>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无重大违法记录声明</w:t>
      </w:r>
    </w:p>
    <w:p>
      <w:pPr>
        <w:pStyle w:val="13"/>
        <w:rPr>
          <w:rFonts w:hint="eastAsia"/>
        </w:rPr>
      </w:pPr>
    </w:p>
    <w:p>
      <w:pPr>
        <w:keepNext w:val="0"/>
        <w:keepLines w:val="0"/>
        <w:pageBreakBefore w:val="0"/>
        <w:kinsoku/>
        <w:wordWrap/>
        <w:overflowPunct/>
        <w:topLinePunct w:val="0"/>
        <w:autoSpaceDE/>
        <w:autoSpaceDN/>
        <w:bidi w:val="0"/>
        <w:adjustRightInd/>
        <w:snapToGrid w:val="0"/>
        <w:spacing w:line="360" w:lineRule="auto"/>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eastAsia="zh-CN"/>
        </w:rPr>
        <w:t>南通市紫琅第一小学</w:t>
      </w:r>
      <w:r>
        <w:rPr>
          <w:rFonts w:hint="eastAsia" w:asciiTheme="minorEastAsia" w:hAnsiTheme="minorEastAsia" w:eastAsiaTheme="minorEastAsia" w:cstheme="minorEastAsia"/>
          <w:bCs/>
          <w:sz w:val="24"/>
          <w:szCs w:val="24"/>
        </w:rPr>
        <w:t>：</w:t>
      </w: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我单位</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（供应商名称）郑重声明：</w:t>
      </w: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参加政府采购活动前3年内在经营活动中</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（在下划线上如实填写：有或没有）重大违法记录。</w:t>
      </w:r>
    </w:p>
    <w:p>
      <w:pPr>
        <w:keepNext w:val="0"/>
        <w:keepLines w:val="0"/>
        <w:pageBreakBefore w:val="0"/>
        <w:kinsoku/>
        <w:wordWrap/>
        <w:overflowPunct/>
        <w:topLinePunct w:val="0"/>
        <w:autoSpaceDE/>
        <w:autoSpaceDN/>
        <w:bidi w:val="0"/>
        <w:adjustRightInd/>
        <w:spacing w:line="36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（说明：政府采购法第二十二条第一款第五项所称重大违法记录，是指供应商因违法经营受到刑事处罚或者责令停产停业、吊销许可证或者执照、较大数额罚款等行政处罚。）</w:t>
      </w:r>
    </w:p>
    <w:p>
      <w:pPr>
        <w:pStyle w:val="13"/>
        <w:rPr>
          <w:rFonts w:hint="eastAsia" w:asciiTheme="minorEastAsia" w:hAnsiTheme="minorEastAsia" w:eastAsiaTheme="minorEastAsia" w:cstheme="minorEastAsia"/>
          <w:sz w:val="24"/>
          <w:szCs w:val="24"/>
        </w:rPr>
      </w:pPr>
    </w:p>
    <w:p>
      <w:pPr>
        <w:pStyle w:val="13"/>
        <w:rPr>
          <w:rFonts w:hint="eastAsia" w:asciiTheme="minorEastAsia" w:hAnsiTheme="minorEastAsia" w:eastAsiaTheme="minorEastAsia" w:cstheme="minorEastAsia"/>
          <w:sz w:val="24"/>
          <w:szCs w:val="24"/>
        </w:rPr>
      </w:pPr>
    </w:p>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声明人：（公章）</w:t>
      </w:r>
    </w:p>
    <w:p>
      <w:pPr>
        <w:keepNext w:val="0"/>
        <w:keepLines w:val="0"/>
        <w:pageBreakBefore w:val="0"/>
        <w:kinsoku/>
        <w:wordWrap/>
        <w:overflowPunct/>
        <w:topLinePunct w:val="0"/>
        <w:autoSpaceDE/>
        <w:autoSpaceDN/>
        <w:bidi w:val="0"/>
        <w:adjustRightInd/>
        <w:spacing w:line="360" w:lineRule="auto"/>
        <w:jc w:val="right"/>
        <w:textAlignment w:val="auto"/>
        <w:rPr>
          <w:rFonts w:ascii="宋体" w:hAnsi="宋体" w:eastAsia="宋体"/>
          <w:sz w:val="24"/>
          <w:szCs w:val="24"/>
        </w:rPr>
      </w:pPr>
      <w:r>
        <w:rPr>
          <w:rFonts w:hint="eastAsia" w:asciiTheme="minorEastAsia" w:hAnsiTheme="minorEastAsia" w:eastAsiaTheme="minorEastAsia" w:cstheme="minorEastAsia"/>
          <w:sz w:val="24"/>
          <w:szCs w:val="24"/>
        </w:rPr>
        <w:t xml:space="preserve">                                                   年     月    日</w:t>
      </w:r>
    </w:p>
    <w:p>
      <w:pPr>
        <w:pStyle w:val="16"/>
        <w:keepNext w:val="0"/>
        <w:keepLines w:val="0"/>
        <w:pageBreakBefore w:val="0"/>
        <w:kinsoku/>
        <w:wordWrap/>
        <w:overflowPunct/>
        <w:topLinePunct w:val="0"/>
        <w:autoSpaceDE/>
        <w:autoSpaceDN/>
        <w:bidi w:val="0"/>
        <w:adjustRightInd/>
        <w:snapToGrid w:val="0"/>
        <w:spacing w:line="360" w:lineRule="auto"/>
        <w:contextualSpacing/>
        <w:jc w:val="both"/>
        <w:textAlignment w:val="auto"/>
        <w:rPr>
          <w:rFonts w:hint="eastAsia" w:asciiTheme="minorEastAsia" w:hAnsiTheme="minorEastAsia" w:eastAsiaTheme="minorEastAsia" w:cstheme="minorEastAsia"/>
          <w:b/>
          <w:bCs/>
          <w:lang w:val="en-US" w:eastAsia="zh-CN"/>
        </w:rPr>
        <w:sectPr>
          <w:pgSz w:w="11906" w:h="16838"/>
          <w:pgMar w:top="1440" w:right="1800" w:bottom="1440" w:left="1800" w:header="851" w:footer="992" w:gutter="0"/>
          <w:cols w:space="425" w:num="1"/>
          <w:docGrid w:type="lines" w:linePitch="312" w:charSpace="0"/>
        </w:sectPr>
      </w:pPr>
    </w:p>
    <w:p>
      <w:pPr>
        <w:pStyle w:val="16"/>
        <w:snapToGrid w:val="0"/>
        <w:spacing w:line="240" w:lineRule="auto"/>
        <w:contextualSpacing/>
        <w:jc w:val="both"/>
        <w:rPr>
          <w:rFonts w:hint="default" w:asciiTheme="minorEastAsia" w:hAnsiTheme="minorEastAsia" w:eastAsiaTheme="minorEastAsia" w:cstheme="minorEastAsia"/>
          <w:sz w:val="24"/>
          <w:szCs w:val="24"/>
          <w:lang w:val="en-US"/>
        </w:rPr>
      </w:pPr>
      <w:bookmarkStart w:id="49" w:name="_Toc16979_WPSOffice_Level1"/>
      <w:bookmarkStart w:id="50" w:name="_Toc20783_WPSOffice_Level1"/>
      <w:r>
        <w:rPr>
          <w:rFonts w:hint="eastAsia" w:asciiTheme="minorEastAsia" w:hAnsiTheme="minorEastAsia" w:eastAsiaTheme="minorEastAsia" w:cstheme="minorEastAsia"/>
          <w:b/>
          <w:bCs/>
          <w:sz w:val="24"/>
          <w:szCs w:val="24"/>
          <w:lang w:val="en-US" w:eastAsia="zh-CN"/>
        </w:rPr>
        <w:t>附件六：</w:t>
      </w:r>
      <w:bookmarkEnd w:id="49"/>
      <w:bookmarkEnd w:id="50"/>
    </w:p>
    <w:p>
      <w:pPr>
        <w:tabs>
          <w:tab w:val="left" w:pos="1260"/>
        </w:tabs>
        <w:snapToGrid w:val="0"/>
        <w:spacing w:line="300" w:lineRule="auto"/>
        <w:contextualSpacing/>
        <w:jc w:val="center"/>
        <w:rPr>
          <w:rFonts w:hint="eastAsia" w:asciiTheme="minorEastAsia" w:hAnsiTheme="minorEastAsia" w:eastAsiaTheme="minorEastAsia" w:cstheme="minorEastAsia"/>
          <w:b/>
          <w:sz w:val="36"/>
          <w:szCs w:val="36"/>
        </w:rPr>
      </w:pPr>
      <w:bookmarkStart w:id="51" w:name="_Toc29687_WPSOffice_Level1"/>
      <w:bookmarkStart w:id="52" w:name="_Toc3759_WPSOffice_Level1"/>
      <w:r>
        <w:rPr>
          <w:rFonts w:hint="eastAsia" w:asciiTheme="minorEastAsia" w:hAnsiTheme="minorEastAsia" w:eastAsiaTheme="minorEastAsia" w:cstheme="minorEastAsia"/>
          <w:b/>
          <w:sz w:val="36"/>
          <w:szCs w:val="36"/>
        </w:rPr>
        <w:t>供应商情况一览表</w:t>
      </w:r>
      <w:bookmarkEnd w:id="51"/>
      <w:bookmarkEnd w:id="52"/>
    </w:p>
    <w:tbl>
      <w:tblPr>
        <w:tblStyle w:val="10"/>
        <w:tblW w:w="9000"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863"/>
        <w:gridCol w:w="284"/>
        <w:gridCol w:w="3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 w:hRule="atLeast"/>
        </w:trPr>
        <w:tc>
          <w:tcPr>
            <w:tcW w:w="1005" w:type="dxa"/>
            <w:noWrap w:val="0"/>
            <w:vAlign w:val="center"/>
          </w:tcPr>
          <w:p>
            <w:pPr>
              <w:tabs>
                <w:tab w:val="left" w:pos="993"/>
              </w:tabs>
              <w:spacing w:line="420" w:lineRule="exact"/>
              <w:jc w:val="center"/>
              <w:rPr>
                <w:rFonts w:ascii="宋体" w:hAnsi="宋体" w:eastAsia="宋体"/>
                <w:sz w:val="24"/>
                <w:szCs w:val="24"/>
              </w:rPr>
            </w:pPr>
            <w:r>
              <w:rPr>
                <w:rFonts w:ascii="宋体" w:hAnsi="宋体" w:eastAsia="宋体"/>
                <w:sz w:val="24"/>
                <w:szCs w:val="24"/>
              </w:rPr>
              <w:t>1</w:t>
            </w:r>
          </w:p>
        </w:tc>
        <w:tc>
          <w:tcPr>
            <w:tcW w:w="7995" w:type="dxa"/>
            <w:gridSpan w:val="3"/>
            <w:noWrap w:val="0"/>
            <w:vAlign w:val="top"/>
          </w:tcPr>
          <w:p>
            <w:pPr>
              <w:tabs>
                <w:tab w:val="left" w:pos="993"/>
              </w:tabs>
              <w:spacing w:line="420" w:lineRule="exact"/>
              <w:rPr>
                <w:rFonts w:ascii="宋体" w:hAnsi="宋体" w:eastAsia="宋体"/>
                <w:sz w:val="24"/>
                <w:szCs w:val="24"/>
              </w:rPr>
            </w:pPr>
            <w:r>
              <w:rPr>
                <w:rFonts w:ascii="宋体" w:hAnsi="宋体" w:eastAsia="宋体"/>
                <w:sz w:val="24"/>
                <w:szCs w:val="24"/>
              </w:rPr>
              <w:t>企业名称</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5" w:type="dxa"/>
            <w:noWrap w:val="0"/>
            <w:vAlign w:val="center"/>
          </w:tcPr>
          <w:p>
            <w:pPr>
              <w:tabs>
                <w:tab w:val="left" w:pos="993"/>
              </w:tabs>
              <w:spacing w:line="420" w:lineRule="exact"/>
              <w:jc w:val="center"/>
              <w:rPr>
                <w:rFonts w:ascii="宋体" w:hAnsi="宋体" w:eastAsia="宋体"/>
                <w:sz w:val="24"/>
                <w:szCs w:val="24"/>
              </w:rPr>
            </w:pPr>
            <w:r>
              <w:rPr>
                <w:rFonts w:ascii="宋体" w:hAnsi="宋体" w:eastAsia="宋体"/>
                <w:sz w:val="24"/>
                <w:szCs w:val="24"/>
              </w:rPr>
              <w:t>2</w:t>
            </w:r>
          </w:p>
        </w:tc>
        <w:tc>
          <w:tcPr>
            <w:tcW w:w="7995" w:type="dxa"/>
            <w:gridSpan w:val="3"/>
            <w:noWrap w:val="0"/>
            <w:vAlign w:val="top"/>
          </w:tcPr>
          <w:p>
            <w:pPr>
              <w:tabs>
                <w:tab w:val="left" w:pos="993"/>
              </w:tabs>
              <w:spacing w:line="420" w:lineRule="exact"/>
              <w:rPr>
                <w:rFonts w:ascii="宋体" w:hAnsi="宋体" w:eastAsia="宋体"/>
                <w:sz w:val="24"/>
                <w:szCs w:val="24"/>
              </w:rPr>
            </w:pPr>
            <w:r>
              <w:rPr>
                <w:rFonts w:ascii="宋体" w:hAnsi="宋体" w:eastAsia="宋体"/>
                <w:sz w:val="24"/>
                <w:szCs w:val="24"/>
              </w:rPr>
              <w:t>总部地址</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5" w:type="dxa"/>
            <w:noWrap w:val="0"/>
            <w:vAlign w:val="center"/>
          </w:tcPr>
          <w:p>
            <w:pPr>
              <w:tabs>
                <w:tab w:val="left" w:pos="993"/>
              </w:tabs>
              <w:spacing w:line="420" w:lineRule="exact"/>
              <w:jc w:val="center"/>
              <w:rPr>
                <w:rFonts w:ascii="宋体" w:hAnsi="宋体" w:eastAsia="宋体"/>
                <w:sz w:val="24"/>
                <w:szCs w:val="24"/>
              </w:rPr>
            </w:pPr>
            <w:r>
              <w:rPr>
                <w:rFonts w:ascii="宋体" w:hAnsi="宋体" w:eastAsia="宋体"/>
                <w:sz w:val="24"/>
                <w:szCs w:val="24"/>
              </w:rPr>
              <w:t>3</w:t>
            </w:r>
          </w:p>
        </w:tc>
        <w:tc>
          <w:tcPr>
            <w:tcW w:w="7995" w:type="dxa"/>
            <w:gridSpan w:val="3"/>
            <w:noWrap w:val="0"/>
            <w:vAlign w:val="top"/>
          </w:tcPr>
          <w:p>
            <w:pPr>
              <w:tabs>
                <w:tab w:val="left" w:pos="993"/>
              </w:tabs>
              <w:spacing w:line="420" w:lineRule="exact"/>
              <w:rPr>
                <w:rFonts w:ascii="宋体" w:hAnsi="宋体" w:eastAsia="宋体"/>
                <w:sz w:val="24"/>
                <w:szCs w:val="24"/>
              </w:rPr>
            </w:pPr>
            <w:r>
              <w:rPr>
                <w:rFonts w:ascii="宋体" w:hAnsi="宋体" w:eastAsia="宋体"/>
                <w:sz w:val="24"/>
                <w:szCs w:val="24"/>
              </w:rPr>
              <w:t>当地代表处地址</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5" w:type="dxa"/>
            <w:noWrap w:val="0"/>
            <w:vAlign w:val="center"/>
          </w:tcPr>
          <w:p>
            <w:pPr>
              <w:tabs>
                <w:tab w:val="left" w:pos="993"/>
              </w:tabs>
              <w:spacing w:line="420" w:lineRule="exact"/>
              <w:jc w:val="center"/>
              <w:rPr>
                <w:rFonts w:ascii="宋体" w:hAnsi="宋体" w:eastAsia="宋体"/>
                <w:sz w:val="24"/>
                <w:szCs w:val="24"/>
              </w:rPr>
            </w:pPr>
            <w:r>
              <w:rPr>
                <w:rFonts w:ascii="宋体" w:hAnsi="宋体" w:eastAsia="宋体"/>
                <w:sz w:val="24"/>
                <w:szCs w:val="24"/>
              </w:rPr>
              <w:t>4</w:t>
            </w:r>
          </w:p>
        </w:tc>
        <w:tc>
          <w:tcPr>
            <w:tcW w:w="3863" w:type="dxa"/>
            <w:noWrap w:val="0"/>
            <w:vAlign w:val="top"/>
          </w:tcPr>
          <w:p>
            <w:pPr>
              <w:tabs>
                <w:tab w:val="left" w:pos="993"/>
              </w:tabs>
              <w:spacing w:line="420" w:lineRule="exact"/>
              <w:rPr>
                <w:rFonts w:ascii="宋体" w:hAnsi="宋体" w:eastAsia="宋体"/>
                <w:sz w:val="24"/>
                <w:szCs w:val="24"/>
              </w:rPr>
            </w:pPr>
            <w:r>
              <w:rPr>
                <w:rFonts w:ascii="宋体" w:hAnsi="宋体" w:eastAsia="宋体"/>
                <w:sz w:val="24"/>
                <w:szCs w:val="24"/>
              </w:rPr>
              <w:t>电话</w:t>
            </w:r>
            <w:r>
              <w:rPr>
                <w:rFonts w:hint="eastAsia" w:ascii="宋体" w:hAnsi="宋体" w:eastAsia="宋体"/>
                <w:sz w:val="24"/>
                <w:szCs w:val="24"/>
              </w:rPr>
              <w:t>：</w:t>
            </w:r>
          </w:p>
        </w:tc>
        <w:tc>
          <w:tcPr>
            <w:tcW w:w="4132" w:type="dxa"/>
            <w:gridSpan w:val="2"/>
            <w:noWrap w:val="0"/>
            <w:vAlign w:val="top"/>
          </w:tcPr>
          <w:p>
            <w:pPr>
              <w:tabs>
                <w:tab w:val="left" w:pos="993"/>
              </w:tabs>
              <w:spacing w:line="420" w:lineRule="exact"/>
              <w:rPr>
                <w:rFonts w:ascii="宋体" w:hAnsi="宋体" w:eastAsia="宋体"/>
                <w:sz w:val="24"/>
                <w:szCs w:val="24"/>
              </w:rPr>
            </w:pPr>
            <w:r>
              <w:rPr>
                <w:rFonts w:ascii="宋体" w:hAnsi="宋体" w:eastAsia="宋体"/>
                <w:sz w:val="24"/>
                <w:szCs w:val="24"/>
              </w:rPr>
              <w:t>联系人</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5" w:type="dxa"/>
            <w:noWrap w:val="0"/>
            <w:vAlign w:val="center"/>
          </w:tcPr>
          <w:p>
            <w:pPr>
              <w:tabs>
                <w:tab w:val="left" w:pos="993"/>
              </w:tabs>
              <w:spacing w:line="420" w:lineRule="exact"/>
              <w:jc w:val="center"/>
              <w:rPr>
                <w:rFonts w:ascii="宋体" w:hAnsi="宋体" w:eastAsia="宋体"/>
                <w:sz w:val="24"/>
                <w:szCs w:val="24"/>
              </w:rPr>
            </w:pPr>
            <w:r>
              <w:rPr>
                <w:rFonts w:ascii="宋体" w:hAnsi="宋体" w:eastAsia="宋体"/>
                <w:sz w:val="24"/>
                <w:szCs w:val="24"/>
              </w:rPr>
              <w:t>5</w:t>
            </w:r>
          </w:p>
        </w:tc>
        <w:tc>
          <w:tcPr>
            <w:tcW w:w="3863" w:type="dxa"/>
            <w:noWrap w:val="0"/>
            <w:vAlign w:val="top"/>
          </w:tcPr>
          <w:p>
            <w:pPr>
              <w:tabs>
                <w:tab w:val="left" w:pos="993"/>
              </w:tabs>
              <w:spacing w:line="420" w:lineRule="exact"/>
              <w:rPr>
                <w:rFonts w:ascii="宋体" w:hAnsi="宋体" w:eastAsia="宋体"/>
                <w:sz w:val="24"/>
                <w:szCs w:val="24"/>
              </w:rPr>
            </w:pPr>
            <w:r>
              <w:rPr>
                <w:rFonts w:ascii="宋体" w:hAnsi="宋体" w:eastAsia="宋体"/>
                <w:sz w:val="24"/>
                <w:szCs w:val="24"/>
              </w:rPr>
              <w:t>传真</w:t>
            </w:r>
            <w:r>
              <w:rPr>
                <w:rFonts w:hint="eastAsia" w:ascii="宋体" w:hAnsi="宋体" w:eastAsia="宋体"/>
                <w:sz w:val="24"/>
                <w:szCs w:val="24"/>
              </w:rPr>
              <w:t>：</w:t>
            </w:r>
          </w:p>
        </w:tc>
        <w:tc>
          <w:tcPr>
            <w:tcW w:w="4132" w:type="dxa"/>
            <w:gridSpan w:val="2"/>
            <w:noWrap w:val="0"/>
            <w:vAlign w:val="top"/>
          </w:tcPr>
          <w:p>
            <w:pPr>
              <w:tabs>
                <w:tab w:val="left" w:pos="993"/>
              </w:tabs>
              <w:spacing w:line="420" w:lineRule="exact"/>
              <w:rPr>
                <w:rFonts w:ascii="宋体" w:hAnsi="宋体" w:eastAsia="宋体"/>
                <w:sz w:val="24"/>
                <w:szCs w:val="24"/>
              </w:rPr>
            </w:pPr>
            <w:r>
              <w:rPr>
                <w:rFonts w:ascii="宋体" w:hAnsi="宋体" w:eastAsia="宋体"/>
                <w:sz w:val="24"/>
                <w:szCs w:val="24"/>
              </w:rPr>
              <w:t>电子邮件</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5" w:type="dxa"/>
            <w:noWrap w:val="0"/>
            <w:vAlign w:val="center"/>
          </w:tcPr>
          <w:p>
            <w:pPr>
              <w:tabs>
                <w:tab w:val="left" w:pos="993"/>
              </w:tabs>
              <w:spacing w:line="420" w:lineRule="exact"/>
              <w:jc w:val="center"/>
              <w:rPr>
                <w:rFonts w:ascii="宋体" w:hAnsi="宋体" w:eastAsia="宋体"/>
                <w:sz w:val="24"/>
                <w:szCs w:val="24"/>
              </w:rPr>
            </w:pPr>
            <w:r>
              <w:rPr>
                <w:rFonts w:ascii="宋体" w:hAnsi="宋体" w:eastAsia="宋体"/>
                <w:sz w:val="24"/>
                <w:szCs w:val="24"/>
              </w:rPr>
              <w:t>6</w:t>
            </w:r>
          </w:p>
        </w:tc>
        <w:tc>
          <w:tcPr>
            <w:tcW w:w="3863" w:type="dxa"/>
            <w:noWrap w:val="0"/>
            <w:vAlign w:val="top"/>
          </w:tcPr>
          <w:p>
            <w:pPr>
              <w:tabs>
                <w:tab w:val="left" w:pos="993"/>
              </w:tabs>
              <w:spacing w:line="420" w:lineRule="exact"/>
              <w:rPr>
                <w:rFonts w:ascii="宋体" w:hAnsi="宋体" w:eastAsia="宋体"/>
                <w:sz w:val="24"/>
                <w:szCs w:val="24"/>
              </w:rPr>
            </w:pPr>
            <w:r>
              <w:rPr>
                <w:rFonts w:ascii="宋体" w:hAnsi="宋体" w:eastAsia="宋体"/>
                <w:sz w:val="24"/>
                <w:szCs w:val="24"/>
              </w:rPr>
              <w:t>注册地</w:t>
            </w:r>
            <w:r>
              <w:rPr>
                <w:rFonts w:hint="eastAsia" w:ascii="宋体" w:hAnsi="宋体" w:eastAsia="宋体"/>
                <w:sz w:val="24"/>
                <w:szCs w:val="24"/>
              </w:rPr>
              <w:t>：</w:t>
            </w:r>
          </w:p>
        </w:tc>
        <w:tc>
          <w:tcPr>
            <w:tcW w:w="4132" w:type="dxa"/>
            <w:gridSpan w:val="2"/>
            <w:noWrap w:val="0"/>
            <w:vAlign w:val="top"/>
          </w:tcPr>
          <w:p>
            <w:pPr>
              <w:tabs>
                <w:tab w:val="left" w:pos="993"/>
              </w:tabs>
              <w:spacing w:line="420" w:lineRule="exact"/>
              <w:rPr>
                <w:rFonts w:ascii="宋体" w:hAnsi="宋体" w:eastAsia="宋体"/>
                <w:sz w:val="24"/>
                <w:szCs w:val="24"/>
              </w:rPr>
            </w:pPr>
            <w:r>
              <w:rPr>
                <w:rFonts w:ascii="宋体" w:hAnsi="宋体" w:eastAsia="宋体"/>
                <w:sz w:val="24"/>
                <w:szCs w:val="24"/>
              </w:rPr>
              <w:t>注册年份</w:t>
            </w: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5" w:type="dxa"/>
            <w:noWrap w:val="0"/>
            <w:vAlign w:val="center"/>
          </w:tcPr>
          <w:p>
            <w:pPr>
              <w:tabs>
                <w:tab w:val="left" w:pos="993"/>
              </w:tabs>
              <w:spacing w:line="420" w:lineRule="exact"/>
              <w:jc w:val="center"/>
              <w:rPr>
                <w:rFonts w:ascii="宋体" w:hAnsi="宋体" w:eastAsia="宋体"/>
                <w:sz w:val="24"/>
                <w:szCs w:val="24"/>
              </w:rPr>
            </w:pPr>
            <w:r>
              <w:rPr>
                <w:rFonts w:ascii="宋体" w:hAnsi="宋体" w:eastAsia="宋体"/>
                <w:sz w:val="24"/>
                <w:szCs w:val="24"/>
              </w:rPr>
              <w:t>7</w:t>
            </w:r>
          </w:p>
        </w:tc>
        <w:tc>
          <w:tcPr>
            <w:tcW w:w="7995" w:type="dxa"/>
            <w:gridSpan w:val="3"/>
            <w:noWrap w:val="0"/>
            <w:vAlign w:val="top"/>
          </w:tcPr>
          <w:p>
            <w:pPr>
              <w:tabs>
                <w:tab w:val="left" w:pos="993"/>
              </w:tabs>
              <w:spacing w:line="420" w:lineRule="exact"/>
              <w:rPr>
                <w:rFonts w:ascii="宋体" w:hAnsi="宋体" w:eastAsia="宋体"/>
                <w:sz w:val="24"/>
                <w:szCs w:val="24"/>
              </w:rPr>
            </w:pPr>
            <w:r>
              <w:rPr>
                <w:rFonts w:ascii="宋体" w:hAnsi="宋体" w:eastAsia="宋体"/>
                <w:sz w:val="24"/>
                <w:szCs w:val="24"/>
              </w:rPr>
              <w:t>公司资质等级证书号（请附有关证书的复印件）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005" w:type="dxa"/>
            <w:noWrap w:val="0"/>
            <w:vAlign w:val="center"/>
          </w:tcPr>
          <w:p>
            <w:pPr>
              <w:tabs>
                <w:tab w:val="left" w:pos="993"/>
              </w:tabs>
              <w:spacing w:line="420" w:lineRule="exact"/>
              <w:jc w:val="center"/>
              <w:rPr>
                <w:rFonts w:ascii="宋体" w:hAnsi="宋体" w:eastAsia="宋体"/>
                <w:sz w:val="24"/>
                <w:szCs w:val="24"/>
              </w:rPr>
            </w:pPr>
            <w:r>
              <w:rPr>
                <w:rFonts w:ascii="宋体" w:hAnsi="宋体" w:eastAsia="宋体"/>
                <w:sz w:val="24"/>
                <w:szCs w:val="24"/>
              </w:rPr>
              <w:t>8</w:t>
            </w:r>
          </w:p>
        </w:tc>
        <w:tc>
          <w:tcPr>
            <w:tcW w:w="7995" w:type="dxa"/>
            <w:gridSpan w:val="3"/>
            <w:noWrap w:val="0"/>
            <w:vAlign w:val="top"/>
          </w:tcPr>
          <w:p>
            <w:pPr>
              <w:tabs>
                <w:tab w:val="left" w:pos="993"/>
              </w:tabs>
              <w:spacing w:line="420" w:lineRule="exact"/>
              <w:rPr>
                <w:rFonts w:ascii="宋体" w:hAnsi="宋体" w:eastAsia="宋体"/>
                <w:sz w:val="24"/>
                <w:szCs w:val="24"/>
              </w:rPr>
            </w:pPr>
            <w:r>
              <w:rPr>
                <w:rFonts w:ascii="宋体" w:hAnsi="宋体" w:eastAsia="宋体"/>
                <w:sz w:val="24"/>
                <w:szCs w:val="24"/>
              </w:rPr>
              <w:t>公司</w:t>
            </w:r>
            <w:r>
              <w:rPr>
                <w:rFonts w:ascii="宋体" w:hAnsi="宋体" w:eastAsia="宋体"/>
                <w:sz w:val="24"/>
                <w:szCs w:val="24"/>
                <w:u w:val="single"/>
              </w:rPr>
              <w:t xml:space="preserve">   （是否通过，何种）   </w:t>
            </w:r>
            <w:r>
              <w:rPr>
                <w:rFonts w:ascii="宋体" w:hAnsi="宋体" w:eastAsia="宋体"/>
                <w:sz w:val="24"/>
                <w:szCs w:val="24"/>
              </w:rPr>
              <w:t>质量保证体系认证（如通过请附相关证书复印件</w:t>
            </w:r>
            <w:r>
              <w:rPr>
                <w:rFonts w:hint="eastAsia" w:ascii="宋体" w:hAnsi="宋体" w:eastAsia="宋体"/>
                <w:sz w:val="24"/>
                <w:szCs w:val="24"/>
              </w:rPr>
              <w:t>，</w:t>
            </w:r>
            <w:r>
              <w:rPr>
                <w:rFonts w:ascii="宋体" w:hAnsi="宋体" w:eastAsia="宋体"/>
                <w:sz w:val="24"/>
                <w:szCs w:val="24"/>
              </w:rPr>
              <w:t>没有请忽略该项）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5" w:hRule="atLeast"/>
        </w:trPr>
        <w:tc>
          <w:tcPr>
            <w:tcW w:w="1005" w:type="dxa"/>
            <w:noWrap w:val="0"/>
            <w:vAlign w:val="center"/>
          </w:tcPr>
          <w:p>
            <w:pPr>
              <w:tabs>
                <w:tab w:val="left" w:pos="993"/>
              </w:tabs>
              <w:spacing w:line="420" w:lineRule="exact"/>
              <w:jc w:val="center"/>
              <w:rPr>
                <w:rFonts w:ascii="宋体" w:hAnsi="宋体" w:eastAsia="宋体"/>
                <w:sz w:val="24"/>
                <w:szCs w:val="24"/>
              </w:rPr>
            </w:pPr>
            <w:r>
              <w:rPr>
                <w:rFonts w:ascii="宋体" w:hAnsi="宋体" w:eastAsia="宋体"/>
                <w:sz w:val="24"/>
                <w:szCs w:val="24"/>
              </w:rPr>
              <w:t>9</w:t>
            </w:r>
          </w:p>
        </w:tc>
        <w:tc>
          <w:tcPr>
            <w:tcW w:w="7995" w:type="dxa"/>
            <w:gridSpan w:val="3"/>
            <w:noWrap w:val="0"/>
            <w:vAlign w:val="top"/>
          </w:tcPr>
          <w:p>
            <w:pPr>
              <w:tabs>
                <w:tab w:val="left" w:pos="993"/>
              </w:tabs>
              <w:spacing w:line="420" w:lineRule="exact"/>
              <w:rPr>
                <w:rFonts w:ascii="宋体" w:hAnsi="宋体" w:eastAsia="宋体"/>
                <w:sz w:val="24"/>
                <w:szCs w:val="24"/>
              </w:rPr>
            </w:pPr>
            <w:r>
              <w:rPr>
                <w:rFonts w:hint="eastAsia" w:ascii="宋体" w:hAnsi="宋体" w:eastAsia="宋体"/>
                <w:sz w:val="24"/>
                <w:szCs w:val="24"/>
              </w:rPr>
              <w:t>经营范围：1、</w:t>
            </w:r>
            <w:r>
              <w:rPr>
                <w:rFonts w:hint="eastAsia" w:ascii="宋体" w:hAnsi="宋体" w:eastAsia="宋体"/>
                <w:sz w:val="24"/>
                <w:szCs w:val="24"/>
                <w:u w:val="single"/>
              </w:rPr>
              <w:t xml:space="preserve">             </w:t>
            </w:r>
            <w:r>
              <w:rPr>
                <w:rFonts w:hint="eastAsia" w:ascii="宋体" w:hAnsi="宋体" w:eastAsia="宋体"/>
                <w:sz w:val="24"/>
                <w:szCs w:val="24"/>
              </w:rPr>
              <w:t>；2、</w:t>
            </w:r>
            <w:r>
              <w:rPr>
                <w:rFonts w:hint="eastAsia" w:ascii="宋体" w:hAnsi="宋体" w:eastAsia="宋体"/>
                <w:sz w:val="24"/>
                <w:szCs w:val="24"/>
                <w:u w:val="single"/>
              </w:rPr>
              <w:t xml:space="preserve">              </w:t>
            </w:r>
            <w:r>
              <w:rPr>
                <w:rFonts w:hint="eastAsia" w:ascii="宋体" w:hAnsi="宋体" w:eastAsia="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005" w:type="dxa"/>
            <w:noWrap w:val="0"/>
            <w:vAlign w:val="center"/>
          </w:tcPr>
          <w:p>
            <w:pPr>
              <w:tabs>
                <w:tab w:val="left" w:pos="993"/>
              </w:tabs>
              <w:spacing w:line="420" w:lineRule="exact"/>
              <w:jc w:val="center"/>
              <w:rPr>
                <w:rFonts w:ascii="宋体" w:hAnsi="宋体" w:eastAsia="宋体"/>
                <w:sz w:val="24"/>
                <w:szCs w:val="24"/>
              </w:rPr>
            </w:pPr>
            <w:r>
              <w:rPr>
                <w:rFonts w:ascii="宋体" w:hAnsi="宋体" w:eastAsia="宋体"/>
                <w:sz w:val="24"/>
                <w:szCs w:val="24"/>
              </w:rPr>
              <w:t>10</w:t>
            </w:r>
          </w:p>
        </w:tc>
        <w:tc>
          <w:tcPr>
            <w:tcW w:w="4147" w:type="dxa"/>
            <w:gridSpan w:val="2"/>
            <w:noWrap w:val="0"/>
            <w:vAlign w:val="center"/>
          </w:tcPr>
          <w:p>
            <w:pPr>
              <w:tabs>
                <w:tab w:val="left" w:pos="993"/>
              </w:tabs>
              <w:spacing w:line="420" w:lineRule="exact"/>
              <w:rPr>
                <w:rFonts w:ascii="宋体" w:hAnsi="宋体" w:eastAsia="宋体"/>
                <w:sz w:val="24"/>
                <w:szCs w:val="24"/>
              </w:rPr>
            </w:pPr>
            <w:r>
              <w:rPr>
                <w:rFonts w:hint="eastAsia" w:ascii="宋体" w:hAnsi="宋体" w:eastAsia="宋体"/>
                <w:sz w:val="24"/>
                <w:szCs w:val="24"/>
              </w:rPr>
              <w:t>供应商从事投标项目设备的</w:t>
            </w:r>
            <w:r>
              <w:rPr>
                <w:rFonts w:ascii="宋体" w:hAnsi="宋体" w:eastAsia="宋体"/>
                <w:sz w:val="24"/>
                <w:szCs w:val="24"/>
              </w:rPr>
              <w:t>年数</w:t>
            </w:r>
          </w:p>
        </w:tc>
        <w:tc>
          <w:tcPr>
            <w:tcW w:w="3848" w:type="dxa"/>
            <w:noWrap w:val="0"/>
            <w:vAlign w:val="center"/>
          </w:tcPr>
          <w:p>
            <w:pPr>
              <w:tabs>
                <w:tab w:val="left" w:pos="993"/>
              </w:tabs>
              <w:spacing w:line="420" w:lineRule="exact"/>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005" w:type="dxa"/>
            <w:noWrap w:val="0"/>
            <w:vAlign w:val="center"/>
          </w:tcPr>
          <w:p>
            <w:pPr>
              <w:tabs>
                <w:tab w:val="left" w:pos="993"/>
              </w:tabs>
              <w:spacing w:line="420" w:lineRule="exact"/>
              <w:jc w:val="center"/>
              <w:rPr>
                <w:rFonts w:ascii="宋体" w:hAnsi="宋体" w:eastAsia="宋体"/>
                <w:sz w:val="24"/>
                <w:szCs w:val="24"/>
              </w:rPr>
            </w:pPr>
            <w:r>
              <w:rPr>
                <w:rFonts w:ascii="宋体" w:hAnsi="宋体" w:eastAsia="宋体"/>
                <w:sz w:val="24"/>
                <w:szCs w:val="24"/>
              </w:rPr>
              <w:t>1</w:t>
            </w:r>
            <w:r>
              <w:rPr>
                <w:rFonts w:hint="eastAsia" w:ascii="宋体" w:hAnsi="宋体" w:eastAsia="宋体"/>
                <w:sz w:val="24"/>
                <w:szCs w:val="24"/>
              </w:rPr>
              <w:t>1</w:t>
            </w:r>
          </w:p>
        </w:tc>
        <w:tc>
          <w:tcPr>
            <w:tcW w:w="7995" w:type="dxa"/>
            <w:gridSpan w:val="3"/>
            <w:noWrap w:val="0"/>
            <w:vAlign w:val="center"/>
          </w:tcPr>
          <w:p>
            <w:pPr>
              <w:tabs>
                <w:tab w:val="left" w:pos="993"/>
              </w:tabs>
              <w:spacing w:line="420" w:lineRule="exact"/>
              <w:rPr>
                <w:rFonts w:ascii="宋体" w:hAnsi="宋体" w:eastAsia="宋体"/>
                <w:sz w:val="24"/>
                <w:szCs w:val="24"/>
              </w:rPr>
            </w:pPr>
            <w:r>
              <w:rPr>
                <w:rFonts w:ascii="宋体" w:hAnsi="宋体" w:eastAsia="宋体"/>
                <w:sz w:val="24"/>
                <w:szCs w:val="24"/>
              </w:rPr>
              <w:t>其他需要说明的情况</w:t>
            </w:r>
            <w:r>
              <w:rPr>
                <w:rFonts w:hint="eastAsia" w:ascii="宋体" w:hAnsi="宋体" w:eastAsia="宋体"/>
                <w:sz w:val="24"/>
                <w:szCs w:val="24"/>
              </w:rPr>
              <w:t>，可自行添加</w:t>
            </w:r>
          </w:p>
        </w:tc>
      </w:tr>
    </w:tbl>
    <w:p>
      <w:pPr>
        <w:kinsoku w:val="0"/>
        <w:topLinePunct/>
        <w:snapToGrid w:val="0"/>
        <w:spacing w:line="420" w:lineRule="exact"/>
        <w:rPr>
          <w:rFonts w:hint="eastAsia" w:ascii="宋体" w:hAnsi="宋体" w:eastAsia="宋体"/>
          <w:sz w:val="24"/>
          <w:szCs w:val="24"/>
        </w:rPr>
      </w:pPr>
      <w:r>
        <w:rPr>
          <w:rFonts w:hint="eastAsia" w:ascii="宋体" w:hAnsi="宋体" w:eastAsia="宋体"/>
          <w:sz w:val="24"/>
          <w:szCs w:val="24"/>
        </w:rPr>
        <w:t xml:space="preserve">供应商：（盖章）             </w:t>
      </w:r>
    </w:p>
    <w:p>
      <w:pPr>
        <w:kinsoku w:val="0"/>
        <w:topLinePunct/>
        <w:snapToGrid w:val="0"/>
        <w:spacing w:line="420" w:lineRule="exact"/>
        <w:rPr>
          <w:rFonts w:hint="eastAsia" w:ascii="宋体" w:hAnsi="宋体" w:eastAsia="宋体"/>
          <w:sz w:val="24"/>
          <w:szCs w:val="24"/>
        </w:rPr>
      </w:pPr>
      <w:r>
        <w:rPr>
          <w:rFonts w:hint="eastAsia" w:ascii="宋体" w:hAnsi="宋体" w:eastAsia="宋体"/>
          <w:sz w:val="24"/>
          <w:szCs w:val="24"/>
        </w:rPr>
        <w:t>法定代表人或被委托授权人（签字）：</w:t>
      </w:r>
    </w:p>
    <w:p>
      <w:pPr>
        <w:adjustRightInd w:val="0"/>
        <w:snapToGrid w:val="0"/>
        <w:spacing w:line="420" w:lineRule="exact"/>
        <w:jc w:val="left"/>
        <w:rPr>
          <w:rFonts w:ascii="宋体" w:hAnsi="宋体" w:eastAsia="宋体"/>
          <w:sz w:val="24"/>
          <w:szCs w:val="24"/>
        </w:rPr>
      </w:pPr>
      <w:r>
        <w:rPr>
          <w:rFonts w:hint="eastAsia" w:ascii="宋体" w:hAnsi="宋体" w:eastAsia="宋体"/>
          <w:sz w:val="24"/>
          <w:szCs w:val="24"/>
        </w:rPr>
        <w:t>日期：</w:t>
      </w:r>
    </w:p>
    <w:p>
      <w:pPr>
        <w:pStyle w:val="13"/>
        <w:rPr>
          <w:rFonts w:hint="eastAsia"/>
        </w:rPr>
      </w:pPr>
      <w:r>
        <w:rPr>
          <w:rFonts w:hint="eastAsia" w:ascii="宋体" w:hAnsi="宋体" w:eastAsia="宋体"/>
          <w:sz w:val="24"/>
          <w:szCs w:val="24"/>
        </w:rPr>
        <w:t>注：本表不是格式化表格，供应商可根据需要，自行添加删除。</w:t>
      </w:r>
    </w:p>
    <w:p>
      <w:pPr>
        <w:pStyle w:val="13"/>
        <w:rPr>
          <w:rFonts w:hint="eastAsia" w:asciiTheme="minorEastAsia" w:hAnsiTheme="minorEastAsia" w:eastAsiaTheme="minorEastAsia" w:cstheme="minorEastAsia"/>
        </w:rPr>
        <w:sectPr>
          <w:pgSz w:w="11906" w:h="16838"/>
          <w:pgMar w:top="1440" w:right="1800" w:bottom="1440" w:left="1800" w:header="851" w:footer="992" w:gutter="0"/>
          <w:cols w:space="425" w:num="1"/>
          <w:docGrid w:type="lines" w:linePitch="312" w:charSpace="0"/>
        </w:sectPr>
      </w:pPr>
    </w:p>
    <w:p>
      <w:pPr>
        <w:pStyle w:val="13"/>
        <w:ind w:left="0" w:leftChars="0" w:firstLine="0" w:firstLineChars="0"/>
        <w:rPr>
          <w:rFonts w:hint="default" w:asciiTheme="minorEastAsia" w:hAnsiTheme="minorEastAsia" w:eastAsiaTheme="minorEastAsia" w:cstheme="minorEastAsia"/>
          <w:b/>
          <w:bCs/>
          <w:color w:val="000000"/>
          <w:sz w:val="24"/>
          <w:szCs w:val="24"/>
          <w:lang w:val="en-US" w:eastAsia="zh-CN"/>
        </w:rPr>
      </w:pPr>
      <w:bookmarkStart w:id="53" w:name="_Toc9999_WPSOffice_Level1"/>
      <w:bookmarkStart w:id="54" w:name="_Toc16751_WPSOffice_Level1"/>
      <w:r>
        <w:rPr>
          <w:rFonts w:hint="eastAsia" w:asciiTheme="minorEastAsia" w:hAnsiTheme="minorEastAsia" w:eastAsiaTheme="minorEastAsia" w:cstheme="minorEastAsia"/>
          <w:b/>
          <w:bCs/>
          <w:lang w:val="en-US" w:eastAsia="zh-CN"/>
        </w:rPr>
        <w:t>附件七：</w:t>
      </w:r>
      <w:bookmarkEnd w:id="53"/>
      <w:bookmarkEnd w:id="54"/>
    </w:p>
    <w:p>
      <w:pPr>
        <w:tabs>
          <w:tab w:val="left" w:pos="1260"/>
        </w:tabs>
        <w:snapToGrid w:val="0"/>
        <w:spacing w:line="300" w:lineRule="auto"/>
        <w:contextualSpacing/>
        <w:jc w:val="center"/>
        <w:rPr>
          <w:rFonts w:hint="eastAsia" w:asciiTheme="minorEastAsia" w:hAnsiTheme="minorEastAsia" w:eastAsiaTheme="minorEastAsia" w:cstheme="minorEastAsia"/>
          <w:b/>
          <w:sz w:val="36"/>
          <w:szCs w:val="36"/>
        </w:rPr>
      </w:pPr>
      <w:bookmarkStart w:id="55" w:name="_Toc27538_WPSOffice_Level1"/>
      <w:bookmarkStart w:id="56" w:name="_Toc16069_WPSOffice_Level1"/>
      <w:r>
        <w:rPr>
          <w:rFonts w:hint="eastAsia" w:asciiTheme="minorEastAsia" w:hAnsiTheme="minorEastAsia" w:eastAsiaTheme="minorEastAsia" w:cstheme="minorEastAsia"/>
          <w:b/>
          <w:sz w:val="36"/>
          <w:szCs w:val="36"/>
        </w:rPr>
        <w:t>竞争性磋商响应函</w:t>
      </w:r>
      <w:bookmarkEnd w:id="55"/>
      <w:bookmarkEnd w:id="56"/>
    </w:p>
    <w:p>
      <w:pPr>
        <w:snapToGrid w:val="0"/>
        <w:spacing w:line="420" w:lineRule="exact"/>
        <w:rPr>
          <w:rFonts w:ascii="宋体" w:hAnsi="宋体" w:eastAsia="宋体"/>
          <w:sz w:val="24"/>
          <w:szCs w:val="24"/>
        </w:rPr>
      </w:pPr>
      <w:r>
        <w:rPr>
          <w:rFonts w:hint="eastAsia" w:ascii="宋体" w:hAnsi="宋体" w:eastAsia="宋体"/>
          <w:sz w:val="24"/>
          <w:szCs w:val="24"/>
          <w:lang w:eastAsia="zh-CN"/>
        </w:rPr>
        <w:t>南通市紫琅第一小学</w:t>
      </w:r>
      <w:r>
        <w:rPr>
          <w:rFonts w:ascii="宋体" w:hAnsi="宋体" w:eastAsia="宋体"/>
          <w:sz w:val="24"/>
          <w:szCs w:val="24"/>
        </w:rPr>
        <w:t>：</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依据贵单位</w:t>
      </w:r>
      <w:r>
        <w:rPr>
          <w:rFonts w:ascii="宋体" w:hAnsi="宋体" w:eastAsia="宋体"/>
          <w:sz w:val="24"/>
          <w:szCs w:val="24"/>
          <w:u w:val="single"/>
        </w:rPr>
        <w:t xml:space="preserve"> </w:t>
      </w:r>
      <w:r>
        <w:rPr>
          <w:rFonts w:hint="eastAsia" w:ascii="宋体" w:hAnsi="宋体" w:eastAsia="宋体"/>
          <w:sz w:val="24"/>
          <w:szCs w:val="24"/>
          <w:u w:val="single"/>
          <w:lang w:val="en-US" w:eastAsia="zh-CN"/>
        </w:rPr>
        <w:t>南通市紫琅第一小学校园LOGO设计和VI视觉识别系统设计</w:t>
      </w:r>
      <w:r>
        <w:rPr>
          <w:rFonts w:ascii="宋体" w:hAnsi="宋体" w:eastAsia="宋体"/>
          <w:sz w:val="24"/>
          <w:szCs w:val="24"/>
          <w:u w:val="single"/>
        </w:rPr>
        <w:t xml:space="preserve">              </w:t>
      </w:r>
      <w:r>
        <w:rPr>
          <w:rFonts w:ascii="宋体" w:hAnsi="宋体" w:eastAsia="宋体"/>
          <w:sz w:val="24"/>
          <w:szCs w:val="24"/>
        </w:rPr>
        <w:t>（</w:t>
      </w:r>
      <w:r>
        <w:rPr>
          <w:rFonts w:hint="eastAsia" w:ascii="宋体" w:hAnsi="宋体" w:eastAsia="宋体"/>
          <w:sz w:val="24"/>
          <w:szCs w:val="24"/>
        </w:rPr>
        <w:t>招标</w:t>
      </w:r>
      <w:r>
        <w:rPr>
          <w:rFonts w:ascii="宋体" w:hAnsi="宋体" w:eastAsia="宋体"/>
          <w:sz w:val="24"/>
          <w:szCs w:val="24"/>
        </w:rPr>
        <w:t>项目名称)项目</w:t>
      </w:r>
      <w:r>
        <w:rPr>
          <w:rFonts w:hint="eastAsia" w:ascii="宋体" w:hAnsi="宋体" w:eastAsia="宋体"/>
          <w:sz w:val="24"/>
          <w:szCs w:val="24"/>
        </w:rPr>
        <w:t>竞争性磋商</w:t>
      </w:r>
      <w:r>
        <w:rPr>
          <w:rFonts w:ascii="宋体" w:hAnsi="宋体" w:eastAsia="宋体"/>
          <w:sz w:val="24"/>
          <w:szCs w:val="24"/>
        </w:rPr>
        <w:t>的邀请，我方授权</w:t>
      </w:r>
      <w:r>
        <w:rPr>
          <w:rFonts w:ascii="宋体" w:hAnsi="宋体" w:eastAsia="宋体"/>
          <w:sz w:val="24"/>
          <w:szCs w:val="24"/>
          <w:u w:val="single"/>
        </w:rPr>
        <w:t xml:space="preserve">    </w:t>
      </w:r>
      <w:r>
        <w:rPr>
          <w:rFonts w:ascii="宋体" w:hAnsi="宋体" w:eastAsia="宋体"/>
          <w:sz w:val="24"/>
          <w:szCs w:val="24"/>
        </w:rPr>
        <w:t>（姓名）</w:t>
      </w:r>
      <w:r>
        <w:rPr>
          <w:rFonts w:ascii="宋体" w:hAnsi="宋体" w:eastAsia="宋体"/>
          <w:sz w:val="24"/>
          <w:szCs w:val="24"/>
          <w:u w:val="single"/>
        </w:rPr>
        <w:t xml:space="preserve">    </w:t>
      </w:r>
      <w:r>
        <w:rPr>
          <w:rFonts w:ascii="宋体" w:hAnsi="宋体" w:eastAsia="宋体"/>
          <w:sz w:val="24"/>
          <w:szCs w:val="24"/>
        </w:rPr>
        <w:t>（职务）为全权代表参加该项目的磋商响应工作，全权处理本次</w:t>
      </w:r>
      <w:r>
        <w:rPr>
          <w:rFonts w:hint="eastAsia" w:ascii="宋体" w:hAnsi="宋体" w:eastAsia="宋体"/>
          <w:sz w:val="24"/>
          <w:szCs w:val="24"/>
        </w:rPr>
        <w:t>磋商</w:t>
      </w:r>
      <w:r>
        <w:rPr>
          <w:rFonts w:ascii="宋体" w:hAnsi="宋体" w:eastAsia="宋体"/>
          <w:sz w:val="24"/>
          <w:szCs w:val="24"/>
        </w:rPr>
        <w:t>的有关事宜。同时，我公司声明如下：</w:t>
      </w:r>
    </w:p>
    <w:p>
      <w:pPr>
        <w:snapToGrid w:val="0"/>
        <w:spacing w:line="420" w:lineRule="exact"/>
        <w:ind w:firstLine="480" w:firstLineChars="200"/>
        <w:rPr>
          <w:rFonts w:ascii="宋体" w:hAnsi="宋体" w:eastAsia="宋体"/>
          <w:sz w:val="24"/>
          <w:szCs w:val="24"/>
          <w:highlight w:val="none"/>
        </w:rPr>
      </w:pPr>
      <w:r>
        <w:rPr>
          <w:rFonts w:ascii="宋体" w:hAnsi="宋体" w:eastAsia="宋体"/>
          <w:sz w:val="24"/>
          <w:szCs w:val="24"/>
          <w:highlight w:val="none"/>
        </w:rPr>
        <w:t>1、</w:t>
      </w:r>
      <w:r>
        <w:rPr>
          <w:rFonts w:hint="eastAsia" w:ascii="宋体" w:hAnsi="宋体" w:eastAsia="宋体"/>
          <w:sz w:val="24"/>
          <w:szCs w:val="24"/>
          <w:highlight w:val="none"/>
        </w:rPr>
        <w:t>我方愿意按照磋商文件的一切要求，提供完成该项目的全部内容，我方的磋商响应报价中包含：所投项目相关劳务支出等工作所发生的全部费用，以及供应商企业利润、税金和政策性文件规定及合同包含的所有风险、责任等，即招标物交付使用前的所有费用以及免保期内的服务费用等包含响应招标文件采购要求的所有各项应有费用。</w:t>
      </w:r>
    </w:p>
    <w:p>
      <w:pPr>
        <w:snapToGrid w:val="0"/>
        <w:spacing w:line="420" w:lineRule="exact"/>
        <w:ind w:firstLine="480" w:firstLineChars="200"/>
        <w:rPr>
          <w:rFonts w:ascii="宋体" w:hAnsi="宋体" w:eastAsia="宋体"/>
          <w:sz w:val="24"/>
          <w:szCs w:val="24"/>
        </w:rPr>
      </w:pPr>
      <w:r>
        <w:rPr>
          <w:rFonts w:ascii="宋体" w:hAnsi="宋体" w:eastAsia="宋体"/>
          <w:sz w:val="24"/>
          <w:szCs w:val="24"/>
          <w:highlight w:val="none"/>
        </w:rPr>
        <w:t>2、我</w:t>
      </w:r>
      <w:r>
        <w:rPr>
          <w:rFonts w:hint="eastAsia" w:ascii="宋体" w:hAnsi="宋体" w:eastAsia="宋体"/>
          <w:sz w:val="24"/>
          <w:szCs w:val="24"/>
          <w:highlight w:val="none"/>
        </w:rPr>
        <w:t>方</w:t>
      </w:r>
      <w:r>
        <w:rPr>
          <w:rFonts w:ascii="宋体" w:hAnsi="宋体" w:eastAsia="宋体"/>
          <w:sz w:val="24"/>
          <w:szCs w:val="24"/>
          <w:highlight w:val="none"/>
        </w:rPr>
        <w:t>已经详细</w:t>
      </w:r>
      <w:r>
        <w:rPr>
          <w:rFonts w:hint="eastAsia" w:ascii="宋体" w:hAnsi="宋体" w:eastAsia="宋体"/>
          <w:sz w:val="24"/>
          <w:szCs w:val="24"/>
          <w:highlight w:val="none"/>
        </w:rPr>
        <w:t>审查</w:t>
      </w:r>
      <w:r>
        <w:rPr>
          <w:rFonts w:ascii="宋体" w:hAnsi="宋体" w:eastAsia="宋体"/>
          <w:sz w:val="24"/>
          <w:szCs w:val="24"/>
          <w:highlight w:val="none"/>
        </w:rPr>
        <w:t>了全部</w:t>
      </w:r>
      <w:r>
        <w:rPr>
          <w:rFonts w:hint="eastAsia" w:ascii="宋体" w:hAnsi="宋体" w:eastAsia="宋体"/>
          <w:sz w:val="24"/>
          <w:szCs w:val="24"/>
          <w:highlight w:val="none"/>
        </w:rPr>
        <w:t>磋商</w:t>
      </w:r>
      <w:r>
        <w:rPr>
          <w:rFonts w:ascii="宋体" w:hAnsi="宋体" w:eastAsia="宋体"/>
          <w:sz w:val="24"/>
          <w:szCs w:val="24"/>
          <w:highlight w:val="none"/>
        </w:rPr>
        <w:t>文件，我方已完全清晰理解</w:t>
      </w:r>
      <w:r>
        <w:rPr>
          <w:rFonts w:hint="eastAsia" w:ascii="宋体" w:hAnsi="宋体" w:eastAsia="宋体"/>
          <w:sz w:val="24"/>
          <w:szCs w:val="24"/>
          <w:highlight w:val="none"/>
        </w:rPr>
        <w:t>磋商</w:t>
      </w:r>
      <w:r>
        <w:rPr>
          <w:rFonts w:ascii="宋体" w:hAnsi="宋体" w:eastAsia="宋体"/>
          <w:sz w:val="24"/>
          <w:szCs w:val="24"/>
          <w:highlight w:val="none"/>
        </w:rPr>
        <w:t>文件的要</w:t>
      </w:r>
      <w:r>
        <w:rPr>
          <w:rFonts w:ascii="宋体" w:hAnsi="宋体" w:eastAsia="宋体"/>
          <w:sz w:val="24"/>
          <w:szCs w:val="24"/>
        </w:rPr>
        <w:t>求，不存在任何含糊不清和误解之处，同意放弃对这些文件所提出的异议和质疑的权利。</w:t>
      </w:r>
    </w:p>
    <w:p>
      <w:pPr>
        <w:snapToGrid w:val="0"/>
        <w:spacing w:line="420" w:lineRule="exact"/>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我方愿意提供招标采购单位在磋商文件中要求的所有资料。</w:t>
      </w:r>
    </w:p>
    <w:p>
      <w:pPr>
        <w:snapToGrid w:val="0"/>
        <w:spacing w:line="420" w:lineRule="exact"/>
        <w:ind w:firstLine="480" w:firstLineChars="200"/>
        <w:rPr>
          <w:rFonts w:hint="eastAsia" w:ascii="宋体" w:hAnsi="宋体" w:eastAsia="宋体"/>
          <w:sz w:val="24"/>
          <w:szCs w:val="24"/>
        </w:rPr>
      </w:pPr>
      <w:r>
        <w:rPr>
          <w:rFonts w:ascii="宋体" w:hAnsi="宋体" w:eastAsia="宋体"/>
          <w:sz w:val="24"/>
          <w:szCs w:val="24"/>
        </w:rPr>
        <w:t>4、我</w:t>
      </w:r>
      <w:r>
        <w:rPr>
          <w:rFonts w:hint="eastAsia" w:ascii="宋体" w:hAnsi="宋体" w:eastAsia="宋体"/>
          <w:sz w:val="24"/>
          <w:szCs w:val="24"/>
        </w:rPr>
        <w:t>方</w:t>
      </w:r>
      <w:r>
        <w:rPr>
          <w:rFonts w:ascii="宋体" w:hAnsi="宋体" w:eastAsia="宋体"/>
          <w:sz w:val="24"/>
          <w:szCs w:val="24"/>
        </w:rPr>
        <w:t>承诺在本次</w:t>
      </w:r>
      <w:r>
        <w:rPr>
          <w:rFonts w:hint="eastAsia" w:ascii="宋体" w:hAnsi="宋体" w:eastAsia="宋体"/>
          <w:sz w:val="24"/>
          <w:szCs w:val="24"/>
        </w:rPr>
        <w:t>磋商</w:t>
      </w:r>
      <w:r>
        <w:rPr>
          <w:rFonts w:ascii="宋体" w:hAnsi="宋体" w:eastAsia="宋体"/>
          <w:sz w:val="24"/>
          <w:szCs w:val="24"/>
        </w:rPr>
        <w:t>响应中提供的一切文件，无论是原件还是复印件均真实有效，绝无任何虚假、伪造和夸大的成份。否则，愿承担相应的后果和法律责任。</w:t>
      </w:r>
    </w:p>
    <w:p>
      <w:pPr>
        <w:snapToGrid w:val="0"/>
        <w:spacing w:line="420" w:lineRule="exact"/>
        <w:ind w:firstLine="480" w:firstLineChars="200"/>
        <w:rPr>
          <w:rFonts w:hint="eastAsia" w:ascii="宋体" w:hAnsi="宋体" w:eastAsia="宋体"/>
          <w:sz w:val="24"/>
          <w:szCs w:val="24"/>
        </w:rPr>
      </w:pPr>
      <w:r>
        <w:rPr>
          <w:rFonts w:hint="eastAsia" w:ascii="宋体" w:hAnsi="宋体" w:eastAsia="宋体"/>
          <w:sz w:val="24"/>
          <w:szCs w:val="24"/>
        </w:rPr>
        <w:t>5</w:t>
      </w:r>
      <w:r>
        <w:rPr>
          <w:rFonts w:ascii="宋体" w:hAnsi="宋体" w:eastAsia="宋体"/>
          <w:sz w:val="24"/>
          <w:szCs w:val="24"/>
        </w:rPr>
        <w:t>、我</w:t>
      </w:r>
      <w:r>
        <w:rPr>
          <w:rFonts w:hint="eastAsia" w:ascii="宋体" w:hAnsi="宋体" w:eastAsia="宋体"/>
          <w:sz w:val="24"/>
          <w:szCs w:val="24"/>
        </w:rPr>
        <w:t>方</w:t>
      </w:r>
      <w:r>
        <w:rPr>
          <w:rFonts w:ascii="宋体" w:hAnsi="宋体" w:eastAsia="宋体"/>
          <w:sz w:val="24"/>
          <w:szCs w:val="24"/>
        </w:rPr>
        <w:t>尊重</w:t>
      </w:r>
      <w:r>
        <w:rPr>
          <w:rFonts w:hint="eastAsia" w:ascii="宋体" w:hAnsi="宋体" w:eastAsia="宋体"/>
          <w:sz w:val="24"/>
          <w:szCs w:val="24"/>
        </w:rPr>
        <w:t>磋商</w:t>
      </w:r>
      <w:r>
        <w:rPr>
          <w:rFonts w:ascii="宋体" w:hAnsi="宋体" w:eastAsia="宋体"/>
          <w:sz w:val="24"/>
          <w:szCs w:val="24"/>
        </w:rPr>
        <w:t>小组所作评定结果</w:t>
      </w:r>
      <w:r>
        <w:rPr>
          <w:rFonts w:hint="eastAsia" w:ascii="宋体" w:hAnsi="宋体" w:eastAsia="宋体"/>
          <w:sz w:val="24"/>
          <w:szCs w:val="24"/>
        </w:rPr>
        <w:t>，</w:t>
      </w:r>
      <w:r>
        <w:rPr>
          <w:rFonts w:ascii="宋体" w:hAnsi="宋体" w:eastAsia="宋体"/>
          <w:sz w:val="24"/>
          <w:szCs w:val="24"/>
        </w:rPr>
        <w:t>同时</w:t>
      </w:r>
      <w:r>
        <w:rPr>
          <w:rFonts w:hint="eastAsia" w:ascii="宋体" w:hAnsi="宋体" w:eastAsia="宋体"/>
          <w:sz w:val="24"/>
          <w:szCs w:val="24"/>
        </w:rPr>
        <w:t>也</w:t>
      </w:r>
      <w:r>
        <w:rPr>
          <w:rFonts w:ascii="宋体" w:hAnsi="宋体" w:eastAsia="宋体"/>
          <w:sz w:val="24"/>
          <w:szCs w:val="24"/>
        </w:rPr>
        <w:t>清楚理解到</w:t>
      </w:r>
      <w:r>
        <w:rPr>
          <w:rFonts w:hint="eastAsia" w:ascii="宋体" w:hAnsi="宋体" w:eastAsia="宋体"/>
          <w:sz w:val="24"/>
          <w:szCs w:val="24"/>
        </w:rPr>
        <w:t>磋商报</w:t>
      </w:r>
      <w:r>
        <w:rPr>
          <w:rFonts w:ascii="宋体" w:hAnsi="宋体" w:eastAsia="宋体"/>
          <w:sz w:val="24"/>
          <w:szCs w:val="24"/>
        </w:rPr>
        <w:t>价最低并非意味着必定获得</w:t>
      </w:r>
      <w:r>
        <w:rPr>
          <w:rFonts w:hint="eastAsia" w:ascii="宋体" w:hAnsi="宋体" w:eastAsia="宋体"/>
          <w:sz w:val="24"/>
          <w:szCs w:val="24"/>
        </w:rPr>
        <w:t>成交</w:t>
      </w:r>
      <w:r>
        <w:rPr>
          <w:rFonts w:ascii="宋体" w:hAnsi="宋体" w:eastAsia="宋体"/>
          <w:sz w:val="24"/>
          <w:szCs w:val="24"/>
        </w:rPr>
        <w:t>资格。</w:t>
      </w:r>
    </w:p>
    <w:p>
      <w:pPr>
        <w:snapToGrid w:val="0"/>
        <w:spacing w:line="420" w:lineRule="exact"/>
        <w:ind w:firstLine="480" w:firstLineChars="200"/>
        <w:rPr>
          <w:rFonts w:hint="eastAsia" w:ascii="宋体" w:hAnsi="宋体" w:eastAsia="宋体"/>
          <w:sz w:val="24"/>
          <w:szCs w:val="24"/>
        </w:rPr>
      </w:pPr>
      <w:r>
        <w:rPr>
          <w:rFonts w:hint="eastAsia" w:ascii="宋体" w:hAnsi="宋体" w:eastAsia="宋体"/>
          <w:sz w:val="24"/>
          <w:szCs w:val="24"/>
        </w:rPr>
        <w:t>6、我方愿意按磋商文件的规定交纳磋商保证金，并同意供应商须知中关于没收磋商保证金的规定。</w:t>
      </w:r>
    </w:p>
    <w:p>
      <w:pPr>
        <w:snapToGrid w:val="0"/>
        <w:spacing w:line="420" w:lineRule="exact"/>
        <w:ind w:firstLine="480" w:firstLineChars="200"/>
        <w:rPr>
          <w:rFonts w:hint="eastAsia" w:ascii="宋体" w:hAnsi="宋体" w:eastAsia="宋体"/>
          <w:sz w:val="24"/>
          <w:szCs w:val="24"/>
        </w:rPr>
      </w:pPr>
      <w:r>
        <w:rPr>
          <w:rFonts w:hint="eastAsia" w:ascii="宋体" w:hAnsi="宋体" w:eastAsia="宋体"/>
          <w:sz w:val="24"/>
          <w:szCs w:val="24"/>
        </w:rPr>
        <w:t>7、如果我方成交，我方愿意按磋商文件的规定支付招标代理服务费；</w:t>
      </w:r>
    </w:p>
    <w:p>
      <w:pPr>
        <w:snapToGrid w:val="0"/>
        <w:spacing w:line="420" w:lineRule="exact"/>
        <w:ind w:firstLine="480" w:firstLineChars="200"/>
        <w:rPr>
          <w:rFonts w:ascii="宋体" w:hAnsi="宋体" w:eastAsia="宋体"/>
          <w:sz w:val="24"/>
          <w:szCs w:val="24"/>
        </w:rPr>
      </w:pPr>
      <w:r>
        <w:rPr>
          <w:rFonts w:hint="eastAsia" w:ascii="宋体" w:hAnsi="宋体" w:eastAsia="宋体"/>
          <w:sz w:val="24"/>
          <w:szCs w:val="24"/>
        </w:rPr>
        <w:t>8</w:t>
      </w:r>
      <w:r>
        <w:rPr>
          <w:rFonts w:ascii="宋体" w:hAnsi="宋体" w:eastAsia="宋体"/>
          <w:sz w:val="24"/>
          <w:szCs w:val="24"/>
        </w:rPr>
        <w:t>、一旦我方成交</w:t>
      </w:r>
      <w:r>
        <w:rPr>
          <w:rFonts w:hint="eastAsia" w:ascii="宋体" w:hAnsi="宋体" w:eastAsia="宋体"/>
          <w:sz w:val="24"/>
          <w:szCs w:val="24"/>
        </w:rPr>
        <w:t>，</w:t>
      </w:r>
      <w:r>
        <w:rPr>
          <w:rFonts w:ascii="宋体" w:hAnsi="宋体" w:eastAsia="宋体"/>
          <w:sz w:val="24"/>
          <w:szCs w:val="24"/>
        </w:rPr>
        <w:t>我方将根据</w:t>
      </w:r>
      <w:r>
        <w:rPr>
          <w:rFonts w:hint="eastAsia" w:ascii="宋体" w:hAnsi="宋体" w:eastAsia="宋体"/>
          <w:sz w:val="24"/>
          <w:szCs w:val="24"/>
        </w:rPr>
        <w:t>磋商</w:t>
      </w:r>
      <w:r>
        <w:rPr>
          <w:rFonts w:ascii="宋体" w:hAnsi="宋体" w:eastAsia="宋体"/>
          <w:sz w:val="24"/>
          <w:szCs w:val="24"/>
        </w:rPr>
        <w:t>文件的规定，严格履行</w:t>
      </w:r>
      <w:r>
        <w:rPr>
          <w:rFonts w:hint="eastAsia" w:ascii="宋体" w:hAnsi="宋体" w:eastAsia="宋体"/>
          <w:sz w:val="24"/>
          <w:szCs w:val="24"/>
        </w:rPr>
        <w:t>磋商文件中规定的每一项要求，按期、按质、按量履行合同的义务。</w:t>
      </w:r>
    </w:p>
    <w:p>
      <w:pPr>
        <w:snapToGrid w:val="0"/>
        <w:spacing w:line="420" w:lineRule="exact"/>
        <w:ind w:firstLine="2400" w:firstLineChars="1000"/>
        <w:jc w:val="right"/>
        <w:rPr>
          <w:rFonts w:ascii="宋体" w:hAnsi="宋体" w:eastAsia="宋体"/>
          <w:sz w:val="24"/>
          <w:szCs w:val="24"/>
        </w:rPr>
      </w:pPr>
      <w:r>
        <w:rPr>
          <w:rFonts w:hint="eastAsia" w:ascii="宋体" w:hAnsi="宋体" w:eastAsia="宋体"/>
          <w:sz w:val="24"/>
          <w:szCs w:val="24"/>
        </w:rPr>
        <w:t>供应商</w:t>
      </w:r>
      <w:r>
        <w:rPr>
          <w:rFonts w:ascii="宋体" w:hAnsi="宋体" w:eastAsia="宋体"/>
          <w:sz w:val="24"/>
          <w:szCs w:val="24"/>
        </w:rPr>
        <w:t>：</w:t>
      </w:r>
      <w:r>
        <w:rPr>
          <w:rFonts w:ascii="宋体" w:hAnsi="宋体" w:eastAsia="宋体"/>
          <w:sz w:val="24"/>
          <w:szCs w:val="24"/>
          <w:u w:val="single"/>
        </w:rPr>
        <w:t xml:space="preserve">                    </w:t>
      </w:r>
      <w:r>
        <w:rPr>
          <w:rFonts w:ascii="宋体" w:hAnsi="宋体" w:eastAsia="宋体"/>
          <w:sz w:val="24"/>
          <w:szCs w:val="24"/>
        </w:rPr>
        <w:t>（加盖公章）</w:t>
      </w:r>
    </w:p>
    <w:p>
      <w:pPr>
        <w:snapToGrid w:val="0"/>
        <w:spacing w:line="420" w:lineRule="exact"/>
        <w:ind w:firstLine="2400" w:firstLineChars="1000"/>
        <w:jc w:val="right"/>
        <w:rPr>
          <w:rFonts w:ascii="宋体" w:hAnsi="宋体" w:eastAsia="宋体"/>
          <w:sz w:val="24"/>
          <w:szCs w:val="24"/>
        </w:rPr>
      </w:pPr>
      <w:r>
        <w:rPr>
          <w:rFonts w:ascii="宋体" w:hAnsi="宋体" w:eastAsia="宋体"/>
          <w:sz w:val="24"/>
          <w:szCs w:val="24"/>
        </w:rPr>
        <w:t>法定代表人或</w:t>
      </w:r>
      <w:r>
        <w:rPr>
          <w:rFonts w:hint="eastAsia" w:ascii="宋体" w:hAnsi="宋体" w:eastAsia="宋体"/>
          <w:sz w:val="24"/>
          <w:szCs w:val="24"/>
        </w:rPr>
        <w:t>被委托授权人</w:t>
      </w:r>
      <w:r>
        <w:rPr>
          <w:rFonts w:ascii="宋体" w:hAnsi="宋体" w:eastAsia="宋体"/>
          <w:sz w:val="24"/>
          <w:szCs w:val="24"/>
        </w:rPr>
        <w:t>：</w:t>
      </w:r>
      <w:r>
        <w:rPr>
          <w:rFonts w:ascii="宋体" w:hAnsi="宋体" w:eastAsia="宋体"/>
          <w:sz w:val="24"/>
          <w:szCs w:val="24"/>
          <w:u w:val="single"/>
        </w:rPr>
        <w:t xml:space="preserve">         </w:t>
      </w:r>
      <w:r>
        <w:rPr>
          <w:rFonts w:ascii="宋体" w:hAnsi="宋体" w:eastAsia="宋体"/>
          <w:sz w:val="24"/>
          <w:szCs w:val="24"/>
        </w:rPr>
        <w:t>（签字）</w:t>
      </w:r>
    </w:p>
    <w:p>
      <w:pPr>
        <w:pStyle w:val="13"/>
        <w:numPr>
          <w:ilvl w:val="0"/>
          <w:numId w:val="0"/>
        </w:numPr>
        <w:ind w:leftChars="200"/>
        <w:jc w:val="right"/>
        <w:rPr>
          <w:rFonts w:hint="eastAsia" w:ascii="宋体" w:hAnsi="宋体" w:eastAsia="宋体"/>
          <w:sz w:val="24"/>
          <w:szCs w:val="24"/>
        </w:rPr>
        <w:sectPr>
          <w:pgSz w:w="11906" w:h="16838"/>
          <w:pgMar w:top="1440" w:right="1800" w:bottom="1440" w:left="1800" w:header="851" w:footer="992" w:gutter="0"/>
          <w:cols w:space="425" w:num="1"/>
          <w:docGrid w:type="lines" w:linePitch="312" w:charSpace="0"/>
        </w:sectPr>
      </w:pPr>
      <w:r>
        <w:rPr>
          <w:rFonts w:hint="eastAsia" w:ascii="宋体" w:hAnsi="宋体" w:eastAsia="宋体"/>
          <w:sz w:val="24"/>
          <w:szCs w:val="24"/>
        </w:rPr>
        <w:t>二○一九年      月     日</w:t>
      </w:r>
    </w:p>
    <w:p>
      <w:pPr>
        <w:pStyle w:val="16"/>
        <w:snapToGrid w:val="0"/>
        <w:spacing w:line="240" w:lineRule="auto"/>
        <w:contextualSpacing/>
        <w:jc w:val="both"/>
        <w:rPr>
          <w:rFonts w:hint="default" w:asciiTheme="minorEastAsia" w:hAnsiTheme="minorEastAsia" w:eastAsiaTheme="minorEastAsia" w:cstheme="minorEastAsia"/>
          <w:b/>
          <w:bCs/>
          <w:sz w:val="32"/>
          <w:szCs w:val="32"/>
          <w:lang w:val="en-US" w:eastAsia="zh-CN"/>
        </w:rPr>
      </w:pPr>
      <w:bookmarkStart w:id="57" w:name="_Toc29768_WPSOffice_Level1"/>
      <w:bookmarkStart w:id="58" w:name="_Toc14152_WPSOffice_Level1"/>
      <w:r>
        <w:rPr>
          <w:rFonts w:hint="eastAsia" w:asciiTheme="minorEastAsia" w:hAnsiTheme="minorEastAsia" w:eastAsiaTheme="minorEastAsia" w:cstheme="minorEastAsia"/>
          <w:b/>
          <w:bCs/>
          <w:lang w:val="en-US" w:eastAsia="zh-CN"/>
        </w:rPr>
        <w:t>附件八：</w:t>
      </w:r>
      <w:bookmarkEnd w:id="57"/>
      <w:bookmarkEnd w:id="58"/>
    </w:p>
    <w:p>
      <w:pPr>
        <w:tabs>
          <w:tab w:val="left" w:pos="1260"/>
        </w:tabs>
        <w:snapToGrid w:val="0"/>
        <w:spacing w:line="300" w:lineRule="auto"/>
        <w:contextualSpacing/>
        <w:jc w:val="center"/>
        <w:rPr>
          <w:rFonts w:hint="eastAsia" w:asciiTheme="minorEastAsia" w:hAnsiTheme="minorEastAsia" w:eastAsiaTheme="minorEastAsia" w:cstheme="minorEastAsia"/>
          <w:b/>
          <w:sz w:val="36"/>
          <w:szCs w:val="36"/>
        </w:rPr>
      </w:pPr>
      <w:bookmarkStart w:id="59" w:name="_Toc4735_WPSOffice_Level1"/>
      <w:bookmarkStart w:id="60" w:name="_Toc21832_WPSOffice_Level1"/>
      <w:r>
        <w:rPr>
          <w:rFonts w:hint="eastAsia" w:asciiTheme="minorEastAsia" w:hAnsiTheme="minorEastAsia" w:eastAsiaTheme="minorEastAsia" w:cstheme="minorEastAsia"/>
          <w:b/>
          <w:sz w:val="36"/>
          <w:szCs w:val="36"/>
        </w:rPr>
        <w:t>磋商响应报价(首次)表</w:t>
      </w:r>
      <w:bookmarkEnd w:id="59"/>
      <w:bookmarkEnd w:id="60"/>
    </w:p>
    <w:p>
      <w:pPr>
        <w:snapToGrid w:val="0"/>
        <w:spacing w:line="40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r>
        <w:rPr>
          <w:rFonts w:hint="eastAsia" w:asciiTheme="minorEastAsia" w:hAnsiTheme="minorEastAsia" w:eastAsiaTheme="minorEastAsia" w:cstheme="minorEastAsia"/>
          <w:sz w:val="24"/>
          <w:szCs w:val="24"/>
          <w:lang w:eastAsia="zh-CN"/>
        </w:rPr>
        <w:t>南通市紫琅第一小学</w:t>
      </w:r>
      <w:r>
        <w:rPr>
          <w:rFonts w:hint="eastAsia" w:asciiTheme="minorEastAsia" w:hAnsiTheme="minorEastAsia" w:eastAsiaTheme="minorEastAsia" w:cstheme="minorEastAsia"/>
          <w:sz w:val="24"/>
          <w:szCs w:val="24"/>
        </w:rPr>
        <w:t>校园</w:t>
      </w:r>
      <w:r>
        <w:rPr>
          <w:rFonts w:hint="eastAsia" w:asciiTheme="minorEastAsia" w:hAnsiTheme="minorEastAsia" w:eastAsiaTheme="minorEastAsia" w:cstheme="minorEastAsia"/>
          <w:sz w:val="24"/>
          <w:szCs w:val="24"/>
          <w:lang w:val="en-US" w:eastAsia="zh-CN"/>
        </w:rPr>
        <w:t>LOGO设计和VI视觉识别系统设计</w:t>
      </w:r>
      <w:r>
        <w:rPr>
          <w:rFonts w:hint="eastAsia" w:asciiTheme="minorEastAsia" w:hAnsiTheme="minorEastAsia" w:eastAsiaTheme="minorEastAsia" w:cstheme="minorEastAsia"/>
          <w:sz w:val="24"/>
          <w:szCs w:val="24"/>
        </w:rPr>
        <w:t>项目</w:t>
      </w:r>
    </w:p>
    <w:tbl>
      <w:tblPr>
        <w:tblStyle w:val="10"/>
        <w:tblW w:w="9060" w:type="dxa"/>
        <w:tblInd w:w="-25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335"/>
        <w:gridCol w:w="47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7" w:hRule="atLeast"/>
        </w:trPr>
        <w:tc>
          <w:tcPr>
            <w:tcW w:w="433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
              <w:jc w:val="center"/>
              <w:textAlignment w:val="bottom"/>
              <w:rPr>
                <w:rFonts w:hint="eastAsia" w:asciiTheme="minorEastAsia" w:hAnsiTheme="minorEastAsia" w:eastAsiaTheme="minorEastAsia" w:cstheme="minorEastAsia"/>
                <w:b/>
                <w:kern w:val="0"/>
                <w:sz w:val="24"/>
                <w:szCs w:val="24"/>
                <w:lang w:eastAsia="en-US"/>
              </w:rPr>
            </w:pPr>
            <w:r>
              <w:rPr>
                <w:rFonts w:hint="eastAsia" w:asciiTheme="minorEastAsia" w:hAnsiTheme="minorEastAsia" w:eastAsiaTheme="minorEastAsia" w:cstheme="minorEastAsia"/>
                <w:b/>
                <w:kern w:val="0"/>
                <w:sz w:val="24"/>
                <w:szCs w:val="24"/>
              </w:rPr>
              <w:t>项目名称</w:t>
            </w:r>
          </w:p>
        </w:tc>
        <w:tc>
          <w:tcPr>
            <w:tcW w:w="47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
              <w:jc w:val="center"/>
              <w:textAlignment w:val="bottom"/>
              <w:rPr>
                <w:rFonts w:hint="eastAsia" w:asciiTheme="minorEastAsia" w:hAnsiTheme="minorEastAsia" w:eastAsiaTheme="minorEastAsia" w:cstheme="minorEastAsia"/>
                <w:b/>
                <w:kern w:val="0"/>
                <w:sz w:val="24"/>
                <w:szCs w:val="24"/>
                <w:lang w:eastAsia="en-US"/>
              </w:rPr>
            </w:pPr>
            <w:r>
              <w:rPr>
                <w:rFonts w:hint="eastAsia" w:asciiTheme="minorEastAsia" w:hAnsiTheme="minorEastAsia" w:eastAsiaTheme="minorEastAsia" w:cstheme="minorEastAsia"/>
                <w:b/>
                <w:kern w:val="0"/>
                <w:sz w:val="24"/>
                <w:szCs w:val="24"/>
              </w:rPr>
              <w:t>磋商响应报价（元）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55" w:hRule="atLeast"/>
        </w:trPr>
        <w:tc>
          <w:tcPr>
            <w:tcW w:w="433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sz w:val="24"/>
                <w:szCs w:val="24"/>
                <w:lang w:eastAsia="zh-CN"/>
              </w:rPr>
              <w:t>南通市紫琅第一小学</w:t>
            </w:r>
            <w:r>
              <w:rPr>
                <w:rFonts w:hint="eastAsia" w:asciiTheme="minorEastAsia" w:hAnsiTheme="minorEastAsia" w:eastAsiaTheme="minorEastAsia" w:cstheme="minorEastAsia"/>
                <w:sz w:val="24"/>
                <w:szCs w:val="24"/>
              </w:rPr>
              <w:t>校园</w:t>
            </w:r>
            <w:r>
              <w:rPr>
                <w:rFonts w:hint="eastAsia" w:asciiTheme="minorEastAsia" w:hAnsiTheme="minorEastAsia" w:eastAsiaTheme="minorEastAsia" w:cstheme="minorEastAsia"/>
                <w:sz w:val="24"/>
                <w:szCs w:val="24"/>
                <w:lang w:val="en-US" w:eastAsia="zh-CN"/>
              </w:rPr>
              <w:t>LOGO设计和VI视觉识别系统设计</w:t>
            </w:r>
            <w:r>
              <w:rPr>
                <w:rFonts w:hint="eastAsia" w:asciiTheme="minorEastAsia" w:hAnsiTheme="minorEastAsia" w:eastAsiaTheme="minorEastAsia" w:cstheme="minorEastAsia"/>
                <w:sz w:val="24"/>
                <w:szCs w:val="24"/>
              </w:rPr>
              <w:t>项目</w:t>
            </w:r>
          </w:p>
        </w:tc>
        <w:tc>
          <w:tcPr>
            <w:tcW w:w="472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 w:firstLine="27" w:firstLineChars="11"/>
              <w:textAlignment w:val="bottom"/>
              <w:rPr>
                <w:rFonts w:hint="eastAsia" w:asciiTheme="minorEastAsia" w:hAnsiTheme="minorEastAsia" w:eastAsiaTheme="minorEastAsia" w:cstheme="minorEastAsia"/>
                <w:b/>
                <w:kern w:val="0"/>
                <w:sz w:val="24"/>
                <w:szCs w:val="24"/>
                <w:lang w:eastAsia="en-US"/>
              </w:rPr>
            </w:pPr>
            <w:r>
              <w:rPr>
                <w:rFonts w:hint="eastAsia" w:asciiTheme="minorEastAsia" w:hAnsiTheme="minorEastAsia" w:eastAsiaTheme="minorEastAsia" w:cstheme="minorEastAsia"/>
                <w:b/>
                <w:kern w:val="0"/>
                <w:sz w:val="24"/>
                <w:szCs w:val="24"/>
              </w:rPr>
              <w:t>大写：</w:t>
            </w:r>
          </w:p>
          <w:p>
            <w:pPr>
              <w:spacing w:line="360" w:lineRule="exact"/>
              <w:ind w:left="1" w:firstLine="27" w:firstLineChars="11"/>
              <w:textAlignment w:val="bottom"/>
              <w:rPr>
                <w:rFonts w:hint="eastAsia" w:asciiTheme="minorEastAsia" w:hAnsiTheme="minorEastAsia" w:eastAsiaTheme="minorEastAsia" w:cstheme="minorEastAsia"/>
                <w:kern w:val="0"/>
                <w:sz w:val="24"/>
                <w:szCs w:val="24"/>
                <w:lang w:eastAsia="en-US"/>
              </w:rPr>
            </w:pPr>
            <w:r>
              <w:rPr>
                <w:rFonts w:hint="eastAsia" w:asciiTheme="minorEastAsia" w:hAnsiTheme="minorEastAsia" w:eastAsiaTheme="minorEastAsia" w:cstheme="minorEastAsia"/>
                <w:b/>
                <w:kern w:val="0"/>
                <w:sz w:val="24"/>
                <w:szCs w:val="24"/>
              </w:rPr>
              <w:t>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2" w:hRule="atLeast"/>
        </w:trPr>
        <w:tc>
          <w:tcPr>
            <w:tcW w:w="433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ind w:left="1"/>
              <w:jc w:val="left"/>
              <w:textAlignment w:val="bottom"/>
              <w:rPr>
                <w:rFonts w:hint="eastAsia" w:asciiTheme="minorEastAsia" w:hAnsiTheme="minorEastAsia" w:eastAsiaTheme="minorEastAsia" w:cstheme="minorEastAsia"/>
                <w:bCs/>
                <w:kern w:val="0"/>
                <w:sz w:val="24"/>
                <w:szCs w:val="24"/>
              </w:rPr>
            </w:pPr>
            <w:r>
              <w:rPr>
                <w:rFonts w:hint="eastAsia" w:asciiTheme="minorEastAsia" w:hAnsiTheme="minorEastAsia" w:eastAsiaTheme="minorEastAsia" w:cstheme="minorEastAsia"/>
                <w:kern w:val="0"/>
                <w:sz w:val="24"/>
                <w:szCs w:val="24"/>
              </w:rPr>
              <w:t>付款结算方式</w:t>
            </w:r>
          </w:p>
        </w:tc>
        <w:tc>
          <w:tcPr>
            <w:tcW w:w="4725" w:type="dxa"/>
            <w:tcBorders>
              <w:top w:val="single" w:color="auto" w:sz="4" w:space="0"/>
              <w:left w:val="single" w:color="auto" w:sz="4" w:space="0"/>
              <w:bottom w:val="single" w:color="auto" w:sz="4" w:space="0"/>
              <w:right w:val="single" w:color="auto" w:sz="4" w:space="0"/>
            </w:tcBorders>
            <w:noWrap w:val="0"/>
            <w:vAlign w:val="center"/>
          </w:tcPr>
          <w:p>
            <w:pPr>
              <w:spacing w:line="420" w:lineRule="exact"/>
              <w:ind w:left="1"/>
              <w:textAlignment w:val="bottom"/>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完全响应竞争性磋商文件要求的付款方式。</w:t>
            </w:r>
          </w:p>
        </w:tc>
      </w:tr>
    </w:tbl>
    <w:p>
      <w:pPr>
        <w:kinsoku w:val="0"/>
        <w:topLinePunct/>
        <w:snapToGrid w:val="0"/>
        <w:spacing w:line="4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供应商：（盖章）             </w:t>
      </w:r>
    </w:p>
    <w:p>
      <w:pPr>
        <w:kinsoku w:val="0"/>
        <w:topLinePunct/>
        <w:snapToGrid w:val="0"/>
        <w:spacing w:line="4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法定代表人或被委托授权人（签字或盖章）：</w:t>
      </w:r>
    </w:p>
    <w:p>
      <w:pPr>
        <w:kinsoku w:val="0"/>
        <w:topLinePunct/>
        <w:snapToGrid w:val="0"/>
        <w:spacing w:line="42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kinsoku w:val="0"/>
        <w:topLinePunct/>
        <w:snapToGrid w:val="0"/>
        <w:spacing w:line="420" w:lineRule="exact"/>
        <w:rPr>
          <w:rFonts w:hint="eastAsia" w:asciiTheme="minorEastAsia" w:hAnsiTheme="minorEastAsia" w:eastAsiaTheme="minorEastAsia" w:cstheme="minorEastAsia"/>
          <w:sz w:val="24"/>
          <w:szCs w:val="24"/>
        </w:rPr>
      </w:pPr>
    </w:p>
    <w:p>
      <w:pPr>
        <w:snapToGrid w:val="0"/>
        <w:spacing w:line="300" w:lineRule="exact"/>
        <w:ind w:firstLine="496" w:firstLineChars="206"/>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注：</w:t>
      </w:r>
    </w:p>
    <w:p>
      <w:pPr>
        <w:snapToGrid w:val="0"/>
        <w:spacing w:line="300" w:lineRule="exact"/>
        <w:ind w:firstLine="496" w:firstLineChars="206"/>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w:t>
      </w:r>
      <w:r>
        <w:rPr>
          <w:rFonts w:hint="eastAsia" w:asciiTheme="minorEastAsia" w:hAnsiTheme="minorEastAsia" w:eastAsiaTheme="minorEastAsia" w:cstheme="minorEastAsia"/>
          <w:b/>
          <w:bCs/>
          <w:sz w:val="24"/>
          <w:szCs w:val="24"/>
          <w:u w:val="thick" w:color="FF0000"/>
        </w:rPr>
        <w:t>本表为格式表，不得改动，必须提供。</w:t>
      </w:r>
    </w:p>
    <w:p>
      <w:pPr>
        <w:pStyle w:val="13"/>
        <w:numPr>
          <w:ilvl w:val="0"/>
          <w:numId w:val="0"/>
        </w:numPr>
        <w:ind w:leftChars="200"/>
        <w:jc w:val="left"/>
        <w:rPr>
          <w:rFonts w:hint="eastAsia" w:asciiTheme="minorEastAsia" w:hAnsiTheme="minorEastAsia" w:eastAsiaTheme="minorEastAsia" w:cstheme="minorEastAsia"/>
          <w:b/>
          <w:bCs/>
          <w:sz w:val="24"/>
          <w:szCs w:val="24"/>
          <w:highlight w:val="none"/>
        </w:rPr>
        <w:sectPr>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b/>
          <w:bCs/>
          <w:sz w:val="24"/>
          <w:szCs w:val="24"/>
          <w:highlight w:val="none"/>
        </w:rPr>
        <w:t>2、磋商响应报价应包含：所投项目及相关劳务支出等工作所发生的全部费用，以及供应商企业利润、税金和政策性文件规定及合同包含的所有风险、责任等，即招标物交付使用前的所有费用以及免保期内的服务费用等包含响应招标文件采购要求的所有各项应有费用。</w:t>
      </w:r>
    </w:p>
    <w:p>
      <w:pPr>
        <w:snapToGrid w:val="0"/>
        <w:spacing w:before="240" w:beforeLines="100" w:line="380" w:lineRule="exact"/>
        <w:jc w:val="left"/>
        <w:outlineLvl w:val="3"/>
        <w:rPr>
          <w:rFonts w:hint="default" w:ascii="宋体" w:hAnsi="宋体" w:eastAsia="宋体"/>
          <w:b/>
          <w:sz w:val="24"/>
          <w:szCs w:val="24"/>
          <w:lang w:val="en-US" w:eastAsia="zh-CN"/>
        </w:rPr>
      </w:pPr>
      <w:bookmarkStart w:id="61" w:name="_Toc7562_WPSOffice_Level1"/>
      <w:bookmarkStart w:id="62" w:name="_Toc30137_WPSOffice_Level1"/>
      <w:r>
        <w:rPr>
          <w:rFonts w:hint="eastAsia" w:ascii="宋体" w:hAnsi="宋体" w:eastAsia="宋体"/>
          <w:b/>
          <w:sz w:val="24"/>
          <w:szCs w:val="24"/>
          <w:lang w:val="en-US" w:eastAsia="zh-CN"/>
        </w:rPr>
        <w:t>附件九：</w:t>
      </w:r>
      <w:bookmarkEnd w:id="61"/>
      <w:bookmarkEnd w:id="62"/>
    </w:p>
    <w:p>
      <w:pPr>
        <w:pStyle w:val="13"/>
        <w:rPr>
          <w:rFonts w:hint="eastAsia"/>
          <w:lang w:val="en-US" w:eastAsia="zh-CN"/>
        </w:rPr>
      </w:pPr>
    </w:p>
    <w:p>
      <w:pPr>
        <w:tabs>
          <w:tab w:val="left" w:pos="1260"/>
        </w:tabs>
        <w:snapToGrid w:val="0"/>
        <w:spacing w:line="300" w:lineRule="auto"/>
        <w:contextualSpacing/>
        <w:jc w:val="center"/>
        <w:rPr>
          <w:rFonts w:hint="eastAsia" w:asciiTheme="minorEastAsia" w:hAnsiTheme="minorEastAsia" w:eastAsiaTheme="minorEastAsia" w:cstheme="minorEastAsia"/>
          <w:b/>
          <w:sz w:val="36"/>
          <w:szCs w:val="36"/>
        </w:rPr>
      </w:pPr>
      <w:bookmarkStart w:id="63" w:name="_Toc9606_WPSOffice_Level1"/>
      <w:r>
        <w:rPr>
          <w:rFonts w:hint="eastAsia" w:asciiTheme="minorEastAsia" w:hAnsiTheme="minorEastAsia" w:eastAsiaTheme="minorEastAsia" w:cstheme="minorEastAsia"/>
          <w:b/>
          <w:sz w:val="36"/>
          <w:szCs w:val="36"/>
        </w:rPr>
        <w:t>磋商响应报价明细表</w:t>
      </w:r>
      <w:bookmarkEnd w:id="63"/>
    </w:p>
    <w:p>
      <w:pPr>
        <w:keepNext w:val="0"/>
        <w:keepLines w:val="0"/>
        <w:pageBreakBefore w:val="0"/>
        <w:widowControl w:val="0"/>
        <w:wordWrap/>
        <w:overflowPunct/>
        <w:autoSpaceDE/>
        <w:autoSpaceDN/>
        <w:bidi w:val="0"/>
        <w:adjustRightInd/>
        <w:snapToGrid w:val="0"/>
        <w:spacing w:line="360" w:lineRule="auto"/>
        <w:jc w:val="left"/>
        <w:textAlignment w:val="auto"/>
        <w:rPr>
          <w:rFonts w:hint="eastAsia" w:ascii="宋体" w:hAnsi="宋体" w:eastAsia="宋体"/>
          <w:sz w:val="24"/>
          <w:szCs w:val="24"/>
          <w:highlight w:val="yellow"/>
          <w:lang w:eastAsia="zh-CN"/>
        </w:rPr>
      </w:pPr>
      <w:r>
        <w:rPr>
          <w:rFonts w:hint="eastAsia" w:ascii="宋体" w:hAnsi="宋体" w:eastAsia="宋体"/>
          <w:sz w:val="24"/>
          <w:szCs w:val="24"/>
        </w:rPr>
        <w:t>项目名称：</w:t>
      </w:r>
      <w:r>
        <w:rPr>
          <w:rFonts w:hint="eastAsia" w:asciiTheme="minorEastAsia" w:hAnsiTheme="minorEastAsia" w:eastAsiaTheme="minorEastAsia" w:cstheme="minorEastAsia"/>
          <w:sz w:val="24"/>
          <w:szCs w:val="24"/>
          <w:lang w:eastAsia="zh-CN"/>
        </w:rPr>
        <w:t>南通市紫琅第一小学</w:t>
      </w:r>
      <w:r>
        <w:rPr>
          <w:rFonts w:hint="eastAsia" w:asciiTheme="minorEastAsia" w:hAnsiTheme="minorEastAsia" w:eastAsiaTheme="minorEastAsia" w:cstheme="minorEastAsia"/>
          <w:sz w:val="24"/>
          <w:szCs w:val="24"/>
        </w:rPr>
        <w:t>校园</w:t>
      </w:r>
      <w:r>
        <w:rPr>
          <w:rFonts w:hint="eastAsia" w:asciiTheme="minorEastAsia" w:hAnsiTheme="minorEastAsia" w:eastAsiaTheme="minorEastAsia" w:cstheme="minorEastAsia"/>
          <w:sz w:val="24"/>
          <w:szCs w:val="24"/>
          <w:lang w:val="en-US" w:eastAsia="zh-CN"/>
        </w:rPr>
        <w:t>LOGO设计和VI视觉识别系统设计</w:t>
      </w:r>
      <w:r>
        <w:rPr>
          <w:rFonts w:hint="eastAsia" w:asciiTheme="minorEastAsia" w:hAnsiTheme="minorEastAsia" w:eastAsiaTheme="minorEastAsia" w:cstheme="minorEastAsia"/>
          <w:sz w:val="24"/>
          <w:szCs w:val="24"/>
        </w:rPr>
        <w:t>项目</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758"/>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jc w:val="center"/>
        </w:trPr>
        <w:tc>
          <w:tcPr>
            <w:tcW w:w="1065" w:type="dxa"/>
            <w:vAlign w:val="center"/>
          </w:tcPr>
          <w:p>
            <w:pPr>
              <w:spacing w:line="240" w:lineRule="atLeast"/>
              <w:jc w:val="center"/>
              <w:rPr>
                <w:rFonts w:hint="eastAsia"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序号</w:t>
            </w:r>
          </w:p>
        </w:tc>
        <w:tc>
          <w:tcPr>
            <w:tcW w:w="2130" w:type="dxa"/>
            <w:gridSpan w:val="2"/>
            <w:vAlign w:val="center"/>
          </w:tcPr>
          <w:p>
            <w:pPr>
              <w:spacing w:line="240" w:lineRule="atLeast"/>
              <w:jc w:val="center"/>
              <w:rPr>
                <w:rFonts w:hint="eastAsia" w:ascii="仿宋" w:hAnsi="仿宋" w:eastAsia="仿宋"/>
                <w:b/>
                <w:color w:val="000000" w:themeColor="text1"/>
                <w:sz w:val="28"/>
                <w:szCs w:val="28"/>
                <w14:textFill>
                  <w14:solidFill>
                    <w14:schemeClr w14:val="tx1"/>
                  </w14:solidFill>
                </w14:textFill>
              </w:rPr>
            </w:pPr>
          </w:p>
          <w:p>
            <w:pPr>
              <w:spacing w:line="240" w:lineRule="atLeast"/>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名称</w:t>
            </w:r>
          </w:p>
          <w:p>
            <w:pPr>
              <w:spacing w:line="240" w:lineRule="atLeast"/>
              <w:jc w:val="center"/>
              <w:rPr>
                <w:rFonts w:hint="eastAsia" w:ascii="仿宋" w:hAnsi="仿宋" w:eastAsia="仿宋"/>
                <w:b/>
                <w:color w:val="000000" w:themeColor="text1"/>
                <w:sz w:val="28"/>
                <w:szCs w:val="28"/>
                <w14:textFill>
                  <w14:solidFill>
                    <w14:schemeClr w14:val="tx1"/>
                  </w14:solidFill>
                </w14:textFill>
              </w:rPr>
            </w:pPr>
          </w:p>
        </w:tc>
        <w:tc>
          <w:tcPr>
            <w:tcW w:w="1065" w:type="dxa"/>
            <w:vAlign w:val="center"/>
          </w:tcPr>
          <w:p>
            <w:pPr>
              <w:spacing w:line="240" w:lineRule="atLeast"/>
              <w:jc w:val="center"/>
              <w:rPr>
                <w:rFonts w:hint="eastAsia"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计量</w:t>
            </w:r>
          </w:p>
          <w:p>
            <w:pPr>
              <w:spacing w:line="240" w:lineRule="atLeast"/>
              <w:jc w:val="center"/>
              <w:rPr>
                <w:rFonts w:hint="eastAsia"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单位</w:t>
            </w:r>
          </w:p>
        </w:tc>
        <w:tc>
          <w:tcPr>
            <w:tcW w:w="1065" w:type="dxa"/>
            <w:vAlign w:val="center"/>
          </w:tcPr>
          <w:p>
            <w:pPr>
              <w:spacing w:line="240" w:lineRule="atLeast"/>
              <w:jc w:val="center"/>
              <w:rPr>
                <w:rFonts w:hint="eastAsia"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数量</w:t>
            </w:r>
          </w:p>
        </w:tc>
        <w:tc>
          <w:tcPr>
            <w:tcW w:w="1758" w:type="dxa"/>
            <w:vAlign w:val="center"/>
          </w:tcPr>
          <w:p>
            <w:pPr>
              <w:spacing w:line="240" w:lineRule="atLeast"/>
              <w:jc w:val="center"/>
              <w:rPr>
                <w:rFonts w:hint="eastAsia"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单价</w:t>
            </w:r>
          </w:p>
        </w:tc>
        <w:tc>
          <w:tcPr>
            <w:tcW w:w="1439" w:type="dxa"/>
            <w:vAlign w:val="center"/>
          </w:tcPr>
          <w:p>
            <w:pPr>
              <w:spacing w:line="240" w:lineRule="atLeast"/>
              <w:rPr>
                <w:rFonts w:hint="eastAsia"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5" w:type="dxa"/>
            <w:vAlign w:val="center"/>
          </w:tcPr>
          <w:p>
            <w:pPr>
              <w:spacing w:before="156" w:beforeLines="50" w:after="156" w:afterLines="50" w:line="360" w:lineRule="auto"/>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w:t>
            </w:r>
          </w:p>
        </w:tc>
        <w:tc>
          <w:tcPr>
            <w:tcW w:w="2130" w:type="dxa"/>
            <w:gridSpan w:val="2"/>
            <w:vAlign w:val="center"/>
          </w:tcPr>
          <w:p>
            <w:pPr>
              <w:keepNext w:val="0"/>
              <w:keepLines w:val="0"/>
              <w:pageBreakBefore w:val="0"/>
              <w:widowControl w:val="0"/>
              <w:wordWrap/>
              <w:overflowPunct/>
              <w:autoSpaceDE/>
              <w:autoSpaceDN/>
              <w:bidi w:val="0"/>
              <w:adjustRightInd/>
              <w:snapToGrid w:val="0"/>
              <w:spacing w:line="360" w:lineRule="auto"/>
              <w:jc w:val="center"/>
              <w:textAlignment w:val="auto"/>
              <w:rPr>
                <w:rFonts w:hint="eastAsia" w:ascii="宋体" w:hAnsi="宋体" w:eastAsia="宋体"/>
                <w:sz w:val="24"/>
                <w:szCs w:val="24"/>
              </w:rPr>
            </w:pPr>
            <w:r>
              <w:rPr>
                <w:rFonts w:hint="eastAsia" w:ascii="宋体" w:hAnsi="宋体" w:eastAsia="宋体"/>
                <w:sz w:val="24"/>
                <w:szCs w:val="24"/>
              </w:rPr>
              <w:t>基础部分</w:t>
            </w:r>
          </w:p>
        </w:tc>
        <w:tc>
          <w:tcPr>
            <w:tcW w:w="1065" w:type="dxa"/>
            <w:vAlign w:val="center"/>
          </w:tcPr>
          <w:p>
            <w:pPr>
              <w:keepNext w:val="0"/>
              <w:keepLines w:val="0"/>
              <w:pageBreakBefore w:val="0"/>
              <w:widowControl w:val="0"/>
              <w:wordWrap/>
              <w:overflowPunct/>
              <w:autoSpaceDE/>
              <w:autoSpaceDN/>
              <w:bidi w:val="0"/>
              <w:adjustRightInd/>
              <w:snapToGrid w:val="0"/>
              <w:spacing w:line="360" w:lineRule="auto"/>
              <w:jc w:val="center"/>
              <w:textAlignment w:val="auto"/>
              <w:rPr>
                <w:rFonts w:hint="eastAsia" w:ascii="宋体" w:hAnsi="宋体" w:eastAsia="宋体"/>
                <w:sz w:val="24"/>
                <w:szCs w:val="24"/>
              </w:rPr>
            </w:pPr>
            <w:r>
              <w:rPr>
                <w:rFonts w:hint="eastAsia" w:ascii="宋体" w:hAnsi="宋体" w:eastAsia="宋体"/>
                <w:sz w:val="24"/>
                <w:szCs w:val="24"/>
              </w:rPr>
              <w:t>套</w:t>
            </w:r>
          </w:p>
        </w:tc>
        <w:tc>
          <w:tcPr>
            <w:tcW w:w="1065" w:type="dxa"/>
            <w:vAlign w:val="center"/>
          </w:tcPr>
          <w:p>
            <w:pPr>
              <w:spacing w:before="156" w:beforeLines="50" w:after="156" w:afterLines="50" w:line="360" w:lineRule="auto"/>
              <w:jc w:val="center"/>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p>
        </w:tc>
        <w:tc>
          <w:tcPr>
            <w:tcW w:w="1758" w:type="dxa"/>
            <w:vAlign w:val="center"/>
          </w:tcPr>
          <w:p>
            <w:pPr>
              <w:spacing w:before="156" w:beforeLines="50" w:after="156" w:afterLines="50" w:line="360" w:lineRule="auto"/>
              <w:jc w:val="center"/>
              <w:rPr>
                <w:rFonts w:hint="eastAsia" w:ascii="仿宋" w:hAnsi="仿宋" w:eastAsia="仿宋"/>
                <w:color w:val="000000" w:themeColor="text1"/>
                <w:sz w:val="28"/>
                <w:szCs w:val="28"/>
                <w14:textFill>
                  <w14:solidFill>
                    <w14:schemeClr w14:val="tx1"/>
                  </w14:solidFill>
                </w14:textFill>
              </w:rPr>
            </w:pPr>
          </w:p>
        </w:tc>
        <w:tc>
          <w:tcPr>
            <w:tcW w:w="1439" w:type="dxa"/>
            <w:vAlign w:val="center"/>
          </w:tcPr>
          <w:p>
            <w:pPr>
              <w:spacing w:before="156" w:beforeLines="50" w:after="156" w:afterLines="50" w:line="360" w:lineRule="auto"/>
              <w:jc w:val="center"/>
              <w:rPr>
                <w:rFonts w:hint="eastAsia"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5" w:type="dxa"/>
            <w:vAlign w:val="center"/>
          </w:tcPr>
          <w:p>
            <w:pPr>
              <w:spacing w:before="156" w:beforeLines="50" w:after="156" w:afterLines="50" w:line="360" w:lineRule="auto"/>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w:t>
            </w:r>
          </w:p>
        </w:tc>
        <w:tc>
          <w:tcPr>
            <w:tcW w:w="2130" w:type="dxa"/>
            <w:gridSpan w:val="2"/>
            <w:vAlign w:val="center"/>
          </w:tcPr>
          <w:p>
            <w:pPr>
              <w:keepNext w:val="0"/>
              <w:keepLines w:val="0"/>
              <w:pageBreakBefore w:val="0"/>
              <w:widowControl w:val="0"/>
              <w:wordWrap/>
              <w:overflowPunct/>
              <w:autoSpaceDE/>
              <w:autoSpaceDN/>
              <w:bidi w:val="0"/>
              <w:adjustRightInd/>
              <w:snapToGrid w:val="0"/>
              <w:spacing w:line="360" w:lineRule="auto"/>
              <w:jc w:val="center"/>
              <w:textAlignment w:val="auto"/>
              <w:rPr>
                <w:rFonts w:hint="eastAsia" w:ascii="宋体" w:hAnsi="宋体" w:eastAsia="宋体"/>
                <w:sz w:val="24"/>
                <w:szCs w:val="24"/>
              </w:rPr>
            </w:pPr>
            <w:r>
              <w:rPr>
                <w:rFonts w:hint="eastAsia" w:ascii="宋体" w:hAnsi="宋体" w:eastAsia="宋体"/>
                <w:sz w:val="24"/>
                <w:szCs w:val="24"/>
              </w:rPr>
              <w:t>应用部分</w:t>
            </w:r>
          </w:p>
        </w:tc>
        <w:tc>
          <w:tcPr>
            <w:tcW w:w="1065" w:type="dxa"/>
            <w:vAlign w:val="center"/>
          </w:tcPr>
          <w:p>
            <w:pPr>
              <w:keepNext w:val="0"/>
              <w:keepLines w:val="0"/>
              <w:pageBreakBefore w:val="0"/>
              <w:widowControl w:val="0"/>
              <w:wordWrap/>
              <w:overflowPunct/>
              <w:autoSpaceDE/>
              <w:autoSpaceDN/>
              <w:bidi w:val="0"/>
              <w:adjustRightInd/>
              <w:snapToGrid w:val="0"/>
              <w:spacing w:line="360" w:lineRule="auto"/>
              <w:jc w:val="center"/>
              <w:textAlignment w:val="auto"/>
              <w:rPr>
                <w:rFonts w:hint="eastAsia" w:ascii="宋体" w:hAnsi="宋体" w:eastAsia="宋体"/>
                <w:sz w:val="24"/>
                <w:szCs w:val="24"/>
              </w:rPr>
            </w:pPr>
            <w:r>
              <w:rPr>
                <w:rFonts w:hint="eastAsia" w:ascii="宋体" w:hAnsi="宋体" w:eastAsia="宋体"/>
                <w:sz w:val="24"/>
                <w:szCs w:val="24"/>
              </w:rPr>
              <w:t>套</w:t>
            </w:r>
          </w:p>
        </w:tc>
        <w:tc>
          <w:tcPr>
            <w:tcW w:w="1065" w:type="dxa"/>
            <w:vAlign w:val="center"/>
          </w:tcPr>
          <w:p>
            <w:pPr>
              <w:spacing w:before="156" w:beforeLines="50" w:after="156" w:afterLines="50" w:line="360" w:lineRule="auto"/>
              <w:jc w:val="center"/>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w:t>
            </w:r>
          </w:p>
        </w:tc>
        <w:tc>
          <w:tcPr>
            <w:tcW w:w="1758" w:type="dxa"/>
            <w:vAlign w:val="center"/>
          </w:tcPr>
          <w:p>
            <w:pPr>
              <w:spacing w:before="156" w:beforeLines="50" w:after="156" w:afterLines="50" w:line="360" w:lineRule="auto"/>
              <w:jc w:val="center"/>
              <w:rPr>
                <w:rFonts w:hint="eastAsia" w:ascii="仿宋" w:hAnsi="仿宋" w:eastAsia="仿宋"/>
                <w:color w:val="000000" w:themeColor="text1"/>
                <w:sz w:val="28"/>
                <w:szCs w:val="28"/>
                <w14:textFill>
                  <w14:solidFill>
                    <w14:schemeClr w14:val="tx1"/>
                  </w14:solidFill>
                </w14:textFill>
              </w:rPr>
            </w:pPr>
          </w:p>
        </w:tc>
        <w:tc>
          <w:tcPr>
            <w:tcW w:w="1439" w:type="dxa"/>
            <w:vAlign w:val="center"/>
          </w:tcPr>
          <w:p>
            <w:pPr>
              <w:spacing w:before="156" w:beforeLines="50" w:after="156" w:afterLines="50" w:line="360" w:lineRule="auto"/>
              <w:jc w:val="center"/>
              <w:rPr>
                <w:rFonts w:hint="eastAsia"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5" w:type="dxa"/>
            <w:vAlign w:val="center"/>
          </w:tcPr>
          <w:p>
            <w:pPr>
              <w:spacing w:before="156" w:beforeLines="50" w:after="156" w:afterLines="50" w:line="360" w:lineRule="auto"/>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w:t>
            </w:r>
          </w:p>
        </w:tc>
        <w:tc>
          <w:tcPr>
            <w:tcW w:w="2130" w:type="dxa"/>
            <w:gridSpan w:val="2"/>
            <w:vAlign w:val="center"/>
          </w:tcPr>
          <w:p>
            <w:pPr>
              <w:keepNext w:val="0"/>
              <w:keepLines w:val="0"/>
              <w:pageBreakBefore w:val="0"/>
              <w:widowControl w:val="0"/>
              <w:wordWrap/>
              <w:overflowPunct/>
              <w:autoSpaceDE/>
              <w:autoSpaceDN/>
              <w:bidi w:val="0"/>
              <w:adjustRightInd/>
              <w:snapToGrid w:val="0"/>
              <w:spacing w:line="360" w:lineRule="auto"/>
              <w:jc w:val="center"/>
              <w:textAlignment w:val="auto"/>
              <w:rPr>
                <w:rFonts w:hint="eastAsia" w:ascii="宋体" w:hAnsi="宋体" w:eastAsia="宋体"/>
                <w:sz w:val="24"/>
                <w:szCs w:val="24"/>
              </w:rPr>
            </w:pPr>
            <w:r>
              <w:rPr>
                <w:rFonts w:hint="eastAsia" w:ascii="宋体" w:hAnsi="宋体" w:eastAsia="宋体"/>
                <w:sz w:val="24"/>
                <w:szCs w:val="24"/>
              </w:rPr>
              <w:t>税</w:t>
            </w:r>
          </w:p>
        </w:tc>
        <w:tc>
          <w:tcPr>
            <w:tcW w:w="1065" w:type="dxa"/>
            <w:vAlign w:val="center"/>
          </w:tcPr>
          <w:p>
            <w:pPr>
              <w:keepNext w:val="0"/>
              <w:keepLines w:val="0"/>
              <w:pageBreakBefore w:val="0"/>
              <w:widowControl w:val="0"/>
              <w:wordWrap/>
              <w:overflowPunct/>
              <w:autoSpaceDE/>
              <w:autoSpaceDN/>
              <w:bidi w:val="0"/>
              <w:adjustRightInd/>
              <w:snapToGrid w:val="0"/>
              <w:spacing w:line="360" w:lineRule="auto"/>
              <w:jc w:val="center"/>
              <w:textAlignment w:val="auto"/>
              <w:rPr>
                <w:rFonts w:hint="eastAsia" w:ascii="宋体" w:hAnsi="宋体" w:eastAsia="宋体"/>
                <w:sz w:val="24"/>
                <w:szCs w:val="24"/>
              </w:rPr>
            </w:pPr>
          </w:p>
        </w:tc>
        <w:tc>
          <w:tcPr>
            <w:tcW w:w="1065" w:type="dxa"/>
            <w:vAlign w:val="center"/>
          </w:tcPr>
          <w:p>
            <w:pPr>
              <w:spacing w:before="156" w:beforeLines="50" w:after="156" w:afterLines="50" w:line="360" w:lineRule="auto"/>
              <w:jc w:val="center"/>
              <w:rPr>
                <w:rFonts w:hint="eastAsia" w:ascii="仿宋" w:hAnsi="仿宋" w:eastAsia="仿宋"/>
                <w:color w:val="000000" w:themeColor="text1"/>
                <w:sz w:val="28"/>
                <w:szCs w:val="28"/>
                <w14:textFill>
                  <w14:solidFill>
                    <w14:schemeClr w14:val="tx1"/>
                  </w14:solidFill>
                </w14:textFill>
              </w:rPr>
            </w:pPr>
          </w:p>
        </w:tc>
        <w:tc>
          <w:tcPr>
            <w:tcW w:w="1758" w:type="dxa"/>
            <w:vAlign w:val="center"/>
          </w:tcPr>
          <w:p>
            <w:pPr>
              <w:spacing w:before="156" w:beforeLines="50" w:after="156" w:afterLines="50" w:line="360" w:lineRule="auto"/>
              <w:jc w:val="center"/>
              <w:rPr>
                <w:rFonts w:hint="eastAsia" w:ascii="仿宋" w:hAnsi="仿宋" w:eastAsia="仿宋"/>
                <w:color w:val="000000" w:themeColor="text1"/>
                <w:sz w:val="28"/>
                <w:szCs w:val="28"/>
                <w14:textFill>
                  <w14:solidFill>
                    <w14:schemeClr w14:val="tx1"/>
                  </w14:solidFill>
                </w14:textFill>
              </w:rPr>
            </w:pPr>
          </w:p>
        </w:tc>
        <w:tc>
          <w:tcPr>
            <w:tcW w:w="1439" w:type="dxa"/>
            <w:vAlign w:val="center"/>
          </w:tcPr>
          <w:p>
            <w:pPr>
              <w:spacing w:before="156" w:beforeLines="50" w:after="156" w:afterLines="50" w:line="360" w:lineRule="auto"/>
              <w:jc w:val="center"/>
              <w:rPr>
                <w:rFonts w:hint="eastAsia"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5" w:type="dxa"/>
            <w:vAlign w:val="center"/>
          </w:tcPr>
          <w:p>
            <w:pPr>
              <w:spacing w:before="156" w:beforeLines="50" w:after="156" w:afterLines="50" w:line="360" w:lineRule="auto"/>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w:t>
            </w:r>
          </w:p>
        </w:tc>
        <w:tc>
          <w:tcPr>
            <w:tcW w:w="2130" w:type="dxa"/>
            <w:gridSpan w:val="2"/>
            <w:vAlign w:val="center"/>
          </w:tcPr>
          <w:p>
            <w:pPr>
              <w:keepNext w:val="0"/>
              <w:keepLines w:val="0"/>
              <w:pageBreakBefore w:val="0"/>
              <w:widowControl w:val="0"/>
              <w:wordWrap/>
              <w:overflowPunct/>
              <w:autoSpaceDE/>
              <w:autoSpaceDN/>
              <w:bidi w:val="0"/>
              <w:adjustRightInd/>
              <w:snapToGrid w:val="0"/>
              <w:spacing w:line="360" w:lineRule="auto"/>
              <w:jc w:val="center"/>
              <w:textAlignment w:val="auto"/>
              <w:rPr>
                <w:rFonts w:hint="eastAsia" w:ascii="宋体" w:hAnsi="宋体" w:eastAsia="宋体"/>
                <w:sz w:val="24"/>
                <w:szCs w:val="24"/>
              </w:rPr>
            </w:pPr>
            <w:r>
              <w:rPr>
                <w:rFonts w:hint="eastAsia" w:ascii="宋体" w:hAnsi="宋体" w:eastAsia="宋体"/>
                <w:sz w:val="24"/>
                <w:szCs w:val="24"/>
              </w:rPr>
              <w:t>其他费用</w:t>
            </w:r>
          </w:p>
        </w:tc>
        <w:tc>
          <w:tcPr>
            <w:tcW w:w="1065" w:type="dxa"/>
            <w:vAlign w:val="center"/>
          </w:tcPr>
          <w:p>
            <w:pPr>
              <w:keepNext w:val="0"/>
              <w:keepLines w:val="0"/>
              <w:pageBreakBefore w:val="0"/>
              <w:widowControl w:val="0"/>
              <w:wordWrap/>
              <w:overflowPunct/>
              <w:autoSpaceDE/>
              <w:autoSpaceDN/>
              <w:bidi w:val="0"/>
              <w:adjustRightInd/>
              <w:snapToGrid w:val="0"/>
              <w:spacing w:line="360" w:lineRule="auto"/>
              <w:jc w:val="center"/>
              <w:textAlignment w:val="auto"/>
              <w:rPr>
                <w:rFonts w:hint="eastAsia" w:ascii="宋体" w:hAnsi="宋体" w:eastAsia="宋体"/>
                <w:sz w:val="24"/>
                <w:szCs w:val="24"/>
              </w:rPr>
            </w:pPr>
          </w:p>
        </w:tc>
        <w:tc>
          <w:tcPr>
            <w:tcW w:w="1065" w:type="dxa"/>
            <w:vAlign w:val="center"/>
          </w:tcPr>
          <w:p>
            <w:pPr>
              <w:spacing w:before="156" w:beforeLines="50" w:after="156" w:afterLines="50" w:line="360" w:lineRule="auto"/>
              <w:jc w:val="center"/>
              <w:rPr>
                <w:rFonts w:hint="eastAsia" w:ascii="仿宋" w:hAnsi="仿宋" w:eastAsia="仿宋"/>
                <w:color w:val="000000" w:themeColor="text1"/>
                <w:sz w:val="28"/>
                <w:szCs w:val="28"/>
                <w14:textFill>
                  <w14:solidFill>
                    <w14:schemeClr w14:val="tx1"/>
                  </w14:solidFill>
                </w14:textFill>
              </w:rPr>
            </w:pPr>
          </w:p>
        </w:tc>
        <w:tc>
          <w:tcPr>
            <w:tcW w:w="1758" w:type="dxa"/>
            <w:vAlign w:val="center"/>
          </w:tcPr>
          <w:p>
            <w:pPr>
              <w:spacing w:before="156" w:beforeLines="50" w:after="156" w:afterLines="50" w:line="360" w:lineRule="auto"/>
              <w:jc w:val="center"/>
              <w:rPr>
                <w:rFonts w:hint="eastAsia" w:ascii="仿宋" w:hAnsi="仿宋" w:eastAsia="仿宋"/>
                <w:color w:val="000000" w:themeColor="text1"/>
                <w:sz w:val="28"/>
                <w:szCs w:val="28"/>
                <w14:textFill>
                  <w14:solidFill>
                    <w14:schemeClr w14:val="tx1"/>
                  </w14:solidFill>
                </w14:textFill>
              </w:rPr>
            </w:pPr>
          </w:p>
        </w:tc>
        <w:tc>
          <w:tcPr>
            <w:tcW w:w="1439" w:type="dxa"/>
            <w:vAlign w:val="center"/>
          </w:tcPr>
          <w:p>
            <w:pPr>
              <w:spacing w:before="156" w:beforeLines="50" w:after="156" w:afterLines="50" w:line="360" w:lineRule="auto"/>
              <w:jc w:val="center"/>
              <w:rPr>
                <w:rFonts w:hint="eastAsia" w:ascii="仿宋" w:hAnsi="仿宋" w:eastAsia="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gridSpan w:val="2"/>
            <w:vAlign w:val="center"/>
          </w:tcPr>
          <w:p>
            <w:pPr>
              <w:spacing w:before="156" w:beforeLines="50" w:after="156" w:afterLines="50" w:line="360" w:lineRule="auto"/>
              <w:jc w:val="center"/>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合计总价</w:t>
            </w:r>
          </w:p>
        </w:tc>
        <w:tc>
          <w:tcPr>
            <w:tcW w:w="6392" w:type="dxa"/>
            <w:gridSpan w:val="5"/>
            <w:vAlign w:val="center"/>
          </w:tcPr>
          <w:p>
            <w:pPr>
              <w:spacing w:before="156" w:beforeLines="50" w:after="156" w:afterLines="50" w:line="360" w:lineRule="auto"/>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大写：                       小写：        元</w:t>
            </w:r>
          </w:p>
        </w:tc>
      </w:tr>
    </w:tbl>
    <w:p>
      <w:pPr>
        <w:keepNext w:val="0"/>
        <w:keepLines w:val="0"/>
        <w:pageBreakBefore w:val="0"/>
        <w:widowControl w:val="0"/>
        <w:kinsoku w:val="0"/>
        <w:wordWrap/>
        <w:overflowPunct/>
        <w:topLinePunct/>
        <w:autoSpaceDE/>
        <w:autoSpaceDN/>
        <w:bidi w:val="0"/>
        <w:adjustRightInd/>
        <w:snapToGrid w:val="0"/>
        <w:spacing w:line="360" w:lineRule="auto"/>
        <w:textAlignment w:val="auto"/>
        <w:rPr>
          <w:rFonts w:hint="eastAsia" w:ascii="宋体" w:hAnsi="宋体" w:eastAsia="宋体"/>
          <w:sz w:val="24"/>
          <w:szCs w:val="24"/>
        </w:rPr>
      </w:pPr>
      <w:r>
        <w:rPr>
          <w:rFonts w:hint="eastAsia" w:ascii="宋体" w:hAnsi="宋体" w:eastAsia="宋体"/>
          <w:sz w:val="24"/>
          <w:szCs w:val="24"/>
        </w:rPr>
        <w:t xml:space="preserve">供应商：（盖章）             </w:t>
      </w:r>
    </w:p>
    <w:p>
      <w:pPr>
        <w:keepNext w:val="0"/>
        <w:keepLines w:val="0"/>
        <w:pageBreakBefore w:val="0"/>
        <w:widowControl w:val="0"/>
        <w:kinsoku w:val="0"/>
        <w:wordWrap/>
        <w:overflowPunct/>
        <w:topLinePunct/>
        <w:autoSpaceDE/>
        <w:autoSpaceDN/>
        <w:bidi w:val="0"/>
        <w:adjustRightInd/>
        <w:snapToGrid w:val="0"/>
        <w:spacing w:line="360" w:lineRule="auto"/>
        <w:textAlignment w:val="auto"/>
        <w:rPr>
          <w:rFonts w:hint="eastAsia" w:ascii="宋体" w:hAnsi="宋体" w:eastAsia="宋体"/>
          <w:sz w:val="24"/>
          <w:szCs w:val="24"/>
        </w:rPr>
      </w:pPr>
      <w:r>
        <w:rPr>
          <w:rFonts w:hint="eastAsia" w:ascii="宋体" w:hAnsi="宋体" w:eastAsia="宋体"/>
          <w:sz w:val="24"/>
          <w:szCs w:val="24"/>
        </w:rPr>
        <w:t>法定代表人或被委托授权人（签字）：</w:t>
      </w:r>
    </w:p>
    <w:p>
      <w:pPr>
        <w:keepNext w:val="0"/>
        <w:keepLines w:val="0"/>
        <w:pageBreakBefore w:val="0"/>
        <w:widowControl w:val="0"/>
        <w:kinsoku w:val="0"/>
        <w:wordWrap/>
        <w:overflowPunct/>
        <w:topLinePunct/>
        <w:autoSpaceDE/>
        <w:autoSpaceDN/>
        <w:bidi w:val="0"/>
        <w:adjustRightInd/>
        <w:snapToGrid w:val="0"/>
        <w:spacing w:line="360" w:lineRule="auto"/>
        <w:textAlignment w:val="auto"/>
        <w:rPr>
          <w:rFonts w:ascii="宋体" w:hAnsi="宋体" w:eastAsia="宋体"/>
          <w:sz w:val="24"/>
          <w:szCs w:val="24"/>
        </w:rPr>
      </w:pPr>
      <w:r>
        <w:rPr>
          <w:rFonts w:hint="eastAsia" w:ascii="宋体" w:hAnsi="宋体" w:eastAsia="宋体"/>
          <w:sz w:val="24"/>
          <w:szCs w:val="24"/>
        </w:rPr>
        <w:t>日期：</w:t>
      </w:r>
    </w:p>
    <w:p>
      <w:pPr>
        <w:pStyle w:val="13"/>
        <w:numPr>
          <w:ilvl w:val="0"/>
          <w:numId w:val="0"/>
        </w:numPr>
        <w:ind w:leftChars="200"/>
        <w:jc w:val="left"/>
        <w:rPr>
          <w:rFonts w:hint="eastAsia" w:ascii="宋体" w:hAnsi="宋体" w:eastAsia="宋体"/>
          <w:sz w:val="24"/>
          <w:szCs w:val="24"/>
        </w:rPr>
      </w:pPr>
      <w:r>
        <w:rPr>
          <w:rFonts w:hint="eastAsia" w:ascii="宋体" w:hAnsi="宋体" w:eastAsia="宋体"/>
          <w:sz w:val="24"/>
          <w:szCs w:val="24"/>
        </w:rPr>
        <w:t>注：</w:t>
      </w:r>
    </w:p>
    <w:p>
      <w:pPr>
        <w:pStyle w:val="13"/>
        <w:numPr>
          <w:ilvl w:val="0"/>
          <w:numId w:val="0"/>
        </w:numPr>
        <w:ind w:leftChars="200"/>
        <w:jc w:val="left"/>
        <w:rPr>
          <w:rFonts w:ascii="宋体" w:hAnsi="宋体" w:eastAsia="宋体"/>
          <w:sz w:val="24"/>
          <w:szCs w:val="24"/>
          <w:u w:val="thick" w:color="FF0000"/>
        </w:rPr>
      </w:pPr>
      <w:bookmarkStart w:id="64" w:name="_Toc17320_WPSOffice_Level1"/>
      <w:r>
        <w:rPr>
          <w:rFonts w:hint="eastAsia" w:ascii="宋体" w:hAnsi="宋体" w:eastAsia="宋体"/>
          <w:sz w:val="24"/>
          <w:szCs w:val="24"/>
        </w:rPr>
        <w:t>（1）</w:t>
      </w:r>
      <w:r>
        <w:rPr>
          <w:rFonts w:ascii="宋体" w:hAnsi="宋体" w:eastAsia="宋体"/>
          <w:sz w:val="24"/>
          <w:szCs w:val="24"/>
          <w:u w:val="thick" w:color="FF0000"/>
        </w:rPr>
        <w:t>本表</w:t>
      </w:r>
      <w:r>
        <w:rPr>
          <w:rFonts w:hint="eastAsia" w:ascii="宋体" w:hAnsi="宋体" w:eastAsia="宋体"/>
          <w:sz w:val="24"/>
          <w:szCs w:val="24"/>
          <w:u w:val="thick" w:color="FF0000"/>
        </w:rPr>
        <w:t>仅为表式</w:t>
      </w:r>
      <w:r>
        <w:rPr>
          <w:rFonts w:ascii="宋体" w:hAnsi="宋体" w:eastAsia="宋体"/>
          <w:sz w:val="24"/>
          <w:szCs w:val="24"/>
          <w:u w:val="thick" w:color="FF0000"/>
        </w:rPr>
        <w:t>，供应商须自行分析项目组成</w:t>
      </w:r>
      <w:r>
        <w:rPr>
          <w:rFonts w:hint="eastAsia" w:ascii="宋体" w:hAnsi="宋体" w:eastAsia="宋体"/>
          <w:sz w:val="24"/>
          <w:szCs w:val="24"/>
          <w:u w:val="thick" w:color="FF0000"/>
        </w:rPr>
        <w:t>，</w:t>
      </w:r>
      <w:r>
        <w:rPr>
          <w:rFonts w:ascii="宋体" w:hAnsi="宋体" w:eastAsia="宋体"/>
          <w:sz w:val="24"/>
          <w:szCs w:val="24"/>
          <w:u w:val="thick" w:color="FF0000"/>
        </w:rPr>
        <w:t>自行</w:t>
      </w:r>
      <w:r>
        <w:rPr>
          <w:rFonts w:hint="eastAsia" w:ascii="宋体" w:hAnsi="宋体" w:eastAsia="宋体"/>
          <w:sz w:val="24"/>
          <w:szCs w:val="24"/>
          <w:u w:val="thick" w:color="FF0000"/>
        </w:rPr>
        <w:t>添加内容</w:t>
      </w:r>
      <w:r>
        <w:rPr>
          <w:rFonts w:ascii="宋体" w:hAnsi="宋体" w:eastAsia="宋体"/>
          <w:sz w:val="24"/>
          <w:szCs w:val="24"/>
          <w:u w:val="thick" w:color="FF0000"/>
        </w:rPr>
        <w:t>。</w:t>
      </w:r>
      <w:bookmarkEnd w:id="64"/>
    </w:p>
    <w:p>
      <w:pPr>
        <w:pStyle w:val="13"/>
        <w:numPr>
          <w:ilvl w:val="0"/>
          <w:numId w:val="0"/>
        </w:numPr>
        <w:ind w:leftChars="200"/>
        <w:jc w:val="left"/>
        <w:rPr>
          <w:rFonts w:ascii="宋体" w:hAnsi="宋体" w:eastAsia="宋体"/>
          <w:sz w:val="24"/>
          <w:szCs w:val="24"/>
        </w:rPr>
      </w:pPr>
      <w:bookmarkStart w:id="65" w:name="_Toc29357_WPSOffice_Level1"/>
      <w:r>
        <w:rPr>
          <w:rFonts w:hint="eastAsia" w:ascii="宋体" w:hAnsi="宋体" w:eastAsia="宋体"/>
          <w:sz w:val="24"/>
          <w:szCs w:val="24"/>
        </w:rPr>
        <w:t>（2）</w:t>
      </w:r>
      <w:r>
        <w:rPr>
          <w:rFonts w:ascii="宋体" w:hAnsi="宋体" w:eastAsia="宋体"/>
          <w:sz w:val="24"/>
          <w:szCs w:val="24"/>
        </w:rPr>
        <w:t>如果计算的结果与总价不一致，以单价为准，修正总价。</w:t>
      </w:r>
      <w:bookmarkEnd w:id="65"/>
    </w:p>
    <w:p>
      <w:pPr>
        <w:pStyle w:val="13"/>
        <w:numPr>
          <w:ilvl w:val="0"/>
          <w:numId w:val="0"/>
        </w:numPr>
        <w:ind w:leftChars="200"/>
        <w:jc w:val="left"/>
        <w:rPr>
          <w:rFonts w:hint="eastAsia" w:ascii="宋体" w:hAnsi="宋体" w:eastAsia="宋体"/>
          <w:sz w:val="24"/>
          <w:szCs w:val="24"/>
        </w:rPr>
        <w:sectPr>
          <w:pgSz w:w="11906" w:h="16838"/>
          <w:pgMar w:top="1440" w:right="1800" w:bottom="1440" w:left="1800" w:header="851" w:footer="992" w:gutter="0"/>
          <w:cols w:space="425" w:num="1"/>
          <w:docGrid w:type="lines" w:linePitch="312" w:charSpace="0"/>
        </w:sectPr>
      </w:pPr>
      <w:bookmarkStart w:id="66" w:name="_Toc1616_WPSOffice_Level1"/>
      <w:r>
        <w:rPr>
          <w:rFonts w:hint="eastAsia" w:ascii="宋体" w:hAnsi="宋体" w:eastAsia="宋体"/>
          <w:sz w:val="24"/>
          <w:szCs w:val="24"/>
        </w:rPr>
        <w:t>（3）如果不提供详细分项报价将视为未实质性响应磋商文件。</w:t>
      </w:r>
      <w:bookmarkEnd w:id="66"/>
    </w:p>
    <w:p>
      <w:pPr>
        <w:pStyle w:val="16"/>
        <w:snapToGrid w:val="0"/>
        <w:spacing w:line="240" w:lineRule="auto"/>
        <w:contextualSpacing/>
        <w:jc w:val="both"/>
        <w:rPr>
          <w:rFonts w:hint="default" w:asciiTheme="minorEastAsia" w:hAnsiTheme="minorEastAsia" w:eastAsiaTheme="minorEastAsia" w:cstheme="minorEastAsia"/>
          <w:b/>
          <w:bCs/>
          <w:lang w:val="en-US" w:eastAsia="zh-CN"/>
        </w:rPr>
      </w:pPr>
      <w:bookmarkStart w:id="67" w:name="_Toc5599_WPSOffice_Level1"/>
      <w:bookmarkStart w:id="68" w:name="_Toc29317_WPSOffice_Level1"/>
      <w:r>
        <w:rPr>
          <w:rFonts w:hint="eastAsia" w:asciiTheme="minorEastAsia" w:hAnsiTheme="minorEastAsia" w:eastAsiaTheme="minorEastAsia" w:cstheme="minorEastAsia"/>
          <w:b/>
          <w:bCs/>
          <w:lang w:val="en-US" w:eastAsia="zh-CN"/>
        </w:rPr>
        <w:t>附件十：</w:t>
      </w:r>
      <w:bookmarkEnd w:id="67"/>
      <w:bookmarkEnd w:id="68"/>
    </w:p>
    <w:p>
      <w:pPr>
        <w:tabs>
          <w:tab w:val="left" w:pos="1260"/>
        </w:tabs>
        <w:snapToGrid w:val="0"/>
        <w:spacing w:line="300" w:lineRule="auto"/>
        <w:contextualSpacing/>
        <w:jc w:val="center"/>
        <w:rPr>
          <w:rFonts w:hint="eastAsia" w:asciiTheme="minorEastAsia" w:hAnsiTheme="minorEastAsia" w:eastAsiaTheme="minorEastAsia" w:cstheme="minorEastAsia"/>
          <w:b/>
          <w:sz w:val="36"/>
          <w:szCs w:val="36"/>
        </w:rPr>
      </w:pPr>
      <w:bookmarkStart w:id="69" w:name="_Toc23803_WPSOffice_Level1"/>
      <w:bookmarkStart w:id="70" w:name="_Toc8817_WPSOffice_Level1"/>
      <w:bookmarkStart w:id="71" w:name="_Toc30378_WPSOffice_Level1"/>
      <w:r>
        <w:rPr>
          <w:rFonts w:hint="eastAsia" w:asciiTheme="minorEastAsia" w:hAnsiTheme="minorEastAsia" w:eastAsiaTheme="minorEastAsia" w:cstheme="minorEastAsia"/>
          <w:b/>
          <w:sz w:val="36"/>
          <w:szCs w:val="36"/>
        </w:rPr>
        <w:t>技术</w:t>
      </w:r>
      <w:r>
        <w:rPr>
          <w:rFonts w:hint="eastAsia" w:asciiTheme="minorEastAsia" w:hAnsiTheme="minorEastAsia" w:eastAsiaTheme="minorEastAsia" w:cstheme="minorEastAsia"/>
          <w:b/>
          <w:sz w:val="36"/>
          <w:szCs w:val="36"/>
          <w:lang w:val="en-US" w:eastAsia="zh-CN"/>
        </w:rPr>
        <w:t>条款</w:t>
      </w:r>
      <w:r>
        <w:rPr>
          <w:rFonts w:hint="eastAsia" w:asciiTheme="minorEastAsia" w:hAnsiTheme="minorEastAsia" w:eastAsiaTheme="minorEastAsia" w:cstheme="minorEastAsia"/>
          <w:b/>
          <w:sz w:val="36"/>
          <w:szCs w:val="36"/>
        </w:rPr>
        <w:t>正负偏离表</w:t>
      </w:r>
      <w:bookmarkEnd w:id="69"/>
      <w:bookmarkEnd w:id="70"/>
      <w:bookmarkEnd w:id="71"/>
    </w:p>
    <w:p>
      <w:pPr>
        <w:ind w:firstLine="480" w:firstLineChars="2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（由供应商据实提交，表格不够自行添加）</w:t>
      </w:r>
    </w:p>
    <w:p>
      <w:pPr>
        <w:spacing w:line="320" w:lineRule="exac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lang w:val="en-US" w:eastAsia="zh-CN"/>
        </w:rPr>
        <w:t>项目</w:t>
      </w:r>
      <w:r>
        <w:rPr>
          <w:rFonts w:hint="eastAsia" w:asciiTheme="minorEastAsia" w:hAnsiTheme="minorEastAsia" w:eastAsiaTheme="minorEastAsia" w:cstheme="minorEastAsia"/>
          <w:sz w:val="24"/>
          <w:szCs w:val="24"/>
        </w:rPr>
        <w:t>名称</w:t>
      </w:r>
      <w:r>
        <w:rPr>
          <w:rFonts w:hint="eastAsia" w:asciiTheme="minorEastAsia" w:hAnsiTheme="minorEastAsia" w:eastAsiaTheme="minorEastAsia" w:cstheme="minorEastAsia"/>
          <w:sz w:val="24"/>
          <w:szCs w:val="24"/>
          <w:lang w:eastAsia="zh-CN"/>
        </w:rPr>
        <w:t>：南通市紫琅第一小学</w:t>
      </w:r>
      <w:r>
        <w:rPr>
          <w:rFonts w:hint="eastAsia" w:asciiTheme="minorEastAsia" w:hAnsiTheme="minorEastAsia" w:eastAsiaTheme="minorEastAsia" w:cstheme="minorEastAsia"/>
          <w:sz w:val="24"/>
          <w:szCs w:val="24"/>
        </w:rPr>
        <w:t>校园</w:t>
      </w:r>
      <w:r>
        <w:rPr>
          <w:rFonts w:hint="eastAsia" w:asciiTheme="minorEastAsia" w:hAnsiTheme="minorEastAsia" w:eastAsiaTheme="minorEastAsia" w:cstheme="minorEastAsia"/>
          <w:sz w:val="24"/>
          <w:szCs w:val="24"/>
          <w:lang w:val="en-US" w:eastAsia="zh-CN"/>
        </w:rPr>
        <w:t>LOGO设计和VI视觉识别系统设计</w:t>
      </w:r>
      <w:r>
        <w:rPr>
          <w:rFonts w:hint="eastAsia" w:asciiTheme="minorEastAsia" w:hAnsiTheme="minorEastAsia" w:eastAsiaTheme="minorEastAsia" w:cstheme="minorEastAsia"/>
          <w:sz w:val="24"/>
          <w:szCs w:val="24"/>
        </w:rPr>
        <w:t>项目</w:t>
      </w:r>
    </w:p>
    <w:tbl>
      <w:tblPr>
        <w:tblStyle w:val="10"/>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49"/>
        <w:gridCol w:w="1263"/>
        <w:gridCol w:w="2706"/>
        <w:gridCol w:w="2720"/>
        <w:gridCol w:w="14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4" w:hRule="atLeast"/>
        </w:trPr>
        <w:tc>
          <w:tcPr>
            <w:tcW w:w="649" w:type="dxa"/>
            <w:tcBorders>
              <w:top w:val="single" w:color="auto" w:sz="12" w:space="0"/>
              <w:left w:val="single" w:color="auto" w:sz="12" w:space="0"/>
              <w:bottom w:val="single" w:color="auto" w:sz="6" w:space="0"/>
              <w:right w:val="single" w:color="auto" w:sz="6" w:space="0"/>
            </w:tcBorders>
            <w:noWrap w:val="0"/>
            <w:vAlign w:val="center"/>
          </w:tcPr>
          <w:p>
            <w:pPr>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263" w:type="dxa"/>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w:t>
            </w:r>
          </w:p>
        </w:tc>
        <w:tc>
          <w:tcPr>
            <w:tcW w:w="2706" w:type="dxa"/>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磋商文件要求</w:t>
            </w:r>
          </w:p>
        </w:tc>
        <w:tc>
          <w:tcPr>
            <w:tcW w:w="2720" w:type="dxa"/>
            <w:tcBorders>
              <w:top w:val="single" w:color="auto" w:sz="12" w:space="0"/>
              <w:left w:val="single" w:color="auto" w:sz="6" w:space="0"/>
              <w:bottom w:val="single" w:color="auto" w:sz="6" w:space="0"/>
              <w:right w:val="single" w:color="auto" w:sz="6" w:space="0"/>
            </w:tcBorders>
            <w:noWrap w:val="0"/>
            <w:vAlign w:val="center"/>
          </w:tcPr>
          <w:p>
            <w:pPr>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响应文件响应情况</w:t>
            </w:r>
          </w:p>
        </w:tc>
        <w:tc>
          <w:tcPr>
            <w:tcW w:w="1417" w:type="dxa"/>
            <w:tcBorders>
              <w:top w:val="single" w:color="auto" w:sz="12" w:space="0"/>
              <w:left w:val="single" w:color="auto" w:sz="6" w:space="0"/>
              <w:bottom w:val="single" w:color="auto" w:sz="6" w:space="0"/>
              <w:right w:val="single" w:color="auto" w:sz="12" w:space="0"/>
            </w:tcBorders>
            <w:noWrap w:val="0"/>
            <w:vAlign w:val="top"/>
          </w:tcPr>
          <w:p>
            <w:pPr>
              <w:spacing w:line="340" w:lineRule="exact"/>
              <w:jc w:val="center"/>
              <w:rPr>
                <w:rFonts w:hint="eastAsia" w:asciiTheme="minorEastAsia" w:hAnsiTheme="minorEastAsia" w:eastAsiaTheme="minorEastAsia" w:cstheme="minorEastAsia"/>
                <w:sz w:val="24"/>
                <w:szCs w:val="24"/>
              </w:rPr>
            </w:pPr>
          </w:p>
          <w:p>
            <w:pPr>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偏离说明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4" w:hRule="atLeast"/>
        </w:trPr>
        <w:tc>
          <w:tcPr>
            <w:tcW w:w="649" w:type="dxa"/>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hint="eastAsia" w:asciiTheme="minorEastAsia" w:hAnsiTheme="minorEastAsia" w:eastAsiaTheme="minorEastAsia" w:cstheme="minorEastAsia"/>
                <w:sz w:val="24"/>
                <w:szCs w:val="24"/>
              </w:rPr>
            </w:pPr>
          </w:p>
          <w:p>
            <w:pPr>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1263" w:type="dxa"/>
            <w:tcBorders>
              <w:top w:val="single" w:color="auto" w:sz="6" w:space="0"/>
              <w:left w:val="single" w:color="auto" w:sz="6" w:space="0"/>
              <w:bottom w:val="single" w:color="auto" w:sz="6" w:space="0"/>
              <w:right w:val="single" w:color="auto" w:sz="6" w:space="0"/>
            </w:tcBorders>
            <w:noWrap w:val="0"/>
            <w:vAlign w:val="center"/>
          </w:tcPr>
          <w:p>
            <w:pPr>
              <w:spacing w:line="340" w:lineRule="exact"/>
              <w:jc w:val="center"/>
              <w:rPr>
                <w:rFonts w:hint="eastAsia" w:asciiTheme="minorEastAsia" w:hAnsiTheme="minorEastAsia" w:eastAsiaTheme="minorEastAsia" w:cstheme="minorEastAsia"/>
                <w:sz w:val="24"/>
                <w:szCs w:val="24"/>
                <w:lang w:val="en-US" w:eastAsia="zh-CN"/>
              </w:rPr>
            </w:pPr>
          </w:p>
        </w:tc>
        <w:tc>
          <w:tcPr>
            <w:tcW w:w="2706" w:type="dxa"/>
            <w:tcBorders>
              <w:top w:val="single" w:color="auto" w:sz="6" w:space="0"/>
              <w:left w:val="single" w:color="auto" w:sz="6" w:space="0"/>
              <w:bottom w:val="single" w:color="auto" w:sz="6" w:space="0"/>
              <w:right w:val="single" w:color="auto" w:sz="6" w:space="0"/>
            </w:tcBorders>
            <w:noWrap w:val="0"/>
            <w:vAlign w:val="center"/>
          </w:tcPr>
          <w:p>
            <w:pPr>
              <w:spacing w:line="340" w:lineRule="exact"/>
              <w:jc w:val="center"/>
              <w:rPr>
                <w:rFonts w:hint="eastAsia" w:asciiTheme="minorEastAsia" w:hAnsiTheme="minorEastAsia" w:eastAsiaTheme="minorEastAsia" w:cstheme="minorEastAsia"/>
                <w:sz w:val="24"/>
                <w:szCs w:val="24"/>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hint="eastAsia" w:asciiTheme="minorEastAsia" w:hAnsiTheme="minorEastAsia" w:eastAsiaTheme="minorEastAsia" w:cstheme="minorEastAsia"/>
                <w:sz w:val="24"/>
                <w:szCs w:val="24"/>
              </w:rPr>
            </w:pPr>
          </w:p>
        </w:tc>
        <w:tc>
          <w:tcPr>
            <w:tcW w:w="1417" w:type="dxa"/>
            <w:tcBorders>
              <w:top w:val="single" w:color="auto" w:sz="6" w:space="0"/>
              <w:left w:val="single" w:color="auto" w:sz="6" w:space="0"/>
              <w:bottom w:val="single" w:color="auto" w:sz="6" w:space="0"/>
              <w:right w:val="single" w:color="auto" w:sz="12" w:space="0"/>
            </w:tcBorders>
            <w:noWrap w:val="0"/>
            <w:vAlign w:val="top"/>
          </w:tcPr>
          <w:p>
            <w:pPr>
              <w:spacing w:line="340" w:lineRule="exact"/>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4" w:hRule="atLeast"/>
        </w:trPr>
        <w:tc>
          <w:tcPr>
            <w:tcW w:w="649" w:type="dxa"/>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hint="eastAsia" w:asciiTheme="minorEastAsia" w:hAnsiTheme="minorEastAsia" w:eastAsiaTheme="minorEastAsia" w:cstheme="minorEastAsia"/>
                <w:sz w:val="24"/>
                <w:szCs w:val="24"/>
              </w:rPr>
            </w:pPr>
          </w:p>
          <w:p>
            <w:pPr>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1263" w:type="dxa"/>
            <w:tcBorders>
              <w:top w:val="single" w:color="auto" w:sz="6" w:space="0"/>
              <w:left w:val="single" w:color="auto" w:sz="6" w:space="0"/>
              <w:bottom w:val="single" w:color="auto" w:sz="6" w:space="0"/>
              <w:right w:val="single" w:color="auto" w:sz="6" w:space="0"/>
            </w:tcBorders>
            <w:noWrap w:val="0"/>
            <w:vAlign w:val="center"/>
          </w:tcPr>
          <w:p>
            <w:pPr>
              <w:spacing w:line="340" w:lineRule="exact"/>
              <w:jc w:val="center"/>
              <w:rPr>
                <w:rFonts w:hint="eastAsia" w:asciiTheme="minorEastAsia" w:hAnsiTheme="minorEastAsia" w:eastAsiaTheme="minorEastAsia" w:cstheme="minorEastAsia"/>
                <w:sz w:val="24"/>
                <w:szCs w:val="24"/>
                <w:lang w:val="en-US" w:eastAsia="zh-CN"/>
              </w:rPr>
            </w:pPr>
          </w:p>
        </w:tc>
        <w:tc>
          <w:tcPr>
            <w:tcW w:w="2706" w:type="dxa"/>
            <w:tcBorders>
              <w:top w:val="single" w:color="auto" w:sz="6" w:space="0"/>
              <w:left w:val="single" w:color="auto" w:sz="6" w:space="0"/>
              <w:bottom w:val="single" w:color="auto" w:sz="6" w:space="0"/>
              <w:right w:val="single" w:color="auto" w:sz="6" w:space="0"/>
            </w:tcBorders>
            <w:noWrap w:val="0"/>
            <w:vAlign w:val="center"/>
          </w:tcPr>
          <w:p>
            <w:pPr>
              <w:spacing w:line="340" w:lineRule="exact"/>
              <w:jc w:val="center"/>
              <w:rPr>
                <w:rFonts w:hint="eastAsia" w:asciiTheme="minorEastAsia" w:hAnsiTheme="minorEastAsia" w:eastAsiaTheme="minorEastAsia" w:cstheme="minorEastAsia"/>
                <w:sz w:val="24"/>
                <w:szCs w:val="24"/>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hint="eastAsia" w:asciiTheme="minorEastAsia" w:hAnsiTheme="minorEastAsia" w:eastAsiaTheme="minorEastAsia" w:cstheme="minorEastAsia"/>
                <w:sz w:val="24"/>
                <w:szCs w:val="24"/>
              </w:rPr>
            </w:pPr>
          </w:p>
        </w:tc>
        <w:tc>
          <w:tcPr>
            <w:tcW w:w="1417" w:type="dxa"/>
            <w:tcBorders>
              <w:top w:val="single" w:color="auto" w:sz="6" w:space="0"/>
              <w:left w:val="single" w:color="auto" w:sz="6" w:space="0"/>
              <w:bottom w:val="single" w:color="auto" w:sz="6" w:space="0"/>
              <w:right w:val="single" w:color="auto" w:sz="12" w:space="0"/>
            </w:tcBorders>
            <w:noWrap w:val="0"/>
            <w:vAlign w:val="top"/>
          </w:tcPr>
          <w:p>
            <w:pPr>
              <w:spacing w:line="340" w:lineRule="exact"/>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4" w:hRule="atLeast"/>
        </w:trPr>
        <w:tc>
          <w:tcPr>
            <w:tcW w:w="649" w:type="dxa"/>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hint="eastAsia" w:asciiTheme="minorEastAsia" w:hAnsiTheme="minorEastAsia" w:eastAsiaTheme="minorEastAsia" w:cstheme="minorEastAsia"/>
                <w:sz w:val="24"/>
                <w:szCs w:val="24"/>
              </w:rPr>
            </w:pPr>
          </w:p>
          <w:p>
            <w:pPr>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263" w:type="dxa"/>
            <w:tcBorders>
              <w:top w:val="single" w:color="auto" w:sz="6" w:space="0"/>
              <w:left w:val="single" w:color="auto" w:sz="6" w:space="0"/>
              <w:bottom w:val="single" w:color="auto" w:sz="6" w:space="0"/>
              <w:right w:val="single" w:color="auto" w:sz="6" w:space="0"/>
            </w:tcBorders>
            <w:noWrap w:val="0"/>
            <w:vAlign w:val="center"/>
          </w:tcPr>
          <w:p>
            <w:pPr>
              <w:spacing w:line="340" w:lineRule="exact"/>
              <w:jc w:val="center"/>
              <w:rPr>
                <w:rFonts w:hint="eastAsia" w:asciiTheme="minorEastAsia" w:hAnsiTheme="minorEastAsia" w:eastAsiaTheme="minorEastAsia" w:cstheme="minorEastAsia"/>
                <w:sz w:val="24"/>
                <w:szCs w:val="24"/>
                <w:lang w:val="en-US" w:eastAsia="zh-CN"/>
              </w:rPr>
            </w:pPr>
          </w:p>
        </w:tc>
        <w:tc>
          <w:tcPr>
            <w:tcW w:w="2706" w:type="dxa"/>
            <w:tcBorders>
              <w:top w:val="single" w:color="auto" w:sz="6" w:space="0"/>
              <w:left w:val="single" w:color="auto" w:sz="6" w:space="0"/>
              <w:bottom w:val="single" w:color="auto" w:sz="6" w:space="0"/>
              <w:right w:val="single" w:color="auto" w:sz="6" w:space="0"/>
            </w:tcBorders>
            <w:noWrap w:val="0"/>
            <w:vAlign w:val="center"/>
          </w:tcPr>
          <w:p>
            <w:pPr>
              <w:spacing w:line="340" w:lineRule="exact"/>
              <w:ind w:firstLine="480" w:firstLineChars="200"/>
              <w:rPr>
                <w:rFonts w:hint="eastAsia" w:asciiTheme="minorEastAsia" w:hAnsiTheme="minorEastAsia" w:eastAsiaTheme="minorEastAsia" w:cstheme="minorEastAsia"/>
                <w:sz w:val="24"/>
                <w:szCs w:val="24"/>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hint="eastAsia" w:asciiTheme="minorEastAsia" w:hAnsiTheme="minorEastAsia" w:eastAsiaTheme="minorEastAsia" w:cstheme="minorEastAsia"/>
                <w:sz w:val="24"/>
                <w:szCs w:val="24"/>
              </w:rPr>
            </w:pPr>
          </w:p>
        </w:tc>
        <w:tc>
          <w:tcPr>
            <w:tcW w:w="1417" w:type="dxa"/>
            <w:tcBorders>
              <w:top w:val="single" w:color="auto" w:sz="6" w:space="0"/>
              <w:left w:val="single" w:color="auto" w:sz="6" w:space="0"/>
              <w:bottom w:val="single" w:color="auto" w:sz="6" w:space="0"/>
              <w:right w:val="single" w:color="auto" w:sz="12" w:space="0"/>
            </w:tcBorders>
            <w:noWrap w:val="0"/>
            <w:vAlign w:val="top"/>
          </w:tcPr>
          <w:p>
            <w:pPr>
              <w:spacing w:line="340" w:lineRule="exact"/>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6" w:hRule="atLeast"/>
        </w:trPr>
        <w:tc>
          <w:tcPr>
            <w:tcW w:w="649" w:type="dxa"/>
            <w:tcBorders>
              <w:top w:val="single" w:color="auto" w:sz="6" w:space="0"/>
              <w:left w:val="single" w:color="auto" w:sz="12" w:space="0"/>
              <w:bottom w:val="single" w:color="auto" w:sz="6" w:space="0"/>
              <w:right w:val="single" w:color="auto" w:sz="6" w:space="0"/>
            </w:tcBorders>
            <w:noWrap w:val="0"/>
            <w:vAlign w:val="top"/>
          </w:tcPr>
          <w:p>
            <w:pPr>
              <w:spacing w:line="340" w:lineRule="exact"/>
              <w:jc w:val="center"/>
              <w:rPr>
                <w:rFonts w:hint="eastAsia" w:asciiTheme="minorEastAsia" w:hAnsiTheme="minorEastAsia" w:eastAsiaTheme="minorEastAsia" w:cstheme="minorEastAsia"/>
                <w:sz w:val="24"/>
                <w:szCs w:val="24"/>
              </w:rPr>
            </w:pPr>
          </w:p>
        </w:tc>
        <w:tc>
          <w:tcPr>
            <w:tcW w:w="1263" w:type="dxa"/>
            <w:tcBorders>
              <w:top w:val="single" w:color="auto" w:sz="6" w:space="0"/>
              <w:left w:val="single" w:color="auto" w:sz="6" w:space="0"/>
              <w:bottom w:val="single" w:color="auto" w:sz="6" w:space="0"/>
              <w:right w:val="single" w:color="auto" w:sz="6" w:space="0"/>
            </w:tcBorders>
            <w:noWrap w:val="0"/>
            <w:vAlign w:val="center"/>
          </w:tcPr>
          <w:p>
            <w:pPr>
              <w:spacing w:line="340" w:lineRule="exact"/>
              <w:jc w:val="center"/>
              <w:rPr>
                <w:rFonts w:hint="eastAsia" w:asciiTheme="minorEastAsia" w:hAnsiTheme="minorEastAsia" w:eastAsiaTheme="minorEastAsia" w:cstheme="minorEastAsia"/>
                <w:sz w:val="24"/>
                <w:szCs w:val="24"/>
              </w:rPr>
            </w:pPr>
          </w:p>
        </w:tc>
        <w:tc>
          <w:tcPr>
            <w:tcW w:w="2706"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hint="eastAsia" w:asciiTheme="minorEastAsia" w:hAnsiTheme="minorEastAsia" w:eastAsiaTheme="minorEastAsia" w:cstheme="minorEastAsia"/>
                <w:sz w:val="24"/>
                <w:szCs w:val="24"/>
              </w:rPr>
            </w:pPr>
          </w:p>
        </w:tc>
        <w:tc>
          <w:tcPr>
            <w:tcW w:w="2720" w:type="dxa"/>
            <w:tcBorders>
              <w:top w:val="single" w:color="auto" w:sz="6" w:space="0"/>
              <w:left w:val="single" w:color="auto" w:sz="6" w:space="0"/>
              <w:bottom w:val="single" w:color="auto" w:sz="6" w:space="0"/>
              <w:right w:val="single" w:color="auto" w:sz="6" w:space="0"/>
            </w:tcBorders>
            <w:noWrap w:val="0"/>
            <w:vAlign w:val="center"/>
          </w:tcPr>
          <w:p>
            <w:pPr>
              <w:spacing w:line="340" w:lineRule="exact"/>
              <w:rPr>
                <w:rFonts w:hint="eastAsia" w:asciiTheme="minorEastAsia" w:hAnsiTheme="minorEastAsia" w:eastAsiaTheme="minorEastAsia" w:cstheme="minorEastAsia"/>
                <w:sz w:val="24"/>
                <w:szCs w:val="24"/>
              </w:rPr>
            </w:pPr>
          </w:p>
        </w:tc>
        <w:tc>
          <w:tcPr>
            <w:tcW w:w="1417" w:type="dxa"/>
            <w:tcBorders>
              <w:top w:val="single" w:color="auto" w:sz="6" w:space="0"/>
              <w:left w:val="single" w:color="auto" w:sz="6" w:space="0"/>
              <w:bottom w:val="single" w:color="auto" w:sz="6" w:space="0"/>
              <w:right w:val="single" w:color="auto" w:sz="12" w:space="0"/>
            </w:tcBorders>
            <w:noWrap w:val="0"/>
            <w:vAlign w:val="top"/>
          </w:tcPr>
          <w:p>
            <w:pPr>
              <w:spacing w:line="340" w:lineRule="exact"/>
              <w:rPr>
                <w:rFonts w:hint="eastAsia" w:asciiTheme="minorEastAsia" w:hAnsiTheme="minorEastAsia" w:eastAsiaTheme="minorEastAsia" w:cstheme="minorEastAsia"/>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96" w:hRule="atLeast"/>
        </w:trPr>
        <w:tc>
          <w:tcPr>
            <w:tcW w:w="649" w:type="dxa"/>
            <w:tcBorders>
              <w:top w:val="single" w:color="auto" w:sz="6" w:space="0"/>
              <w:left w:val="single" w:color="auto" w:sz="12" w:space="0"/>
              <w:bottom w:val="single" w:color="auto" w:sz="12" w:space="0"/>
              <w:right w:val="single" w:color="auto" w:sz="6" w:space="0"/>
            </w:tcBorders>
            <w:noWrap w:val="0"/>
            <w:vAlign w:val="top"/>
          </w:tcPr>
          <w:p>
            <w:pPr>
              <w:spacing w:line="340" w:lineRule="exact"/>
              <w:jc w:val="center"/>
              <w:rPr>
                <w:rFonts w:hint="eastAsia" w:asciiTheme="minorEastAsia" w:hAnsiTheme="minorEastAsia" w:eastAsiaTheme="minorEastAsia" w:cstheme="minorEastAsia"/>
                <w:sz w:val="24"/>
                <w:szCs w:val="24"/>
              </w:rPr>
            </w:pPr>
          </w:p>
        </w:tc>
        <w:tc>
          <w:tcPr>
            <w:tcW w:w="1263" w:type="dxa"/>
            <w:tcBorders>
              <w:top w:val="single" w:color="auto" w:sz="6" w:space="0"/>
              <w:left w:val="single" w:color="auto" w:sz="6" w:space="0"/>
              <w:bottom w:val="single" w:color="auto" w:sz="12" w:space="0"/>
              <w:right w:val="single" w:color="auto" w:sz="6" w:space="0"/>
            </w:tcBorders>
            <w:noWrap w:val="0"/>
            <w:vAlign w:val="center"/>
          </w:tcPr>
          <w:p>
            <w:pPr>
              <w:spacing w:line="340" w:lineRule="exact"/>
              <w:jc w:val="center"/>
              <w:rPr>
                <w:rFonts w:hint="eastAsia" w:asciiTheme="minorEastAsia" w:hAnsiTheme="minorEastAsia" w:eastAsiaTheme="minorEastAsia" w:cstheme="minorEastAsia"/>
                <w:sz w:val="24"/>
                <w:szCs w:val="24"/>
              </w:rPr>
            </w:pPr>
          </w:p>
        </w:tc>
        <w:tc>
          <w:tcPr>
            <w:tcW w:w="2706" w:type="dxa"/>
            <w:tcBorders>
              <w:top w:val="single" w:color="auto" w:sz="6" w:space="0"/>
              <w:left w:val="single" w:color="auto" w:sz="6" w:space="0"/>
              <w:bottom w:val="single" w:color="auto" w:sz="12" w:space="0"/>
              <w:right w:val="single" w:color="auto" w:sz="6" w:space="0"/>
            </w:tcBorders>
            <w:noWrap w:val="0"/>
            <w:vAlign w:val="center"/>
          </w:tcPr>
          <w:p>
            <w:pPr>
              <w:spacing w:line="340" w:lineRule="exact"/>
              <w:rPr>
                <w:rFonts w:hint="eastAsia" w:asciiTheme="minorEastAsia" w:hAnsiTheme="minorEastAsia" w:eastAsiaTheme="minorEastAsia" w:cstheme="minorEastAsia"/>
                <w:sz w:val="24"/>
                <w:szCs w:val="24"/>
              </w:rPr>
            </w:pPr>
          </w:p>
        </w:tc>
        <w:tc>
          <w:tcPr>
            <w:tcW w:w="2720" w:type="dxa"/>
            <w:tcBorders>
              <w:top w:val="single" w:color="auto" w:sz="6" w:space="0"/>
              <w:left w:val="single" w:color="auto" w:sz="6" w:space="0"/>
              <w:bottom w:val="single" w:color="auto" w:sz="12" w:space="0"/>
              <w:right w:val="single" w:color="auto" w:sz="6" w:space="0"/>
            </w:tcBorders>
            <w:noWrap w:val="0"/>
            <w:vAlign w:val="center"/>
          </w:tcPr>
          <w:p>
            <w:pPr>
              <w:spacing w:line="340" w:lineRule="exact"/>
              <w:rPr>
                <w:rFonts w:hint="eastAsia" w:asciiTheme="minorEastAsia" w:hAnsiTheme="minorEastAsia" w:eastAsiaTheme="minorEastAsia" w:cstheme="minorEastAsia"/>
                <w:sz w:val="24"/>
                <w:szCs w:val="24"/>
              </w:rPr>
            </w:pPr>
          </w:p>
        </w:tc>
        <w:tc>
          <w:tcPr>
            <w:tcW w:w="1417" w:type="dxa"/>
            <w:tcBorders>
              <w:top w:val="single" w:color="auto" w:sz="6" w:space="0"/>
              <w:left w:val="single" w:color="auto" w:sz="6" w:space="0"/>
              <w:bottom w:val="single" w:color="auto" w:sz="12" w:space="0"/>
              <w:right w:val="single" w:color="auto" w:sz="12" w:space="0"/>
            </w:tcBorders>
            <w:noWrap w:val="0"/>
            <w:vAlign w:val="top"/>
          </w:tcPr>
          <w:p>
            <w:pPr>
              <w:spacing w:line="340" w:lineRule="exact"/>
              <w:rPr>
                <w:rFonts w:hint="eastAsia" w:asciiTheme="minorEastAsia" w:hAnsiTheme="minorEastAsia" w:eastAsiaTheme="minorEastAsia" w:cstheme="minorEastAsia"/>
                <w:sz w:val="24"/>
                <w:szCs w:val="24"/>
              </w:rPr>
            </w:pPr>
          </w:p>
        </w:tc>
      </w:tr>
    </w:tbl>
    <w:p>
      <w:pPr>
        <w:spacing w:line="260" w:lineRule="exact"/>
        <w:rPr>
          <w:rFonts w:hint="eastAsia" w:asciiTheme="minorEastAsia" w:hAnsiTheme="minorEastAsia" w:eastAsiaTheme="minorEastAsia" w:cstheme="minorEastAsia"/>
          <w:sz w:val="24"/>
          <w:szCs w:val="24"/>
          <w:u w:val="single"/>
        </w:rPr>
      </w:pPr>
    </w:p>
    <w:p>
      <w:pPr>
        <w:pStyle w:val="6"/>
        <w:keepNext w:val="0"/>
        <w:keepLines w:val="0"/>
        <w:pageBreakBefore w:val="0"/>
        <w:widowControl w:val="0"/>
        <w:kinsoku/>
        <w:wordWrap/>
        <w:overflowPunct/>
        <w:topLinePunct w:val="0"/>
        <w:autoSpaceDE/>
        <w:autoSpaceDN/>
        <w:bidi w:val="0"/>
        <w:adjustRightInd/>
        <w:snapToGrid w:val="0"/>
        <w:spacing w:line="360" w:lineRule="auto"/>
        <w:contextualSpacing/>
        <w:textAlignment w:val="auto"/>
        <w:rPr>
          <w:rFonts w:hint="eastAsia" w:asciiTheme="minorEastAsia" w:hAnsiTheme="minorEastAsia" w:eastAsiaTheme="minorEastAsia" w:cstheme="minorEastAsia"/>
          <w:b/>
          <w:bCs w:val="0"/>
          <w:sz w:val="24"/>
          <w:szCs w:val="24"/>
        </w:rPr>
      </w:pPr>
      <w:r>
        <w:rPr>
          <w:rFonts w:hint="eastAsia" w:asciiTheme="minorEastAsia" w:hAnsiTheme="minorEastAsia" w:eastAsiaTheme="minorEastAsia" w:cstheme="minorEastAsia"/>
          <w:b/>
          <w:bCs w:val="0"/>
          <w:sz w:val="24"/>
          <w:szCs w:val="24"/>
        </w:rPr>
        <w:t>注：</w:t>
      </w:r>
    </w:p>
    <w:p>
      <w:pPr>
        <w:pStyle w:val="6"/>
        <w:keepNext w:val="0"/>
        <w:keepLines w:val="0"/>
        <w:pageBreakBefore w:val="0"/>
        <w:widowControl w:val="0"/>
        <w:kinsoku/>
        <w:wordWrap/>
        <w:overflowPunct/>
        <w:topLinePunct w:val="0"/>
        <w:autoSpaceDE/>
        <w:autoSpaceDN/>
        <w:bidi w:val="0"/>
        <w:adjustRightInd/>
        <w:snapToGrid w:val="0"/>
        <w:spacing w:line="360" w:lineRule="auto"/>
        <w:ind w:firstLine="482" w:firstLineChars="200"/>
        <w:contextualSpacing/>
        <w:textAlignment w:val="auto"/>
        <w:rPr>
          <w:rFonts w:hint="eastAsia" w:asciiTheme="minorEastAsia" w:hAnsiTheme="minorEastAsia" w:eastAsiaTheme="minorEastAsia" w:cstheme="minorEastAsia"/>
          <w:b/>
          <w:bCs w:val="0"/>
          <w:sz w:val="24"/>
          <w:szCs w:val="24"/>
          <w:highlight w:val="none"/>
        </w:rPr>
      </w:pPr>
      <w:r>
        <w:rPr>
          <w:rFonts w:hint="eastAsia" w:asciiTheme="minorEastAsia" w:hAnsiTheme="minorEastAsia" w:eastAsiaTheme="minorEastAsia" w:cstheme="minorEastAsia"/>
          <w:b/>
          <w:bCs w:val="0"/>
          <w:sz w:val="24"/>
          <w:szCs w:val="24"/>
          <w:highlight w:val="none"/>
        </w:rPr>
        <w:t>1、供应商提交的响应文件中与磋商文件第三部分“项目需求说明”中的商务、技术部分的要求有不同时，应逐条填列在偏离表中，否则将认为供应商接受磋商文件的所有要求。完全响应部分不填。</w:t>
      </w:r>
    </w:p>
    <w:p>
      <w:pPr>
        <w:pStyle w:val="6"/>
        <w:keepNext w:val="0"/>
        <w:keepLines w:val="0"/>
        <w:pageBreakBefore w:val="0"/>
        <w:widowControl w:val="0"/>
        <w:kinsoku/>
        <w:wordWrap/>
        <w:overflowPunct/>
        <w:topLinePunct w:val="0"/>
        <w:autoSpaceDE/>
        <w:autoSpaceDN/>
        <w:bidi w:val="0"/>
        <w:adjustRightInd/>
        <w:snapToGrid w:val="0"/>
        <w:spacing w:line="360" w:lineRule="auto"/>
        <w:ind w:firstLine="482" w:firstLineChars="200"/>
        <w:contextualSpacing/>
        <w:textAlignment w:val="auto"/>
        <w:rPr>
          <w:rFonts w:hint="eastAsia" w:asciiTheme="minorEastAsia" w:hAnsiTheme="minorEastAsia" w:eastAsiaTheme="minorEastAsia" w:cstheme="minorEastAsia"/>
          <w:b/>
          <w:bCs w:val="0"/>
          <w:sz w:val="24"/>
          <w:szCs w:val="24"/>
          <w:highlight w:val="none"/>
        </w:rPr>
      </w:pPr>
      <w:r>
        <w:rPr>
          <w:rFonts w:hint="eastAsia" w:asciiTheme="minorEastAsia" w:hAnsiTheme="minorEastAsia" w:eastAsiaTheme="minorEastAsia" w:cstheme="minorEastAsia"/>
          <w:b/>
          <w:bCs w:val="0"/>
          <w:sz w:val="24"/>
          <w:szCs w:val="24"/>
          <w:highlight w:val="none"/>
        </w:rPr>
        <w:t>2、“偏离说明”一栏选择“正偏离”、“负偏离”进行填写。正偏离的确认和负偏离的是否响应磋商文件，经三分之二评委认定。</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contextualSpacing/>
        <w:textAlignment w:val="auto"/>
        <w:rPr>
          <w:rFonts w:hint="eastAsia" w:asciiTheme="minorEastAsia" w:hAnsiTheme="minorEastAsia" w:eastAsiaTheme="minorEastAsia" w:cstheme="minorEastAsia"/>
          <w:b/>
          <w:bCs w:val="0"/>
          <w:sz w:val="24"/>
          <w:szCs w:val="24"/>
          <w:highlight w:val="none"/>
        </w:rPr>
      </w:pPr>
      <w:r>
        <w:rPr>
          <w:rFonts w:hint="eastAsia" w:asciiTheme="minorEastAsia" w:hAnsiTheme="minorEastAsia" w:eastAsiaTheme="minorEastAsia" w:cstheme="minorEastAsia"/>
          <w:b/>
          <w:bCs w:val="0"/>
          <w:sz w:val="24"/>
          <w:szCs w:val="24"/>
          <w:highlight w:val="none"/>
        </w:rPr>
        <w:t>3、供应商如果虚假响应，将承担被没收全额磋商保证金的风险。</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eastAsiaTheme="minorEastAsia"/>
          <w:lang w:eastAsia="zh-CN"/>
        </w:rPr>
      </w:pPr>
      <w:r>
        <w:rPr>
          <w:rFonts w:hint="eastAsia" w:asciiTheme="minorEastAsia" w:hAnsiTheme="minorEastAsia" w:eastAsiaTheme="minorEastAsia" w:cstheme="minorEastAsia"/>
          <w:b/>
          <w:bCs w:val="0"/>
          <w:sz w:val="24"/>
          <w:szCs w:val="24"/>
          <w:highlight w:val="none"/>
        </w:rPr>
        <w:t>4、供应商若提供其他增值服务，可以在表中自行据实填写</w:t>
      </w:r>
      <w:r>
        <w:rPr>
          <w:rFonts w:hint="eastAsia" w:asciiTheme="minorEastAsia" w:hAnsiTheme="minorEastAsia" w:eastAsiaTheme="minorEastAsia" w:cstheme="minorEastAsia"/>
          <w:b/>
          <w:bCs w:val="0"/>
          <w:sz w:val="24"/>
          <w:szCs w:val="24"/>
          <w:highlight w:val="none"/>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Helvetica">
    <w:altName w:val="Microsoft Sans Serif"/>
    <w:panose1 w:val="020B060402020202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5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C1F599"/>
    <w:multiLevelType w:val="singleLevel"/>
    <w:tmpl w:val="B4C1F599"/>
    <w:lvl w:ilvl="0" w:tentative="0">
      <w:start w:val="1"/>
      <w:numFmt w:val="chineseCounting"/>
      <w:suff w:val="nothing"/>
      <w:lvlText w:val="%1、"/>
      <w:lvlJc w:val="left"/>
      <w:rPr>
        <w:rFonts w:hint="eastAsia"/>
      </w:rPr>
    </w:lvl>
  </w:abstractNum>
  <w:abstractNum w:abstractNumId="1">
    <w:nsid w:val="C5DE2F14"/>
    <w:multiLevelType w:val="singleLevel"/>
    <w:tmpl w:val="C5DE2F14"/>
    <w:lvl w:ilvl="0" w:tentative="0">
      <w:start w:val="2"/>
      <w:numFmt w:val="chineseCounting"/>
      <w:suff w:val="nothing"/>
      <w:lvlText w:val="%1、"/>
      <w:lvlJc w:val="left"/>
      <w:rPr>
        <w:rFonts w:hint="eastAsia"/>
      </w:rPr>
    </w:lvl>
  </w:abstractNum>
  <w:abstractNum w:abstractNumId="2">
    <w:nsid w:val="DF5B6B78"/>
    <w:multiLevelType w:val="singleLevel"/>
    <w:tmpl w:val="DF5B6B78"/>
    <w:lvl w:ilvl="0" w:tentative="0">
      <w:start w:val="1"/>
      <w:numFmt w:val="decimal"/>
      <w:suff w:val="nothing"/>
      <w:lvlText w:val="%1、"/>
      <w:lvlJc w:val="left"/>
    </w:lvl>
  </w:abstractNum>
  <w:abstractNum w:abstractNumId="3">
    <w:nsid w:val="225B48F3"/>
    <w:multiLevelType w:val="singleLevel"/>
    <w:tmpl w:val="225B48F3"/>
    <w:lvl w:ilvl="0" w:tentative="0">
      <w:start w:val="1"/>
      <w:numFmt w:val="chineseCounting"/>
      <w:lvlText w:val="(%1)"/>
      <w:lvlJc w:val="left"/>
      <w:pPr>
        <w:tabs>
          <w:tab w:val="left" w:pos="312"/>
        </w:tabs>
      </w:pPr>
      <w:rPr>
        <w:rFonts w:hint="eastAsia"/>
      </w:rPr>
    </w:lvl>
  </w:abstractNum>
  <w:abstractNum w:abstractNumId="4">
    <w:nsid w:val="282E3CFA"/>
    <w:multiLevelType w:val="singleLevel"/>
    <w:tmpl w:val="282E3CFA"/>
    <w:lvl w:ilvl="0" w:tentative="0">
      <w:start w:val="9"/>
      <w:numFmt w:val="chineseCounting"/>
      <w:suff w:val="nothing"/>
      <w:lvlText w:val="%1、"/>
      <w:lvlJc w:val="left"/>
      <w:rPr>
        <w:rFonts w:hint="eastAsia"/>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A046D"/>
    <w:rsid w:val="012A60C1"/>
    <w:rsid w:val="01340DC4"/>
    <w:rsid w:val="01D8129C"/>
    <w:rsid w:val="07AD4922"/>
    <w:rsid w:val="09387279"/>
    <w:rsid w:val="09473FAA"/>
    <w:rsid w:val="0BA462FD"/>
    <w:rsid w:val="0CA706FF"/>
    <w:rsid w:val="0E4E29AE"/>
    <w:rsid w:val="13CC0A91"/>
    <w:rsid w:val="15296870"/>
    <w:rsid w:val="158E3976"/>
    <w:rsid w:val="182777F8"/>
    <w:rsid w:val="19596AC4"/>
    <w:rsid w:val="19DC66F8"/>
    <w:rsid w:val="1A490F95"/>
    <w:rsid w:val="1B094A1B"/>
    <w:rsid w:val="1B6A046D"/>
    <w:rsid w:val="1C39617F"/>
    <w:rsid w:val="1CB32104"/>
    <w:rsid w:val="1CCC5B46"/>
    <w:rsid w:val="1D040257"/>
    <w:rsid w:val="1D2548BB"/>
    <w:rsid w:val="1DBD0585"/>
    <w:rsid w:val="23162B45"/>
    <w:rsid w:val="231D491C"/>
    <w:rsid w:val="279422DD"/>
    <w:rsid w:val="290332AE"/>
    <w:rsid w:val="29504ED8"/>
    <w:rsid w:val="2C7C3AC4"/>
    <w:rsid w:val="2C8172DE"/>
    <w:rsid w:val="2D3F6785"/>
    <w:rsid w:val="2DAA1451"/>
    <w:rsid w:val="309419E6"/>
    <w:rsid w:val="31553019"/>
    <w:rsid w:val="31CD2E8D"/>
    <w:rsid w:val="3230198F"/>
    <w:rsid w:val="325C5B76"/>
    <w:rsid w:val="3271323C"/>
    <w:rsid w:val="33183626"/>
    <w:rsid w:val="3E974AE1"/>
    <w:rsid w:val="40201F1B"/>
    <w:rsid w:val="41D54716"/>
    <w:rsid w:val="423D1A3C"/>
    <w:rsid w:val="42BB7C55"/>
    <w:rsid w:val="43DC1FC7"/>
    <w:rsid w:val="447618E2"/>
    <w:rsid w:val="46476935"/>
    <w:rsid w:val="495B3134"/>
    <w:rsid w:val="4B9F2C67"/>
    <w:rsid w:val="4BE81C31"/>
    <w:rsid w:val="4BFE73D2"/>
    <w:rsid w:val="4C234D9B"/>
    <w:rsid w:val="4F7C5541"/>
    <w:rsid w:val="53E674BA"/>
    <w:rsid w:val="540129AF"/>
    <w:rsid w:val="57416F28"/>
    <w:rsid w:val="58173C65"/>
    <w:rsid w:val="5A092050"/>
    <w:rsid w:val="5A6807EF"/>
    <w:rsid w:val="602F75FF"/>
    <w:rsid w:val="621904E4"/>
    <w:rsid w:val="63D66FEF"/>
    <w:rsid w:val="64CE6D73"/>
    <w:rsid w:val="67BA15A9"/>
    <w:rsid w:val="686E3E6D"/>
    <w:rsid w:val="6A0F0FDF"/>
    <w:rsid w:val="6AAA7ED7"/>
    <w:rsid w:val="6BD52C49"/>
    <w:rsid w:val="6BE57F4E"/>
    <w:rsid w:val="6CC616B9"/>
    <w:rsid w:val="707976FA"/>
    <w:rsid w:val="71505A26"/>
    <w:rsid w:val="72243B73"/>
    <w:rsid w:val="74596473"/>
    <w:rsid w:val="75864A5F"/>
    <w:rsid w:val="759C48FC"/>
    <w:rsid w:val="79425F76"/>
    <w:rsid w:val="7AA05D23"/>
    <w:rsid w:val="7B3A7293"/>
    <w:rsid w:val="7C5D6B8A"/>
    <w:rsid w:val="7F093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6"/>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uiPriority w:val="0"/>
    <w:pPr>
      <w:ind w:firstLine="420"/>
    </w:pPr>
  </w:style>
  <w:style w:type="paragraph" w:styleId="4">
    <w:name w:val="Body Text Indent"/>
    <w:basedOn w:val="1"/>
    <w:next w:val="5"/>
    <w:qFormat/>
    <w:uiPriority w:val="0"/>
    <w:pPr>
      <w:spacing w:after="156" w:afterLines="0"/>
      <w:ind w:firstLine="480"/>
    </w:pPr>
    <w:rPr>
      <w:sz w:val="24"/>
    </w:rPr>
  </w:style>
  <w:style w:type="paragraph" w:styleId="5">
    <w:name w:val="envelope return"/>
    <w:basedOn w:val="1"/>
    <w:qFormat/>
    <w:uiPriority w:val="0"/>
    <w:pPr>
      <w:snapToGrid w:val="0"/>
    </w:pPr>
    <w:rPr>
      <w:rFonts w:ascii="Arial" w:hAnsi="Arial"/>
    </w:rPr>
  </w:style>
  <w:style w:type="paragraph" w:styleId="6">
    <w:name w:val="Plain Text"/>
    <w:basedOn w:val="1"/>
    <w:qFormat/>
    <w:uiPriority w:val="0"/>
    <w:rPr>
      <w:rFonts w:ascii="宋体" w:hAnsi="Courier New" w:cs="Courier New"/>
      <w:szCs w:val="21"/>
    </w:rPr>
  </w:style>
  <w:style w:type="paragraph" w:styleId="7">
    <w:name w:val="Body Text Indent 2"/>
    <w:basedOn w:val="1"/>
    <w:qFormat/>
    <w:uiPriority w:val="0"/>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Body Text First Indent 2"/>
    <w:basedOn w:val="4"/>
    <w:qFormat/>
    <w:uiPriority w:val="0"/>
    <w:pPr>
      <w:ind w:firstLine="420" w:firstLineChars="200"/>
    </w:pPr>
  </w:style>
  <w:style w:type="character" w:styleId="12">
    <w:name w:val="Hyperlink"/>
    <w:basedOn w:val="11"/>
    <w:uiPriority w:val="0"/>
    <w:rPr>
      <w:color w:val="0000FF"/>
      <w:u w:val="single"/>
    </w:rPr>
  </w:style>
  <w:style w:type="paragraph" w:customStyle="1" w:styleId="13">
    <w:name w:val="章正文"/>
    <w:basedOn w:val="1"/>
    <w:qFormat/>
    <w:uiPriority w:val="0"/>
    <w:pPr>
      <w:spacing w:before="50" w:beforeLines="50" w:after="120" w:line="300" w:lineRule="auto"/>
      <w:ind w:firstLine="480"/>
    </w:pPr>
    <w:rPr>
      <w:rFonts w:ascii="Helvetica" w:hAnsi="Helvetica"/>
      <w:kern w:val="0"/>
      <w:sz w:val="24"/>
    </w:rPr>
  </w:style>
  <w:style w:type="paragraph" w:styleId="14">
    <w:name w:val="List Paragraph"/>
    <w:basedOn w:val="1"/>
    <w:qFormat/>
    <w:uiPriority w:val="0"/>
    <w:pPr>
      <w:ind w:firstLine="420" w:firstLineChars="200"/>
    </w:pPr>
    <w:rPr>
      <w:szCs w:val="24"/>
    </w:rPr>
  </w:style>
  <w:style w:type="paragraph" w:customStyle="1" w:styleId="15">
    <w:name w:val="正文缩进2格"/>
    <w:basedOn w:val="1"/>
    <w:qFormat/>
    <w:uiPriority w:val="0"/>
    <w:pPr>
      <w:spacing w:line="600" w:lineRule="exact"/>
      <w:ind w:firstLine="639" w:firstLineChars="206"/>
    </w:pPr>
    <w:rPr>
      <w:rFonts w:ascii="仿宋_GB2312" w:hAnsi="宋体" w:eastAsia="仿宋_GB2312"/>
      <w:kern w:val="0"/>
      <w:sz w:val="31"/>
      <w:szCs w:val="28"/>
    </w:rPr>
  </w:style>
  <w:style w:type="paragraph" w:customStyle="1" w:styleId="16">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1757111-65b3-4482-9266-cf6990fdc098}"/>
        <w:style w:val=""/>
        <w:category>
          <w:name w:val="常规"/>
          <w:gallery w:val="placeholder"/>
        </w:category>
        <w:types>
          <w:type w:val="bbPlcHdr"/>
        </w:types>
        <w:behaviors>
          <w:behavior w:val="content"/>
        </w:behaviors>
        <w:description w:val=""/>
        <w:guid w:val="{71757111-65b3-4482-9266-cf6990fdc098}"/>
      </w:docPartPr>
      <w:docPartBody>
        <w:p>
          <w:r>
            <w:rPr>
              <w:color w:val="808080"/>
            </w:rPr>
            <w:t>单击此处输入文字。</w:t>
          </w:r>
        </w:p>
      </w:docPartBody>
    </w:docPart>
    <w:docPart>
      <w:docPartPr>
        <w:name w:val="{bc51257f-2812-4608-859c-4792c5301c72}"/>
        <w:style w:val=""/>
        <w:category>
          <w:name w:val="常规"/>
          <w:gallery w:val="placeholder"/>
        </w:category>
        <w:types>
          <w:type w:val="bbPlcHdr"/>
        </w:types>
        <w:behaviors>
          <w:behavior w:val="content"/>
        </w:behaviors>
        <w:description w:val=""/>
        <w:guid w:val="{bc51257f-2812-4608-859c-4792c5301c72}"/>
      </w:docPartPr>
      <w:docPartBody>
        <w:p>
          <w:r>
            <w:rPr>
              <w:color w:val="808080"/>
            </w:rPr>
            <w:t>单击此处输入文字。</w:t>
          </w:r>
        </w:p>
      </w:docPartBody>
    </w:docPart>
    <w:docPart>
      <w:docPartPr>
        <w:name w:val="{2914ad73-9674-4c83-9ba1-ac33ef13312e}"/>
        <w:style w:val=""/>
        <w:category>
          <w:name w:val="常规"/>
          <w:gallery w:val="placeholder"/>
        </w:category>
        <w:types>
          <w:type w:val="bbPlcHdr"/>
        </w:types>
        <w:behaviors>
          <w:behavior w:val="content"/>
        </w:behaviors>
        <w:description w:val=""/>
        <w:guid w:val="{2914ad73-9674-4c83-9ba1-ac33ef13312e}"/>
      </w:docPartPr>
      <w:docPartBody>
        <w:p>
          <w:r>
            <w:rPr>
              <w:color w:val="808080"/>
            </w:rPr>
            <w:t>单击此处输入文字。</w:t>
          </w:r>
        </w:p>
      </w:docPartBody>
    </w:docPart>
    <w:docPart>
      <w:docPartPr>
        <w:name w:val="{e3e6741f-405e-4795-8849-af6c9378002d}"/>
        <w:style w:val=""/>
        <w:category>
          <w:name w:val="常规"/>
          <w:gallery w:val="placeholder"/>
        </w:category>
        <w:types>
          <w:type w:val="bbPlcHdr"/>
        </w:types>
        <w:behaviors>
          <w:behavior w:val="content"/>
        </w:behaviors>
        <w:description w:val=""/>
        <w:guid w:val="{e3e6741f-405e-4795-8849-af6c9378002d}"/>
      </w:docPartPr>
      <w:docPartBody>
        <w:p>
          <w:r>
            <w:rPr>
              <w:color w:val="808080"/>
            </w:rPr>
            <w:t>单击此处输入文字。</w:t>
          </w:r>
        </w:p>
      </w:docPartBody>
    </w:docPart>
    <w:docPart>
      <w:docPartPr>
        <w:name w:val="{450944f5-c75d-457d-80bd-821339cc58cf}"/>
        <w:style w:val=""/>
        <w:category>
          <w:name w:val="常规"/>
          <w:gallery w:val="placeholder"/>
        </w:category>
        <w:types>
          <w:type w:val="bbPlcHdr"/>
        </w:types>
        <w:behaviors>
          <w:behavior w:val="content"/>
        </w:behaviors>
        <w:description w:val=""/>
        <w:guid w:val="{450944f5-c75d-457d-80bd-821339cc58cf}"/>
      </w:docPartPr>
      <w:docPartBody>
        <w:p>
          <w:r>
            <w:rPr>
              <w:color w:val="808080"/>
            </w:rPr>
            <w:t>单击此处输入文字。</w:t>
          </w:r>
        </w:p>
      </w:docPartBody>
    </w:docPart>
    <w:docPart>
      <w:docPartPr>
        <w:name w:val="{d86be572-9ee9-4985-886d-3367e0cf284a}"/>
        <w:style w:val=""/>
        <w:category>
          <w:name w:val="常规"/>
          <w:gallery w:val="placeholder"/>
        </w:category>
        <w:types>
          <w:type w:val="bbPlcHdr"/>
        </w:types>
        <w:behaviors>
          <w:behavior w:val="content"/>
        </w:behaviors>
        <w:description w:val=""/>
        <w:guid w:val="{d86be572-9ee9-4985-886d-3367e0cf284a}"/>
      </w:docPartPr>
      <w:docPartBody>
        <w:p>
          <w:r>
            <w:rPr>
              <w:color w:val="808080"/>
            </w:rPr>
            <w:t>单击此处输入文字。</w:t>
          </w:r>
        </w:p>
      </w:docPartBody>
    </w:docPart>
    <w:docPart>
      <w:docPartPr>
        <w:name w:val="{0f989780-05d5-4dd4-a856-c7358ceeb79f}"/>
        <w:style w:val=""/>
        <w:category>
          <w:name w:val="常规"/>
          <w:gallery w:val="placeholder"/>
        </w:category>
        <w:types>
          <w:type w:val="bbPlcHdr"/>
        </w:types>
        <w:behaviors>
          <w:behavior w:val="content"/>
        </w:behaviors>
        <w:description w:val=""/>
        <w:guid w:val="{0f989780-05d5-4dd4-a856-c7358ceeb79f}"/>
      </w:docPartPr>
      <w:docPartBody>
        <w:p>
          <w:r>
            <w:rPr>
              <w:color w:val="808080"/>
            </w:rPr>
            <w:t>单击此处输入文字。</w:t>
          </w:r>
        </w:p>
      </w:docPartBody>
    </w:docPart>
    <w:docPart>
      <w:docPartPr>
        <w:name w:val="{d947aa73-d674-41c6-9cc5-0d54ca83f48c}"/>
        <w:style w:val=""/>
        <w:category>
          <w:name w:val="常规"/>
          <w:gallery w:val="placeholder"/>
        </w:category>
        <w:types>
          <w:type w:val="bbPlcHdr"/>
        </w:types>
        <w:behaviors>
          <w:behavior w:val="content"/>
        </w:behaviors>
        <w:description w:val=""/>
        <w:guid w:val="{d947aa73-d674-41c6-9cc5-0d54ca83f48c}"/>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2019-08-03T01:55:00Z</dcterms:created>
  <dc:creator>pc</dc:creator>
  <cp:lastModifiedBy>Answer</cp:lastModifiedBy>
  <dcterms:modified xsi:type="dcterms:W3CDTF">2019-08-21T08:35:23Z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