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color w:val="000000"/>
          <w:w w:val="8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000000"/>
          <w:w w:val="80"/>
          <w:sz w:val="44"/>
          <w:szCs w:val="44"/>
          <w:highlight w:val="none"/>
          <w:lang w:eastAsia="zh-CN"/>
        </w:rPr>
        <w:t>南通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w w:val="80"/>
          <w:sz w:val="44"/>
          <w:szCs w:val="44"/>
          <w:highlight w:val="none"/>
          <w:lang w:eastAsia="zh-CN"/>
        </w:rPr>
        <w:t>市教育局资产清查专项审计项目</w:t>
      </w:r>
      <w:r>
        <w:rPr>
          <w:rFonts w:hint="eastAsia" w:ascii="宋体" w:hAnsi="宋体" w:cs="宋体"/>
          <w:b/>
          <w:color w:val="000000"/>
          <w:w w:val="80"/>
          <w:sz w:val="44"/>
          <w:szCs w:val="44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color w:val="000000"/>
          <w:w w:val="8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南通市教育局拟通过竞争性磋商方式选取一家社会中介机构按照《行政事业单位资产清查核实管理办法》等文件规定，对南通市21所学校进行资产清查专项审计。本次资产清查以2020年12月31日为基准日。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其中，原属崇川区教育体育局管理的16所学校，2020年由崇川区国资办组织开展国有资产清查，清查基准日为2020年10月31日，相关社会中介机构已出具了资产清查专项审计报告。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1、成交供应商应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按照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《行政事业单位资产清查核实管理办法》等文件规定，对南通市21所学校进行资产清查专项审计，并出具资产清查专项审计报告。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对需要出具经济鉴证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的资产核实事项，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成交供应商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应当按照国家资产清查核实政策和有关财务、会计制度的相关规定，在充分调查论证的基础上进行职业推断和客观评判，出具鉴证意见。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3、成交供应商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应当对资产清查专项审计报告、经济鉴证证明的真实性、准确性、完整性承担责任，严格履行保密义务。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每所学校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成交供应商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须单独出具一式六份的资产清查专项审计报告。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服务期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2021年3月31日前所有工作完成并出具资产清查专项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审计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报告</w:t>
      </w:r>
      <w:r>
        <w:rPr>
          <w:rFonts w:hint="eastAsia" w:ascii="宋体" w:hAnsi="宋体" w:cs="宋体"/>
          <w:sz w:val="24"/>
          <w:szCs w:val="24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w w:val="8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所有工作完成并出具资产清查专项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审计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报告后，一次性支付全款。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以上付款不计利息，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所有费用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应在收到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合法有效的发票后支付。</w:t>
      </w:r>
    </w:p>
    <w:p>
      <w:pPr>
        <w:snapToGrid w:val="0"/>
        <w:spacing w:line="360" w:lineRule="auto"/>
        <w:jc w:val="center"/>
        <w:rPr>
          <w:rFonts w:ascii="宋体" w:cs="宋体"/>
          <w:b/>
          <w:i/>
          <w:color w:val="000000"/>
          <w:w w:val="8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D91"/>
    <w:multiLevelType w:val="singleLevel"/>
    <w:tmpl w:val="2C755D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234D"/>
    <w:rsid w:val="182D3FB2"/>
    <w:rsid w:val="35E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2021-03-10T03:28:00Z</dcterms:created>
  <dc:creator>Administrator</dc:creator>
  <cp:lastModifiedBy>Administrator</cp:lastModifiedBy>
  <dcterms:modified xsi:type="dcterms:W3CDTF">2021-03-10T06:53:12Z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