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08C7B">
      <w:pPr>
        <w:jc w:val="center"/>
        <w:rPr>
          <w:rFonts w:ascii="宋体" w:hAnsi="宋体"/>
          <w:b/>
          <w:spacing w:val="20"/>
          <w:sz w:val="32"/>
          <w:szCs w:val="36"/>
          <w:highlight w:val="none"/>
        </w:rPr>
      </w:pPr>
    </w:p>
    <w:p w14:paraId="69EB4D21">
      <w:pPr>
        <w:jc w:val="center"/>
        <w:rPr>
          <w:rFonts w:hint="eastAsia" w:ascii="宋体" w:hAnsi="宋体"/>
          <w:b/>
          <w:spacing w:val="20"/>
          <w:sz w:val="36"/>
          <w:szCs w:val="40"/>
          <w:highlight w:val="none"/>
          <w:lang w:eastAsia="zh-CN"/>
        </w:rPr>
      </w:pPr>
      <w:r>
        <w:rPr>
          <w:rFonts w:hint="eastAsia" w:ascii="宋体" w:hAnsi="宋体"/>
          <w:b/>
          <w:spacing w:val="20"/>
          <w:sz w:val="36"/>
          <w:szCs w:val="40"/>
          <w:highlight w:val="none"/>
          <w:lang w:eastAsia="zh-CN"/>
        </w:rPr>
        <w:t>南通市教育技术中心直属学校光纤链路采购项目</w:t>
      </w:r>
    </w:p>
    <w:p w14:paraId="09BFC536">
      <w:pPr>
        <w:jc w:val="center"/>
        <w:rPr>
          <w:rFonts w:ascii="华文新魏" w:eastAsia="华文新魏"/>
          <w:b/>
          <w:sz w:val="72"/>
          <w:szCs w:val="100"/>
          <w:highlight w:val="none"/>
        </w:rPr>
      </w:pPr>
      <w:r>
        <w:rPr>
          <w:rFonts w:hint="eastAsia" w:ascii="华文新魏" w:eastAsia="华文新魏"/>
          <w:b/>
          <w:sz w:val="72"/>
          <w:szCs w:val="100"/>
          <w:highlight w:val="none"/>
        </w:rPr>
        <w:t>比选采购文件</w:t>
      </w:r>
    </w:p>
    <w:p w14:paraId="7D4CB1FF">
      <w:pPr>
        <w:keepNext/>
        <w:spacing w:line="500" w:lineRule="exact"/>
        <w:jc w:val="center"/>
        <w:rPr>
          <w:rFonts w:ascii="宋体" w:hAnsi="宋体"/>
          <w:b/>
          <w:kern w:val="0"/>
          <w:sz w:val="44"/>
          <w:szCs w:val="20"/>
          <w:highlight w:val="none"/>
        </w:rPr>
      </w:pPr>
    </w:p>
    <w:p w14:paraId="45DEA57A">
      <w:pPr>
        <w:jc w:val="center"/>
        <w:rPr>
          <w:rFonts w:hint="eastAsia" w:ascii="宋体" w:hAnsi="宋体" w:eastAsia="宋体"/>
          <w:b/>
          <w:spacing w:val="20"/>
          <w:sz w:val="44"/>
          <w:szCs w:val="48"/>
          <w:highlight w:val="none"/>
          <w:lang w:val="en-US" w:eastAsia="zh-CN"/>
        </w:rPr>
      </w:pPr>
      <w:bookmarkStart w:id="0" w:name="OLE_LINK7"/>
      <w:r>
        <w:rPr>
          <w:rFonts w:hint="eastAsia" w:ascii="宋体" w:hAnsi="宋体"/>
          <w:b/>
          <w:spacing w:val="20"/>
          <w:sz w:val="44"/>
          <w:szCs w:val="48"/>
          <w:highlight w:val="none"/>
        </w:rPr>
        <w:t>采购文件编号：</w:t>
      </w:r>
      <w:bookmarkStart w:id="1" w:name="OLE_LINK8"/>
      <w:r>
        <w:rPr>
          <w:rFonts w:hint="eastAsia" w:ascii="宋体" w:hAnsi="宋体"/>
          <w:b/>
          <w:spacing w:val="20"/>
          <w:sz w:val="44"/>
          <w:szCs w:val="48"/>
          <w:highlight w:val="none"/>
        </w:rPr>
        <w:t>JYJS2025 BX00</w:t>
      </w:r>
      <w:r>
        <w:rPr>
          <w:rFonts w:hint="eastAsia" w:ascii="宋体" w:hAnsi="宋体"/>
          <w:b/>
          <w:spacing w:val="20"/>
          <w:sz w:val="44"/>
          <w:szCs w:val="48"/>
          <w:highlight w:val="none"/>
          <w:lang w:val="en-US" w:eastAsia="zh-CN"/>
        </w:rPr>
        <w:t>3</w:t>
      </w:r>
    </w:p>
    <w:bookmarkEnd w:id="0"/>
    <w:bookmarkEnd w:id="1"/>
    <w:p w14:paraId="63BC6B25">
      <w:pPr>
        <w:spacing w:line="500" w:lineRule="exact"/>
        <w:jc w:val="center"/>
        <w:rPr>
          <w:rFonts w:ascii="仿宋_GB2312" w:eastAsia="仿宋_GB2312"/>
          <w:b/>
          <w:sz w:val="36"/>
          <w:highlight w:val="none"/>
        </w:rPr>
      </w:pPr>
    </w:p>
    <w:p w14:paraId="0D4C2673">
      <w:pPr>
        <w:spacing w:line="500" w:lineRule="exact"/>
        <w:rPr>
          <w:rFonts w:ascii="仿宋_GB2312" w:eastAsia="仿宋_GB2312"/>
          <w:highlight w:val="none"/>
        </w:rPr>
      </w:pPr>
    </w:p>
    <w:p w14:paraId="40C7B25E">
      <w:pPr>
        <w:spacing w:line="500" w:lineRule="exact"/>
        <w:rPr>
          <w:rFonts w:ascii="仿宋_GB2312" w:eastAsia="仿宋_GB2312"/>
          <w:highlight w:val="none"/>
        </w:rPr>
      </w:pPr>
    </w:p>
    <w:p w14:paraId="7743A539">
      <w:pPr>
        <w:spacing w:line="500" w:lineRule="exact"/>
        <w:rPr>
          <w:rFonts w:ascii="仿宋_GB2312" w:eastAsia="仿宋_GB2312"/>
          <w:highlight w:val="none"/>
        </w:rPr>
      </w:pPr>
    </w:p>
    <w:p w14:paraId="7E02630C">
      <w:pPr>
        <w:spacing w:line="500" w:lineRule="exact"/>
        <w:rPr>
          <w:rFonts w:ascii="仿宋_GB2312" w:eastAsia="仿宋_GB2312"/>
          <w:highlight w:val="none"/>
        </w:rPr>
      </w:pPr>
    </w:p>
    <w:p w14:paraId="5381337C">
      <w:pPr>
        <w:spacing w:line="500" w:lineRule="exact"/>
        <w:rPr>
          <w:rFonts w:ascii="仿宋_GB2312" w:eastAsia="仿宋_GB2312"/>
          <w:highlight w:val="none"/>
        </w:rPr>
      </w:pPr>
    </w:p>
    <w:p w14:paraId="73F46CFE">
      <w:pPr>
        <w:spacing w:line="500" w:lineRule="exact"/>
        <w:rPr>
          <w:rFonts w:ascii="仿宋_GB2312" w:eastAsia="仿宋_GB2312"/>
          <w:highlight w:val="none"/>
        </w:rPr>
      </w:pPr>
    </w:p>
    <w:p w14:paraId="6CC813C9">
      <w:pPr>
        <w:spacing w:line="500" w:lineRule="exact"/>
        <w:rPr>
          <w:rFonts w:ascii="仿宋_GB2312" w:eastAsia="仿宋_GB2312"/>
          <w:highlight w:val="none"/>
        </w:rPr>
      </w:pPr>
    </w:p>
    <w:p w14:paraId="1A81B9DF">
      <w:pPr>
        <w:spacing w:line="500" w:lineRule="exact"/>
        <w:rPr>
          <w:rFonts w:ascii="仿宋_GB2312" w:eastAsia="仿宋_GB2312"/>
          <w:highlight w:val="none"/>
        </w:rPr>
      </w:pPr>
    </w:p>
    <w:p w14:paraId="63534B30">
      <w:pPr>
        <w:spacing w:line="500" w:lineRule="exact"/>
        <w:jc w:val="center"/>
        <w:rPr>
          <w:rFonts w:ascii="仿宋_GB2312" w:eastAsia="仿宋_GB2312"/>
          <w:sz w:val="32"/>
          <w:highlight w:val="none"/>
        </w:rPr>
      </w:pPr>
    </w:p>
    <w:p w14:paraId="2F9C8F7D">
      <w:pPr>
        <w:spacing w:line="500" w:lineRule="exact"/>
        <w:jc w:val="center"/>
        <w:rPr>
          <w:rFonts w:ascii="仿宋_GB2312" w:eastAsia="仿宋_GB2312"/>
          <w:sz w:val="32"/>
          <w:highlight w:val="none"/>
        </w:rPr>
      </w:pPr>
    </w:p>
    <w:p w14:paraId="1747E6AD">
      <w:pPr>
        <w:pStyle w:val="2"/>
        <w:rPr>
          <w:highlight w:val="none"/>
        </w:rPr>
      </w:pPr>
    </w:p>
    <w:p w14:paraId="540A44CA">
      <w:pPr>
        <w:pStyle w:val="2"/>
        <w:rPr>
          <w:highlight w:val="none"/>
        </w:rPr>
      </w:pPr>
    </w:p>
    <w:p w14:paraId="0316DA73">
      <w:pPr>
        <w:pStyle w:val="2"/>
        <w:rPr>
          <w:highlight w:val="none"/>
        </w:rPr>
      </w:pPr>
    </w:p>
    <w:p w14:paraId="454B9505">
      <w:pPr>
        <w:spacing w:line="500" w:lineRule="exact"/>
        <w:jc w:val="center"/>
        <w:rPr>
          <w:rFonts w:ascii="仿宋_GB2312" w:eastAsia="仿宋_GB2312"/>
          <w:sz w:val="32"/>
          <w:highlight w:val="none"/>
        </w:rPr>
      </w:pPr>
    </w:p>
    <w:p w14:paraId="557BE023">
      <w:pPr>
        <w:spacing w:line="500" w:lineRule="exact"/>
        <w:jc w:val="center"/>
        <w:rPr>
          <w:rFonts w:ascii="宋体" w:hAnsi="宋体"/>
          <w:b/>
          <w:spacing w:val="20"/>
          <w:sz w:val="44"/>
          <w:highlight w:val="none"/>
        </w:rPr>
      </w:pPr>
      <w:r>
        <w:rPr>
          <w:rFonts w:hint="eastAsia" w:ascii="宋体" w:hAnsi="宋体"/>
          <w:b/>
          <w:spacing w:val="20"/>
          <w:sz w:val="44"/>
          <w:highlight w:val="none"/>
        </w:rPr>
        <w:t>南通市教育技术中心 印制</w:t>
      </w:r>
    </w:p>
    <w:p w14:paraId="4568AC32">
      <w:pPr>
        <w:adjustRightInd w:val="0"/>
        <w:spacing w:before="120" w:after="120" w:line="500" w:lineRule="exact"/>
        <w:ind w:left="-2" w:right="120"/>
        <w:jc w:val="center"/>
        <w:textAlignment w:val="baseline"/>
        <w:rPr>
          <w:rFonts w:ascii="Arial" w:hAnsi="Arial"/>
          <w:b/>
          <w:bCs/>
          <w:kern w:val="0"/>
          <w:sz w:val="32"/>
          <w:highlight w:val="none"/>
        </w:rPr>
      </w:pPr>
      <w:r>
        <w:rPr>
          <w:rFonts w:hint="eastAsia" w:ascii="Arial" w:hAnsi="Arial"/>
          <w:b/>
          <w:bCs/>
          <w:kern w:val="0"/>
          <w:sz w:val="32"/>
          <w:highlight w:val="none"/>
          <w:lang w:val="en-US" w:eastAsia="zh-CN"/>
        </w:rPr>
        <w:t>2025</w:t>
      </w:r>
      <w:r>
        <w:rPr>
          <w:rFonts w:hint="eastAsia" w:ascii="Arial" w:hAnsi="Arial"/>
          <w:b/>
          <w:bCs/>
          <w:kern w:val="0"/>
          <w:sz w:val="32"/>
          <w:highlight w:val="none"/>
        </w:rPr>
        <w:t>年</w:t>
      </w:r>
      <w:r>
        <w:rPr>
          <w:rFonts w:hint="eastAsia" w:ascii="Arial" w:hAnsi="Arial"/>
          <w:b/>
          <w:bCs/>
          <w:kern w:val="0"/>
          <w:sz w:val="32"/>
          <w:highlight w:val="none"/>
          <w:lang w:val="en-US" w:eastAsia="zh-CN"/>
        </w:rPr>
        <w:t>8</w:t>
      </w:r>
      <w:r>
        <w:rPr>
          <w:rFonts w:hint="eastAsia" w:ascii="Arial" w:hAnsi="Arial"/>
          <w:b/>
          <w:bCs/>
          <w:kern w:val="0"/>
          <w:sz w:val="32"/>
          <w:highlight w:val="none"/>
        </w:rPr>
        <w:t>月</w:t>
      </w:r>
    </w:p>
    <w:p w14:paraId="01BE2435">
      <w:pPr>
        <w:adjustRightInd w:val="0"/>
        <w:snapToGrid w:val="0"/>
        <w:spacing w:line="500" w:lineRule="exact"/>
        <w:ind w:left="-158" w:leftChars="-75"/>
        <w:rPr>
          <w:rFonts w:ascii="宋体" w:hAnsi="宋体"/>
          <w:b/>
          <w:snapToGrid w:val="0"/>
          <w:sz w:val="26"/>
          <w:szCs w:val="28"/>
          <w:highlight w:val="none"/>
          <w:u w:val="single"/>
        </w:rPr>
      </w:pPr>
      <w:r>
        <w:rPr>
          <w:rFonts w:hint="eastAsia" w:ascii="宋体" w:hAnsi="宋体"/>
          <w:b/>
          <w:snapToGrid w:val="0"/>
          <w:sz w:val="26"/>
          <w:szCs w:val="28"/>
          <w:highlight w:val="none"/>
          <w:u w:val="single"/>
        </w:rPr>
        <w:t xml:space="preserve">                                                                    </w:t>
      </w:r>
    </w:p>
    <w:p w14:paraId="332C4640">
      <w:pPr>
        <w:adjustRightInd w:val="0"/>
        <w:snapToGrid w:val="0"/>
        <w:spacing w:line="500" w:lineRule="exact"/>
        <w:ind w:left="-158" w:leftChars="-75"/>
        <w:rPr>
          <w:rFonts w:eastAsia="方正仿宋_GBK"/>
          <w:snapToGrid w:val="0"/>
          <w:sz w:val="32"/>
          <w:szCs w:val="32"/>
          <w:highlight w:val="none"/>
        </w:rPr>
      </w:pPr>
      <w:r>
        <w:rPr>
          <w:rFonts w:eastAsia="方正仿宋_GBK"/>
          <w:b/>
          <w:snapToGrid w:val="0"/>
          <w:sz w:val="32"/>
          <w:szCs w:val="32"/>
          <w:highlight w:val="none"/>
        </w:rPr>
        <w:t>地址:</w:t>
      </w:r>
      <w:r>
        <w:rPr>
          <w:rFonts w:eastAsia="方正仿宋_GBK"/>
          <w:snapToGrid w:val="0"/>
          <w:sz w:val="32"/>
          <w:szCs w:val="32"/>
          <w:highlight w:val="none"/>
        </w:rPr>
        <w:t xml:space="preserve"> 南通市板桥路</w:t>
      </w:r>
      <w:r>
        <w:rPr>
          <w:rFonts w:hint="eastAsia" w:eastAsia="方正仿宋_GBK"/>
          <w:snapToGrid w:val="0"/>
          <w:sz w:val="32"/>
          <w:szCs w:val="32"/>
          <w:highlight w:val="none"/>
        </w:rPr>
        <w:t>4</w:t>
      </w:r>
      <w:r>
        <w:rPr>
          <w:rFonts w:eastAsia="方正仿宋_GBK"/>
          <w:snapToGrid w:val="0"/>
          <w:sz w:val="32"/>
          <w:szCs w:val="32"/>
          <w:highlight w:val="none"/>
        </w:rPr>
        <w:t xml:space="preserve">5号          </w:t>
      </w:r>
      <w:r>
        <w:rPr>
          <w:rFonts w:eastAsia="方正仿宋_GBK"/>
          <w:b/>
          <w:snapToGrid w:val="0"/>
          <w:sz w:val="32"/>
          <w:szCs w:val="32"/>
          <w:highlight w:val="none"/>
        </w:rPr>
        <w:t>邮政编码：</w:t>
      </w:r>
      <w:r>
        <w:rPr>
          <w:rFonts w:eastAsia="方正仿宋_GBK"/>
          <w:snapToGrid w:val="0"/>
          <w:sz w:val="32"/>
          <w:szCs w:val="32"/>
          <w:highlight w:val="none"/>
        </w:rPr>
        <w:t xml:space="preserve">226008        </w:t>
      </w:r>
    </w:p>
    <w:p w14:paraId="16F82CAD">
      <w:pPr>
        <w:autoSpaceDE w:val="0"/>
        <w:autoSpaceDN w:val="0"/>
        <w:adjustRightInd w:val="0"/>
        <w:snapToGrid w:val="0"/>
        <w:spacing w:line="360" w:lineRule="auto"/>
        <w:jc w:val="center"/>
        <w:rPr>
          <w:rFonts w:ascii="方正黑体_GBK" w:hAnsi="宋体" w:eastAsia="方正黑体_GBK"/>
          <w:sz w:val="44"/>
          <w:szCs w:val="44"/>
          <w:highlight w:val="none"/>
          <w:lang w:val="zh-CN"/>
        </w:rPr>
      </w:pPr>
    </w:p>
    <w:p w14:paraId="427F9E7C">
      <w:pPr>
        <w:autoSpaceDE w:val="0"/>
        <w:autoSpaceDN w:val="0"/>
        <w:adjustRightInd w:val="0"/>
        <w:snapToGrid w:val="0"/>
        <w:spacing w:line="360" w:lineRule="auto"/>
        <w:jc w:val="center"/>
        <w:rPr>
          <w:rFonts w:hint="eastAsia" w:ascii="方正黑体_GBK" w:hAnsi="宋体" w:eastAsia="方正黑体_GBK"/>
          <w:sz w:val="44"/>
          <w:szCs w:val="44"/>
          <w:highlight w:val="none"/>
          <w:lang w:val="zh-CN"/>
        </w:rPr>
      </w:pPr>
    </w:p>
    <w:p w14:paraId="5117D628">
      <w:pPr>
        <w:autoSpaceDE w:val="0"/>
        <w:autoSpaceDN w:val="0"/>
        <w:adjustRightInd w:val="0"/>
        <w:snapToGrid w:val="0"/>
        <w:spacing w:line="360" w:lineRule="auto"/>
        <w:jc w:val="center"/>
        <w:rPr>
          <w:rFonts w:ascii="方正黑体_GBK" w:hAnsi="宋体" w:eastAsia="方正黑体_GBK"/>
          <w:sz w:val="44"/>
          <w:szCs w:val="44"/>
          <w:highlight w:val="none"/>
          <w:lang w:val="zh-CN"/>
        </w:rPr>
      </w:pPr>
      <w:r>
        <w:rPr>
          <w:rFonts w:hint="eastAsia" w:ascii="方正黑体_GBK" w:hAnsi="宋体" w:eastAsia="方正黑体_GBK"/>
          <w:sz w:val="44"/>
          <w:szCs w:val="44"/>
          <w:highlight w:val="none"/>
          <w:lang w:val="zh-CN"/>
        </w:rPr>
        <w:t>目</w:t>
      </w:r>
      <w:r>
        <w:rPr>
          <w:rFonts w:ascii="方正黑体_GBK" w:hAnsi="宋体" w:eastAsia="方正黑体_GBK"/>
          <w:sz w:val="44"/>
          <w:szCs w:val="44"/>
          <w:highlight w:val="none"/>
          <w:lang w:val="zh-CN"/>
        </w:rPr>
        <w:t xml:space="preserve"> </w:t>
      </w:r>
      <w:r>
        <w:rPr>
          <w:rFonts w:hint="eastAsia" w:ascii="方正黑体_GBK" w:hAnsi="宋体" w:eastAsia="方正黑体_GBK"/>
          <w:sz w:val="44"/>
          <w:szCs w:val="44"/>
          <w:highlight w:val="none"/>
          <w:lang w:val="zh-CN"/>
        </w:rPr>
        <w:t>录</w:t>
      </w:r>
    </w:p>
    <w:p w14:paraId="4992A231">
      <w:pPr>
        <w:autoSpaceDE w:val="0"/>
        <w:autoSpaceDN w:val="0"/>
        <w:adjustRightInd w:val="0"/>
        <w:snapToGrid w:val="0"/>
        <w:spacing w:line="360" w:lineRule="auto"/>
        <w:ind w:firstLine="556"/>
        <w:rPr>
          <w:rFonts w:ascii="方正黑体_GBK" w:hAnsi="仿宋" w:eastAsia="方正黑体_GBK"/>
          <w:sz w:val="32"/>
          <w:szCs w:val="32"/>
          <w:highlight w:val="none"/>
        </w:rPr>
      </w:pPr>
    </w:p>
    <w:p w14:paraId="4B5153F4">
      <w:pPr>
        <w:autoSpaceDE w:val="0"/>
        <w:autoSpaceDN w:val="0"/>
        <w:adjustRightInd w:val="0"/>
        <w:snapToGrid w:val="0"/>
        <w:spacing w:line="360" w:lineRule="auto"/>
        <w:ind w:firstLine="556"/>
        <w:rPr>
          <w:rFonts w:ascii="方正黑体_GBK" w:hAnsi="仿宋" w:eastAsia="方正黑体_GBK"/>
          <w:sz w:val="32"/>
          <w:szCs w:val="32"/>
          <w:highlight w:val="none"/>
        </w:rPr>
      </w:pPr>
    </w:p>
    <w:p w14:paraId="20AC2BAB">
      <w:pPr>
        <w:autoSpaceDE w:val="0"/>
        <w:autoSpaceDN w:val="0"/>
        <w:adjustRightInd w:val="0"/>
        <w:snapToGrid w:val="0"/>
        <w:spacing w:line="360" w:lineRule="auto"/>
        <w:ind w:firstLine="556"/>
        <w:rPr>
          <w:rFonts w:ascii="方正黑体_GBK" w:hAnsi="宋体" w:eastAsia="方正黑体_GBK"/>
          <w:sz w:val="32"/>
          <w:szCs w:val="32"/>
          <w:highlight w:val="none"/>
        </w:rPr>
      </w:pPr>
      <w:r>
        <w:rPr>
          <w:rFonts w:hint="eastAsia" w:ascii="方正黑体_GBK" w:hAnsi="宋体" w:eastAsia="方正黑体_GBK"/>
          <w:sz w:val="32"/>
          <w:szCs w:val="32"/>
          <w:highlight w:val="none"/>
        </w:rPr>
        <w:t>第一部分  比选公告</w:t>
      </w:r>
    </w:p>
    <w:p w14:paraId="6664043C">
      <w:pPr>
        <w:autoSpaceDE w:val="0"/>
        <w:autoSpaceDN w:val="0"/>
        <w:adjustRightInd w:val="0"/>
        <w:snapToGrid w:val="0"/>
        <w:spacing w:line="360" w:lineRule="auto"/>
        <w:ind w:firstLine="556"/>
        <w:rPr>
          <w:rFonts w:ascii="方正黑体_GBK" w:hAnsi="宋体" w:eastAsia="方正黑体_GBK"/>
          <w:sz w:val="32"/>
          <w:szCs w:val="32"/>
          <w:highlight w:val="none"/>
        </w:rPr>
      </w:pPr>
      <w:r>
        <w:rPr>
          <w:rFonts w:hint="eastAsia" w:ascii="方正黑体_GBK" w:hAnsi="宋体" w:eastAsia="方正黑体_GBK"/>
          <w:sz w:val="32"/>
          <w:szCs w:val="32"/>
          <w:highlight w:val="none"/>
        </w:rPr>
        <w:t>第二部分  比选须知</w:t>
      </w:r>
    </w:p>
    <w:p w14:paraId="3A5DD415">
      <w:pPr>
        <w:autoSpaceDE w:val="0"/>
        <w:autoSpaceDN w:val="0"/>
        <w:adjustRightInd w:val="0"/>
        <w:snapToGrid w:val="0"/>
        <w:spacing w:line="360" w:lineRule="auto"/>
        <w:ind w:firstLine="537"/>
        <w:rPr>
          <w:rFonts w:ascii="方正黑体_GBK" w:hAnsi="宋体" w:eastAsia="方正黑体_GBK"/>
          <w:sz w:val="32"/>
          <w:szCs w:val="32"/>
          <w:highlight w:val="none"/>
        </w:rPr>
      </w:pPr>
      <w:r>
        <w:rPr>
          <w:rFonts w:hint="eastAsia" w:ascii="方正黑体_GBK" w:hAnsi="宋体" w:eastAsia="方正黑体_GBK"/>
          <w:sz w:val="32"/>
          <w:szCs w:val="32"/>
          <w:highlight w:val="none"/>
        </w:rPr>
        <w:t>第三部分  项目需求</w:t>
      </w:r>
    </w:p>
    <w:p w14:paraId="25FAF7BC">
      <w:pPr>
        <w:autoSpaceDE w:val="0"/>
        <w:autoSpaceDN w:val="0"/>
        <w:adjustRightInd w:val="0"/>
        <w:snapToGrid w:val="0"/>
        <w:spacing w:line="360" w:lineRule="auto"/>
        <w:ind w:firstLine="537"/>
        <w:rPr>
          <w:rFonts w:ascii="方正黑体_GBK" w:hAnsi="宋体" w:eastAsia="方正黑体_GBK"/>
          <w:sz w:val="32"/>
          <w:szCs w:val="32"/>
          <w:highlight w:val="none"/>
        </w:rPr>
      </w:pPr>
      <w:r>
        <w:rPr>
          <w:rFonts w:hint="eastAsia" w:ascii="方正黑体_GBK" w:hAnsi="宋体" w:eastAsia="方正黑体_GBK"/>
          <w:sz w:val="32"/>
          <w:szCs w:val="32"/>
          <w:highlight w:val="none"/>
        </w:rPr>
        <w:t>第四部分  开标和评标</w:t>
      </w:r>
    </w:p>
    <w:p w14:paraId="19E50A4B">
      <w:pPr>
        <w:autoSpaceDE w:val="0"/>
        <w:autoSpaceDN w:val="0"/>
        <w:adjustRightInd w:val="0"/>
        <w:snapToGrid w:val="0"/>
        <w:spacing w:line="360" w:lineRule="auto"/>
        <w:ind w:firstLine="537"/>
        <w:rPr>
          <w:rFonts w:ascii="方正黑体_GBK" w:hAnsi="宋体" w:eastAsia="方正黑体_GBK"/>
          <w:sz w:val="32"/>
          <w:szCs w:val="32"/>
          <w:highlight w:val="none"/>
        </w:rPr>
      </w:pPr>
      <w:r>
        <w:rPr>
          <w:rFonts w:hint="eastAsia" w:ascii="方正黑体_GBK" w:hAnsi="宋体" w:eastAsia="方正黑体_GBK"/>
          <w:sz w:val="32"/>
          <w:szCs w:val="32"/>
          <w:highlight w:val="none"/>
        </w:rPr>
        <w:t>第五部分  合同签订与验收付款</w:t>
      </w:r>
    </w:p>
    <w:p w14:paraId="59BEF6A1">
      <w:pPr>
        <w:autoSpaceDE w:val="0"/>
        <w:autoSpaceDN w:val="0"/>
        <w:adjustRightInd w:val="0"/>
        <w:snapToGrid w:val="0"/>
        <w:spacing w:line="360" w:lineRule="auto"/>
        <w:ind w:firstLine="537"/>
        <w:rPr>
          <w:rFonts w:ascii="方正黑体_GBK" w:hAnsi="宋体" w:eastAsia="方正黑体_GBK"/>
          <w:color w:val="000000"/>
          <w:sz w:val="32"/>
          <w:szCs w:val="32"/>
          <w:highlight w:val="none"/>
        </w:rPr>
      </w:pPr>
      <w:r>
        <w:rPr>
          <w:rFonts w:hint="eastAsia" w:ascii="方正黑体_GBK" w:hAnsi="宋体" w:eastAsia="方正黑体_GBK"/>
          <w:color w:val="000000"/>
          <w:sz w:val="32"/>
          <w:szCs w:val="32"/>
          <w:highlight w:val="none"/>
        </w:rPr>
        <w:t>第六部分  响应文件组成</w:t>
      </w:r>
    </w:p>
    <w:p w14:paraId="293B9FE8">
      <w:pPr>
        <w:autoSpaceDE w:val="0"/>
        <w:autoSpaceDN w:val="0"/>
        <w:adjustRightInd w:val="0"/>
        <w:snapToGrid w:val="0"/>
        <w:spacing w:line="360" w:lineRule="auto"/>
        <w:ind w:firstLine="556"/>
        <w:rPr>
          <w:rFonts w:ascii="方正黑体_GBK" w:hAnsi="宋体" w:eastAsia="方正黑体_GBK"/>
          <w:color w:val="000000"/>
          <w:sz w:val="32"/>
          <w:szCs w:val="32"/>
          <w:highlight w:val="none"/>
        </w:rPr>
      </w:pPr>
      <w:r>
        <w:rPr>
          <w:rFonts w:hint="eastAsia" w:ascii="方正黑体_GBK" w:hAnsi="宋体" w:eastAsia="方正黑体_GBK"/>
          <w:color w:val="000000"/>
          <w:sz w:val="32"/>
          <w:szCs w:val="32"/>
          <w:highlight w:val="none"/>
        </w:rPr>
        <w:t>第七部分  质询提出和处理</w:t>
      </w:r>
    </w:p>
    <w:p w14:paraId="05580CA1">
      <w:pPr>
        <w:tabs>
          <w:tab w:val="left" w:pos="7740"/>
        </w:tabs>
        <w:spacing w:line="500" w:lineRule="exact"/>
        <w:rPr>
          <w:rFonts w:ascii="宋体" w:hAnsi="宋体"/>
          <w:bCs/>
          <w:sz w:val="32"/>
          <w:szCs w:val="32"/>
          <w:highlight w:val="none"/>
        </w:rPr>
      </w:pPr>
    </w:p>
    <w:p w14:paraId="405111A0">
      <w:pPr>
        <w:tabs>
          <w:tab w:val="left" w:pos="7740"/>
        </w:tabs>
        <w:spacing w:line="500" w:lineRule="exact"/>
        <w:rPr>
          <w:rFonts w:ascii="宋体" w:hAnsi="宋体"/>
          <w:bCs/>
          <w:sz w:val="32"/>
          <w:szCs w:val="32"/>
          <w:highlight w:val="none"/>
        </w:rPr>
      </w:pPr>
    </w:p>
    <w:p w14:paraId="61E7D45F">
      <w:pPr>
        <w:autoSpaceDE w:val="0"/>
        <w:autoSpaceDN w:val="0"/>
        <w:adjustRightInd w:val="0"/>
        <w:spacing w:line="500" w:lineRule="exact"/>
        <w:jc w:val="center"/>
        <w:rPr>
          <w:rFonts w:ascii="仿宋" w:hAnsi="仿宋" w:eastAsia="仿宋"/>
          <w:b/>
          <w:bCs/>
          <w:sz w:val="36"/>
          <w:szCs w:val="36"/>
          <w:highlight w:val="none"/>
          <w:lang w:val="zh-CN"/>
        </w:rPr>
      </w:pPr>
    </w:p>
    <w:p w14:paraId="5BCAB778">
      <w:pPr>
        <w:autoSpaceDE w:val="0"/>
        <w:autoSpaceDN w:val="0"/>
        <w:adjustRightInd w:val="0"/>
        <w:spacing w:line="500" w:lineRule="exact"/>
        <w:rPr>
          <w:rFonts w:ascii="仿宋" w:hAnsi="仿宋" w:eastAsia="仿宋"/>
          <w:b/>
          <w:bCs/>
          <w:sz w:val="36"/>
          <w:szCs w:val="36"/>
          <w:highlight w:val="none"/>
          <w:lang w:val="zh-CN"/>
        </w:rPr>
      </w:pPr>
    </w:p>
    <w:p w14:paraId="4C866ADE">
      <w:pPr>
        <w:autoSpaceDE w:val="0"/>
        <w:autoSpaceDN w:val="0"/>
        <w:adjustRightInd w:val="0"/>
        <w:spacing w:line="500" w:lineRule="exact"/>
        <w:jc w:val="center"/>
        <w:rPr>
          <w:rFonts w:ascii="仿宋" w:hAnsi="仿宋" w:eastAsia="仿宋"/>
          <w:b/>
          <w:bCs/>
          <w:sz w:val="36"/>
          <w:szCs w:val="36"/>
          <w:highlight w:val="none"/>
          <w:lang w:val="zh-CN"/>
        </w:rPr>
      </w:pPr>
    </w:p>
    <w:p w14:paraId="26D4AAFD">
      <w:pPr>
        <w:autoSpaceDE w:val="0"/>
        <w:autoSpaceDN w:val="0"/>
        <w:adjustRightInd w:val="0"/>
        <w:spacing w:line="500" w:lineRule="exact"/>
        <w:jc w:val="center"/>
        <w:rPr>
          <w:rFonts w:ascii="仿宋" w:hAnsi="仿宋" w:eastAsia="仿宋"/>
          <w:b/>
          <w:bCs/>
          <w:sz w:val="36"/>
          <w:szCs w:val="36"/>
          <w:highlight w:val="none"/>
          <w:lang w:val="zh-CN"/>
        </w:rPr>
      </w:pPr>
    </w:p>
    <w:p w14:paraId="58BEF873">
      <w:pPr>
        <w:autoSpaceDE w:val="0"/>
        <w:autoSpaceDN w:val="0"/>
        <w:adjustRightInd w:val="0"/>
        <w:spacing w:line="500" w:lineRule="exact"/>
        <w:jc w:val="center"/>
        <w:rPr>
          <w:rFonts w:ascii="仿宋" w:hAnsi="仿宋" w:eastAsia="仿宋"/>
          <w:b/>
          <w:bCs/>
          <w:sz w:val="36"/>
          <w:szCs w:val="36"/>
          <w:highlight w:val="none"/>
          <w:lang w:val="zh-CN"/>
        </w:rPr>
      </w:pPr>
    </w:p>
    <w:p w14:paraId="10015893">
      <w:pPr>
        <w:autoSpaceDE w:val="0"/>
        <w:autoSpaceDN w:val="0"/>
        <w:adjustRightInd w:val="0"/>
        <w:spacing w:line="500" w:lineRule="exact"/>
        <w:jc w:val="center"/>
        <w:rPr>
          <w:rFonts w:ascii="仿宋" w:hAnsi="仿宋" w:eastAsia="仿宋"/>
          <w:b/>
          <w:bCs/>
          <w:sz w:val="36"/>
          <w:szCs w:val="36"/>
          <w:highlight w:val="none"/>
          <w:lang w:val="zh-CN"/>
        </w:rPr>
      </w:pPr>
    </w:p>
    <w:p w14:paraId="7482EA56">
      <w:pPr>
        <w:autoSpaceDE w:val="0"/>
        <w:autoSpaceDN w:val="0"/>
        <w:adjustRightInd w:val="0"/>
        <w:spacing w:line="500" w:lineRule="exact"/>
        <w:jc w:val="center"/>
        <w:rPr>
          <w:rFonts w:ascii="仿宋" w:hAnsi="仿宋" w:eastAsia="仿宋"/>
          <w:b/>
          <w:bCs/>
          <w:sz w:val="36"/>
          <w:szCs w:val="36"/>
          <w:highlight w:val="none"/>
          <w:lang w:val="zh-CN"/>
        </w:rPr>
      </w:pPr>
    </w:p>
    <w:p w14:paraId="7D436317">
      <w:pPr>
        <w:autoSpaceDE w:val="0"/>
        <w:autoSpaceDN w:val="0"/>
        <w:adjustRightInd w:val="0"/>
        <w:spacing w:line="500" w:lineRule="exact"/>
        <w:jc w:val="center"/>
        <w:rPr>
          <w:rFonts w:ascii="仿宋" w:hAnsi="仿宋" w:eastAsia="仿宋"/>
          <w:b/>
          <w:bCs/>
          <w:sz w:val="36"/>
          <w:szCs w:val="36"/>
          <w:highlight w:val="none"/>
          <w:lang w:val="zh-CN"/>
        </w:rPr>
      </w:pPr>
    </w:p>
    <w:p w14:paraId="26DF7990">
      <w:pPr>
        <w:autoSpaceDE w:val="0"/>
        <w:autoSpaceDN w:val="0"/>
        <w:adjustRightInd w:val="0"/>
        <w:spacing w:line="500" w:lineRule="exact"/>
        <w:jc w:val="center"/>
        <w:rPr>
          <w:rFonts w:ascii="仿宋" w:hAnsi="仿宋" w:eastAsia="仿宋"/>
          <w:b/>
          <w:bCs/>
          <w:sz w:val="36"/>
          <w:szCs w:val="36"/>
          <w:highlight w:val="none"/>
          <w:lang w:val="zh-CN"/>
        </w:rPr>
      </w:pPr>
    </w:p>
    <w:p w14:paraId="4982E018">
      <w:pPr>
        <w:autoSpaceDE w:val="0"/>
        <w:autoSpaceDN w:val="0"/>
        <w:adjustRightInd w:val="0"/>
        <w:spacing w:line="500" w:lineRule="exact"/>
        <w:jc w:val="center"/>
        <w:rPr>
          <w:rFonts w:ascii="仿宋" w:hAnsi="仿宋" w:eastAsia="仿宋"/>
          <w:b/>
          <w:bCs/>
          <w:sz w:val="36"/>
          <w:szCs w:val="36"/>
          <w:highlight w:val="none"/>
          <w:lang w:val="zh-CN"/>
        </w:rPr>
      </w:pPr>
    </w:p>
    <w:p w14:paraId="45E0EDC3">
      <w:pPr>
        <w:pStyle w:val="6"/>
        <w:jc w:val="both"/>
        <w:rPr>
          <w:rFonts w:hint="eastAsia" w:ascii="微软雅黑" w:hAnsi="微软雅黑" w:eastAsia="微软雅黑" w:cs="微软雅黑"/>
          <w:highlight w:val="none"/>
          <w:lang w:val="zh-CN"/>
        </w:rPr>
      </w:pPr>
    </w:p>
    <w:p w14:paraId="00115263">
      <w:pPr>
        <w:pStyle w:val="6"/>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第一部分</w:t>
      </w:r>
      <w:r>
        <w:rPr>
          <w:rFonts w:hint="eastAsia"/>
          <w:highlight w:val="none"/>
          <w:lang w:val="zh-CN"/>
        </w:rPr>
        <w:t xml:space="preserve">  </w:t>
      </w:r>
      <w:bookmarkStart w:id="2" w:name="OLE_LINK2"/>
      <w:r>
        <w:rPr>
          <w:rFonts w:hint="eastAsia" w:ascii="微软雅黑" w:hAnsi="微软雅黑" w:eastAsia="微软雅黑" w:cs="微软雅黑"/>
          <w:highlight w:val="none"/>
          <w:lang w:val="zh-CN"/>
        </w:rPr>
        <w:t>比选公告</w:t>
      </w:r>
      <w:bookmarkEnd w:id="2"/>
    </w:p>
    <w:p w14:paraId="68191D4A">
      <w:pPr>
        <w:ind w:firstLine="560" w:firstLineChars="200"/>
        <w:rPr>
          <w:rFonts w:ascii="仿宋" w:hAnsi="仿宋" w:eastAsia="仿宋"/>
          <w:sz w:val="28"/>
          <w:szCs w:val="28"/>
          <w:highlight w:val="none"/>
        </w:rPr>
      </w:pPr>
      <w:r>
        <w:rPr>
          <w:rFonts w:ascii="仿宋" w:hAnsi="仿宋" w:eastAsia="仿宋"/>
          <w:sz w:val="28"/>
          <w:szCs w:val="28"/>
          <w:highlight w:val="none"/>
        </w:rPr>
        <w:t>南通市教育技术中心就</w:t>
      </w:r>
      <w:r>
        <w:rPr>
          <w:rFonts w:hint="eastAsia" w:ascii="仿宋" w:hAnsi="仿宋" w:eastAsia="仿宋"/>
          <w:sz w:val="28"/>
          <w:szCs w:val="28"/>
          <w:highlight w:val="none"/>
          <w:lang w:eastAsia="zh-CN"/>
        </w:rPr>
        <w:t>南通市教育技术中心直属学校光纤链路采购项目</w:t>
      </w: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JYJS2025 BX003</w:t>
      </w:r>
      <w:r>
        <w:rPr>
          <w:rFonts w:hint="eastAsia" w:ascii="仿宋" w:hAnsi="仿宋" w:eastAsia="仿宋"/>
          <w:sz w:val="28"/>
          <w:szCs w:val="28"/>
          <w:highlight w:val="none"/>
        </w:rPr>
        <w:t xml:space="preserve"> )进行比选</w:t>
      </w:r>
      <w:r>
        <w:rPr>
          <w:rFonts w:ascii="仿宋" w:hAnsi="仿宋" w:eastAsia="仿宋"/>
          <w:sz w:val="28"/>
          <w:szCs w:val="28"/>
          <w:highlight w:val="none"/>
        </w:rPr>
        <w:t>采购，欢迎符合条件的供应商参加比选。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6"/>
      </w:tblGrid>
      <w:tr w14:paraId="14EE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14:paraId="13845192">
            <w:pPr>
              <w:pStyle w:val="2"/>
              <w:ind w:firstLine="560" w:firstLineChars="200"/>
              <w:rPr>
                <w:rFonts w:ascii="仿宋" w:hAnsi="仿宋" w:eastAsia="仿宋" w:cs="仿宋"/>
                <w:sz w:val="28"/>
                <w:szCs w:val="28"/>
                <w:highlight w:val="none"/>
              </w:rPr>
            </w:pPr>
            <w:bookmarkStart w:id="3" w:name="OLE_LINK14"/>
            <w:r>
              <w:rPr>
                <w:rFonts w:hint="eastAsia" w:ascii="仿宋" w:hAnsi="仿宋" w:eastAsia="仿宋" w:cs="仿宋"/>
                <w:sz w:val="28"/>
                <w:szCs w:val="28"/>
                <w:highlight w:val="none"/>
              </w:rPr>
              <w:t>项目概况</w:t>
            </w:r>
          </w:p>
          <w:p w14:paraId="79B8249A">
            <w:pPr>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eastAsia="zh-CN"/>
              </w:rPr>
              <w:t>南通市教育技术中心直属学校光纤链路采购项目</w:t>
            </w:r>
            <w:r>
              <w:rPr>
                <w:rFonts w:hint="eastAsia" w:ascii="仿宋" w:hAnsi="仿宋" w:eastAsia="仿宋"/>
                <w:sz w:val="28"/>
                <w:szCs w:val="28"/>
                <w:highlight w:val="none"/>
              </w:rPr>
              <w:t xml:space="preserve">(项目编号: </w:t>
            </w:r>
            <w:r>
              <w:rPr>
                <w:rFonts w:hint="eastAsia" w:ascii="仿宋" w:hAnsi="仿宋" w:eastAsia="仿宋"/>
                <w:sz w:val="28"/>
                <w:szCs w:val="28"/>
                <w:highlight w:val="none"/>
                <w:lang w:eastAsia="zh-CN"/>
              </w:rPr>
              <w:t>JYJS2025 BX003</w:t>
            </w:r>
            <w:r>
              <w:rPr>
                <w:rFonts w:hint="eastAsia" w:ascii="仿宋" w:hAnsi="仿宋" w:eastAsia="仿宋"/>
                <w:sz w:val="28"/>
                <w:szCs w:val="28"/>
                <w:highlight w:val="none"/>
              </w:rPr>
              <w:t>)的潜在供应商应在南通市教育局官网获取采购文件，并于202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20</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0分（北京时间）前提交响应文件。</w:t>
            </w:r>
          </w:p>
        </w:tc>
      </w:tr>
    </w:tbl>
    <w:p w14:paraId="522A705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一、项目基本情况</w:t>
      </w:r>
    </w:p>
    <w:p w14:paraId="05B4E8E7">
      <w:pPr>
        <w:snapToGrid w:val="0"/>
        <w:spacing w:line="460" w:lineRule="exact"/>
        <w:ind w:firstLine="560" w:firstLineChars="200"/>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rPr>
        <w:t>项目编号：</w:t>
      </w:r>
      <w:r>
        <w:rPr>
          <w:rFonts w:hint="eastAsia" w:ascii="Calibri" w:hAnsi="Calibri" w:eastAsia="仿宋" w:cs="Calibri"/>
          <w:sz w:val="28"/>
          <w:szCs w:val="28"/>
          <w:highlight w:val="none"/>
          <w:lang w:eastAsia="zh-CN"/>
        </w:rPr>
        <w:t>JYJS2025 BX003</w:t>
      </w:r>
    </w:p>
    <w:p w14:paraId="1CA03642">
      <w:pPr>
        <w:snapToGrid w:val="0"/>
        <w:spacing w:line="460" w:lineRule="exact"/>
        <w:ind w:firstLine="560" w:firstLineChars="200"/>
        <w:rPr>
          <w:rFonts w:hint="eastAsia" w:ascii="Calibri" w:hAnsi="Calibri" w:eastAsia="仿宋" w:cs="Calibri"/>
          <w:sz w:val="28"/>
          <w:szCs w:val="28"/>
          <w:highlight w:val="none"/>
          <w:lang w:eastAsia="zh-CN"/>
        </w:rPr>
      </w:pPr>
      <w:r>
        <w:rPr>
          <w:rFonts w:hint="eastAsia" w:ascii="Calibri" w:hAnsi="Calibri" w:eastAsia="仿宋" w:cs="Calibri"/>
          <w:sz w:val="28"/>
          <w:szCs w:val="28"/>
          <w:highlight w:val="none"/>
        </w:rPr>
        <w:t>项目名称：</w:t>
      </w:r>
      <w:bookmarkStart w:id="4" w:name="OLE_LINK4"/>
      <w:r>
        <w:rPr>
          <w:rFonts w:hint="eastAsia" w:ascii="Calibri" w:hAnsi="Calibri" w:eastAsia="仿宋" w:cs="Calibri"/>
          <w:sz w:val="28"/>
          <w:szCs w:val="28"/>
          <w:highlight w:val="none"/>
          <w:lang w:eastAsia="zh-CN"/>
        </w:rPr>
        <w:t>南通市教育技术中心直属学校光纤链路采购项目</w:t>
      </w:r>
    </w:p>
    <w:bookmarkEnd w:id="4"/>
    <w:p w14:paraId="5809FFD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预算金额：</w:t>
      </w:r>
      <w:r>
        <w:rPr>
          <w:rFonts w:hint="eastAsia" w:ascii="Calibri" w:hAnsi="Calibri" w:eastAsia="仿宋" w:cs="Calibri"/>
          <w:sz w:val="28"/>
          <w:szCs w:val="28"/>
          <w:highlight w:val="none"/>
          <w:lang w:val="en-US" w:eastAsia="zh-CN"/>
        </w:rPr>
        <w:t>27.38</w:t>
      </w:r>
      <w:r>
        <w:rPr>
          <w:rFonts w:hint="eastAsia" w:ascii="Calibri" w:hAnsi="Calibri" w:eastAsia="仿宋" w:cs="Calibri"/>
          <w:sz w:val="28"/>
          <w:szCs w:val="28"/>
          <w:highlight w:val="none"/>
        </w:rPr>
        <w:t>万元</w:t>
      </w:r>
    </w:p>
    <w:p w14:paraId="08129DCA">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最高限价（如有）：</w:t>
      </w:r>
      <w:r>
        <w:rPr>
          <w:rFonts w:hint="eastAsia" w:ascii="Calibri" w:hAnsi="Calibri" w:eastAsia="仿宋" w:cs="Calibri"/>
          <w:sz w:val="28"/>
          <w:szCs w:val="28"/>
          <w:highlight w:val="none"/>
          <w:lang w:val="en-US" w:eastAsia="zh-CN"/>
        </w:rPr>
        <w:t>27.38</w:t>
      </w:r>
      <w:r>
        <w:rPr>
          <w:rFonts w:hint="eastAsia" w:ascii="Calibri" w:hAnsi="Calibri" w:eastAsia="仿宋" w:cs="Calibri"/>
          <w:sz w:val="28"/>
          <w:szCs w:val="28"/>
          <w:highlight w:val="none"/>
        </w:rPr>
        <w:t>万元</w:t>
      </w:r>
    </w:p>
    <w:p w14:paraId="54C57ED4">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采购需求：详见采购文件，请仔细研究。</w:t>
      </w:r>
    </w:p>
    <w:p w14:paraId="0474D395">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合同履行期限：详见采购文件，请仔细研究。</w:t>
      </w:r>
    </w:p>
    <w:p w14:paraId="3E5FE86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二、供应商的资格要求：</w:t>
      </w:r>
    </w:p>
    <w:p w14:paraId="5B32FCE0">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（一）基本要求</w:t>
      </w:r>
    </w:p>
    <w:p w14:paraId="22CB7B3A">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1.符合以下条件：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1B7F3DBB">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2.具有独立承担民事责任的能力（提供有效的营业执照副本复印件并盖公章）</w:t>
      </w:r>
    </w:p>
    <w:p w14:paraId="6039AFC7">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（二）其他资格条件要求</w:t>
      </w:r>
    </w:p>
    <w:p w14:paraId="3E43FD2A">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1.未被“信用中国”网站列入失信被执行人、重大税收违法案件当事人名单、采购不良行为记录名单（并提供网站截图）；</w:t>
      </w:r>
    </w:p>
    <w:p w14:paraId="3B6E2FA7">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2.提供法定代表人身份证明及本人身份证复印件；非法定代表人参加比选的，还必须提供法定代表人签字或盖章的授权委托书及被授权人本人的身份证复印件（格式参见附件）。</w:t>
      </w:r>
    </w:p>
    <w:p w14:paraId="444CA36C">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3.法定代表人为同一个人的两个及两个以上法人，母公司、全资子公司及其控股公司，都不得在同一采购项目或同一标段中同时参加投标，一经发现，将视同围标处理。</w:t>
      </w:r>
    </w:p>
    <w:p w14:paraId="5C2BDDA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三、获取采购文件</w:t>
      </w:r>
    </w:p>
    <w:p w14:paraId="3F6367DC">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时间：202</w:t>
      </w:r>
      <w:r>
        <w:rPr>
          <w:rFonts w:hint="eastAsia" w:ascii="Calibri" w:hAnsi="Calibri" w:eastAsia="仿宋" w:cs="Calibri"/>
          <w:sz w:val="28"/>
          <w:szCs w:val="28"/>
          <w:highlight w:val="none"/>
          <w:lang w:val="en-US" w:eastAsia="zh-CN"/>
        </w:rPr>
        <w:t>5</w:t>
      </w:r>
      <w:r>
        <w:rPr>
          <w:rFonts w:hint="eastAsia" w:ascii="Calibri" w:hAnsi="Calibri" w:eastAsia="仿宋" w:cs="Calibri"/>
          <w:sz w:val="28"/>
          <w:szCs w:val="28"/>
          <w:highlight w:val="none"/>
        </w:rPr>
        <w:t>年</w:t>
      </w:r>
      <w:r>
        <w:rPr>
          <w:rFonts w:hint="eastAsia" w:ascii="Calibri" w:hAnsi="Calibri" w:eastAsia="仿宋" w:cs="Calibri"/>
          <w:sz w:val="28"/>
          <w:szCs w:val="28"/>
          <w:highlight w:val="none"/>
          <w:lang w:val="en-US" w:eastAsia="zh-CN"/>
        </w:rPr>
        <w:t xml:space="preserve">8 </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 xml:space="preserve">12 </w:t>
      </w:r>
      <w:r>
        <w:rPr>
          <w:rFonts w:hint="eastAsia" w:ascii="Calibri" w:hAnsi="Calibri" w:eastAsia="仿宋" w:cs="Calibri"/>
          <w:sz w:val="28"/>
          <w:szCs w:val="28"/>
          <w:highlight w:val="none"/>
        </w:rPr>
        <w:t>日至202</w:t>
      </w:r>
      <w:r>
        <w:rPr>
          <w:rFonts w:hint="eastAsia" w:ascii="Calibri" w:hAnsi="Calibri" w:eastAsia="仿宋" w:cs="Calibri"/>
          <w:sz w:val="28"/>
          <w:szCs w:val="28"/>
          <w:highlight w:val="none"/>
          <w:lang w:val="en-US" w:eastAsia="zh-CN"/>
        </w:rPr>
        <w:t>5</w:t>
      </w:r>
      <w:r>
        <w:rPr>
          <w:rFonts w:hint="eastAsia" w:ascii="Calibri" w:hAnsi="Calibri" w:eastAsia="仿宋" w:cs="Calibri"/>
          <w:sz w:val="28"/>
          <w:szCs w:val="28"/>
          <w:highlight w:val="none"/>
        </w:rPr>
        <w:t>年</w:t>
      </w:r>
      <w:r>
        <w:rPr>
          <w:rFonts w:hint="eastAsia" w:ascii="Calibri" w:hAnsi="Calibri" w:eastAsia="仿宋" w:cs="Calibri"/>
          <w:sz w:val="28"/>
          <w:szCs w:val="28"/>
          <w:highlight w:val="none"/>
          <w:lang w:val="en-US" w:eastAsia="zh-CN"/>
        </w:rPr>
        <w:t xml:space="preserve">8  </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 xml:space="preserve">15  </w:t>
      </w:r>
      <w:r>
        <w:rPr>
          <w:rFonts w:hint="eastAsia" w:ascii="Calibri" w:hAnsi="Calibri" w:eastAsia="仿宋" w:cs="Calibri"/>
          <w:sz w:val="28"/>
          <w:szCs w:val="28"/>
          <w:highlight w:val="none"/>
        </w:rPr>
        <w:t>日</w:t>
      </w:r>
    </w:p>
    <w:p w14:paraId="73A66D58">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地点：南通市教育局官网</w:t>
      </w:r>
    </w:p>
    <w:p w14:paraId="656473C8">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方式：供应商可在此期间自行下载采购文件，对项目需求部分（供应商资格要求、项目需求、商务技术评分标准）的询问、异议请向采购人提出，由采购人负责答复；对项目采购文件其它部分的询问请向南通市教育技术中心提出。</w:t>
      </w:r>
    </w:p>
    <w:p w14:paraId="3B95683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四、提交响应文件截止时间、比选时间和地点</w:t>
      </w:r>
    </w:p>
    <w:p w14:paraId="79AAFC4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202</w:t>
      </w:r>
      <w:r>
        <w:rPr>
          <w:rFonts w:hint="eastAsia" w:ascii="Calibri" w:hAnsi="Calibri" w:eastAsia="仿宋" w:cs="Calibri"/>
          <w:sz w:val="28"/>
          <w:szCs w:val="28"/>
          <w:highlight w:val="none"/>
          <w:lang w:val="en-US" w:eastAsia="zh-CN"/>
        </w:rPr>
        <w:t>5</w:t>
      </w:r>
      <w:r>
        <w:rPr>
          <w:rFonts w:hint="eastAsia" w:ascii="Calibri" w:hAnsi="Calibri" w:eastAsia="仿宋" w:cs="Calibri"/>
          <w:sz w:val="28"/>
          <w:szCs w:val="28"/>
          <w:highlight w:val="none"/>
        </w:rPr>
        <w:t>年</w:t>
      </w:r>
      <w:r>
        <w:rPr>
          <w:rFonts w:hint="eastAsia" w:ascii="Calibri" w:hAnsi="Calibri" w:eastAsia="仿宋" w:cs="Calibri"/>
          <w:sz w:val="28"/>
          <w:szCs w:val="28"/>
          <w:highlight w:val="none"/>
          <w:lang w:val="en-US" w:eastAsia="zh-CN"/>
        </w:rPr>
        <w:t xml:space="preserve">8 </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 xml:space="preserve">20 </w:t>
      </w:r>
      <w:r>
        <w:rPr>
          <w:rFonts w:hint="eastAsia" w:ascii="Calibri" w:hAnsi="Calibri" w:eastAsia="仿宋" w:cs="Calibri"/>
          <w:sz w:val="28"/>
          <w:szCs w:val="28"/>
          <w:highlight w:val="none"/>
        </w:rPr>
        <w:t xml:space="preserve">日 </w:t>
      </w:r>
      <w:r>
        <w:rPr>
          <w:rFonts w:hint="eastAsia" w:ascii="Calibri" w:hAnsi="Calibri" w:eastAsia="仿宋" w:cs="Calibri"/>
          <w:sz w:val="28"/>
          <w:szCs w:val="28"/>
          <w:highlight w:val="none"/>
          <w:lang w:val="en-US" w:eastAsia="zh-CN"/>
        </w:rPr>
        <w:t>14</w:t>
      </w:r>
      <w:r>
        <w:rPr>
          <w:rFonts w:hint="eastAsia" w:ascii="Calibri" w:hAnsi="Calibri" w:eastAsia="仿宋" w:cs="Calibri"/>
          <w:sz w:val="28"/>
          <w:szCs w:val="28"/>
          <w:highlight w:val="none"/>
        </w:rPr>
        <w:t xml:space="preserve">点 </w:t>
      </w:r>
      <w:r>
        <w:rPr>
          <w:rFonts w:hint="eastAsia" w:ascii="Calibri" w:hAnsi="Calibri" w:eastAsia="仿宋" w:cs="Calibri"/>
          <w:sz w:val="28"/>
          <w:szCs w:val="28"/>
          <w:highlight w:val="none"/>
          <w:lang w:val="en-US" w:eastAsia="zh-CN"/>
        </w:rPr>
        <w:t>3</w:t>
      </w:r>
      <w:r>
        <w:rPr>
          <w:rFonts w:hint="eastAsia" w:ascii="Calibri" w:hAnsi="Calibri" w:eastAsia="仿宋" w:cs="Calibri"/>
          <w:sz w:val="28"/>
          <w:szCs w:val="28"/>
          <w:highlight w:val="none"/>
        </w:rPr>
        <w:t>0 分（北京时间）</w:t>
      </w:r>
    </w:p>
    <w:p w14:paraId="27EF1860">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逾时，采购人将拒绝接受比选响应文件。</w:t>
      </w:r>
    </w:p>
    <w:p w14:paraId="16AD1BFB">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地点：南通市教育技术中心一楼评标室</w:t>
      </w:r>
    </w:p>
    <w:p w14:paraId="4B491262">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五、公告期限</w:t>
      </w:r>
    </w:p>
    <w:p w14:paraId="5CF3180A">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自本公告发布之日起3个工作日。</w:t>
      </w:r>
    </w:p>
    <w:p w14:paraId="5883AD9A">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六、其他补充事宜</w:t>
      </w:r>
    </w:p>
    <w:p w14:paraId="61F68380">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1.投标保证金：免收</w:t>
      </w:r>
    </w:p>
    <w:p w14:paraId="500E446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2.项目比选活动模式：见面比选模式，供应商在南通市教育技术中心一楼评标室参加比选活动。</w:t>
      </w:r>
    </w:p>
    <w:p w14:paraId="3BD38782">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3.项目演示、样品、答辩等（如有请描述）：无</w:t>
      </w:r>
    </w:p>
    <w:p w14:paraId="4620ADB6">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4.供应商应依照规定提交各类声明函、承诺函，不再同时提供原件备查或提供有关部门出具的相关证明文件。但</w:t>
      </w:r>
      <w:r>
        <w:rPr>
          <w:rFonts w:hint="eastAsia" w:ascii="Calibri" w:hAnsi="Calibri" w:eastAsia="仿宋" w:cs="Calibri"/>
          <w:sz w:val="28"/>
          <w:szCs w:val="28"/>
          <w:highlight w:val="none"/>
          <w:lang w:eastAsia="zh-CN"/>
        </w:rPr>
        <w:t>中标人</w:t>
      </w:r>
      <w:r>
        <w:rPr>
          <w:rFonts w:hint="eastAsia" w:ascii="Calibri" w:hAnsi="Calibri" w:eastAsia="仿宋" w:cs="Calibri"/>
          <w:sz w:val="28"/>
          <w:szCs w:val="28"/>
          <w:highlight w:val="none"/>
        </w:rPr>
        <w:t>，应做好提交声明函、承诺函相应原件的核查准备；核查后发现虚假或违背承诺的，依照相关法律法规规定处理。</w:t>
      </w:r>
    </w:p>
    <w:p w14:paraId="1D91549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七、凡对本次采购提出询问，请按以下方式联系。</w:t>
      </w:r>
    </w:p>
    <w:p w14:paraId="4D10DB47">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1.采购人信息</w:t>
      </w:r>
    </w:p>
    <w:p w14:paraId="6979139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名称：南通市教育技术中心</w:t>
      </w:r>
    </w:p>
    <w:p w14:paraId="0B783DB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地址：南通市板桥路45号</w:t>
      </w:r>
    </w:p>
    <w:p w14:paraId="69DBA88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联系人：</w:t>
      </w:r>
      <w:r>
        <w:rPr>
          <w:rFonts w:hint="eastAsia" w:ascii="Calibri" w:hAnsi="Calibri" w:eastAsia="仿宋" w:cs="Calibri"/>
          <w:sz w:val="28"/>
          <w:szCs w:val="28"/>
          <w:highlight w:val="none"/>
          <w:lang w:val="en-US" w:eastAsia="zh-CN"/>
        </w:rPr>
        <w:t>朱</w:t>
      </w:r>
      <w:r>
        <w:rPr>
          <w:rFonts w:hint="eastAsia" w:ascii="Calibri" w:hAnsi="Calibri" w:eastAsia="仿宋" w:cs="Calibri"/>
          <w:sz w:val="28"/>
          <w:szCs w:val="28"/>
          <w:highlight w:val="none"/>
        </w:rPr>
        <w:t>老师（0513-850109</w:t>
      </w:r>
      <w:r>
        <w:rPr>
          <w:rFonts w:hint="eastAsia" w:ascii="Calibri" w:hAnsi="Calibri" w:eastAsia="仿宋" w:cs="Calibri"/>
          <w:sz w:val="28"/>
          <w:szCs w:val="28"/>
          <w:highlight w:val="none"/>
          <w:lang w:val="en-US" w:eastAsia="zh-CN"/>
        </w:rPr>
        <w:t>71</w:t>
      </w:r>
      <w:r>
        <w:rPr>
          <w:rFonts w:hint="eastAsia" w:ascii="Calibri" w:hAnsi="Calibri" w:eastAsia="仿宋" w:cs="Calibri"/>
          <w:sz w:val="28"/>
          <w:szCs w:val="28"/>
          <w:highlight w:val="none"/>
        </w:rPr>
        <w:t>）</w:t>
      </w:r>
    </w:p>
    <w:p w14:paraId="58274A9C">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2.项目联系方式</w:t>
      </w:r>
    </w:p>
    <w:p w14:paraId="6D437F3E">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项目经办人：张先生</w:t>
      </w:r>
      <w:r>
        <w:rPr>
          <w:rFonts w:hint="eastAsia" w:ascii="Calibri" w:hAnsi="Calibri" w:eastAsia="仿宋" w:cs="Calibri"/>
          <w:sz w:val="28"/>
          <w:szCs w:val="28"/>
          <w:highlight w:val="none"/>
          <w:lang w:val="en-US" w:eastAsia="zh-CN"/>
        </w:rPr>
        <w:t xml:space="preserve">  </w:t>
      </w:r>
      <w:r>
        <w:rPr>
          <w:rFonts w:hint="eastAsia" w:ascii="Calibri" w:hAnsi="Calibri" w:eastAsia="仿宋" w:cs="Calibri"/>
          <w:sz w:val="28"/>
          <w:szCs w:val="28"/>
          <w:highlight w:val="none"/>
        </w:rPr>
        <w:t>联系电话：0513-85010355</w:t>
      </w:r>
    </w:p>
    <w:bookmarkEnd w:id="3"/>
    <w:p w14:paraId="2BD1288D">
      <w:pPr>
        <w:snapToGrid w:val="0"/>
        <w:spacing w:line="460" w:lineRule="exact"/>
        <w:ind w:firstLine="723" w:firstLineChars="200"/>
        <w:jc w:val="center"/>
        <w:rPr>
          <w:b/>
          <w:sz w:val="36"/>
          <w:szCs w:val="36"/>
          <w:highlight w:val="none"/>
          <w:lang w:val="zh-CN"/>
        </w:rPr>
      </w:pPr>
      <w:bookmarkStart w:id="29" w:name="_GoBack"/>
      <w:bookmarkEnd w:id="29"/>
      <w:r>
        <w:rPr>
          <w:rFonts w:hint="eastAsia"/>
          <w:b/>
          <w:sz w:val="36"/>
          <w:szCs w:val="36"/>
          <w:highlight w:val="none"/>
          <w:lang w:val="zh-CN"/>
        </w:rPr>
        <w:t>第二部分 比选须知</w:t>
      </w:r>
    </w:p>
    <w:p w14:paraId="15A6C227">
      <w:pPr>
        <w:snapToGrid w:val="0"/>
        <w:spacing w:line="460" w:lineRule="exact"/>
        <w:ind w:firstLine="643" w:firstLineChars="200"/>
        <w:outlineLvl w:val="1"/>
        <w:rPr>
          <w:rFonts w:ascii="仿宋_GB2312" w:eastAsia="仿宋"/>
          <w:sz w:val="32"/>
          <w:szCs w:val="32"/>
          <w:highlight w:val="none"/>
        </w:rPr>
      </w:pPr>
      <w:bookmarkStart w:id="5" w:name="_Toc513029237"/>
      <w:bookmarkStart w:id="6" w:name="_Toc16938553"/>
      <w:bookmarkStart w:id="7" w:name="_Toc20823309"/>
      <w:r>
        <w:rPr>
          <w:rFonts w:hint="eastAsia" w:ascii="仿宋_GB2312" w:hAnsi="宋体" w:eastAsia="仿宋"/>
          <w:b/>
          <w:sz w:val="32"/>
          <w:szCs w:val="32"/>
          <w:highlight w:val="none"/>
        </w:rPr>
        <w:t>一、</w:t>
      </w:r>
      <w:r>
        <w:rPr>
          <w:rFonts w:hint="eastAsia" w:ascii="仿宋_GB2312" w:eastAsia="仿宋"/>
          <w:b/>
          <w:sz w:val="32"/>
          <w:szCs w:val="32"/>
          <w:highlight w:val="none"/>
        </w:rPr>
        <w:t>采购文件由采购人解释</w:t>
      </w:r>
      <w:r>
        <w:rPr>
          <w:rFonts w:hint="eastAsia" w:ascii="仿宋_GB2312" w:eastAsia="仿宋"/>
          <w:sz w:val="32"/>
          <w:szCs w:val="32"/>
          <w:highlight w:val="none"/>
        </w:rPr>
        <w:t>。</w:t>
      </w:r>
    </w:p>
    <w:p w14:paraId="1AD098C4">
      <w:pPr>
        <w:snapToGrid w:val="0"/>
        <w:spacing w:line="460" w:lineRule="exact"/>
        <w:ind w:firstLine="560" w:firstLineChars="200"/>
        <w:rPr>
          <w:rFonts w:ascii="仿宋_GB2312" w:hAnsi="宋体" w:eastAsia="仿宋"/>
          <w:sz w:val="28"/>
          <w:szCs w:val="28"/>
          <w:highlight w:val="none"/>
        </w:rPr>
      </w:pPr>
      <w:r>
        <w:rPr>
          <w:rFonts w:ascii="Calibri" w:hAnsi="Calibri" w:eastAsia="仿宋" w:cs="Calibri"/>
          <w:sz w:val="28"/>
          <w:szCs w:val="28"/>
          <w:highlight w:val="none"/>
        </w:rPr>
        <w:t>1.</w:t>
      </w:r>
      <w:r>
        <w:rPr>
          <w:rFonts w:hint="eastAsia" w:ascii="仿宋_GB2312" w:hAnsi="宋体" w:eastAsia="仿宋"/>
          <w:sz w:val="28"/>
          <w:szCs w:val="28"/>
          <w:highlight w:val="none"/>
        </w:rPr>
        <w:t>供应商下载采购文件后，应仔细检查采购文件的所有内容，如对采购项目活动事项有疑问的，应在规定时间以书面形式提出询问或疑问，未在规定时间内提出询问或疑问的，视同供应商理解并接受本采购文件所有内容，由此引起的损失自负。</w:t>
      </w:r>
    </w:p>
    <w:p w14:paraId="3FA650A9">
      <w:pPr>
        <w:snapToGrid w:val="0"/>
        <w:spacing w:line="460" w:lineRule="exact"/>
        <w:ind w:firstLine="560" w:firstLineChars="200"/>
        <w:rPr>
          <w:rFonts w:ascii="仿宋_GB2312" w:hAnsi="宋体" w:eastAsia="仿宋"/>
          <w:sz w:val="28"/>
          <w:szCs w:val="28"/>
          <w:highlight w:val="none"/>
        </w:rPr>
      </w:pPr>
      <w:r>
        <w:rPr>
          <w:rFonts w:ascii="Calibri" w:hAnsi="Calibri" w:eastAsia="仿宋" w:cs="Calibri"/>
          <w:sz w:val="28"/>
          <w:szCs w:val="28"/>
          <w:highlight w:val="none"/>
        </w:rPr>
        <w:t>2.</w:t>
      </w:r>
      <w:r>
        <w:rPr>
          <w:rFonts w:hint="eastAsia" w:ascii="仿宋_GB2312" w:hAnsi="宋体" w:eastAsia="仿宋"/>
          <w:sz w:val="28"/>
          <w:szCs w:val="28"/>
          <w:highlight w:val="none"/>
        </w:rPr>
        <w:t>比选人应认真审阅采购文件中所有的事项、格式、条款和规范要求等，如果比选人没有按照采购文件要求提交比选文件，或者比选文件没有对采购文件做出实质性响应，其比选将被拒绝，比选人自行承担责任。</w:t>
      </w:r>
    </w:p>
    <w:p w14:paraId="7A739033">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二、采购文件的澄清、修改、答疑</w:t>
      </w:r>
    </w:p>
    <w:p w14:paraId="596AE8F2">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1.采购人有权对发出的采购文件进行必要的澄清或修改。</w:t>
      </w:r>
    </w:p>
    <w:p w14:paraId="5EF993A2">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2.采购人可视情取消、延长相关时间。</w:t>
      </w:r>
    </w:p>
    <w:p w14:paraId="329240E6">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3.采购人对采购文件的澄清、修改将构成采购文件的一部分，对比选人具有约束力。</w:t>
      </w:r>
    </w:p>
    <w:p w14:paraId="6DC97CDD">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4.比选人由于对采购文件的任何推论和误解以及采购人对有关问题的口头解释所造成的后果，均由比选人自负。</w:t>
      </w:r>
    </w:p>
    <w:p w14:paraId="780F5C53">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5.采购人视情组织答疑会。</w:t>
      </w:r>
    </w:p>
    <w:p w14:paraId="3EED9AE4">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三、比选报价</w:t>
      </w:r>
    </w:p>
    <w:p w14:paraId="452623D4">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1.本项目不接受任何有选择的报价。</w:t>
      </w:r>
    </w:p>
    <w:p w14:paraId="2DB8027E">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2.比选报价均以人民币为报价的货币单位。</w:t>
      </w:r>
    </w:p>
    <w:p w14:paraId="219E017E">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3.报价表必须加盖供应商公章且必须经法定代表人或被委托授权人签署。</w:t>
      </w:r>
    </w:p>
    <w:p w14:paraId="6F61F7A9">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4.比选报价出现前后不一致的，按照下列规定修正：</w:t>
      </w:r>
    </w:p>
    <w:p w14:paraId="6698347D">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（1）比选文件中报价表内容与比选文件技术响应中内容明细不一致的，以报价表为准；</w:t>
      </w:r>
    </w:p>
    <w:p w14:paraId="0C9D9A37">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（2）比选文件中涉及大写金额和小写金额不一致的，以大写金额为准；</w:t>
      </w:r>
    </w:p>
    <w:p w14:paraId="5F4AC108">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（3）单价金额小数点或者百分比有明显错位的，以报价表（投标报价总表）的总价为准，并修改单价；</w:t>
      </w:r>
    </w:p>
    <w:p w14:paraId="4DE4AFD1">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（4）总价金额与按单价汇总金额不一致的，以单价金额计算结果为准。</w:t>
      </w:r>
    </w:p>
    <w:p w14:paraId="690D7E9B">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同时出现两种以上不一致的，按照前款规定的顺序修正。修正后的报价应当由供应商的法定代表人或其授权的代表签字确认后产生约束力，供应商不确认的，其投标无效。</w:t>
      </w:r>
    </w:p>
    <w:p w14:paraId="5E50EADD">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78E1F1DB">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四、比选文件的编写、份数和签署</w:t>
      </w:r>
    </w:p>
    <w:p w14:paraId="37F7286F">
      <w:pPr>
        <w:snapToGrid w:val="0"/>
        <w:spacing w:line="460" w:lineRule="exact"/>
        <w:ind w:firstLine="560" w:firstLineChars="200"/>
        <w:contextualSpacing/>
        <w:rPr>
          <w:rFonts w:ascii="仿宋_GB2312" w:hAnsi="宋体" w:eastAsia="仿宋"/>
          <w:sz w:val="28"/>
          <w:szCs w:val="28"/>
          <w:highlight w:val="none"/>
        </w:rPr>
      </w:pPr>
      <w:r>
        <w:rPr>
          <w:rFonts w:hint="eastAsia" w:ascii="仿宋_GB2312" w:hAnsi="宋体" w:eastAsia="仿宋"/>
          <w:sz w:val="28"/>
          <w:szCs w:val="28"/>
          <w:highlight w:val="none"/>
        </w:rPr>
        <w:t>1.比选人按第七部分“比选文件组成”编写比选文件，</w:t>
      </w:r>
      <w:r>
        <w:rPr>
          <w:rFonts w:hint="eastAsia" w:ascii="仿宋_GB2312" w:eastAsia="仿宋"/>
          <w:sz w:val="28"/>
          <w:szCs w:val="28"/>
          <w:highlight w:val="none"/>
        </w:rPr>
        <w:t>牢固</w:t>
      </w:r>
      <w:r>
        <w:rPr>
          <w:rFonts w:hint="eastAsia" w:ascii="仿宋_GB2312" w:hAnsi="宋体" w:eastAsia="仿宋"/>
          <w:sz w:val="28"/>
          <w:szCs w:val="28"/>
          <w:highlight w:val="none"/>
        </w:rPr>
        <w:t>装订成册。</w:t>
      </w:r>
      <w:r>
        <w:rPr>
          <w:rFonts w:hint="eastAsia" w:ascii="仿宋_GB2312" w:eastAsia="仿宋" w:cs="宋体"/>
          <w:kern w:val="0"/>
          <w:sz w:val="28"/>
          <w:szCs w:val="28"/>
          <w:highlight w:val="none"/>
          <w:lang w:val="zh-CN"/>
        </w:rPr>
        <w:t>按照采购文件所规定的内容顺序，统一编制目录，逐页编码</w:t>
      </w:r>
      <w:r>
        <w:rPr>
          <w:rFonts w:hint="eastAsia" w:ascii="仿宋_GB2312" w:hAnsi="宋体" w:eastAsia="仿宋"/>
          <w:sz w:val="28"/>
          <w:szCs w:val="28"/>
          <w:highlight w:val="none"/>
        </w:rPr>
        <w:t>；比选文件不得行间插字、涂改、增删，如修补错漏处，须经比选文件签署人签字并加盖公章。</w:t>
      </w:r>
    </w:p>
    <w:p w14:paraId="49DC94F5">
      <w:pPr>
        <w:snapToGrid w:val="0"/>
        <w:spacing w:line="460" w:lineRule="exact"/>
        <w:ind w:firstLine="560" w:firstLineChars="200"/>
        <w:contextualSpacing/>
        <w:rPr>
          <w:rFonts w:ascii="仿宋_GB2312" w:hAnsi="宋体" w:eastAsia="仿宋"/>
          <w:b/>
          <w:sz w:val="28"/>
          <w:szCs w:val="28"/>
          <w:highlight w:val="none"/>
        </w:rPr>
      </w:pPr>
      <w:r>
        <w:rPr>
          <w:rFonts w:hint="eastAsia" w:ascii="仿宋_GB2312" w:hAnsi="宋体" w:eastAsia="仿宋"/>
          <w:sz w:val="28"/>
          <w:szCs w:val="28"/>
          <w:highlight w:val="none"/>
        </w:rPr>
        <w:t>2.比选文件（资格审查文件、商务技术文件、价格标），明确标注比选人全称、“正本”、“副本”字样。</w:t>
      </w:r>
      <w:r>
        <w:rPr>
          <w:rFonts w:hint="eastAsia" w:ascii="仿宋_GB2312" w:hAnsi="宋体" w:eastAsia="仿宋"/>
          <w:b/>
          <w:sz w:val="28"/>
          <w:szCs w:val="28"/>
          <w:highlight w:val="none"/>
        </w:rPr>
        <w:t>正本份数：1份，副本份数：2份。</w:t>
      </w:r>
    </w:p>
    <w:p w14:paraId="1EF556D9">
      <w:pPr>
        <w:snapToGrid w:val="0"/>
        <w:spacing w:line="460" w:lineRule="exact"/>
        <w:ind w:firstLine="560" w:firstLineChars="200"/>
        <w:contextualSpacing/>
        <w:rPr>
          <w:rFonts w:ascii="仿宋_GB2312" w:hAnsi="宋体" w:eastAsia="仿宋"/>
          <w:sz w:val="32"/>
          <w:szCs w:val="32"/>
          <w:highlight w:val="none"/>
        </w:rPr>
      </w:pPr>
      <w:r>
        <w:rPr>
          <w:rFonts w:hint="eastAsia" w:ascii="仿宋_GB2312" w:hAnsi="宋体" w:eastAsia="仿宋"/>
          <w:sz w:val="28"/>
          <w:szCs w:val="28"/>
          <w:highlight w:val="none"/>
        </w:rPr>
        <w:t>3.比选文件正本须打印并由比选人法定代表人或授权人签字并加盖单位印章。副本可复印，但须加盖单位印章。</w:t>
      </w:r>
    </w:p>
    <w:p w14:paraId="3C78D126">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五、比选文件的密封及标记</w:t>
      </w:r>
    </w:p>
    <w:p w14:paraId="15B5B30A">
      <w:pPr>
        <w:snapToGrid w:val="0"/>
        <w:spacing w:line="460" w:lineRule="exact"/>
        <w:ind w:firstLine="560" w:firstLineChars="200"/>
        <w:contextualSpacing/>
        <w:rPr>
          <w:rFonts w:ascii="仿宋_GB2312" w:hAnsi="宋体" w:eastAsia="仿宋"/>
          <w:sz w:val="28"/>
          <w:szCs w:val="32"/>
          <w:highlight w:val="none"/>
        </w:rPr>
      </w:pPr>
      <w:r>
        <w:rPr>
          <w:rFonts w:hint="eastAsia" w:ascii="仿宋_GB2312" w:hAnsi="宋体" w:eastAsia="仿宋"/>
          <w:sz w:val="28"/>
          <w:szCs w:val="32"/>
          <w:highlight w:val="none"/>
        </w:rPr>
        <w:t>1.比选人应将</w:t>
      </w:r>
      <w:r>
        <w:rPr>
          <w:rFonts w:hint="eastAsia" w:ascii="仿宋_GB2312" w:eastAsia="仿宋"/>
          <w:sz w:val="28"/>
          <w:szCs w:val="32"/>
          <w:highlight w:val="none"/>
        </w:rPr>
        <w:t>资格审查证明材料</w:t>
      </w:r>
      <w:r>
        <w:rPr>
          <w:rFonts w:hint="eastAsia" w:ascii="仿宋_GB2312" w:hAnsi="宋体" w:eastAsia="仿宋"/>
          <w:sz w:val="28"/>
          <w:szCs w:val="32"/>
          <w:highlight w:val="none"/>
        </w:rPr>
        <w:t>正本、副本合并密封，统一装在一个密封袋内。</w:t>
      </w:r>
    </w:p>
    <w:p w14:paraId="0FB6417B">
      <w:pPr>
        <w:snapToGrid w:val="0"/>
        <w:spacing w:line="460" w:lineRule="exact"/>
        <w:ind w:firstLine="560" w:firstLineChars="200"/>
        <w:rPr>
          <w:rFonts w:ascii="仿宋_GB2312" w:eastAsia="仿宋"/>
          <w:sz w:val="28"/>
          <w:szCs w:val="32"/>
          <w:highlight w:val="none"/>
        </w:rPr>
      </w:pPr>
      <w:r>
        <w:rPr>
          <w:rFonts w:hint="eastAsia" w:ascii="仿宋_GB2312" w:eastAsia="仿宋"/>
          <w:sz w:val="28"/>
          <w:szCs w:val="32"/>
          <w:highlight w:val="none"/>
        </w:rPr>
        <w:t>2.比选人应将商务技术标资料正本、副本及图纸类等（如需提供图纸等其它资料的话）合并密封，统一装在一个密封袋或密封箱内（如有A3大小的图纸类，可单独密封）。</w:t>
      </w:r>
    </w:p>
    <w:p w14:paraId="01C3733B">
      <w:pPr>
        <w:snapToGrid w:val="0"/>
        <w:spacing w:line="460" w:lineRule="exact"/>
        <w:ind w:firstLine="560" w:firstLineChars="200"/>
        <w:rPr>
          <w:rFonts w:ascii="仿宋_GB2312" w:eastAsia="仿宋"/>
          <w:sz w:val="28"/>
          <w:szCs w:val="32"/>
          <w:highlight w:val="none"/>
        </w:rPr>
      </w:pPr>
      <w:r>
        <w:rPr>
          <w:rFonts w:hint="eastAsia" w:ascii="仿宋_GB2312" w:eastAsia="仿宋"/>
          <w:sz w:val="28"/>
          <w:szCs w:val="32"/>
          <w:highlight w:val="none"/>
        </w:rPr>
        <w:t>3.价格标须单独密封，不得出现于</w:t>
      </w:r>
      <w:r>
        <w:rPr>
          <w:rFonts w:hint="eastAsia" w:ascii="仿宋_GB2312" w:hAnsi="宋体" w:eastAsia="仿宋"/>
          <w:sz w:val="28"/>
          <w:szCs w:val="32"/>
          <w:highlight w:val="none"/>
        </w:rPr>
        <w:t>比选文件其他部分</w:t>
      </w:r>
      <w:r>
        <w:rPr>
          <w:rFonts w:hint="eastAsia" w:ascii="仿宋_GB2312" w:eastAsia="仿宋"/>
          <w:sz w:val="28"/>
          <w:szCs w:val="32"/>
          <w:highlight w:val="none"/>
        </w:rPr>
        <w:t>中。</w:t>
      </w:r>
    </w:p>
    <w:p w14:paraId="2A600592">
      <w:pPr>
        <w:snapToGrid w:val="0"/>
        <w:spacing w:line="460" w:lineRule="exact"/>
        <w:ind w:firstLine="560" w:firstLineChars="200"/>
        <w:contextualSpacing/>
        <w:rPr>
          <w:rFonts w:ascii="仿宋_GB2312" w:eastAsia="仿宋"/>
          <w:sz w:val="28"/>
          <w:szCs w:val="32"/>
          <w:highlight w:val="none"/>
        </w:rPr>
      </w:pPr>
      <w:r>
        <w:rPr>
          <w:rFonts w:hint="eastAsia" w:ascii="仿宋_GB2312" w:eastAsia="仿宋"/>
          <w:sz w:val="28"/>
          <w:szCs w:val="32"/>
          <w:highlight w:val="none"/>
        </w:rPr>
        <w:t>4.密封后比选文件（</w:t>
      </w:r>
      <w:r>
        <w:rPr>
          <w:rFonts w:hint="eastAsia" w:ascii="仿宋_GB2312" w:hAnsi="宋体" w:eastAsia="仿宋"/>
          <w:sz w:val="28"/>
          <w:szCs w:val="32"/>
          <w:highlight w:val="none"/>
        </w:rPr>
        <w:t>资格审查文件、商务技术文件、价格标</w:t>
      </w:r>
      <w:r>
        <w:rPr>
          <w:rFonts w:hint="eastAsia" w:ascii="仿宋_GB2312" w:eastAsia="仿宋"/>
          <w:sz w:val="28"/>
          <w:szCs w:val="32"/>
          <w:highlight w:val="none"/>
        </w:rPr>
        <w:t>）封面分别标明采购文件项目名称、项目编号、边缝处加盖单位骑缝章或骑缝签字，并注明于开标前不得启封。</w:t>
      </w:r>
    </w:p>
    <w:p w14:paraId="69C994ED">
      <w:pPr>
        <w:snapToGrid w:val="0"/>
        <w:spacing w:line="460" w:lineRule="exact"/>
        <w:ind w:firstLine="560" w:firstLineChars="200"/>
        <w:contextualSpacing/>
        <w:rPr>
          <w:rFonts w:ascii="仿宋_GB2312" w:eastAsia="仿宋"/>
          <w:sz w:val="28"/>
          <w:szCs w:val="32"/>
          <w:highlight w:val="none"/>
        </w:rPr>
      </w:pPr>
      <w:r>
        <w:rPr>
          <w:rFonts w:hint="eastAsia" w:ascii="仿宋_GB2312" w:eastAsia="仿宋"/>
          <w:sz w:val="28"/>
          <w:szCs w:val="32"/>
          <w:highlight w:val="none"/>
        </w:rPr>
        <w:t>5.采购人将拒绝接收未按照采购文件要求密封的比选文件。</w:t>
      </w:r>
    </w:p>
    <w:p w14:paraId="12234FF5">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六、比选文件的递交时间</w:t>
      </w:r>
    </w:p>
    <w:p w14:paraId="176B22EF">
      <w:pPr>
        <w:snapToGrid w:val="0"/>
        <w:spacing w:line="460" w:lineRule="exact"/>
        <w:ind w:firstLine="560" w:firstLineChars="200"/>
        <w:rPr>
          <w:rFonts w:ascii="仿宋_GB2312" w:hAnsi="宋体" w:eastAsia="仿宋"/>
          <w:sz w:val="28"/>
          <w:szCs w:val="32"/>
          <w:highlight w:val="none"/>
        </w:rPr>
      </w:pPr>
      <w:r>
        <w:rPr>
          <w:rFonts w:hint="eastAsia" w:ascii="仿宋_GB2312" w:hAnsi="宋体" w:eastAsia="仿宋"/>
          <w:sz w:val="28"/>
          <w:szCs w:val="32"/>
          <w:highlight w:val="none"/>
        </w:rPr>
        <w:t>比选文件必须在规定的接收截止时间前送达采购人。采购人将拒绝接收在比选截止时间后递交的比选文件。</w:t>
      </w:r>
    </w:p>
    <w:p w14:paraId="27E252FE">
      <w:pPr>
        <w:pStyle w:val="6"/>
        <w:rPr>
          <w:highlight w:val="none"/>
        </w:rPr>
      </w:pPr>
      <w:r>
        <w:rPr>
          <w:rFonts w:ascii="宋体" w:hAnsi="宋体"/>
          <w:b/>
          <w:sz w:val="28"/>
          <w:szCs w:val="28"/>
          <w:highlight w:val="none"/>
        </w:rPr>
        <w:br w:type="page"/>
      </w:r>
      <w:bookmarkEnd w:id="5"/>
      <w:bookmarkEnd w:id="6"/>
      <w:bookmarkEnd w:id="7"/>
      <w:r>
        <w:rPr>
          <w:rFonts w:hint="eastAsia"/>
          <w:highlight w:val="none"/>
        </w:rPr>
        <w:t>第三部分  项目需求</w:t>
      </w:r>
    </w:p>
    <w:p w14:paraId="0590E226">
      <w:pPr>
        <w:adjustRightInd w:val="0"/>
        <w:snapToGrid w:val="0"/>
        <w:spacing w:line="500" w:lineRule="exact"/>
        <w:ind w:firstLine="560" w:firstLineChars="200"/>
        <w:rPr>
          <w:rFonts w:eastAsia="方正仿宋_GBK"/>
          <w:color w:val="000000"/>
          <w:sz w:val="28"/>
          <w:szCs w:val="28"/>
        </w:rPr>
      </w:pPr>
      <w:r>
        <w:rPr>
          <w:rFonts w:hint="eastAsia" w:eastAsia="方正仿宋_GBK"/>
          <w:color w:val="000000"/>
          <w:sz w:val="28"/>
          <w:szCs w:val="28"/>
        </w:rPr>
        <w:t>请参选人在制作参选文件时仔细研究项目需求说明。参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6FF4F62D">
      <w:pPr>
        <w:adjustRightInd w:val="0"/>
        <w:snapToGrid w:val="0"/>
        <w:spacing w:line="500" w:lineRule="exact"/>
        <w:ind w:firstLine="562" w:firstLineChars="200"/>
        <w:rPr>
          <w:rFonts w:eastAsia="方正仿宋_GBK"/>
          <w:b/>
          <w:bCs/>
          <w:color w:val="000000"/>
          <w:sz w:val="28"/>
          <w:szCs w:val="28"/>
        </w:rPr>
      </w:pPr>
      <w:r>
        <w:rPr>
          <w:rFonts w:eastAsia="方正仿宋_GBK"/>
          <w:b/>
          <w:bCs/>
          <w:color w:val="000000"/>
          <w:sz w:val="28"/>
          <w:szCs w:val="28"/>
        </w:rPr>
        <w:t>其内容包含：</w:t>
      </w:r>
    </w:p>
    <w:p w14:paraId="3D752AB9">
      <w:pPr>
        <w:numPr>
          <w:ilvl w:val="0"/>
          <w:numId w:val="1"/>
        </w:numPr>
        <w:adjustRightInd w:val="0"/>
        <w:snapToGrid w:val="0"/>
        <w:spacing w:line="500" w:lineRule="exact"/>
        <w:rPr>
          <w:rFonts w:hint="eastAsia" w:ascii="仿宋_GB2312" w:eastAsia="仿宋_GB2312" w:cs="仿宋_GB2312"/>
          <w:b/>
          <w:bCs/>
          <w:color w:val="000000"/>
          <w:sz w:val="28"/>
          <w:szCs w:val="28"/>
        </w:rPr>
      </w:pPr>
      <w:r>
        <w:rPr>
          <w:rFonts w:eastAsia="方正仿宋_GBK"/>
          <w:b/>
          <w:bCs/>
          <w:color w:val="000000"/>
          <w:sz w:val="28"/>
          <w:szCs w:val="28"/>
        </w:rPr>
        <w:t>采购标的需实现的功能或者目标，以及为落实政府采购政策需满足的要求；</w:t>
      </w:r>
    </w:p>
    <w:p w14:paraId="32AA725C">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投标人提供</w:t>
      </w:r>
      <w:r>
        <w:rPr>
          <w:rFonts w:ascii="仿宋_GB2312" w:eastAsia="仿宋_GB2312" w:cs="仿宋_GB2312"/>
          <w:color w:val="000000"/>
          <w:sz w:val="28"/>
          <w:szCs w:val="28"/>
          <w:highlight w:val="none"/>
        </w:rPr>
        <w:t>4</w:t>
      </w:r>
      <w:r>
        <w:rPr>
          <w:rFonts w:hint="eastAsia" w:ascii="仿宋_GB2312" w:eastAsia="仿宋_GB2312" w:cs="仿宋_GB2312"/>
          <w:color w:val="000000"/>
          <w:sz w:val="28"/>
          <w:szCs w:val="28"/>
          <w:highlight w:val="none"/>
          <w:lang w:val="en-US" w:eastAsia="zh-CN"/>
        </w:rPr>
        <w:t>8</w:t>
      </w:r>
      <w:r>
        <w:rPr>
          <w:rFonts w:hint="eastAsia" w:ascii="宋体" w:hAnsi="宋体" w:cs="宋体"/>
          <w:color w:val="000000"/>
          <w:sz w:val="28"/>
          <w:szCs w:val="28"/>
          <w:highlight w:val="none"/>
        </w:rPr>
        <w:t>条裸纤链路，满足</w:t>
      </w:r>
      <w:r>
        <w:rPr>
          <w:rFonts w:hint="eastAsia" w:ascii="宋体" w:hAnsi="宋体" w:cs="宋体"/>
          <w:color w:val="000000"/>
          <w:sz w:val="28"/>
          <w:szCs w:val="28"/>
        </w:rPr>
        <w:t>市直学校</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单位）</w:t>
      </w:r>
      <w:r>
        <w:rPr>
          <w:rFonts w:hint="eastAsia" w:ascii="宋体" w:hAnsi="宋体" w:cs="宋体"/>
          <w:color w:val="000000"/>
          <w:sz w:val="28"/>
          <w:szCs w:val="28"/>
        </w:rPr>
        <w:t>宽带接入服务需求。本次项目提供裸纤链路的安全接入监测服务，对新增裸纤链路的</w:t>
      </w:r>
      <w:r>
        <w:rPr>
          <w:rFonts w:hint="eastAsia" w:ascii="仿宋_GB2312" w:eastAsia="仿宋_GB2312" w:cs="仿宋_GB2312"/>
          <w:color w:val="000000"/>
          <w:sz w:val="28"/>
          <w:szCs w:val="28"/>
        </w:rPr>
        <w:t>DNS</w:t>
      </w:r>
      <w:r>
        <w:rPr>
          <w:rFonts w:hint="eastAsia" w:ascii="宋体" w:hAnsi="宋体" w:cs="宋体"/>
          <w:color w:val="000000"/>
          <w:sz w:val="28"/>
          <w:szCs w:val="28"/>
        </w:rPr>
        <w:t>解析请求进行数据分析，提供全面精准的威胁情报库，拦截攻击行为对应的网址或域名，可以杜绝绝大部分的恶意攻击，拒绝解析恶意网，实现安全上网。</w:t>
      </w:r>
    </w:p>
    <w:p w14:paraId="0375B2B2">
      <w:pPr>
        <w:adjustRightInd w:val="0"/>
        <w:snapToGrid w:val="0"/>
        <w:spacing w:line="500" w:lineRule="exact"/>
        <w:rPr>
          <w:rFonts w:eastAsia="方正仿宋_GBK"/>
          <w:color w:val="000000"/>
          <w:sz w:val="28"/>
          <w:szCs w:val="28"/>
        </w:rPr>
      </w:pPr>
    </w:p>
    <w:p w14:paraId="2D9701A4">
      <w:pPr>
        <w:numPr>
          <w:ilvl w:val="0"/>
          <w:numId w:val="1"/>
        </w:numPr>
        <w:adjustRightInd w:val="0"/>
        <w:snapToGrid w:val="0"/>
        <w:spacing w:line="500" w:lineRule="exact"/>
        <w:rPr>
          <w:rFonts w:eastAsia="方正仿宋_GBK"/>
          <w:b/>
          <w:bCs/>
          <w:color w:val="000000"/>
          <w:sz w:val="28"/>
          <w:szCs w:val="28"/>
        </w:rPr>
      </w:pPr>
      <w:r>
        <w:rPr>
          <w:rFonts w:eastAsia="方正仿宋_GBK"/>
          <w:b/>
          <w:bCs/>
          <w:color w:val="000000"/>
          <w:sz w:val="28"/>
          <w:szCs w:val="28"/>
        </w:rPr>
        <w:t>采购标的需执行的国家相关标准、行业标准、地方标准或者其他标准、规范；</w:t>
      </w:r>
    </w:p>
    <w:p w14:paraId="53246709">
      <w:pPr>
        <w:spacing w:line="560" w:lineRule="exact"/>
        <w:ind w:firstLine="560" w:firstLineChars="200"/>
        <w:rPr>
          <w:rFonts w:hint="eastAsia" w:ascii="仿宋_GB2312" w:eastAsia="仿宋_GB2312" w:cs="仿宋_GB2312"/>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、《教育部办公厅关于开展信息系统安全等级保护工作的通知》（教办厅函（</w:t>
      </w:r>
      <w:r>
        <w:rPr>
          <w:rFonts w:hint="eastAsia" w:ascii="仿宋_GB2312" w:eastAsia="仿宋_GB2312" w:cs="仿宋_GB2312"/>
          <w:color w:val="000000"/>
          <w:sz w:val="28"/>
          <w:szCs w:val="28"/>
        </w:rPr>
        <w:t>2009</w:t>
      </w:r>
      <w:r>
        <w:rPr>
          <w:rFonts w:hint="eastAsia" w:ascii="宋体" w:hAnsi="宋体" w:cs="宋体"/>
          <w:color w:val="000000"/>
          <w:sz w:val="28"/>
          <w:szCs w:val="28"/>
        </w:rPr>
        <w:t>）</w:t>
      </w:r>
      <w:r>
        <w:rPr>
          <w:rFonts w:hint="eastAsia" w:ascii="仿宋_GB2312" w:eastAsia="仿宋_GB2312" w:cs="仿宋_GB2312"/>
          <w:color w:val="000000"/>
          <w:sz w:val="28"/>
          <w:szCs w:val="28"/>
        </w:rPr>
        <w:t>80</w:t>
      </w:r>
      <w:r>
        <w:rPr>
          <w:rFonts w:hint="eastAsia" w:ascii="宋体" w:hAnsi="宋体" w:cs="宋体"/>
          <w:color w:val="000000"/>
          <w:sz w:val="28"/>
          <w:szCs w:val="28"/>
        </w:rPr>
        <w:t>号）</w:t>
      </w:r>
    </w:p>
    <w:p w14:paraId="1157A8DC">
      <w:pPr>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2</w:t>
      </w:r>
      <w:r>
        <w:rPr>
          <w:rFonts w:hint="eastAsia" w:ascii="宋体" w:hAnsi="宋体" w:cs="宋体"/>
          <w:color w:val="000000"/>
          <w:sz w:val="28"/>
          <w:szCs w:val="28"/>
        </w:rPr>
        <w:t>、《教育部办公厅关于进一步加强网络信息系统安全保障工作的通知》（教办厅函（</w:t>
      </w:r>
      <w:r>
        <w:rPr>
          <w:rFonts w:hint="eastAsia" w:ascii="仿宋_GB2312" w:eastAsia="仿宋_GB2312" w:cs="仿宋_GB2312"/>
          <w:color w:val="000000"/>
          <w:sz w:val="28"/>
          <w:szCs w:val="28"/>
        </w:rPr>
        <w:t>2011</w:t>
      </w:r>
      <w:r>
        <w:rPr>
          <w:rFonts w:hint="eastAsia" w:ascii="宋体" w:hAnsi="宋体" w:cs="宋体"/>
          <w:color w:val="000000"/>
          <w:sz w:val="28"/>
          <w:szCs w:val="28"/>
        </w:rPr>
        <w:t>）</w:t>
      </w:r>
      <w:r>
        <w:rPr>
          <w:rFonts w:hint="eastAsia" w:ascii="仿宋_GB2312" w:eastAsia="仿宋_GB2312" w:cs="仿宋_GB2312"/>
          <w:color w:val="000000"/>
          <w:sz w:val="28"/>
          <w:szCs w:val="28"/>
        </w:rPr>
        <w:t>83</w:t>
      </w:r>
      <w:r>
        <w:rPr>
          <w:rFonts w:hint="eastAsia" w:ascii="宋体" w:hAnsi="宋体" w:cs="宋体"/>
          <w:color w:val="000000"/>
          <w:sz w:val="28"/>
          <w:szCs w:val="28"/>
        </w:rPr>
        <w:t>号）</w:t>
      </w:r>
    </w:p>
    <w:p w14:paraId="46043655">
      <w:pPr>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3</w:t>
      </w:r>
      <w:r>
        <w:rPr>
          <w:rFonts w:hint="eastAsia" w:ascii="宋体" w:hAnsi="宋体" w:cs="宋体"/>
          <w:color w:val="000000"/>
          <w:sz w:val="28"/>
          <w:szCs w:val="28"/>
        </w:rPr>
        <w:t>、《教育部关于加强教育行业网络与信息安全工作的指导意见》教技【</w:t>
      </w:r>
      <w:r>
        <w:rPr>
          <w:rFonts w:hint="eastAsia" w:ascii="仿宋_GB2312" w:eastAsia="仿宋_GB2312" w:cs="仿宋_GB2312"/>
          <w:color w:val="000000"/>
          <w:sz w:val="28"/>
          <w:szCs w:val="28"/>
        </w:rPr>
        <w:t>2014</w:t>
      </w:r>
      <w:r>
        <w:rPr>
          <w:rFonts w:hint="eastAsia" w:ascii="宋体" w:hAnsi="宋体" w:cs="宋体"/>
          <w:color w:val="000000"/>
          <w:sz w:val="28"/>
          <w:szCs w:val="28"/>
        </w:rPr>
        <w:t>】</w:t>
      </w:r>
      <w:r>
        <w:rPr>
          <w:rFonts w:hint="eastAsia" w:ascii="仿宋_GB2312" w:eastAsia="仿宋_GB2312" w:cs="仿宋_GB2312"/>
          <w:color w:val="000000"/>
          <w:sz w:val="28"/>
          <w:szCs w:val="28"/>
        </w:rPr>
        <w:t>4</w:t>
      </w:r>
      <w:r>
        <w:rPr>
          <w:rFonts w:hint="eastAsia" w:ascii="宋体" w:hAnsi="宋体" w:cs="宋体"/>
          <w:color w:val="000000"/>
          <w:sz w:val="28"/>
          <w:szCs w:val="28"/>
        </w:rPr>
        <w:t>号</w:t>
      </w:r>
    </w:p>
    <w:p w14:paraId="389A1EF1">
      <w:pPr>
        <w:adjustRightInd w:val="0"/>
        <w:snapToGrid w:val="0"/>
        <w:spacing w:line="500" w:lineRule="exact"/>
        <w:rPr>
          <w:rFonts w:eastAsia="方正仿宋_GBK"/>
          <w:b/>
          <w:bCs/>
          <w:color w:val="000000"/>
          <w:sz w:val="28"/>
          <w:szCs w:val="28"/>
        </w:rPr>
      </w:pPr>
      <w:r>
        <w:rPr>
          <w:rFonts w:eastAsia="方正仿宋_GBK"/>
          <w:b/>
          <w:bCs/>
          <w:color w:val="000000"/>
          <w:sz w:val="28"/>
          <w:szCs w:val="28"/>
        </w:rPr>
        <w:t>（三）采购标的需满足的质量、安全、技术规格、物理特性等要求；</w:t>
      </w:r>
    </w:p>
    <w:p w14:paraId="7B8846CD">
      <w:pPr>
        <w:spacing w:line="23" w:lineRule="atLeast"/>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主要技术参数要求：</w:t>
      </w:r>
    </w:p>
    <w:p w14:paraId="0A7D9EF2">
      <w:pPr>
        <w:numPr>
          <w:ilvl w:val="0"/>
          <w:numId w:val="2"/>
        </w:numPr>
        <w:spacing w:line="23" w:lineRule="atLeast"/>
        <w:rPr>
          <w:rFonts w:ascii="宋体" w:hAnsi="宋体" w:cs="宋体"/>
          <w:b/>
          <w:bCs/>
          <w:color w:val="000000"/>
          <w:sz w:val="28"/>
          <w:szCs w:val="28"/>
        </w:rPr>
      </w:pPr>
      <w:r>
        <w:rPr>
          <w:rFonts w:hint="eastAsia" w:ascii="宋体" w:hAnsi="宋体" w:cs="宋体"/>
          <w:b/>
          <w:bCs/>
          <w:color w:val="000000"/>
          <w:sz w:val="28"/>
          <w:szCs w:val="28"/>
        </w:rPr>
        <w:t>提供</w:t>
      </w:r>
      <w:r>
        <w:rPr>
          <w:rFonts w:ascii="宋体" w:hAnsi="宋体" w:cs="宋体"/>
          <w:b/>
          <w:bCs/>
          <w:color w:val="000000"/>
          <w:sz w:val="28"/>
          <w:szCs w:val="28"/>
          <w:highlight w:val="none"/>
        </w:rPr>
        <w:t>4</w:t>
      </w:r>
      <w:r>
        <w:rPr>
          <w:rFonts w:hint="eastAsia" w:ascii="宋体" w:hAnsi="宋体" w:cs="宋体"/>
          <w:b/>
          <w:bCs/>
          <w:color w:val="000000"/>
          <w:sz w:val="28"/>
          <w:szCs w:val="28"/>
          <w:highlight w:val="none"/>
          <w:lang w:val="en-US" w:eastAsia="zh-CN"/>
        </w:rPr>
        <w:t>8</w:t>
      </w:r>
      <w:r>
        <w:rPr>
          <w:rFonts w:hint="eastAsia" w:ascii="宋体" w:hAnsi="宋体" w:cs="宋体"/>
          <w:b/>
          <w:bCs/>
          <w:color w:val="000000"/>
          <w:sz w:val="28"/>
          <w:szCs w:val="28"/>
          <w:highlight w:val="none"/>
        </w:rPr>
        <w:t>条</w:t>
      </w:r>
      <w:r>
        <w:rPr>
          <w:rFonts w:hint="eastAsia" w:ascii="宋体" w:hAnsi="宋体" w:cs="宋体"/>
          <w:b/>
          <w:bCs/>
          <w:color w:val="000000"/>
          <w:sz w:val="28"/>
          <w:szCs w:val="28"/>
        </w:rPr>
        <w:t>裸纤链路的租赁服务；</w:t>
      </w:r>
    </w:p>
    <w:p w14:paraId="0A3BB5D0">
      <w:pPr>
        <w:spacing w:line="23" w:lineRule="atLeas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要求各个学校至政务中心机房之间连接的通道间不允许涉及任何有源设备，必须为纯裸光纤通道。</w:t>
      </w:r>
    </w:p>
    <w:p w14:paraId="2F47B134">
      <w:pPr>
        <w:spacing w:line="23" w:lineRule="atLeast"/>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裸纤参数要求如下：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988"/>
        <w:gridCol w:w="1990"/>
        <w:gridCol w:w="2364"/>
        <w:gridCol w:w="2364"/>
      </w:tblGrid>
      <w:tr w14:paraId="3E10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678A0F82">
            <w:pPr>
              <w:rPr>
                <w:rFonts w:hint="eastAsia"/>
                <w:color w:val="000000"/>
              </w:rPr>
            </w:pPr>
            <w:r>
              <w:rPr>
                <w:rFonts w:hint="eastAsia"/>
                <w:color w:val="000000"/>
              </w:rPr>
              <w:t>序号</w:t>
            </w:r>
          </w:p>
        </w:tc>
        <w:tc>
          <w:tcPr>
            <w:tcW w:w="2103" w:type="pct"/>
            <w:gridSpan w:val="2"/>
            <w:noWrap w:val="0"/>
            <w:vAlign w:val="center"/>
          </w:tcPr>
          <w:p w14:paraId="228A5413">
            <w:pPr>
              <w:rPr>
                <w:rFonts w:hint="eastAsia"/>
                <w:color w:val="000000"/>
              </w:rPr>
            </w:pPr>
            <w:r>
              <w:rPr>
                <w:rFonts w:hint="eastAsia"/>
                <w:color w:val="000000"/>
              </w:rPr>
              <w:t>项目</w:t>
            </w:r>
          </w:p>
        </w:tc>
        <w:tc>
          <w:tcPr>
            <w:tcW w:w="1250" w:type="pct"/>
            <w:noWrap w:val="0"/>
            <w:vAlign w:val="center"/>
          </w:tcPr>
          <w:p w14:paraId="05F76C2A">
            <w:pPr>
              <w:rPr>
                <w:rFonts w:hint="eastAsia"/>
                <w:color w:val="000000"/>
              </w:rPr>
            </w:pPr>
            <w:r>
              <w:rPr>
                <w:rFonts w:hint="eastAsia"/>
                <w:color w:val="000000"/>
              </w:rPr>
              <w:t>单位</w:t>
            </w:r>
          </w:p>
        </w:tc>
        <w:tc>
          <w:tcPr>
            <w:tcW w:w="1250" w:type="pct"/>
            <w:noWrap w:val="0"/>
            <w:vAlign w:val="center"/>
          </w:tcPr>
          <w:p w14:paraId="37F0EC8A">
            <w:pPr>
              <w:rPr>
                <w:rFonts w:hint="eastAsia"/>
                <w:color w:val="000000"/>
              </w:rPr>
            </w:pPr>
            <w:r>
              <w:rPr>
                <w:rFonts w:hint="eastAsia"/>
                <w:color w:val="000000"/>
              </w:rPr>
              <w:t>技术指标(</w:t>
            </w:r>
            <w:r>
              <w:rPr>
                <w:color w:val="000000"/>
              </w:rPr>
              <w:t>G.652D)</w:t>
            </w:r>
          </w:p>
        </w:tc>
      </w:tr>
      <w:tr w14:paraId="2FD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35E37FCD">
            <w:pPr>
              <w:rPr>
                <w:rFonts w:hint="eastAsia"/>
                <w:color w:val="000000"/>
              </w:rPr>
            </w:pPr>
            <w:r>
              <w:rPr>
                <w:rFonts w:hint="eastAsia"/>
                <w:color w:val="000000"/>
              </w:rPr>
              <w:t>1</w:t>
            </w:r>
          </w:p>
        </w:tc>
        <w:tc>
          <w:tcPr>
            <w:tcW w:w="1051" w:type="pct"/>
            <w:noWrap w:val="0"/>
            <w:vAlign w:val="center"/>
          </w:tcPr>
          <w:p w14:paraId="100E00C9">
            <w:pPr>
              <w:rPr>
                <w:rFonts w:hint="eastAsia"/>
                <w:color w:val="000000"/>
              </w:rPr>
            </w:pPr>
            <w:r>
              <w:rPr>
                <w:rFonts w:hint="eastAsia"/>
                <w:color w:val="000000"/>
              </w:rPr>
              <w:t>模场直径</w:t>
            </w:r>
          </w:p>
        </w:tc>
        <w:tc>
          <w:tcPr>
            <w:tcW w:w="1052" w:type="pct"/>
            <w:noWrap w:val="0"/>
            <w:vAlign w:val="center"/>
          </w:tcPr>
          <w:p w14:paraId="394863E6">
            <w:pPr>
              <w:rPr>
                <w:rFonts w:hint="eastAsia"/>
                <w:color w:val="000000"/>
              </w:rPr>
            </w:pPr>
            <w:r>
              <w:rPr>
                <w:rFonts w:hint="eastAsia"/>
                <w:color w:val="000000"/>
              </w:rPr>
              <w:t>1</w:t>
            </w:r>
            <w:r>
              <w:rPr>
                <w:color w:val="000000"/>
              </w:rPr>
              <w:t>310</w:t>
            </w:r>
            <w:r>
              <w:rPr>
                <w:rFonts w:hint="eastAsia"/>
                <w:color w:val="000000"/>
              </w:rPr>
              <w:t>nm</w:t>
            </w:r>
          </w:p>
        </w:tc>
        <w:tc>
          <w:tcPr>
            <w:tcW w:w="1250" w:type="pct"/>
            <w:noWrap w:val="0"/>
            <w:vAlign w:val="center"/>
          </w:tcPr>
          <w:p w14:paraId="77DDBDC4">
            <w:pPr>
              <w:rPr>
                <w:rFonts w:hint="eastAsia"/>
                <w:color w:val="000000"/>
              </w:rPr>
            </w:pPr>
            <w:r>
              <w:rPr>
                <w:rFonts w:ascii="Calibri" w:hAnsi="Calibri" w:cs="Calibri"/>
                <w:color w:val="000000"/>
              </w:rPr>
              <w:t>μ</w:t>
            </w:r>
            <w:r>
              <w:rPr>
                <w:rFonts w:hint="eastAsia"/>
                <w:color w:val="000000"/>
              </w:rPr>
              <w:t>m</w:t>
            </w:r>
          </w:p>
        </w:tc>
        <w:tc>
          <w:tcPr>
            <w:tcW w:w="1250" w:type="pct"/>
            <w:noWrap w:val="0"/>
            <w:vAlign w:val="center"/>
          </w:tcPr>
          <w:p w14:paraId="0E170049">
            <w:pPr>
              <w:rPr>
                <w:rFonts w:hint="eastAsia"/>
                <w:color w:val="000000"/>
              </w:rPr>
            </w:pPr>
            <w:r>
              <w:rPr>
                <w:rFonts w:hint="eastAsia"/>
                <w:color w:val="000000"/>
              </w:rPr>
              <w:t>(</w:t>
            </w:r>
            <w:r>
              <w:rPr>
                <w:color w:val="000000"/>
              </w:rPr>
              <w:t>8.6-9.5)</w:t>
            </w:r>
            <w:r>
              <w:rPr>
                <w:rFonts w:ascii="Calibri" w:hAnsi="Calibri" w:cs="Calibri"/>
                <w:color w:val="000000"/>
              </w:rPr>
              <w:t>±</w:t>
            </w:r>
            <w:r>
              <w:rPr>
                <w:color w:val="000000"/>
              </w:rPr>
              <w:t>0.6</w:t>
            </w:r>
          </w:p>
        </w:tc>
      </w:tr>
      <w:tr w14:paraId="7279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0BEA5A90">
            <w:pPr>
              <w:rPr>
                <w:rFonts w:hint="eastAsia"/>
                <w:color w:val="000000"/>
              </w:rPr>
            </w:pPr>
            <w:r>
              <w:rPr>
                <w:rFonts w:hint="eastAsia"/>
                <w:color w:val="000000"/>
              </w:rPr>
              <w:t>2</w:t>
            </w:r>
          </w:p>
        </w:tc>
        <w:tc>
          <w:tcPr>
            <w:tcW w:w="2103" w:type="pct"/>
            <w:gridSpan w:val="2"/>
            <w:noWrap w:val="0"/>
            <w:vAlign w:val="center"/>
          </w:tcPr>
          <w:p w14:paraId="01CD6418">
            <w:pPr>
              <w:rPr>
                <w:rFonts w:hint="eastAsia"/>
                <w:color w:val="000000"/>
              </w:rPr>
            </w:pPr>
            <w:r>
              <w:rPr>
                <w:rFonts w:hint="eastAsia"/>
                <w:color w:val="000000"/>
              </w:rPr>
              <w:t>包层直径</w:t>
            </w:r>
          </w:p>
        </w:tc>
        <w:tc>
          <w:tcPr>
            <w:tcW w:w="1250" w:type="pct"/>
            <w:noWrap w:val="0"/>
            <w:vAlign w:val="center"/>
          </w:tcPr>
          <w:p w14:paraId="42428B8F">
            <w:pPr>
              <w:rPr>
                <w:rFonts w:hint="eastAsia"/>
                <w:color w:val="000000"/>
              </w:rPr>
            </w:pPr>
            <w:r>
              <w:rPr>
                <w:color w:val="000000"/>
              </w:rPr>
              <w:t>mm</w:t>
            </w:r>
          </w:p>
        </w:tc>
        <w:tc>
          <w:tcPr>
            <w:tcW w:w="1250" w:type="pct"/>
            <w:noWrap w:val="0"/>
            <w:vAlign w:val="center"/>
          </w:tcPr>
          <w:p w14:paraId="707F99C1">
            <w:pPr>
              <w:rPr>
                <w:rFonts w:hint="eastAsia"/>
                <w:color w:val="000000"/>
              </w:rPr>
            </w:pPr>
            <w:r>
              <w:rPr>
                <w:rFonts w:hint="eastAsia"/>
                <w:color w:val="000000"/>
              </w:rPr>
              <w:t>1</w:t>
            </w:r>
            <w:r>
              <w:rPr>
                <w:color w:val="000000"/>
              </w:rPr>
              <w:t>25</w:t>
            </w:r>
            <w:r>
              <w:rPr>
                <w:rFonts w:ascii="Calibri" w:hAnsi="Calibri" w:cs="Calibri"/>
                <w:color w:val="000000"/>
              </w:rPr>
              <w:t>±1</w:t>
            </w:r>
          </w:p>
        </w:tc>
      </w:tr>
      <w:tr w14:paraId="69E8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08435988">
            <w:pPr>
              <w:rPr>
                <w:rFonts w:hint="eastAsia"/>
                <w:color w:val="000000"/>
              </w:rPr>
            </w:pPr>
            <w:r>
              <w:rPr>
                <w:rFonts w:hint="eastAsia"/>
                <w:color w:val="000000"/>
              </w:rPr>
              <w:t>3</w:t>
            </w:r>
          </w:p>
        </w:tc>
        <w:tc>
          <w:tcPr>
            <w:tcW w:w="2103" w:type="pct"/>
            <w:gridSpan w:val="2"/>
            <w:noWrap w:val="0"/>
            <w:vAlign w:val="center"/>
          </w:tcPr>
          <w:p w14:paraId="4478846B">
            <w:pPr>
              <w:rPr>
                <w:rFonts w:hint="eastAsia"/>
                <w:color w:val="000000"/>
              </w:rPr>
            </w:pPr>
            <w:r>
              <w:rPr>
                <w:rFonts w:hint="eastAsia"/>
                <w:color w:val="000000"/>
              </w:rPr>
              <w:t>纤心同心度误差</w:t>
            </w:r>
          </w:p>
        </w:tc>
        <w:tc>
          <w:tcPr>
            <w:tcW w:w="1250" w:type="pct"/>
            <w:noWrap w:val="0"/>
            <w:vAlign w:val="center"/>
          </w:tcPr>
          <w:p w14:paraId="317309ED">
            <w:pPr>
              <w:rPr>
                <w:rFonts w:hint="eastAsia"/>
                <w:color w:val="000000"/>
              </w:rPr>
            </w:pPr>
            <w:r>
              <w:rPr>
                <w:color w:val="000000"/>
              </w:rPr>
              <w:t>mm</w:t>
            </w:r>
          </w:p>
        </w:tc>
        <w:tc>
          <w:tcPr>
            <w:tcW w:w="1250" w:type="pct"/>
            <w:noWrap w:val="0"/>
            <w:vAlign w:val="center"/>
          </w:tcPr>
          <w:p w14:paraId="63623B1C">
            <w:pPr>
              <w:rPr>
                <w:rFonts w:hint="eastAsia"/>
                <w:color w:val="000000"/>
              </w:rPr>
            </w:pPr>
            <w:r>
              <w:rPr>
                <w:rFonts w:ascii="Calibri" w:hAnsi="Calibri" w:cs="Calibri"/>
                <w:color w:val="000000"/>
              </w:rPr>
              <w:t>≤±0.6</w:t>
            </w:r>
          </w:p>
        </w:tc>
      </w:tr>
      <w:tr w14:paraId="0FAD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7E2DCA9E">
            <w:pPr>
              <w:rPr>
                <w:rFonts w:hint="eastAsia"/>
                <w:color w:val="000000"/>
              </w:rPr>
            </w:pPr>
            <w:r>
              <w:rPr>
                <w:rFonts w:hint="eastAsia"/>
                <w:color w:val="000000"/>
              </w:rPr>
              <w:t>4</w:t>
            </w:r>
          </w:p>
        </w:tc>
        <w:tc>
          <w:tcPr>
            <w:tcW w:w="2103" w:type="pct"/>
            <w:gridSpan w:val="2"/>
            <w:noWrap w:val="0"/>
            <w:vAlign w:val="center"/>
          </w:tcPr>
          <w:p w14:paraId="7F5CFB0D">
            <w:pPr>
              <w:rPr>
                <w:rFonts w:hint="eastAsia"/>
                <w:color w:val="000000"/>
              </w:rPr>
            </w:pPr>
            <w:r>
              <w:rPr>
                <w:rFonts w:hint="eastAsia"/>
                <w:color w:val="000000"/>
              </w:rPr>
              <w:t>包层不圆度</w:t>
            </w:r>
          </w:p>
        </w:tc>
        <w:tc>
          <w:tcPr>
            <w:tcW w:w="1250" w:type="pct"/>
            <w:noWrap w:val="0"/>
            <w:vAlign w:val="center"/>
          </w:tcPr>
          <w:p w14:paraId="3D34033B">
            <w:pPr>
              <w:rPr>
                <w:rFonts w:hint="eastAsia"/>
                <w:color w:val="000000"/>
              </w:rPr>
            </w:pPr>
          </w:p>
        </w:tc>
        <w:tc>
          <w:tcPr>
            <w:tcW w:w="1250" w:type="pct"/>
            <w:noWrap w:val="0"/>
            <w:vAlign w:val="center"/>
          </w:tcPr>
          <w:p w14:paraId="33036FA1">
            <w:pPr>
              <w:rPr>
                <w:rFonts w:hint="eastAsia"/>
                <w:color w:val="000000"/>
              </w:rPr>
            </w:pPr>
            <w:r>
              <w:rPr>
                <w:rFonts w:ascii="Calibri" w:hAnsi="Calibri" w:cs="Calibri"/>
                <w:color w:val="000000"/>
              </w:rPr>
              <w:t>≤1%</w:t>
            </w:r>
          </w:p>
        </w:tc>
      </w:tr>
      <w:tr w14:paraId="4563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restart"/>
            <w:noWrap w:val="0"/>
            <w:vAlign w:val="center"/>
          </w:tcPr>
          <w:p w14:paraId="168F2749">
            <w:pPr>
              <w:rPr>
                <w:rFonts w:hint="eastAsia"/>
                <w:color w:val="000000"/>
              </w:rPr>
            </w:pPr>
            <w:r>
              <w:rPr>
                <w:rFonts w:hint="eastAsia"/>
                <w:color w:val="000000"/>
              </w:rPr>
              <w:t>5</w:t>
            </w:r>
          </w:p>
        </w:tc>
        <w:tc>
          <w:tcPr>
            <w:tcW w:w="1051" w:type="pct"/>
            <w:vMerge w:val="restart"/>
            <w:noWrap w:val="0"/>
            <w:vAlign w:val="center"/>
          </w:tcPr>
          <w:p w14:paraId="232E8896">
            <w:pPr>
              <w:rPr>
                <w:rFonts w:hint="eastAsia"/>
                <w:color w:val="000000"/>
              </w:rPr>
            </w:pPr>
            <w:r>
              <w:rPr>
                <w:rFonts w:hint="eastAsia"/>
                <w:color w:val="000000"/>
              </w:rPr>
              <w:t>截止波长</w:t>
            </w:r>
          </w:p>
        </w:tc>
        <w:tc>
          <w:tcPr>
            <w:tcW w:w="1052" w:type="pct"/>
            <w:noWrap w:val="0"/>
            <w:vAlign w:val="center"/>
          </w:tcPr>
          <w:p w14:paraId="73601B3E">
            <w:pPr>
              <w:rPr>
                <w:rFonts w:hint="eastAsia"/>
                <w:color w:val="000000"/>
              </w:rPr>
            </w:pPr>
            <w:r>
              <w:rPr>
                <w:rFonts w:ascii="Calibri" w:hAnsi="Calibri" w:cs="Calibri"/>
                <w:color w:val="000000"/>
              </w:rPr>
              <w:t>λ</w:t>
            </w:r>
            <w:r>
              <w:rPr>
                <w:rFonts w:ascii="Calibri" w:hAnsi="Calibri" w:cs="Calibri"/>
                <w:color w:val="000000"/>
                <w:vertAlign w:val="subscript"/>
              </w:rPr>
              <w:t>c</w:t>
            </w:r>
          </w:p>
        </w:tc>
        <w:tc>
          <w:tcPr>
            <w:tcW w:w="1250" w:type="pct"/>
            <w:vMerge w:val="restart"/>
            <w:noWrap w:val="0"/>
            <w:vAlign w:val="center"/>
          </w:tcPr>
          <w:p w14:paraId="64668683">
            <w:pPr>
              <w:rPr>
                <w:rFonts w:hint="eastAsia"/>
                <w:color w:val="000000"/>
              </w:rPr>
            </w:pPr>
            <w:r>
              <w:rPr>
                <w:rFonts w:hint="eastAsia"/>
                <w:color w:val="000000"/>
              </w:rPr>
              <w:t>n</w:t>
            </w:r>
            <w:r>
              <w:rPr>
                <w:color w:val="000000"/>
              </w:rPr>
              <w:t>m</w:t>
            </w:r>
          </w:p>
        </w:tc>
        <w:tc>
          <w:tcPr>
            <w:tcW w:w="1250" w:type="pct"/>
            <w:noWrap w:val="0"/>
            <w:vAlign w:val="center"/>
          </w:tcPr>
          <w:p w14:paraId="09BDD3DB">
            <w:pPr>
              <w:rPr>
                <w:rFonts w:hint="eastAsia"/>
                <w:color w:val="000000"/>
              </w:rPr>
            </w:pPr>
            <w:r>
              <w:rPr>
                <w:rFonts w:ascii="Calibri" w:hAnsi="Calibri" w:cs="Calibri"/>
                <w:color w:val="000000"/>
              </w:rPr>
              <w:t>≤1250</w:t>
            </w:r>
          </w:p>
        </w:tc>
      </w:tr>
      <w:tr w14:paraId="7C7F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noWrap w:val="0"/>
            <w:vAlign w:val="center"/>
          </w:tcPr>
          <w:p w14:paraId="41EBFB28">
            <w:pPr>
              <w:rPr>
                <w:rFonts w:hint="eastAsia"/>
                <w:color w:val="000000"/>
              </w:rPr>
            </w:pPr>
          </w:p>
        </w:tc>
        <w:tc>
          <w:tcPr>
            <w:tcW w:w="1051" w:type="pct"/>
            <w:vMerge w:val="continue"/>
            <w:noWrap w:val="0"/>
            <w:vAlign w:val="center"/>
          </w:tcPr>
          <w:p w14:paraId="7335F41F">
            <w:pPr>
              <w:rPr>
                <w:rFonts w:hint="eastAsia"/>
                <w:color w:val="000000"/>
              </w:rPr>
            </w:pPr>
          </w:p>
        </w:tc>
        <w:tc>
          <w:tcPr>
            <w:tcW w:w="1052" w:type="pct"/>
            <w:noWrap w:val="0"/>
            <w:vAlign w:val="center"/>
          </w:tcPr>
          <w:p w14:paraId="7FE5BBA6">
            <w:pPr>
              <w:rPr>
                <w:rFonts w:hint="eastAsia"/>
                <w:color w:val="000000"/>
              </w:rPr>
            </w:pPr>
            <w:r>
              <w:rPr>
                <w:rFonts w:ascii="Calibri" w:hAnsi="Calibri" w:cs="Calibri"/>
                <w:color w:val="000000"/>
              </w:rPr>
              <w:t>λ</w:t>
            </w:r>
            <w:r>
              <w:rPr>
                <w:rFonts w:ascii="Calibri" w:hAnsi="Calibri" w:cs="Calibri"/>
                <w:color w:val="000000"/>
                <w:vertAlign w:val="subscript"/>
              </w:rPr>
              <w:t>cc</w:t>
            </w:r>
          </w:p>
        </w:tc>
        <w:tc>
          <w:tcPr>
            <w:tcW w:w="1250" w:type="pct"/>
            <w:vMerge w:val="continue"/>
            <w:noWrap w:val="0"/>
            <w:vAlign w:val="center"/>
          </w:tcPr>
          <w:p w14:paraId="2CC0177C">
            <w:pPr>
              <w:rPr>
                <w:rFonts w:hint="eastAsia"/>
                <w:color w:val="000000"/>
              </w:rPr>
            </w:pPr>
          </w:p>
        </w:tc>
        <w:tc>
          <w:tcPr>
            <w:tcW w:w="1250" w:type="pct"/>
            <w:noWrap w:val="0"/>
            <w:vAlign w:val="center"/>
          </w:tcPr>
          <w:p w14:paraId="507D6007">
            <w:pPr>
              <w:rPr>
                <w:rFonts w:hint="eastAsia"/>
                <w:color w:val="000000"/>
              </w:rPr>
            </w:pPr>
            <w:r>
              <w:rPr>
                <w:rFonts w:ascii="Calibri" w:hAnsi="Calibri" w:cs="Calibri"/>
                <w:color w:val="000000"/>
              </w:rPr>
              <w:t>≤1260</w:t>
            </w:r>
          </w:p>
        </w:tc>
      </w:tr>
      <w:tr w14:paraId="3E1F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restart"/>
            <w:noWrap w:val="0"/>
            <w:vAlign w:val="center"/>
          </w:tcPr>
          <w:p w14:paraId="4D7C5F82">
            <w:pPr>
              <w:rPr>
                <w:rFonts w:hint="eastAsia"/>
                <w:color w:val="000000"/>
              </w:rPr>
            </w:pPr>
            <w:r>
              <w:rPr>
                <w:rFonts w:hint="eastAsia"/>
                <w:color w:val="000000"/>
              </w:rPr>
              <w:t>6</w:t>
            </w:r>
          </w:p>
        </w:tc>
        <w:tc>
          <w:tcPr>
            <w:tcW w:w="1051" w:type="pct"/>
            <w:vMerge w:val="restart"/>
            <w:noWrap w:val="0"/>
            <w:vAlign w:val="center"/>
          </w:tcPr>
          <w:p w14:paraId="30223678">
            <w:pPr>
              <w:rPr>
                <w:rFonts w:hint="eastAsia"/>
                <w:color w:val="000000"/>
              </w:rPr>
            </w:pPr>
            <w:r>
              <w:rPr>
                <w:rFonts w:hint="eastAsia"/>
                <w:color w:val="000000"/>
              </w:rPr>
              <w:t>衰减系数</w:t>
            </w:r>
          </w:p>
        </w:tc>
        <w:tc>
          <w:tcPr>
            <w:tcW w:w="1052" w:type="pct"/>
            <w:noWrap w:val="0"/>
            <w:vAlign w:val="center"/>
          </w:tcPr>
          <w:p w14:paraId="6BDF8F17">
            <w:pPr>
              <w:rPr>
                <w:rFonts w:hint="eastAsia"/>
                <w:color w:val="000000"/>
              </w:rPr>
            </w:pPr>
            <w:r>
              <w:rPr>
                <w:rFonts w:hint="eastAsia"/>
                <w:color w:val="000000"/>
              </w:rPr>
              <w:t>1</w:t>
            </w:r>
            <w:r>
              <w:rPr>
                <w:color w:val="000000"/>
              </w:rPr>
              <w:t>310nm</w:t>
            </w:r>
          </w:p>
        </w:tc>
        <w:tc>
          <w:tcPr>
            <w:tcW w:w="1250" w:type="pct"/>
            <w:vMerge w:val="restart"/>
            <w:noWrap w:val="0"/>
            <w:vAlign w:val="center"/>
          </w:tcPr>
          <w:p w14:paraId="2877E5B8">
            <w:pPr>
              <w:rPr>
                <w:rFonts w:hint="eastAsia"/>
                <w:color w:val="000000"/>
              </w:rPr>
            </w:pPr>
            <w:r>
              <w:rPr>
                <w:rFonts w:hint="eastAsia"/>
                <w:color w:val="000000"/>
              </w:rPr>
              <w:t>d</w:t>
            </w:r>
            <w:r>
              <w:rPr>
                <w:color w:val="000000"/>
              </w:rPr>
              <w:t>B/km</w:t>
            </w:r>
          </w:p>
        </w:tc>
        <w:tc>
          <w:tcPr>
            <w:tcW w:w="1250" w:type="pct"/>
            <w:noWrap w:val="0"/>
            <w:vAlign w:val="center"/>
          </w:tcPr>
          <w:p w14:paraId="51CF80B3">
            <w:pPr>
              <w:rPr>
                <w:rFonts w:hint="eastAsia"/>
                <w:color w:val="000000"/>
              </w:rPr>
            </w:pPr>
            <w:r>
              <w:rPr>
                <w:rFonts w:ascii="Calibri" w:hAnsi="Calibri" w:cs="Calibri"/>
                <w:color w:val="000000"/>
              </w:rPr>
              <w:t>≤0.40</w:t>
            </w:r>
          </w:p>
        </w:tc>
      </w:tr>
      <w:tr w14:paraId="3DEC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noWrap w:val="0"/>
            <w:vAlign w:val="center"/>
          </w:tcPr>
          <w:p w14:paraId="0E4E4113">
            <w:pPr>
              <w:rPr>
                <w:rFonts w:hint="eastAsia"/>
                <w:color w:val="000000"/>
              </w:rPr>
            </w:pPr>
          </w:p>
        </w:tc>
        <w:tc>
          <w:tcPr>
            <w:tcW w:w="1051" w:type="pct"/>
            <w:vMerge w:val="continue"/>
            <w:noWrap w:val="0"/>
            <w:vAlign w:val="center"/>
          </w:tcPr>
          <w:p w14:paraId="21D91AE1">
            <w:pPr>
              <w:rPr>
                <w:rFonts w:hint="eastAsia"/>
                <w:color w:val="000000"/>
              </w:rPr>
            </w:pPr>
          </w:p>
        </w:tc>
        <w:tc>
          <w:tcPr>
            <w:tcW w:w="1052" w:type="pct"/>
            <w:noWrap w:val="0"/>
            <w:vAlign w:val="center"/>
          </w:tcPr>
          <w:p w14:paraId="6D67DBA2">
            <w:pPr>
              <w:rPr>
                <w:rFonts w:hint="eastAsia"/>
                <w:color w:val="000000"/>
              </w:rPr>
            </w:pPr>
            <w:r>
              <w:rPr>
                <w:rFonts w:hint="eastAsia"/>
                <w:color w:val="000000"/>
              </w:rPr>
              <w:t>1</w:t>
            </w:r>
            <w:r>
              <w:rPr>
                <w:color w:val="000000"/>
              </w:rPr>
              <w:t>550nm</w:t>
            </w:r>
          </w:p>
        </w:tc>
        <w:tc>
          <w:tcPr>
            <w:tcW w:w="1250" w:type="pct"/>
            <w:vMerge w:val="continue"/>
            <w:noWrap w:val="0"/>
            <w:vAlign w:val="center"/>
          </w:tcPr>
          <w:p w14:paraId="0C0B5551">
            <w:pPr>
              <w:rPr>
                <w:rFonts w:hint="eastAsia"/>
                <w:color w:val="000000"/>
              </w:rPr>
            </w:pPr>
          </w:p>
        </w:tc>
        <w:tc>
          <w:tcPr>
            <w:tcW w:w="1250" w:type="pct"/>
            <w:noWrap w:val="0"/>
            <w:vAlign w:val="center"/>
          </w:tcPr>
          <w:p w14:paraId="7856F1D6">
            <w:pPr>
              <w:rPr>
                <w:rFonts w:hint="eastAsia"/>
                <w:color w:val="000000"/>
              </w:rPr>
            </w:pPr>
            <w:r>
              <w:rPr>
                <w:rFonts w:ascii="Calibri" w:hAnsi="Calibri" w:cs="Calibri"/>
                <w:color w:val="000000"/>
              </w:rPr>
              <w:t>≤0.35</w:t>
            </w:r>
          </w:p>
        </w:tc>
      </w:tr>
      <w:tr w14:paraId="296B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1C39F85E">
            <w:pPr>
              <w:rPr>
                <w:rFonts w:hint="eastAsia"/>
                <w:color w:val="000000"/>
              </w:rPr>
            </w:pPr>
            <w:r>
              <w:rPr>
                <w:rFonts w:hint="eastAsia"/>
                <w:color w:val="000000"/>
              </w:rPr>
              <w:t>7</w:t>
            </w:r>
          </w:p>
        </w:tc>
        <w:tc>
          <w:tcPr>
            <w:tcW w:w="2103" w:type="pct"/>
            <w:gridSpan w:val="2"/>
            <w:noWrap w:val="0"/>
            <w:vAlign w:val="center"/>
          </w:tcPr>
          <w:p w14:paraId="6F50C307">
            <w:pPr>
              <w:rPr>
                <w:rFonts w:hint="eastAsia"/>
                <w:color w:val="000000"/>
              </w:rPr>
            </w:pPr>
            <w:r>
              <w:rPr>
                <w:rFonts w:hint="eastAsia"/>
                <w:color w:val="000000"/>
              </w:rPr>
              <w:t>零色散波长范围</w:t>
            </w:r>
          </w:p>
        </w:tc>
        <w:tc>
          <w:tcPr>
            <w:tcW w:w="1250" w:type="pct"/>
            <w:noWrap w:val="0"/>
            <w:vAlign w:val="center"/>
          </w:tcPr>
          <w:p w14:paraId="22FD9BB7">
            <w:pPr>
              <w:rPr>
                <w:rFonts w:hint="eastAsia"/>
                <w:color w:val="000000"/>
              </w:rPr>
            </w:pPr>
            <w:r>
              <w:rPr>
                <w:rFonts w:hint="eastAsia"/>
                <w:color w:val="000000"/>
              </w:rPr>
              <w:t>n</w:t>
            </w:r>
            <w:r>
              <w:rPr>
                <w:color w:val="000000"/>
              </w:rPr>
              <w:t>m</w:t>
            </w:r>
          </w:p>
        </w:tc>
        <w:tc>
          <w:tcPr>
            <w:tcW w:w="1250" w:type="pct"/>
            <w:noWrap w:val="0"/>
            <w:vAlign w:val="center"/>
          </w:tcPr>
          <w:p w14:paraId="15287711">
            <w:pPr>
              <w:rPr>
                <w:rFonts w:hint="eastAsia"/>
                <w:color w:val="000000"/>
              </w:rPr>
            </w:pPr>
            <w:r>
              <w:rPr>
                <w:rFonts w:hint="eastAsia"/>
                <w:color w:val="000000"/>
              </w:rPr>
              <w:t>1</w:t>
            </w:r>
            <w:r>
              <w:rPr>
                <w:color w:val="000000"/>
              </w:rPr>
              <w:t>300~1324</w:t>
            </w:r>
          </w:p>
        </w:tc>
      </w:tr>
      <w:tr w14:paraId="78E1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1EF65100">
            <w:pPr>
              <w:rPr>
                <w:rFonts w:hint="eastAsia"/>
                <w:color w:val="000000"/>
              </w:rPr>
            </w:pPr>
            <w:r>
              <w:rPr>
                <w:rFonts w:hint="eastAsia"/>
                <w:color w:val="000000"/>
              </w:rPr>
              <w:t>8</w:t>
            </w:r>
          </w:p>
        </w:tc>
        <w:tc>
          <w:tcPr>
            <w:tcW w:w="2103" w:type="pct"/>
            <w:gridSpan w:val="2"/>
            <w:noWrap w:val="0"/>
            <w:vAlign w:val="center"/>
          </w:tcPr>
          <w:p w14:paraId="4BC17FA0">
            <w:pPr>
              <w:rPr>
                <w:rFonts w:hint="eastAsia"/>
                <w:color w:val="000000"/>
              </w:rPr>
            </w:pPr>
            <w:r>
              <w:rPr>
                <w:rFonts w:hint="eastAsia"/>
                <w:color w:val="000000"/>
              </w:rPr>
              <w:t>最大零色散点斜率</w:t>
            </w:r>
          </w:p>
        </w:tc>
        <w:tc>
          <w:tcPr>
            <w:tcW w:w="1250" w:type="pct"/>
            <w:noWrap w:val="0"/>
            <w:vAlign w:val="center"/>
          </w:tcPr>
          <w:p w14:paraId="5A4D354F">
            <w:pPr>
              <w:rPr>
                <w:rFonts w:hint="eastAsia"/>
                <w:color w:val="000000"/>
              </w:rPr>
            </w:pPr>
            <w:r>
              <w:rPr>
                <w:rFonts w:hint="eastAsia"/>
                <w:color w:val="000000"/>
              </w:rPr>
              <w:t>P</w:t>
            </w:r>
            <w:r>
              <w:rPr>
                <w:color w:val="000000"/>
                <w:vertAlign w:val="subscript"/>
              </w:rPr>
              <w:t>s</w:t>
            </w:r>
            <w:r>
              <w:rPr>
                <w:color w:val="000000"/>
              </w:rPr>
              <w:t>/(nm</w:t>
            </w:r>
            <w:r>
              <w:rPr>
                <w:color w:val="000000"/>
                <w:vertAlign w:val="superscript"/>
              </w:rPr>
              <w:t>2</w:t>
            </w:r>
            <w:r>
              <w:rPr>
                <w:rFonts w:ascii="Calibri" w:hAnsi="Calibri" w:cs="Calibri"/>
                <w:color w:val="000000"/>
              </w:rPr>
              <w:t>×</w:t>
            </w:r>
            <w:r>
              <w:rPr>
                <w:color w:val="000000"/>
              </w:rPr>
              <w:t>km)</w:t>
            </w:r>
          </w:p>
        </w:tc>
        <w:tc>
          <w:tcPr>
            <w:tcW w:w="1250" w:type="pct"/>
            <w:noWrap w:val="0"/>
            <w:vAlign w:val="center"/>
          </w:tcPr>
          <w:p w14:paraId="2EA8780C">
            <w:pPr>
              <w:rPr>
                <w:rFonts w:hint="eastAsia"/>
                <w:color w:val="000000"/>
              </w:rPr>
            </w:pPr>
            <w:r>
              <w:rPr>
                <w:rFonts w:ascii="Calibri" w:hAnsi="Calibri" w:cs="Calibri"/>
                <w:color w:val="000000"/>
              </w:rPr>
              <w:t>≤0.092</w:t>
            </w:r>
          </w:p>
        </w:tc>
      </w:tr>
      <w:tr w14:paraId="49A8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7BF74E9C">
            <w:pPr>
              <w:rPr>
                <w:rFonts w:hint="eastAsia"/>
                <w:color w:val="000000"/>
              </w:rPr>
            </w:pPr>
            <w:r>
              <w:rPr>
                <w:rFonts w:hint="eastAsia"/>
                <w:color w:val="000000"/>
              </w:rPr>
              <w:t>9</w:t>
            </w:r>
          </w:p>
        </w:tc>
        <w:tc>
          <w:tcPr>
            <w:tcW w:w="2103" w:type="pct"/>
            <w:gridSpan w:val="2"/>
            <w:noWrap w:val="0"/>
            <w:vAlign w:val="center"/>
          </w:tcPr>
          <w:p w14:paraId="056F9698">
            <w:pPr>
              <w:rPr>
                <w:rFonts w:hint="eastAsia"/>
                <w:color w:val="000000"/>
              </w:rPr>
            </w:pPr>
            <w:r>
              <w:rPr>
                <w:rFonts w:hint="eastAsia"/>
                <w:color w:val="000000"/>
              </w:rPr>
              <w:t>表面应力</w:t>
            </w:r>
          </w:p>
        </w:tc>
        <w:tc>
          <w:tcPr>
            <w:tcW w:w="1250" w:type="pct"/>
            <w:noWrap w:val="0"/>
            <w:vAlign w:val="center"/>
          </w:tcPr>
          <w:p w14:paraId="35A39EBC">
            <w:pPr>
              <w:rPr>
                <w:rFonts w:hint="eastAsia"/>
                <w:color w:val="000000"/>
              </w:rPr>
            </w:pPr>
            <w:r>
              <w:rPr>
                <w:rFonts w:hint="eastAsia"/>
                <w:color w:val="000000"/>
              </w:rPr>
              <w:t>G</w:t>
            </w:r>
            <w:r>
              <w:rPr>
                <w:color w:val="000000"/>
              </w:rPr>
              <w:t>P</w:t>
            </w:r>
            <w:r>
              <w:rPr>
                <w:color w:val="000000"/>
                <w:vertAlign w:val="subscript"/>
              </w:rPr>
              <w:t>a</w:t>
            </w:r>
          </w:p>
        </w:tc>
        <w:tc>
          <w:tcPr>
            <w:tcW w:w="1250" w:type="pct"/>
            <w:noWrap w:val="0"/>
            <w:vAlign w:val="center"/>
          </w:tcPr>
          <w:p w14:paraId="07A68AF9">
            <w:pPr>
              <w:rPr>
                <w:rFonts w:hint="eastAsia"/>
                <w:color w:val="000000"/>
              </w:rPr>
            </w:pPr>
            <w:r>
              <w:rPr>
                <w:rFonts w:ascii="Calibri" w:hAnsi="Calibri" w:cs="Calibri"/>
                <w:color w:val="000000"/>
              </w:rPr>
              <w:t>≥0.69</w:t>
            </w:r>
          </w:p>
        </w:tc>
      </w:tr>
      <w:tr w14:paraId="2190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restart"/>
            <w:noWrap w:val="0"/>
            <w:vAlign w:val="center"/>
          </w:tcPr>
          <w:p w14:paraId="3AA376E9">
            <w:pPr>
              <w:rPr>
                <w:rFonts w:hint="eastAsia"/>
                <w:color w:val="000000"/>
              </w:rPr>
            </w:pPr>
            <w:r>
              <w:rPr>
                <w:rFonts w:hint="eastAsia"/>
                <w:color w:val="000000"/>
              </w:rPr>
              <w:t>1</w:t>
            </w:r>
            <w:r>
              <w:rPr>
                <w:color w:val="000000"/>
              </w:rPr>
              <w:t>0</w:t>
            </w:r>
          </w:p>
        </w:tc>
        <w:tc>
          <w:tcPr>
            <w:tcW w:w="1051" w:type="pct"/>
            <w:vMerge w:val="restart"/>
            <w:noWrap w:val="0"/>
            <w:vAlign w:val="center"/>
          </w:tcPr>
          <w:p w14:paraId="2CFE7755">
            <w:pPr>
              <w:rPr>
                <w:rFonts w:hint="eastAsia"/>
                <w:color w:val="000000"/>
              </w:rPr>
            </w:pPr>
            <w:r>
              <w:rPr>
                <w:rFonts w:hint="eastAsia"/>
                <w:color w:val="000000"/>
              </w:rPr>
              <w:t>宏弯损耗</w:t>
            </w:r>
          </w:p>
        </w:tc>
        <w:tc>
          <w:tcPr>
            <w:tcW w:w="1052" w:type="pct"/>
            <w:noWrap w:val="0"/>
            <w:vAlign w:val="center"/>
          </w:tcPr>
          <w:p w14:paraId="57DD550A">
            <w:pPr>
              <w:rPr>
                <w:rFonts w:hint="eastAsia"/>
                <w:color w:val="000000"/>
              </w:rPr>
            </w:pPr>
            <w:r>
              <w:rPr>
                <w:rFonts w:hint="eastAsia"/>
                <w:color w:val="000000"/>
              </w:rPr>
              <w:t>半径</w:t>
            </w:r>
          </w:p>
        </w:tc>
        <w:tc>
          <w:tcPr>
            <w:tcW w:w="1250" w:type="pct"/>
            <w:noWrap w:val="0"/>
            <w:vAlign w:val="center"/>
          </w:tcPr>
          <w:p w14:paraId="55C41C37">
            <w:pPr>
              <w:rPr>
                <w:rFonts w:hint="eastAsia"/>
                <w:color w:val="000000"/>
              </w:rPr>
            </w:pPr>
            <w:r>
              <w:rPr>
                <w:color w:val="000000"/>
              </w:rPr>
              <w:t>mm</w:t>
            </w:r>
          </w:p>
        </w:tc>
        <w:tc>
          <w:tcPr>
            <w:tcW w:w="1250" w:type="pct"/>
            <w:noWrap w:val="0"/>
            <w:vAlign w:val="center"/>
          </w:tcPr>
          <w:p w14:paraId="2C0863EE">
            <w:pPr>
              <w:rPr>
                <w:rFonts w:ascii="Calibri" w:hAnsi="Calibri" w:cs="Calibri"/>
                <w:color w:val="000000"/>
              </w:rPr>
            </w:pPr>
            <w:r>
              <w:rPr>
                <w:rFonts w:hint="eastAsia" w:ascii="Calibri" w:hAnsi="Calibri" w:cs="Calibri"/>
                <w:color w:val="000000"/>
              </w:rPr>
              <w:t>3</w:t>
            </w:r>
            <w:r>
              <w:rPr>
                <w:rFonts w:ascii="Calibri" w:hAnsi="Calibri" w:cs="Calibri"/>
                <w:color w:val="000000"/>
              </w:rPr>
              <w:t>0</w:t>
            </w:r>
          </w:p>
        </w:tc>
      </w:tr>
      <w:tr w14:paraId="0B88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noWrap w:val="0"/>
            <w:vAlign w:val="center"/>
          </w:tcPr>
          <w:p w14:paraId="32FE01DE">
            <w:pPr>
              <w:rPr>
                <w:rFonts w:hint="eastAsia"/>
                <w:color w:val="000000"/>
              </w:rPr>
            </w:pPr>
          </w:p>
        </w:tc>
        <w:tc>
          <w:tcPr>
            <w:tcW w:w="1051" w:type="pct"/>
            <w:vMerge w:val="continue"/>
            <w:noWrap w:val="0"/>
            <w:vAlign w:val="center"/>
          </w:tcPr>
          <w:p w14:paraId="09D54107">
            <w:pPr>
              <w:rPr>
                <w:rFonts w:hint="eastAsia"/>
                <w:color w:val="000000"/>
              </w:rPr>
            </w:pPr>
          </w:p>
        </w:tc>
        <w:tc>
          <w:tcPr>
            <w:tcW w:w="1052" w:type="pct"/>
            <w:noWrap w:val="0"/>
            <w:vAlign w:val="center"/>
          </w:tcPr>
          <w:p w14:paraId="5F9A98A4">
            <w:pPr>
              <w:rPr>
                <w:rFonts w:hint="eastAsia"/>
                <w:color w:val="000000"/>
              </w:rPr>
            </w:pPr>
            <w:r>
              <w:rPr>
                <w:rFonts w:hint="eastAsia"/>
                <w:color w:val="000000"/>
              </w:rPr>
              <w:t>圈数</w:t>
            </w:r>
          </w:p>
        </w:tc>
        <w:tc>
          <w:tcPr>
            <w:tcW w:w="1250" w:type="pct"/>
            <w:noWrap w:val="0"/>
            <w:vAlign w:val="center"/>
          </w:tcPr>
          <w:p w14:paraId="117616CC">
            <w:pPr>
              <w:rPr>
                <w:rFonts w:hint="eastAsia"/>
                <w:color w:val="000000"/>
              </w:rPr>
            </w:pPr>
            <w:r>
              <w:rPr>
                <w:rFonts w:hint="eastAsia"/>
                <w:color w:val="000000"/>
              </w:rPr>
              <w:t>圈</w:t>
            </w:r>
          </w:p>
        </w:tc>
        <w:tc>
          <w:tcPr>
            <w:tcW w:w="1250" w:type="pct"/>
            <w:noWrap w:val="0"/>
            <w:vAlign w:val="center"/>
          </w:tcPr>
          <w:p w14:paraId="3C78B11B">
            <w:pPr>
              <w:rPr>
                <w:rFonts w:ascii="Calibri" w:hAnsi="Calibri" w:cs="Calibri"/>
                <w:color w:val="000000"/>
              </w:rPr>
            </w:pPr>
            <w:r>
              <w:rPr>
                <w:rFonts w:hint="eastAsia" w:ascii="Calibri" w:hAnsi="Calibri" w:cs="Calibri"/>
                <w:color w:val="000000"/>
              </w:rPr>
              <w:t>1</w:t>
            </w:r>
            <w:r>
              <w:rPr>
                <w:rFonts w:ascii="Calibri" w:hAnsi="Calibri" w:cs="Calibri"/>
                <w:color w:val="000000"/>
              </w:rPr>
              <w:t>00</w:t>
            </w:r>
          </w:p>
        </w:tc>
      </w:tr>
      <w:tr w14:paraId="2689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72D45C1E">
            <w:pPr>
              <w:rPr>
                <w:rFonts w:hint="eastAsia"/>
                <w:color w:val="000000"/>
              </w:rPr>
            </w:pPr>
            <w:r>
              <w:rPr>
                <w:rFonts w:hint="eastAsia"/>
                <w:color w:val="000000"/>
              </w:rPr>
              <w:t>1</w:t>
            </w:r>
            <w:r>
              <w:rPr>
                <w:color w:val="000000"/>
              </w:rPr>
              <w:t>1</w:t>
            </w:r>
          </w:p>
        </w:tc>
        <w:tc>
          <w:tcPr>
            <w:tcW w:w="1051" w:type="pct"/>
            <w:noWrap w:val="0"/>
            <w:vAlign w:val="center"/>
          </w:tcPr>
          <w:p w14:paraId="09CD4429">
            <w:pPr>
              <w:rPr>
                <w:rFonts w:hint="eastAsia"/>
                <w:color w:val="000000"/>
              </w:rPr>
            </w:pPr>
            <w:r>
              <w:rPr>
                <w:rFonts w:hint="eastAsia"/>
                <w:color w:val="000000"/>
              </w:rPr>
              <w:t>宏弯损耗</w:t>
            </w:r>
          </w:p>
        </w:tc>
        <w:tc>
          <w:tcPr>
            <w:tcW w:w="1052" w:type="pct"/>
            <w:noWrap w:val="0"/>
            <w:vAlign w:val="center"/>
          </w:tcPr>
          <w:p w14:paraId="4BA88B48">
            <w:pPr>
              <w:rPr>
                <w:rFonts w:hint="eastAsia"/>
                <w:color w:val="000000"/>
              </w:rPr>
            </w:pPr>
            <w:r>
              <w:rPr>
                <w:rFonts w:hint="eastAsia"/>
                <w:color w:val="000000"/>
              </w:rPr>
              <w:t>1</w:t>
            </w:r>
            <w:r>
              <w:rPr>
                <w:color w:val="000000"/>
              </w:rPr>
              <w:t>550nm</w:t>
            </w:r>
          </w:p>
        </w:tc>
        <w:tc>
          <w:tcPr>
            <w:tcW w:w="1250" w:type="pct"/>
            <w:noWrap w:val="0"/>
            <w:vAlign w:val="center"/>
          </w:tcPr>
          <w:p w14:paraId="780BF46A">
            <w:pPr>
              <w:rPr>
                <w:rFonts w:hint="eastAsia"/>
                <w:color w:val="000000"/>
              </w:rPr>
            </w:pPr>
            <w:r>
              <w:rPr>
                <w:rFonts w:hint="eastAsia"/>
                <w:color w:val="000000"/>
              </w:rPr>
              <w:t>d</w:t>
            </w:r>
            <w:r>
              <w:rPr>
                <w:color w:val="000000"/>
              </w:rPr>
              <w:t>B</w:t>
            </w:r>
          </w:p>
        </w:tc>
        <w:tc>
          <w:tcPr>
            <w:tcW w:w="1250" w:type="pct"/>
            <w:noWrap w:val="0"/>
            <w:vAlign w:val="center"/>
          </w:tcPr>
          <w:p w14:paraId="593378C6">
            <w:pPr>
              <w:rPr>
                <w:rFonts w:ascii="Calibri" w:hAnsi="Calibri" w:cs="Calibri"/>
                <w:color w:val="000000"/>
              </w:rPr>
            </w:pPr>
            <w:r>
              <w:rPr>
                <w:rFonts w:ascii="Calibri" w:hAnsi="Calibri" w:cs="Calibri"/>
                <w:color w:val="000000"/>
              </w:rPr>
              <w:t>≤</w:t>
            </w:r>
            <w:r>
              <w:rPr>
                <w:rFonts w:hint="eastAsia" w:ascii="Calibri" w:hAnsi="Calibri" w:cs="Calibri"/>
                <w:color w:val="000000"/>
              </w:rPr>
              <w:t>0</w:t>
            </w:r>
            <w:r>
              <w:rPr>
                <w:rFonts w:ascii="Calibri" w:hAnsi="Calibri" w:cs="Calibri"/>
                <w:color w:val="000000"/>
              </w:rPr>
              <w:t>.1</w:t>
            </w:r>
          </w:p>
        </w:tc>
      </w:tr>
      <w:tr w14:paraId="7DE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53023F0A">
            <w:pPr>
              <w:rPr>
                <w:rFonts w:hint="eastAsia"/>
                <w:color w:val="000000"/>
              </w:rPr>
            </w:pPr>
            <w:r>
              <w:rPr>
                <w:rFonts w:hint="eastAsia"/>
                <w:color w:val="000000"/>
              </w:rPr>
              <w:t>1</w:t>
            </w:r>
            <w:r>
              <w:rPr>
                <w:color w:val="000000"/>
              </w:rPr>
              <w:t>2</w:t>
            </w:r>
          </w:p>
        </w:tc>
        <w:tc>
          <w:tcPr>
            <w:tcW w:w="1051" w:type="pct"/>
            <w:noWrap w:val="0"/>
            <w:vAlign w:val="center"/>
          </w:tcPr>
          <w:p w14:paraId="51AB8996">
            <w:pPr>
              <w:rPr>
                <w:rFonts w:hint="eastAsia"/>
                <w:color w:val="000000"/>
              </w:rPr>
            </w:pPr>
            <w:r>
              <w:rPr>
                <w:rFonts w:hint="eastAsia"/>
                <w:color w:val="000000"/>
              </w:rPr>
              <w:t>每公里光衰</w:t>
            </w:r>
          </w:p>
        </w:tc>
        <w:tc>
          <w:tcPr>
            <w:tcW w:w="1052" w:type="pct"/>
            <w:noWrap w:val="0"/>
            <w:vAlign w:val="center"/>
          </w:tcPr>
          <w:p w14:paraId="5B7307A4">
            <w:pPr>
              <w:rPr>
                <w:rFonts w:hint="eastAsia"/>
                <w:color w:val="000000"/>
              </w:rPr>
            </w:pPr>
          </w:p>
        </w:tc>
        <w:tc>
          <w:tcPr>
            <w:tcW w:w="1250" w:type="pct"/>
            <w:noWrap w:val="0"/>
            <w:vAlign w:val="center"/>
          </w:tcPr>
          <w:p w14:paraId="2C6549AF">
            <w:pPr>
              <w:rPr>
                <w:rFonts w:hint="eastAsia"/>
                <w:color w:val="000000"/>
              </w:rPr>
            </w:pPr>
            <w:r>
              <w:rPr>
                <w:rFonts w:ascii="Calibri" w:hAnsi="Calibri" w:cs="Calibri"/>
                <w:color w:val="000000"/>
              </w:rPr>
              <w:t>dB</w:t>
            </w:r>
          </w:p>
        </w:tc>
        <w:tc>
          <w:tcPr>
            <w:tcW w:w="1250" w:type="pct"/>
            <w:noWrap w:val="0"/>
            <w:vAlign w:val="center"/>
          </w:tcPr>
          <w:p w14:paraId="361321C6">
            <w:pPr>
              <w:rPr>
                <w:rFonts w:ascii="Calibri" w:hAnsi="Calibri" w:cs="Calibri"/>
                <w:color w:val="000000"/>
              </w:rPr>
            </w:pPr>
            <w:r>
              <w:rPr>
                <w:rFonts w:ascii="Calibri" w:hAnsi="Calibri" w:cs="Calibri"/>
                <w:color w:val="000000"/>
              </w:rPr>
              <w:t>≤</w:t>
            </w:r>
            <w:r>
              <w:rPr>
                <w:rFonts w:hint="eastAsia" w:ascii="Calibri" w:hAnsi="Calibri" w:cs="Calibri"/>
                <w:color w:val="000000"/>
              </w:rPr>
              <w:t>0</w:t>
            </w:r>
            <w:r>
              <w:rPr>
                <w:rFonts w:ascii="Calibri" w:hAnsi="Calibri" w:cs="Calibri"/>
                <w:color w:val="000000"/>
              </w:rPr>
              <w:t>.3</w:t>
            </w:r>
          </w:p>
        </w:tc>
      </w:tr>
    </w:tbl>
    <w:p w14:paraId="6FA5C2DD">
      <w:pPr>
        <w:numPr>
          <w:ilvl w:val="0"/>
          <w:numId w:val="2"/>
        </w:numPr>
        <w:spacing w:line="23" w:lineRule="atLeast"/>
        <w:rPr>
          <w:rFonts w:hint="eastAsia" w:ascii="宋体" w:hAnsi="宋体" w:cs="宋体"/>
          <w:b/>
          <w:bCs/>
          <w:color w:val="000000"/>
          <w:sz w:val="28"/>
          <w:szCs w:val="28"/>
        </w:rPr>
      </w:pPr>
      <w:r>
        <w:rPr>
          <w:rFonts w:hint="eastAsia" w:ascii="宋体" w:hAnsi="宋体" w:cs="宋体"/>
          <w:b/>
          <w:bCs/>
          <w:color w:val="000000"/>
          <w:sz w:val="28"/>
          <w:szCs w:val="28"/>
        </w:rPr>
        <w:t>提供链路的对接、故障维保等服务；</w:t>
      </w:r>
    </w:p>
    <w:p w14:paraId="60BC7595">
      <w:pPr>
        <w:numPr>
          <w:ilvl w:val="0"/>
          <w:numId w:val="2"/>
        </w:numPr>
        <w:spacing w:line="23" w:lineRule="atLeast"/>
        <w:rPr>
          <w:rFonts w:hint="eastAsia" w:ascii="宋体" w:hAnsi="宋体" w:cs="宋体"/>
          <w:b/>
          <w:bCs/>
          <w:color w:val="000000"/>
          <w:sz w:val="28"/>
          <w:szCs w:val="28"/>
        </w:rPr>
      </w:pPr>
      <w:r>
        <w:rPr>
          <w:rFonts w:hint="eastAsia" w:ascii="宋体" w:hAnsi="宋体" w:cs="宋体"/>
          <w:b/>
          <w:bCs/>
          <w:color w:val="000000"/>
          <w:sz w:val="28"/>
          <w:szCs w:val="28"/>
        </w:rPr>
        <w:t>提供</w:t>
      </w:r>
      <w:r>
        <w:rPr>
          <w:rFonts w:ascii="宋体" w:hAnsi="宋体" w:cs="宋体"/>
          <w:b/>
          <w:bCs/>
          <w:color w:val="000000"/>
          <w:sz w:val="28"/>
          <w:szCs w:val="28"/>
        </w:rPr>
        <w:t>4</w:t>
      </w:r>
      <w:r>
        <w:rPr>
          <w:rFonts w:hint="eastAsia" w:ascii="宋体" w:hAnsi="宋体" w:cs="宋体"/>
          <w:b/>
          <w:bCs/>
          <w:color w:val="000000"/>
          <w:sz w:val="28"/>
          <w:szCs w:val="28"/>
          <w:lang w:val="en-US" w:eastAsia="zh-CN"/>
        </w:rPr>
        <w:t>8</w:t>
      </w:r>
      <w:r>
        <w:rPr>
          <w:rFonts w:hint="eastAsia" w:ascii="宋体" w:hAnsi="宋体" w:cs="宋体"/>
          <w:b/>
          <w:bCs/>
          <w:color w:val="000000"/>
          <w:sz w:val="28"/>
          <w:szCs w:val="28"/>
        </w:rPr>
        <w:t>条裸纤链路的安全接入监测服务</w:t>
      </w:r>
    </w:p>
    <w:tbl>
      <w:tblPr>
        <w:tblStyle w:val="7"/>
        <w:tblW w:w="925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8235"/>
      </w:tblGrid>
      <w:tr w14:paraId="330E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91D3208">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类别</w:t>
            </w:r>
          </w:p>
        </w:tc>
        <w:tc>
          <w:tcPr>
            <w:tcW w:w="823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7A4802A">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描述</w:t>
            </w:r>
          </w:p>
        </w:tc>
      </w:tr>
      <w:tr w14:paraId="727A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7CA1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产品形</w:t>
            </w:r>
            <w:r>
              <w:rPr>
                <w:rFonts w:hint="eastAsia" w:ascii="仿宋" w:hAnsi="仿宋" w:eastAsia="仿宋" w:cs="仿宋"/>
                <w:color w:val="000000"/>
                <w:sz w:val="21"/>
                <w:szCs w:val="21"/>
                <w:u w:val="none"/>
                <w:lang w:val="en-US" w:eastAsia="zh-CN" w:bidi="ar"/>
              </w:rPr>
              <w:t xml:space="preserve"> 态</w:t>
            </w: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61AC25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1.纯</w:t>
            </w:r>
            <w:r>
              <w:rPr>
                <w:rFonts w:hint="eastAsia" w:ascii="仿宋" w:hAnsi="仿宋" w:eastAsia="仿宋" w:cs="仿宋"/>
                <w:color w:val="000000"/>
                <w:sz w:val="21"/>
                <w:szCs w:val="21"/>
                <w:u w:val="none"/>
                <w:lang w:val="en-US" w:eastAsia="zh-CN" w:bidi="ar"/>
              </w:rPr>
              <w:t xml:space="preserve"> SaaS 接入软件，本地无需部署硬件设备。</w:t>
            </w:r>
          </w:p>
        </w:tc>
      </w:tr>
      <w:tr w14:paraId="1029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0767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稳定性</w:t>
            </w: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25895D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2.全年服务可用时间占比≥99.99%</w:t>
            </w:r>
          </w:p>
        </w:tc>
      </w:tr>
      <w:tr w14:paraId="2199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595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高级威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胁防护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和调查</w:t>
            </w: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188F24E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3.内置高质量的威胁情报</w:t>
            </w:r>
            <w:r>
              <w:rPr>
                <w:rFonts w:hint="eastAsia" w:ascii="仿宋" w:hAnsi="仿宋" w:eastAsia="仿宋" w:cs="仿宋"/>
                <w:color w:val="000000"/>
                <w:sz w:val="21"/>
                <w:szCs w:val="21"/>
                <w:u w:val="none"/>
                <w:lang w:val="en-US" w:eastAsia="zh-CN" w:bidi="ar"/>
              </w:rPr>
              <w:t xml:space="preserve"> IOC，可分钟级数据同步，有效阻断内部受控或恶意终端通过 DNS 访问非法站点，阻断威胁对外连接建立，提升递归访问的安全性；</w:t>
            </w:r>
          </w:p>
        </w:tc>
      </w:tr>
      <w:tr w14:paraId="1E05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7FD37">
            <w:pPr>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024B1D6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4.支持对全网发现的所有威胁事件统计，威胁事件分类</w:t>
            </w:r>
            <w:r>
              <w:rPr>
                <w:rFonts w:hint="eastAsia" w:ascii="仿宋" w:hAnsi="仿宋" w:eastAsia="仿宋" w:cs="仿宋"/>
                <w:color w:val="000000"/>
                <w:sz w:val="21"/>
                <w:szCs w:val="21"/>
                <w:u w:val="none"/>
                <w:lang w:val="en-US" w:eastAsia="zh-CN" w:bidi="ar"/>
              </w:rPr>
              <w:t>包括但不限于： 传统的僵尸网络病毒、后门木马、蠕虫病毒、检测 DDoS 木马、钓鱼网站，利用高危漏洞样本的攻击、勒索软件、无文件攻击、高级 APT 攻击等；威胁事件统计包括不限于最近发现时间，最早发现时间，事件名称，包含域名，严重级别，关联组织等。</w:t>
            </w:r>
          </w:p>
        </w:tc>
      </w:tr>
      <w:tr w14:paraId="0C10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22586">
            <w:pPr>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4F1133A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5.提供丰富的数据报表，可展示企业内各出口的访问域名统计以及拦截</w:t>
            </w:r>
            <w:r>
              <w:rPr>
                <w:rFonts w:hint="eastAsia" w:ascii="仿宋" w:hAnsi="仿宋" w:eastAsia="仿宋" w:cs="仿宋"/>
                <w:color w:val="000000"/>
                <w:sz w:val="21"/>
                <w:szCs w:val="21"/>
                <w:u w:val="none"/>
                <w:lang w:val="en-US" w:eastAsia="zh-CN" w:bidi="ar"/>
              </w:rPr>
              <w:t xml:space="preserve"> 域名信息，按照处置动作、DNS 查询类型、拦截原因、访问域名分类、 出口 ip 等进行筛选。</w:t>
            </w:r>
          </w:p>
        </w:tc>
      </w:tr>
      <w:tr w14:paraId="3755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04437">
            <w:pPr>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4E381C1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6.▲可提供本地虚拟化探针，可对内部失陷主机进行定位。虚拟化探针</w:t>
            </w:r>
            <w:r>
              <w:rPr>
                <w:rFonts w:hint="eastAsia" w:ascii="仿宋" w:hAnsi="仿宋" w:eastAsia="仿宋" w:cs="仿宋"/>
                <w:color w:val="000000"/>
                <w:sz w:val="21"/>
                <w:szCs w:val="21"/>
                <w:u w:val="none"/>
                <w:lang w:val="en-US" w:eastAsia="zh-CN" w:bidi="ar"/>
              </w:rPr>
              <w:t xml:space="preserve"> 可支持接入内部 DNS 流量、DNS 日志或者安装在 DNS 服务器上三种方式。</w:t>
            </w:r>
            <w:r>
              <w:rPr>
                <w:rFonts w:hint="eastAsia" w:ascii="仿宋" w:hAnsi="仿宋" w:eastAsia="仿宋" w:cs="仿宋"/>
                <w:b/>
                <w:bCs/>
                <w:color w:val="000000"/>
                <w:sz w:val="21"/>
                <w:szCs w:val="21"/>
                <w:u w:val="single"/>
                <w:lang w:val="en-US" w:eastAsia="zh-CN" w:bidi="ar"/>
              </w:rPr>
              <w:t>（产品功能截图加盖公章）</w:t>
            </w:r>
          </w:p>
        </w:tc>
      </w:tr>
      <w:tr w14:paraId="7B5A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5844E">
            <w:pPr>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7284C83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7.▲可提供</w:t>
            </w:r>
            <w:r>
              <w:rPr>
                <w:rFonts w:hint="eastAsia" w:ascii="仿宋" w:hAnsi="仿宋" w:eastAsia="仿宋" w:cs="仿宋"/>
                <w:color w:val="000000"/>
                <w:sz w:val="21"/>
                <w:szCs w:val="21"/>
                <w:u w:val="none"/>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 xml:space="preserve">Agent </w:t>
            </w:r>
            <w:r>
              <w:rPr>
                <w:rFonts w:hint="eastAsia" w:ascii="仿宋" w:hAnsi="仿宋" w:eastAsia="仿宋" w:cs="仿宋"/>
                <w:color w:val="000000"/>
                <w:sz w:val="21"/>
                <w:szCs w:val="21"/>
                <w:u w:val="none"/>
                <w:lang w:val="en-US" w:eastAsia="zh-CN" w:bidi="ar"/>
              </w:rPr>
              <w:t xml:space="preserve">工具为漫游终端提供实时威胁拦截的防护能力，并在云端控制台统计所有漫游终端的威胁防护情况；可配置 </w:t>
            </w:r>
            <w:r>
              <w:rPr>
                <w:rFonts w:hint="eastAsia" w:ascii="仿宋" w:hAnsi="仿宋" w:eastAsia="仿宋" w:cs="仿宋"/>
                <w:i w:val="0"/>
                <w:iCs w:val="0"/>
                <w:color w:val="000000"/>
                <w:kern w:val="0"/>
                <w:sz w:val="21"/>
                <w:szCs w:val="21"/>
                <w:u w:val="none"/>
                <w:lang w:val="en-US" w:eastAsia="zh-CN" w:bidi="ar"/>
              </w:rPr>
              <w:t xml:space="preserve">Agent </w:t>
            </w:r>
            <w:r>
              <w:rPr>
                <w:rFonts w:hint="eastAsia" w:ascii="仿宋" w:hAnsi="仿宋" w:eastAsia="仿宋" w:cs="仿宋"/>
                <w:color w:val="000000"/>
                <w:sz w:val="21"/>
                <w:szCs w:val="21"/>
                <w:u w:val="none"/>
                <w:lang w:val="en-US" w:eastAsia="zh-CN" w:bidi="ar"/>
              </w:rPr>
              <w:t xml:space="preserve">策略， 漫游终端设备回到企业内网后，默认使用内网 </w:t>
            </w:r>
            <w:r>
              <w:rPr>
                <w:rFonts w:hint="eastAsia" w:ascii="仿宋" w:hAnsi="仿宋" w:eastAsia="仿宋" w:cs="仿宋"/>
                <w:i w:val="0"/>
                <w:iCs w:val="0"/>
                <w:color w:val="000000"/>
                <w:kern w:val="0"/>
                <w:sz w:val="21"/>
                <w:szCs w:val="21"/>
                <w:u w:val="none"/>
                <w:lang w:val="en-US" w:eastAsia="zh-CN" w:bidi="ar"/>
              </w:rPr>
              <w:t xml:space="preserve">DNS </w:t>
            </w:r>
            <w:r>
              <w:rPr>
                <w:rFonts w:hint="eastAsia" w:ascii="仿宋" w:hAnsi="仿宋" w:eastAsia="仿宋" w:cs="仿宋"/>
                <w:color w:val="000000"/>
                <w:sz w:val="21"/>
                <w:szCs w:val="21"/>
                <w:u w:val="none"/>
                <w:lang w:val="en-US" w:eastAsia="zh-CN" w:bidi="ar"/>
              </w:rPr>
              <w:t>服务器。</w:t>
            </w:r>
            <w:r>
              <w:rPr>
                <w:rFonts w:hint="eastAsia" w:ascii="仿宋" w:hAnsi="仿宋" w:eastAsia="仿宋" w:cs="仿宋"/>
                <w:b/>
                <w:bCs/>
                <w:color w:val="000000"/>
                <w:sz w:val="21"/>
                <w:szCs w:val="21"/>
                <w:u w:val="single"/>
                <w:lang w:val="en-US" w:eastAsia="zh-CN" w:bidi="ar"/>
              </w:rPr>
              <w:t>（产品功能截图加盖公章）</w:t>
            </w:r>
          </w:p>
        </w:tc>
      </w:tr>
      <w:tr w14:paraId="4C2F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E767D">
            <w:pPr>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26EDBC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8.▲可通过终端 Agent</w:t>
            </w:r>
            <w:r>
              <w:rPr>
                <w:rFonts w:hint="eastAsia" w:ascii="仿宋" w:hAnsi="仿宋" w:eastAsia="仿宋" w:cs="仿宋"/>
                <w:color w:val="000000"/>
                <w:sz w:val="21"/>
                <w:szCs w:val="21"/>
                <w:u w:val="none"/>
                <w:lang w:val="en-US" w:eastAsia="zh-CN" w:bidi="ar"/>
              </w:rPr>
              <w:t>自动化定位到恶意的文件和进程，准确获取终端 上恶意进程的运行过程，用户可自主选择是否开启取证能力。</w:t>
            </w:r>
            <w:r>
              <w:rPr>
                <w:rFonts w:hint="eastAsia" w:ascii="仿宋" w:hAnsi="仿宋" w:eastAsia="仿宋" w:cs="仿宋"/>
                <w:b/>
                <w:bCs/>
                <w:color w:val="000000"/>
                <w:sz w:val="21"/>
                <w:szCs w:val="21"/>
                <w:u w:val="single"/>
                <w:lang w:val="en-US" w:eastAsia="zh-CN" w:bidi="ar"/>
              </w:rPr>
              <w:t>（产品功能截图加盖公章）</w:t>
            </w:r>
          </w:p>
        </w:tc>
      </w:tr>
      <w:tr w14:paraId="0435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9BCC6">
            <w:pPr>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5478F7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9.支持内网视角的失陷主机</w:t>
            </w:r>
            <w:r>
              <w:rPr>
                <w:rFonts w:hint="eastAsia" w:ascii="仿宋" w:hAnsi="仿宋" w:eastAsia="仿宋" w:cs="仿宋"/>
                <w:color w:val="000000"/>
                <w:sz w:val="21"/>
                <w:szCs w:val="21"/>
                <w:u w:val="none"/>
                <w:lang w:val="en-US" w:eastAsia="zh-CN" w:bidi="ar"/>
              </w:rPr>
              <w:t xml:space="preserve"> TOP 统计、以及失陷主机关联威胁事件展示</w:t>
            </w:r>
          </w:p>
        </w:tc>
      </w:tr>
      <w:tr w14:paraId="722B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45C81">
            <w:pPr>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2FF7E8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10.支持威胁历史信息统计追溯</w:t>
            </w:r>
          </w:p>
        </w:tc>
      </w:tr>
      <w:tr w14:paraId="7DEF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AB16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DNS</w:t>
            </w:r>
            <w:r>
              <w:rPr>
                <w:rFonts w:hint="eastAsia" w:ascii="仿宋" w:hAnsi="仿宋" w:eastAsia="仿宋" w:cs="仿宋"/>
                <w:color w:val="000000"/>
                <w:sz w:val="21"/>
                <w:szCs w:val="21"/>
                <w:u w:val="none"/>
                <w:lang w:val="en-US" w:eastAsia="zh-CN" w:bidi="ar"/>
              </w:rPr>
              <w:t xml:space="preserve"> 解析系统</w:t>
            </w: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142552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11.策略告警模式：威胁胁检测支持多种告警模式，用户可以自主选择仅</w:t>
            </w:r>
            <w:r>
              <w:rPr>
                <w:rFonts w:hint="eastAsia" w:ascii="仿宋" w:hAnsi="仿宋" w:eastAsia="仿宋" w:cs="仿宋"/>
                <w:color w:val="000000"/>
                <w:sz w:val="21"/>
                <w:szCs w:val="21"/>
                <w:u w:val="none"/>
                <w:lang w:val="en-US" w:eastAsia="zh-CN" w:bidi="ar"/>
              </w:rPr>
              <w:t xml:space="preserve"> 告警不拦截、或告警并拦截模式。</w:t>
            </w:r>
          </w:p>
        </w:tc>
      </w:tr>
      <w:tr w14:paraId="0FB6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B2844">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780D04D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12.BGP</w:t>
            </w:r>
            <w:r>
              <w:rPr>
                <w:rFonts w:hint="eastAsia" w:ascii="仿宋" w:hAnsi="仿宋" w:eastAsia="仿宋" w:cs="仿宋"/>
                <w:color w:val="000000"/>
                <w:sz w:val="21"/>
                <w:szCs w:val="21"/>
                <w:u w:val="none"/>
                <w:lang w:val="en-US" w:eastAsia="zh-CN" w:bidi="ar"/>
              </w:rPr>
              <w:t xml:space="preserve"> 智能解析：安全 DNS 提供的服务节点必须为 BGP 路线，配置 1 组 2 个服务节点，即可自动根据用户所属区域和运营商线路（包括电信、 移动、联通），智能调度返回同运营商最优解析 IP。</w:t>
            </w:r>
          </w:p>
        </w:tc>
      </w:tr>
      <w:tr w14:paraId="3FBF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BF16E">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126D6C6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13.▲可基于不同拦截原因（威胁，内容，自定义名单）自定义不同拦截</w:t>
            </w:r>
            <w:r>
              <w:rPr>
                <w:rFonts w:hint="eastAsia" w:ascii="仿宋" w:hAnsi="仿宋" w:eastAsia="仿宋" w:cs="仿宋"/>
                <w:color w:val="000000"/>
                <w:sz w:val="21"/>
                <w:szCs w:val="21"/>
                <w:u w:val="none"/>
                <w:lang w:val="en-US" w:eastAsia="zh-CN" w:bidi="ar"/>
              </w:rPr>
              <w:t xml:space="preserve"> 页面策略，例如威胁拦截返回默认拦截页自定义提示话术，内容分类 拦截跳转到指定的 URL，自定义黑名单拦截跳转到指定 IP。</w:t>
            </w:r>
            <w:r>
              <w:rPr>
                <w:rFonts w:hint="eastAsia" w:ascii="仿宋" w:hAnsi="仿宋" w:eastAsia="仿宋" w:cs="仿宋"/>
                <w:b/>
                <w:bCs/>
                <w:color w:val="000000"/>
                <w:sz w:val="21"/>
                <w:szCs w:val="21"/>
                <w:u w:val="single"/>
                <w:lang w:val="en-US" w:eastAsia="zh-CN" w:bidi="ar"/>
              </w:rPr>
              <w:t>（产品功能截图加盖公章）</w:t>
            </w:r>
          </w:p>
        </w:tc>
      </w:tr>
      <w:tr w14:paraId="7926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433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问行为 控制</w:t>
            </w: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04B53F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14.内容分类策略基于支持不同的工作时间段设置生效，例如支持全天、</w:t>
            </w:r>
            <w:r>
              <w:rPr>
                <w:rFonts w:hint="eastAsia" w:ascii="仿宋" w:hAnsi="仿宋" w:eastAsia="仿宋" w:cs="仿宋"/>
                <w:color w:val="000000"/>
                <w:sz w:val="21"/>
                <w:szCs w:val="21"/>
                <w:u w:val="none"/>
                <w:lang w:val="en-US" w:eastAsia="zh-CN" w:bidi="ar"/>
              </w:rPr>
              <w:t xml:space="preserve"> 或工作日 9:00-18:00 生效。</w:t>
            </w:r>
          </w:p>
        </w:tc>
      </w:tr>
      <w:tr w14:paraId="3569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03551">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5742C14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15.解析监控：▲实时监控用具</w:t>
            </w:r>
            <w:r>
              <w:rPr>
                <w:rFonts w:hint="eastAsia" w:ascii="仿宋" w:hAnsi="仿宋" w:eastAsia="仿宋" w:cs="仿宋"/>
                <w:color w:val="000000"/>
                <w:sz w:val="21"/>
                <w:szCs w:val="21"/>
                <w:u w:val="none"/>
                <w:lang w:val="en-US" w:eastAsia="zh-CN" w:bidi="ar"/>
              </w:rPr>
              <w:t xml:space="preserve"> DNS 解析服务情况，DNS 每秒处理量请求量动态变化，每秒处理量支持以用户维度筛选查看。 </w:t>
            </w:r>
            <w:r>
              <w:rPr>
                <w:rFonts w:hint="eastAsia" w:ascii="仿宋" w:hAnsi="仿宋" w:eastAsia="仿宋" w:cs="仿宋"/>
                <w:b/>
                <w:bCs/>
                <w:color w:val="000000"/>
                <w:sz w:val="21"/>
                <w:szCs w:val="21"/>
                <w:u w:val="single"/>
                <w:lang w:val="en-US" w:eastAsia="zh-CN" w:bidi="ar"/>
              </w:rPr>
              <w:t>（产品功能截图加盖公章）</w:t>
            </w:r>
          </w:p>
        </w:tc>
      </w:tr>
      <w:tr w14:paraId="1E59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D933F">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3D63389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16.解析测试工具：▲为保障</w:t>
            </w:r>
            <w:r>
              <w:rPr>
                <w:rFonts w:hint="eastAsia" w:ascii="仿宋" w:hAnsi="仿宋" w:eastAsia="仿宋" w:cs="仿宋"/>
                <w:color w:val="000000"/>
                <w:sz w:val="21"/>
                <w:szCs w:val="21"/>
                <w:u w:val="none"/>
                <w:lang w:val="en-US" w:eastAsia="zh-CN" w:bidi="ar"/>
              </w:rPr>
              <w:t xml:space="preserve"> DNS 解析稳定可用，提供 DNS 解析验证工具， 支持用户自定义测试域名、测试地区、运营商线路进行安全 DNS 解析测试。同时支持选择对照 DNS 服务器对比解析结果。</w:t>
            </w:r>
            <w:r>
              <w:rPr>
                <w:rFonts w:hint="eastAsia" w:ascii="仿宋" w:hAnsi="仿宋" w:eastAsia="仿宋" w:cs="仿宋"/>
                <w:b/>
                <w:bCs/>
                <w:color w:val="000000"/>
                <w:sz w:val="21"/>
                <w:szCs w:val="21"/>
                <w:u w:val="single"/>
                <w:lang w:val="en-US" w:eastAsia="zh-CN" w:bidi="ar"/>
              </w:rPr>
              <w:t>（产品功能截图加盖公章）</w:t>
            </w:r>
          </w:p>
        </w:tc>
      </w:tr>
      <w:tr w14:paraId="43DB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5141A">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5D6D423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17.自定义拦截返回页面：支持灵活的自定义拦截页面，默认拦截返</w:t>
            </w:r>
            <w:r>
              <w:rPr>
                <w:rFonts w:hint="eastAsia" w:ascii="仿宋" w:hAnsi="仿宋" w:eastAsia="仿宋" w:cs="仿宋"/>
                <w:color w:val="000000"/>
                <w:sz w:val="21"/>
                <w:szCs w:val="21"/>
                <w:u w:val="none"/>
                <w:lang w:val="en-US" w:eastAsia="zh-CN" w:bidi="ar"/>
              </w:rPr>
              <w:t>回页 面可自定义文字、企业名称、企业 LOGO，支持跳转到指定的 URL、或 指定 IP。</w:t>
            </w:r>
          </w:p>
        </w:tc>
      </w:tr>
      <w:tr w14:paraId="6756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DF60F">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524209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18.多种策略配置模式：可区分职场设置不同范围的策略配置，</w:t>
            </w:r>
            <w:r>
              <w:rPr>
                <w:rFonts w:hint="eastAsia" w:ascii="仿宋" w:hAnsi="仿宋" w:eastAsia="仿宋" w:cs="仿宋"/>
                <w:color w:val="000000"/>
                <w:sz w:val="21"/>
                <w:szCs w:val="21"/>
                <w:u w:val="none"/>
                <w:lang w:val="en-US" w:eastAsia="zh-CN" w:bidi="ar"/>
              </w:rPr>
              <w:t>配置范围包括全局策略权限、某职场策略权限。</w:t>
            </w:r>
          </w:p>
        </w:tc>
      </w:tr>
      <w:tr w14:paraId="5B9A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F79F0">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058F40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19.自定义拦截或放行策略：支持按照职场维度自定义域名拦截及放行规</w:t>
            </w:r>
            <w:r>
              <w:rPr>
                <w:rFonts w:hint="eastAsia" w:ascii="仿宋" w:hAnsi="仿宋" w:eastAsia="仿宋" w:cs="仿宋"/>
                <w:color w:val="000000"/>
                <w:sz w:val="21"/>
                <w:szCs w:val="21"/>
                <w:u w:val="none"/>
                <w:lang w:val="en-US" w:eastAsia="zh-CN" w:bidi="ar"/>
              </w:rPr>
              <w:t>则，支持配置多条拦截放行策略，可拖动修改优先级排序。</w:t>
            </w:r>
          </w:p>
        </w:tc>
      </w:tr>
      <w:tr w14:paraId="583F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52EA1">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2B42D64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20.内容分类策略:支持识别超过</w:t>
            </w:r>
            <w:r>
              <w:rPr>
                <w:rFonts w:hint="eastAsia" w:ascii="仿宋" w:hAnsi="仿宋" w:eastAsia="仿宋" w:cs="仿宋"/>
                <w:color w:val="000000"/>
                <w:sz w:val="21"/>
                <w:szCs w:val="21"/>
                <w:u w:val="none"/>
                <w:lang w:val="en-US" w:eastAsia="zh-CN" w:bidi="ar"/>
              </w:rPr>
              <w:t xml:space="preserve"> 50 种分类千万级域名，包括色情暴力、违法内容、赌博、游戏、广告等敏感类别，用户可针对不同应用设置拦截策略。</w:t>
            </w:r>
          </w:p>
        </w:tc>
      </w:tr>
      <w:tr w14:paraId="2F9C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E0DF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理功能</w:t>
            </w: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039655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21.</w:t>
            </w:r>
            <w:r>
              <w:rPr>
                <w:rFonts w:hint="eastAsia" w:ascii="仿宋" w:hAnsi="仿宋" w:eastAsia="仿宋" w:cs="仿宋"/>
                <w:i w:val="0"/>
                <w:iCs w:val="0"/>
                <w:color w:val="auto"/>
                <w:kern w:val="0"/>
                <w:sz w:val="21"/>
                <w:szCs w:val="21"/>
                <w:u w:val="none"/>
                <w:lang w:val="en-US" w:eastAsia="zh-CN" w:bidi="ar"/>
              </w:rPr>
              <w:fldChar w:fldCharType="begin"/>
            </w:r>
            <w:r>
              <w:rPr>
                <w:rFonts w:hint="eastAsia" w:ascii="仿宋" w:hAnsi="仿宋" w:eastAsia="仿宋" w:cs="仿宋"/>
                <w:i w:val="0"/>
                <w:iCs w:val="0"/>
                <w:color w:val="auto"/>
                <w:kern w:val="0"/>
                <w:sz w:val="21"/>
                <w:szCs w:val="21"/>
                <w:u w:val="none"/>
                <w:lang w:val="en-US" w:eastAsia="zh-CN" w:bidi="ar"/>
              </w:rPr>
              <w:instrText xml:space="preserve"> HYPERLINK "D:\\蒋峻\\OneDrive\\文档\\02投标项目\\2025\\11教育技术中心线路\\HTTPS" \o "file:///D:\\蒋峻\\OneDrive\\文档\\02投标项目\\2025\\11教育技术中心线路\\HTTPS" </w:instrText>
            </w:r>
            <w:r>
              <w:rPr>
                <w:rFonts w:hint="eastAsia" w:ascii="仿宋" w:hAnsi="仿宋" w:eastAsia="仿宋" w:cs="仿宋"/>
                <w:i w:val="0"/>
                <w:iCs w:val="0"/>
                <w:color w:val="auto"/>
                <w:kern w:val="0"/>
                <w:sz w:val="21"/>
                <w:szCs w:val="21"/>
                <w:u w:val="none"/>
                <w:lang w:val="en-US" w:eastAsia="zh-CN" w:bidi="ar"/>
              </w:rPr>
              <w:fldChar w:fldCharType="separate"/>
            </w:r>
            <w:r>
              <w:rPr>
                <w:rFonts w:hint="eastAsia" w:ascii="仿宋" w:hAnsi="仿宋" w:eastAsia="仿宋" w:cs="仿宋"/>
                <w:i w:val="0"/>
                <w:iCs w:val="0"/>
                <w:color w:val="auto"/>
                <w:sz w:val="21"/>
                <w:szCs w:val="21"/>
                <w:u w:val="none"/>
              </w:rPr>
              <w:t>采用 WEB HTTPS 方式进行 SaaS 服务集中管理</w:t>
            </w:r>
            <w:r>
              <w:rPr>
                <w:rFonts w:hint="eastAsia" w:ascii="仿宋" w:hAnsi="仿宋" w:eastAsia="仿宋" w:cs="仿宋"/>
                <w:i w:val="0"/>
                <w:iCs w:val="0"/>
                <w:color w:val="auto"/>
                <w:kern w:val="0"/>
                <w:sz w:val="21"/>
                <w:szCs w:val="21"/>
                <w:u w:val="none"/>
                <w:lang w:val="en-US" w:eastAsia="zh-CN" w:bidi="ar"/>
              </w:rPr>
              <w:fldChar w:fldCharType="end"/>
            </w:r>
          </w:p>
        </w:tc>
      </w:tr>
      <w:tr w14:paraId="42C6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3599D">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2571CF2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22.支持自助新增注册网络出口节点，开通</w:t>
            </w:r>
            <w:r>
              <w:rPr>
                <w:rFonts w:hint="eastAsia" w:ascii="仿宋" w:hAnsi="仿宋" w:eastAsia="仿宋" w:cs="仿宋"/>
                <w:color w:val="000000"/>
                <w:sz w:val="21"/>
                <w:szCs w:val="21"/>
                <w:u w:val="none"/>
                <w:lang w:val="en-US" w:eastAsia="zh-CN" w:bidi="ar"/>
              </w:rPr>
              <w:t xml:space="preserve"> DNS 解析和拦截服务</w:t>
            </w:r>
          </w:p>
        </w:tc>
      </w:tr>
      <w:tr w14:paraId="3033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27EE7">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3539A94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23.支持至少接入</w:t>
            </w:r>
            <w:r>
              <w:rPr>
                <w:rFonts w:hint="eastAsia" w:ascii="仿宋" w:hAnsi="仿宋" w:eastAsia="仿宋" w:cs="仿宋"/>
                <w:color w:val="000000"/>
                <w:sz w:val="21"/>
                <w:szCs w:val="21"/>
                <w:u w:val="none"/>
                <w:lang w:val="en-US" w:eastAsia="zh-CN" w:bidi="ar"/>
              </w:rPr>
              <w:t xml:space="preserve"> 50 个分支机构出口 DNS 流量，并提供对应的防护策略配置能力</w:t>
            </w:r>
          </w:p>
        </w:tc>
      </w:tr>
      <w:tr w14:paraId="650E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AAF6A">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6C4941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24.▲支持对漫游设备单独配置对应的防护策略</w:t>
            </w:r>
            <w:r>
              <w:rPr>
                <w:rFonts w:hint="eastAsia" w:ascii="仿宋" w:hAnsi="仿宋" w:eastAsia="仿宋" w:cs="仿宋"/>
                <w:b/>
                <w:bCs/>
                <w:color w:val="000000"/>
                <w:sz w:val="21"/>
                <w:szCs w:val="21"/>
                <w:u w:val="single"/>
                <w:lang w:val="en-US" w:eastAsia="zh-CN" w:bidi="ar"/>
              </w:rPr>
              <w:t>（产品功能截图加盖公章）</w:t>
            </w:r>
          </w:p>
        </w:tc>
      </w:tr>
      <w:tr w14:paraId="4C07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9CDAF">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1A6E55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25.支持超时自动退出，即管理员一定时间不操作时，管理</w:t>
            </w:r>
            <w:r>
              <w:rPr>
                <w:rFonts w:hint="eastAsia" w:ascii="仿宋" w:hAnsi="仿宋" w:eastAsia="仿宋" w:cs="仿宋"/>
                <w:color w:val="000000"/>
                <w:sz w:val="21"/>
                <w:szCs w:val="21"/>
                <w:u w:val="none"/>
                <w:lang w:val="en-US" w:eastAsia="zh-CN" w:bidi="ar"/>
              </w:rPr>
              <w:t>平台自动退出， 再次操作需重新登录</w:t>
            </w:r>
          </w:p>
        </w:tc>
      </w:tr>
      <w:tr w14:paraId="6764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9D83A">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3649D4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26.▲可提供</w:t>
            </w:r>
            <w:r>
              <w:rPr>
                <w:rFonts w:hint="eastAsia" w:ascii="仿宋" w:hAnsi="仿宋" w:eastAsia="仿宋" w:cs="仿宋"/>
                <w:color w:val="000000"/>
                <w:sz w:val="21"/>
                <w:szCs w:val="21"/>
                <w:u w:val="none"/>
                <w:lang w:val="en-US" w:eastAsia="zh-CN" w:bidi="ar"/>
              </w:rPr>
              <w:t xml:space="preserve"> API 能力，将所有的拦截数据和 DNS 解析数据同步到本地系统和平台</w:t>
            </w:r>
            <w:r>
              <w:rPr>
                <w:rFonts w:hint="eastAsia" w:ascii="仿宋" w:hAnsi="仿宋" w:eastAsia="仿宋" w:cs="仿宋"/>
                <w:b/>
                <w:bCs/>
                <w:color w:val="000000"/>
                <w:sz w:val="21"/>
                <w:szCs w:val="21"/>
                <w:u w:val="single"/>
                <w:lang w:val="en-US" w:eastAsia="zh-CN" w:bidi="ar"/>
              </w:rPr>
              <w:t>（产品功能截图加盖公章）</w:t>
            </w:r>
          </w:p>
        </w:tc>
      </w:tr>
      <w:tr w14:paraId="6401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995F1">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7E4EA4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27.可提供</w:t>
            </w:r>
            <w:r>
              <w:rPr>
                <w:rFonts w:hint="eastAsia" w:ascii="仿宋" w:hAnsi="仿宋" w:eastAsia="仿宋" w:cs="仿宋"/>
                <w:color w:val="000000"/>
                <w:sz w:val="21"/>
                <w:szCs w:val="21"/>
                <w:u w:val="none"/>
                <w:lang w:val="en-US" w:eastAsia="zh-CN" w:bidi="ar"/>
              </w:rPr>
              <w:t xml:space="preserve"> API 能力，自动化同步提交拦截或者放行策略到云端</w:t>
            </w:r>
          </w:p>
        </w:tc>
      </w:tr>
      <w:tr w14:paraId="047E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8705">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6C2D61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28.提供多用户的配置和管理能力，可新增、删除不同用户， 并设定用户</w:t>
            </w:r>
            <w:r>
              <w:rPr>
                <w:rFonts w:hint="eastAsia" w:ascii="仿宋" w:hAnsi="仿宋" w:eastAsia="仿宋" w:cs="仿宋"/>
                <w:color w:val="000000"/>
                <w:sz w:val="21"/>
                <w:szCs w:val="21"/>
                <w:u w:val="none"/>
                <w:lang w:val="en-US" w:eastAsia="zh-CN" w:bidi="ar"/>
              </w:rPr>
              <w:t>的不同角色</w:t>
            </w:r>
          </w:p>
        </w:tc>
      </w:tr>
      <w:tr w14:paraId="6B58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BA9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威胁情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报数据</w:t>
            </w: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4F3E4819">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29.情报研发团队对于国内外针对重要行业的重大安全事件、APT</w:t>
            </w:r>
            <w:r>
              <w:rPr>
                <w:rFonts w:hint="eastAsia" w:ascii="仿宋" w:hAnsi="仿宋" w:eastAsia="仿宋" w:cs="仿宋"/>
                <w:color w:val="000000"/>
                <w:sz w:val="21"/>
                <w:szCs w:val="21"/>
                <w:u w:val="none"/>
                <w:lang w:val="en-US" w:eastAsia="zh-CN" w:bidi="ar"/>
              </w:rPr>
              <w:t xml:space="preserve"> 攻击等具备研究和跟踪能力，能第一时间提供对应的高级战略报告。以 2019 年 1 月 1 日至今公开发布的 APT 报告为准。</w:t>
            </w:r>
          </w:p>
          <w:p w14:paraId="3D63727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高级威胁情报内容需要包括：攻击事件时间轴分析；攻击黑客组织分</w:t>
            </w:r>
            <w:r>
              <w:rPr>
                <w:rFonts w:hint="eastAsia" w:ascii="仿宋" w:hAnsi="仿宋" w:eastAsia="仿宋" w:cs="仿宋"/>
                <w:color w:val="000000"/>
                <w:sz w:val="21"/>
                <w:szCs w:val="21"/>
                <w:u w:val="none"/>
                <w:lang w:val="en-US" w:eastAsia="zh-CN" w:bidi="ar"/>
              </w:rPr>
              <w:t>析；攻击手段分析、脚本源代码分析、被攻击脆弱点分析； 重点标注 APT 判定依据（如 0day 漏洞及攻击手段判定、潜伏周期判定、受害者指向性分析）；受害者分析；应对策略分析；关联的威胁情报指标 IOC；恶意样本 hash。</w:t>
            </w:r>
          </w:p>
        </w:tc>
      </w:tr>
      <w:tr w14:paraId="2D2C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0F57C">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0DD2860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30.失陷指标（IOC）情报≥37</w:t>
            </w:r>
            <w:r>
              <w:rPr>
                <w:rFonts w:hint="eastAsia" w:ascii="仿宋" w:hAnsi="仿宋" w:eastAsia="仿宋" w:cs="仿宋"/>
                <w:color w:val="000000"/>
                <w:sz w:val="21"/>
                <w:szCs w:val="21"/>
                <w:u w:val="none"/>
                <w:lang w:val="en-US" w:eastAsia="zh-CN" w:bidi="ar"/>
              </w:rPr>
              <w:t xml:space="preserve"> 万条，字段丰富度至少包括发现时间、域名、相关组织、严重程度、相关家族、置信度、关联组织、针对行业、 背景信息、关联样本、是否为 APT 攻击、通讯协议、应用协议、主机类型、情报类型、时间戳、TLP红绿灯控制协议、whois (注册人信息)、历史 pDNS (解析对应的 IP)、SSL 证书等上下文信息 ;</w:t>
            </w:r>
          </w:p>
        </w:tc>
      </w:tr>
      <w:tr w14:paraId="70AD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07BBC">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6295DC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r>
              <w:rPr>
                <w:rFonts w:hint="eastAsia" w:ascii="仿宋" w:hAnsi="仿宋" w:eastAsia="仿宋" w:cs="仿宋"/>
                <w:i w:val="0"/>
                <w:iCs w:val="0"/>
                <w:color w:val="auto"/>
                <w:kern w:val="0"/>
                <w:sz w:val="21"/>
                <w:szCs w:val="21"/>
                <w:u w:val="none"/>
                <w:lang w:val="en-US" w:eastAsia="zh-CN" w:bidi="ar"/>
              </w:rPr>
              <w:fldChar w:fldCharType="begin"/>
            </w:r>
            <w:r>
              <w:rPr>
                <w:rFonts w:hint="eastAsia" w:ascii="仿宋" w:hAnsi="仿宋" w:eastAsia="仿宋" w:cs="仿宋"/>
                <w:i w:val="0"/>
                <w:iCs w:val="0"/>
                <w:color w:val="auto"/>
                <w:kern w:val="0"/>
                <w:sz w:val="21"/>
                <w:szCs w:val="21"/>
                <w:u w:val="none"/>
                <w:lang w:val="en-US" w:eastAsia="zh-CN" w:bidi="ar"/>
              </w:rPr>
              <w:instrText xml:space="preserve"> HYPERLINK "D:\\蒋峻\\OneDrive\\文档\\02投标项目\\2025\\11教育技术中心线路\\HTTP" \o "file:///D:\\蒋峻\\OneDrive\\文档\\02投标项目\\2025\\11教育技术中心线路\\HTTP" </w:instrText>
            </w:r>
            <w:r>
              <w:rPr>
                <w:rFonts w:hint="eastAsia" w:ascii="仿宋" w:hAnsi="仿宋" w:eastAsia="仿宋" w:cs="仿宋"/>
                <w:i w:val="0"/>
                <w:iCs w:val="0"/>
                <w:color w:val="auto"/>
                <w:kern w:val="0"/>
                <w:sz w:val="21"/>
                <w:szCs w:val="21"/>
                <w:u w:val="none"/>
                <w:lang w:val="en-US" w:eastAsia="zh-CN" w:bidi="ar"/>
              </w:rPr>
              <w:fldChar w:fldCharType="separate"/>
            </w:r>
            <w:r>
              <w:rPr>
                <w:rFonts w:hint="eastAsia" w:ascii="仿宋" w:hAnsi="仿宋" w:eastAsia="仿宋" w:cs="仿宋"/>
                <w:i w:val="0"/>
                <w:iCs w:val="0"/>
                <w:color w:val="auto"/>
                <w:sz w:val="21"/>
                <w:szCs w:val="21"/>
                <w:u w:val="none"/>
              </w:rPr>
              <w:t>IP 信誉≥42 亿条，要求能够识别远控,僵尸网络,劫持,钓鱼,恶意软件,漏洞利用,扫描,P2P 节点,僵尸网络,DNS,垃圾邮件,可疑,代理,失陷主机, 白名单,基础信息,IDC 服务器,动态 IP,保留地址,未启用 IP,HTTP 代理,Socks 代理，VPN。连接云端状态下可达到 42 亿全量 IP 信誉。情报上下文要求包括威胁类型、风险等级、IP ASN 信息或地理位置信息(所属国家、地区)、是否为 APT 攻击、通讯协议、应用协议、主机类型、TLP 红绿灯控制协议、关联黑客组织、相关家族、 关联的样本、端口、安全事件信息、是否 IDC 主机、是否动态 IP、 是否傀倡机、是否 VPN、是否代理 IP 等;IDC 主机和动态 IP、未启用 IP 需要达到亿级别、傀儡机数量需达到千万级别、教育网、移动基站需达到千万级别、网关 IP、VPN/Tor 需要达到百万级别，实现 IP 信誉数据的每日更新，傀儡机更新量级在每日十万级别。</w:t>
            </w:r>
            <w:r>
              <w:rPr>
                <w:rFonts w:hint="eastAsia" w:ascii="仿宋" w:hAnsi="仿宋" w:eastAsia="仿宋" w:cs="仿宋"/>
                <w:i w:val="0"/>
                <w:iCs w:val="0"/>
                <w:color w:val="auto"/>
                <w:kern w:val="0"/>
                <w:sz w:val="21"/>
                <w:szCs w:val="21"/>
                <w:u w:val="none"/>
                <w:lang w:val="en-US" w:eastAsia="zh-CN" w:bidi="ar"/>
              </w:rPr>
              <w:fldChar w:fldCharType="end"/>
            </w:r>
          </w:p>
        </w:tc>
      </w:tr>
      <w:tr w14:paraId="5E41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DE851">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58A477B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32.可对所有情报数据提供附加的情报分析能力，支持分析的网络基础数</w:t>
            </w:r>
            <w:r>
              <w:rPr>
                <w:rFonts w:hint="eastAsia" w:ascii="仿宋" w:hAnsi="仿宋" w:eastAsia="仿宋" w:cs="仿宋"/>
                <w:color w:val="000000"/>
                <w:sz w:val="21"/>
                <w:szCs w:val="21"/>
                <w:u w:val="none"/>
                <w:lang w:val="en-US" w:eastAsia="zh-CN" w:bidi="ar"/>
              </w:rPr>
              <w:t>据要求至少包含 Whois 注册信息数据以及 10 年历史数据，PDNS 数据 以及 5 年历史数据。</w:t>
            </w:r>
          </w:p>
        </w:tc>
      </w:tr>
      <w:tr w14:paraId="3378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8266A">
            <w:pPr>
              <w:jc w:val="left"/>
              <w:rPr>
                <w:rFonts w:hint="eastAsia" w:ascii="仿宋" w:hAnsi="仿宋" w:eastAsia="仿宋" w:cs="仿宋"/>
                <w:i w:val="0"/>
                <w:iCs w:val="0"/>
                <w:color w:val="000000"/>
                <w:sz w:val="21"/>
                <w:szCs w:val="21"/>
                <w:u w:val="none"/>
              </w:rPr>
            </w:pPr>
          </w:p>
        </w:tc>
        <w:tc>
          <w:tcPr>
            <w:tcW w:w="8235" w:type="dxa"/>
            <w:tcBorders>
              <w:top w:val="single" w:color="000000" w:sz="4" w:space="0"/>
              <w:left w:val="single" w:color="000000" w:sz="4" w:space="0"/>
              <w:bottom w:val="single" w:color="000000" w:sz="4" w:space="0"/>
              <w:right w:val="single" w:color="000000" w:sz="4" w:space="0"/>
            </w:tcBorders>
            <w:noWrap w:val="0"/>
            <w:vAlign w:val="center"/>
          </w:tcPr>
          <w:p w14:paraId="053FC8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33.能将所有出站情报指标与入站情报进行本地化。出站情报（IOC）支</w:t>
            </w:r>
            <w:r>
              <w:rPr>
                <w:rFonts w:hint="eastAsia" w:ascii="仿宋" w:hAnsi="仿宋" w:eastAsia="仿宋" w:cs="仿宋"/>
                <w:color w:val="000000"/>
                <w:sz w:val="21"/>
                <w:szCs w:val="21"/>
                <w:u w:val="none"/>
                <w:lang w:val="en-US" w:eastAsia="zh-CN" w:bidi="ar"/>
              </w:rPr>
              <w:t xml:space="preserve"> 持小时级更新，IP 信誉数据实现天级更新。</w:t>
            </w:r>
          </w:p>
        </w:tc>
      </w:tr>
    </w:tbl>
    <w:p w14:paraId="1DF5FA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注:1、投标时供应商</w:t>
      </w:r>
      <w:r>
        <w:rPr>
          <w:rFonts w:hint="eastAsia" w:ascii="仿宋" w:hAnsi="仿宋" w:eastAsia="仿宋" w:cs="仿宋"/>
          <w:color w:val="000000"/>
          <w:sz w:val="28"/>
          <w:szCs w:val="28"/>
          <w:lang w:val="en-US" w:eastAsia="zh-CN"/>
        </w:rPr>
        <w:t>需</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加▲项参数的</w:t>
      </w:r>
      <w:r>
        <w:rPr>
          <w:rFonts w:hint="eastAsia" w:ascii="仿宋" w:hAnsi="仿宋" w:eastAsia="仿宋" w:cs="仿宋"/>
          <w:color w:val="000000"/>
          <w:sz w:val="28"/>
          <w:szCs w:val="28"/>
        </w:rPr>
        <w:t>证明材料扫描件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产品功能截图加盖公章</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p>
    <w:p w14:paraId="77DCAD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bCs/>
          <w:color w:val="000000"/>
          <w:sz w:val="28"/>
          <w:szCs w:val="28"/>
        </w:rPr>
      </w:pPr>
      <w:r>
        <w:rPr>
          <w:rFonts w:hint="eastAsia" w:ascii="仿宋" w:hAnsi="仿宋" w:eastAsia="仿宋" w:cs="仿宋"/>
          <w:color w:val="000000"/>
          <w:sz w:val="28"/>
          <w:szCs w:val="28"/>
        </w:rPr>
        <w:br w:type="page"/>
      </w:r>
    </w:p>
    <w:p w14:paraId="4332E05F">
      <w:pPr>
        <w:adjustRightInd w:val="0"/>
        <w:snapToGrid w:val="0"/>
        <w:spacing w:line="500" w:lineRule="exact"/>
        <w:rPr>
          <w:rFonts w:eastAsia="方正仿宋_GBK"/>
          <w:b/>
          <w:bCs/>
          <w:color w:val="000000"/>
          <w:sz w:val="28"/>
          <w:szCs w:val="28"/>
        </w:rPr>
      </w:pPr>
      <w:r>
        <w:rPr>
          <w:rFonts w:eastAsia="方正仿宋_GBK"/>
          <w:b/>
          <w:bCs/>
          <w:color w:val="000000"/>
          <w:sz w:val="28"/>
          <w:szCs w:val="28"/>
        </w:rPr>
        <w:t>（四）采购标的的数量、采购项目交付或者实施的时间和地点；</w:t>
      </w:r>
    </w:p>
    <w:p w14:paraId="7199B7AA">
      <w:pPr>
        <w:spacing w:line="23"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1.清单列表如下：</w:t>
      </w:r>
    </w:p>
    <w:tbl>
      <w:tblPr>
        <w:tblStyle w:val="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397"/>
        <w:gridCol w:w="5277"/>
        <w:gridCol w:w="725"/>
        <w:gridCol w:w="684"/>
        <w:gridCol w:w="1155"/>
      </w:tblGrid>
      <w:tr w14:paraId="43A8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14:paraId="04285CA1">
            <w:pPr>
              <w:spacing w:line="23" w:lineRule="atLeast"/>
              <w:jc w:val="center"/>
              <w:rPr>
                <w:rFonts w:hint="eastAsia" w:ascii="宋体" w:hAnsi="宋体" w:cs="宋体"/>
                <w:color w:val="000000"/>
                <w:szCs w:val="21"/>
              </w:rPr>
            </w:pPr>
            <w:r>
              <w:rPr>
                <w:rFonts w:hint="eastAsia" w:ascii="宋体" w:hAnsi="宋体" w:cs="宋体"/>
                <w:color w:val="000000"/>
                <w:szCs w:val="21"/>
              </w:rPr>
              <w:t>序号</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12E4A6C">
            <w:pPr>
              <w:spacing w:line="23" w:lineRule="atLeast"/>
              <w:jc w:val="center"/>
              <w:rPr>
                <w:rFonts w:hint="eastAsia" w:ascii="宋体" w:hAnsi="宋体" w:cs="宋体"/>
                <w:color w:val="000000"/>
                <w:szCs w:val="21"/>
              </w:rPr>
            </w:pPr>
            <w:r>
              <w:rPr>
                <w:rFonts w:hint="eastAsia" w:ascii="宋体" w:hAnsi="宋体" w:cs="宋体"/>
                <w:color w:val="000000"/>
                <w:szCs w:val="21"/>
              </w:rPr>
              <w:t>服务名称</w:t>
            </w:r>
          </w:p>
        </w:tc>
        <w:tc>
          <w:tcPr>
            <w:tcW w:w="5277" w:type="dxa"/>
            <w:tcBorders>
              <w:top w:val="single" w:color="auto" w:sz="4" w:space="0"/>
              <w:left w:val="single" w:color="auto" w:sz="4" w:space="0"/>
              <w:bottom w:val="single" w:color="auto" w:sz="4" w:space="0"/>
              <w:right w:val="single" w:color="auto" w:sz="4" w:space="0"/>
            </w:tcBorders>
            <w:noWrap w:val="0"/>
            <w:vAlign w:val="center"/>
          </w:tcPr>
          <w:p w14:paraId="4D490799">
            <w:pPr>
              <w:spacing w:line="23" w:lineRule="atLeast"/>
              <w:jc w:val="center"/>
              <w:rPr>
                <w:rFonts w:hint="eastAsia" w:ascii="宋体" w:hAnsi="宋体" w:cs="宋体"/>
                <w:color w:val="000000"/>
                <w:szCs w:val="21"/>
              </w:rPr>
            </w:pPr>
            <w:r>
              <w:rPr>
                <w:rFonts w:hint="eastAsia" w:ascii="宋体" w:hAnsi="宋体" w:cs="宋体"/>
                <w:color w:val="000000"/>
                <w:szCs w:val="21"/>
              </w:rPr>
              <w:t>服务内容</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5CD56AD5">
            <w:pPr>
              <w:spacing w:line="23" w:lineRule="atLeast"/>
              <w:jc w:val="center"/>
              <w:rPr>
                <w:rFonts w:hint="eastAsia" w:ascii="宋体" w:hAnsi="宋体" w:cs="宋体"/>
                <w:color w:val="000000"/>
                <w:szCs w:val="21"/>
              </w:rPr>
            </w:pPr>
            <w:r>
              <w:rPr>
                <w:rFonts w:hint="eastAsia" w:ascii="宋体" w:hAnsi="宋体" w:cs="宋体"/>
                <w:color w:val="000000"/>
                <w:szCs w:val="21"/>
              </w:rPr>
              <w:t>数量</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1F66C167">
            <w:pPr>
              <w:spacing w:line="23" w:lineRule="atLeast"/>
              <w:jc w:val="center"/>
              <w:rPr>
                <w:rFonts w:hint="eastAsia" w:ascii="宋体" w:hAnsi="宋体" w:cs="宋体"/>
                <w:color w:val="000000"/>
                <w:szCs w:val="21"/>
              </w:rPr>
            </w:pPr>
            <w:r>
              <w:rPr>
                <w:rFonts w:hint="eastAsia" w:ascii="宋体" w:hAnsi="宋体" w:cs="宋体"/>
                <w:color w:val="000000"/>
                <w:szCs w:val="21"/>
              </w:rPr>
              <w:t>单位</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0EF30EB">
            <w:pPr>
              <w:spacing w:line="23" w:lineRule="atLeast"/>
              <w:jc w:val="center"/>
              <w:rPr>
                <w:rFonts w:hint="eastAsia" w:ascii="宋体" w:hAnsi="宋体" w:cs="宋体"/>
                <w:color w:val="000000"/>
                <w:szCs w:val="21"/>
              </w:rPr>
            </w:pPr>
            <w:r>
              <w:rPr>
                <w:rFonts w:hint="eastAsia" w:ascii="宋体" w:hAnsi="宋体" w:cs="宋体"/>
                <w:color w:val="000000"/>
                <w:szCs w:val="21"/>
              </w:rPr>
              <w:t>参考品牌</w:t>
            </w:r>
          </w:p>
        </w:tc>
      </w:tr>
      <w:tr w14:paraId="69B2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14:paraId="30C20011">
            <w:pPr>
              <w:spacing w:line="23" w:lineRule="atLeast"/>
              <w:jc w:val="center"/>
              <w:rPr>
                <w:rFonts w:hint="eastAsia" w:ascii="宋体" w:hAnsi="宋体" w:cs="宋体"/>
                <w:color w:val="000000"/>
                <w:szCs w:val="21"/>
              </w:rPr>
            </w:pPr>
            <w:r>
              <w:rPr>
                <w:rFonts w:hint="eastAsia" w:ascii="宋体" w:hAnsi="宋体" w:cs="宋体"/>
                <w:color w:val="000000"/>
                <w:szCs w:val="21"/>
              </w:rPr>
              <w:t>1</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92992BA">
            <w:pPr>
              <w:widowControl/>
              <w:spacing w:line="23" w:lineRule="atLeast"/>
              <w:textAlignment w:val="center"/>
              <w:rPr>
                <w:rFonts w:hint="eastAsia" w:ascii="宋体" w:hAnsi="宋体" w:cs="宋体"/>
                <w:color w:val="000000"/>
                <w:kern w:val="0"/>
                <w:szCs w:val="21"/>
              </w:rPr>
            </w:pPr>
            <w:r>
              <w:rPr>
                <w:rFonts w:hint="eastAsia" w:ascii="宋体" w:hAnsi="宋体" w:cs="宋体"/>
                <w:color w:val="000000"/>
                <w:kern w:val="0"/>
                <w:szCs w:val="21"/>
              </w:rPr>
              <w:t>提供4</w:t>
            </w:r>
            <w:r>
              <w:rPr>
                <w:rFonts w:hint="eastAsia" w:ascii="宋体" w:hAnsi="宋体" w:cs="宋体"/>
                <w:color w:val="000000"/>
                <w:kern w:val="0"/>
                <w:szCs w:val="21"/>
                <w:lang w:val="en-US" w:eastAsia="zh-CN"/>
              </w:rPr>
              <w:t>8</w:t>
            </w:r>
            <w:r>
              <w:rPr>
                <w:rFonts w:hint="eastAsia" w:ascii="宋体" w:hAnsi="宋体" w:cs="宋体"/>
                <w:color w:val="000000"/>
                <w:kern w:val="0"/>
                <w:szCs w:val="21"/>
              </w:rPr>
              <w:t>条裸纤链路的租赁服务</w:t>
            </w:r>
          </w:p>
        </w:tc>
        <w:tc>
          <w:tcPr>
            <w:tcW w:w="5277" w:type="dxa"/>
            <w:tcBorders>
              <w:top w:val="single" w:color="auto" w:sz="4" w:space="0"/>
              <w:left w:val="single" w:color="auto" w:sz="4" w:space="0"/>
              <w:bottom w:val="single" w:color="auto" w:sz="4" w:space="0"/>
              <w:right w:val="single" w:color="auto" w:sz="4" w:space="0"/>
            </w:tcBorders>
            <w:noWrap w:val="0"/>
            <w:vAlign w:val="center"/>
          </w:tcPr>
          <w:p w14:paraId="311E8077">
            <w:pPr>
              <w:widowControl/>
              <w:spacing w:line="23" w:lineRule="atLeast"/>
              <w:textAlignment w:val="center"/>
              <w:rPr>
                <w:rFonts w:hint="eastAsia" w:ascii="宋体" w:hAnsi="宋体" w:cs="宋体"/>
                <w:color w:val="000000"/>
                <w:kern w:val="0"/>
                <w:szCs w:val="21"/>
              </w:rPr>
            </w:pPr>
            <w:r>
              <w:rPr>
                <w:rFonts w:hint="eastAsia" w:ascii="宋体" w:hAnsi="宋体" w:cs="宋体"/>
                <w:color w:val="000000"/>
                <w:kern w:val="0"/>
                <w:szCs w:val="21"/>
              </w:rPr>
              <w:t>单模裸纤，单双纤根据实际设备确定</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7FBB9CA5">
            <w:pPr>
              <w:spacing w:line="23" w:lineRule="atLeast"/>
              <w:jc w:val="center"/>
              <w:rPr>
                <w:rFonts w:hint="eastAsia" w:ascii="宋体" w:hAnsi="宋体" w:cs="宋体"/>
                <w:color w:val="000000"/>
                <w:szCs w:val="21"/>
              </w:rPr>
            </w:pPr>
            <w:r>
              <w:rPr>
                <w:rFonts w:hint="eastAsia" w:ascii="宋体" w:hAnsi="宋体" w:cs="宋体"/>
                <w:color w:val="000000"/>
                <w:szCs w:val="21"/>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27DD79AB">
            <w:pPr>
              <w:spacing w:line="23" w:lineRule="atLeast"/>
              <w:ind w:firstLine="210" w:firstLineChars="100"/>
              <w:rPr>
                <w:rFonts w:ascii="宋体" w:hAnsi="宋体" w:cs="宋体"/>
                <w:color w:val="000000"/>
                <w:szCs w:val="21"/>
              </w:rPr>
            </w:pPr>
            <w:r>
              <w:rPr>
                <w:rFonts w:hint="eastAsia" w:ascii="宋体" w:hAnsi="宋体" w:cs="宋体"/>
                <w:color w:val="000000"/>
                <w:szCs w:val="21"/>
              </w:rPr>
              <w:t>年</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9FE6D31">
            <w:pPr>
              <w:spacing w:line="23" w:lineRule="atLeast"/>
              <w:ind w:firstLine="210" w:firstLineChars="100"/>
              <w:rPr>
                <w:rFonts w:ascii="宋体" w:hAnsi="宋体" w:cs="宋体"/>
                <w:color w:val="000000"/>
                <w:szCs w:val="21"/>
              </w:rPr>
            </w:pPr>
          </w:p>
        </w:tc>
      </w:tr>
      <w:tr w14:paraId="219F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14:paraId="2E97C856">
            <w:pPr>
              <w:spacing w:line="23" w:lineRule="atLeast"/>
              <w:jc w:val="center"/>
              <w:rPr>
                <w:rFonts w:hint="eastAsia" w:ascii="宋体" w:hAnsi="宋体" w:cs="宋体"/>
                <w:color w:val="000000"/>
                <w:szCs w:val="21"/>
              </w:rPr>
            </w:pPr>
            <w:r>
              <w:rPr>
                <w:rFonts w:hint="eastAsia" w:ascii="宋体" w:hAnsi="宋体" w:cs="宋体"/>
                <w:color w:val="000000"/>
                <w:szCs w:val="21"/>
              </w:rPr>
              <w:t>2</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52F6CBA">
            <w:pPr>
              <w:widowControl/>
              <w:spacing w:line="23" w:lineRule="atLeast"/>
              <w:textAlignment w:val="center"/>
              <w:rPr>
                <w:rFonts w:hint="eastAsia" w:ascii="宋体" w:hAnsi="宋体" w:cs="宋体"/>
                <w:color w:val="000000"/>
                <w:kern w:val="0"/>
                <w:szCs w:val="21"/>
              </w:rPr>
            </w:pPr>
            <w:r>
              <w:rPr>
                <w:rFonts w:hint="eastAsia" w:ascii="宋体" w:hAnsi="宋体" w:cs="宋体"/>
                <w:color w:val="000000"/>
                <w:kern w:val="0"/>
                <w:szCs w:val="21"/>
              </w:rPr>
              <w:t>提供链路的对接、故障维保等服务</w:t>
            </w:r>
          </w:p>
        </w:tc>
        <w:tc>
          <w:tcPr>
            <w:tcW w:w="5277" w:type="dxa"/>
            <w:tcBorders>
              <w:top w:val="single" w:color="auto" w:sz="4" w:space="0"/>
              <w:left w:val="single" w:color="auto" w:sz="4" w:space="0"/>
              <w:bottom w:val="single" w:color="auto" w:sz="4" w:space="0"/>
              <w:right w:val="single" w:color="auto" w:sz="4" w:space="0"/>
            </w:tcBorders>
            <w:noWrap w:val="0"/>
            <w:vAlign w:val="center"/>
          </w:tcPr>
          <w:p w14:paraId="17DD2DA1">
            <w:pPr>
              <w:spacing w:line="23" w:lineRule="atLeast"/>
              <w:rPr>
                <w:rFonts w:hint="eastAsia" w:ascii="宋体" w:hAnsi="宋体" w:cs="宋体"/>
                <w:color w:val="000000"/>
                <w:szCs w:val="21"/>
              </w:rPr>
            </w:pPr>
            <w:r>
              <w:rPr>
                <w:rFonts w:hint="eastAsia" w:ascii="宋体" w:hAnsi="宋体" w:cs="宋体"/>
                <w:color w:val="000000"/>
                <w:kern w:val="0"/>
                <w:szCs w:val="21"/>
              </w:rPr>
              <w:t>提供链路的对接、故障维保等服务</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F4FBA37">
            <w:pPr>
              <w:spacing w:line="23" w:lineRule="atLeast"/>
              <w:jc w:val="center"/>
              <w:rPr>
                <w:rFonts w:hint="eastAsia" w:ascii="宋体" w:hAnsi="宋体" w:cs="宋体"/>
                <w:color w:val="000000"/>
                <w:szCs w:val="21"/>
              </w:rPr>
            </w:pPr>
            <w:r>
              <w:rPr>
                <w:rFonts w:hint="eastAsia" w:ascii="宋体" w:hAnsi="宋体" w:cs="宋体"/>
                <w:color w:val="000000"/>
                <w:szCs w:val="21"/>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04459C0E">
            <w:pPr>
              <w:spacing w:line="23" w:lineRule="atLeast"/>
              <w:ind w:firstLine="210" w:firstLineChars="100"/>
              <w:rPr>
                <w:rFonts w:ascii="宋体" w:hAnsi="宋体" w:cs="宋体"/>
                <w:color w:val="000000"/>
                <w:szCs w:val="21"/>
              </w:rPr>
            </w:pPr>
            <w:r>
              <w:rPr>
                <w:rFonts w:hint="eastAsia" w:ascii="宋体" w:hAnsi="宋体" w:cs="宋体"/>
                <w:color w:val="000000"/>
                <w:szCs w:val="21"/>
              </w:rPr>
              <w:t>年</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26FB490">
            <w:pPr>
              <w:spacing w:line="23" w:lineRule="atLeast"/>
              <w:ind w:firstLine="210" w:firstLineChars="100"/>
              <w:rPr>
                <w:rFonts w:ascii="宋体" w:hAnsi="宋体" w:cs="宋体"/>
                <w:color w:val="000000"/>
                <w:szCs w:val="21"/>
              </w:rPr>
            </w:pPr>
          </w:p>
        </w:tc>
      </w:tr>
    </w:tbl>
    <w:p w14:paraId="011CAF8D">
      <w:pPr>
        <w:spacing w:line="23" w:lineRule="atLeast"/>
        <w:rPr>
          <w:color w:val="000000"/>
        </w:rPr>
      </w:pPr>
      <w:r>
        <w:rPr>
          <w:color w:val="000000"/>
        </w:rPr>
        <w:t xml:space="preserve"> </w:t>
      </w:r>
    </w:p>
    <w:p w14:paraId="636072F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ascii="仿宋" w:hAnsi="仿宋" w:eastAsia="仿宋" w:cs="仿宋"/>
          <w:color w:val="000000"/>
          <w:sz w:val="28"/>
          <w:szCs w:val="28"/>
        </w:rPr>
        <w:t>2.交货期（服务时间）：合同生效后5个工作日。</w:t>
      </w:r>
    </w:p>
    <w:p w14:paraId="365A9A58">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000000"/>
          <w:sz w:val="28"/>
          <w:szCs w:val="28"/>
        </w:rPr>
      </w:pPr>
      <w:r>
        <w:rPr>
          <w:rFonts w:hint="eastAsia" w:ascii="仿宋" w:hAnsi="仿宋" w:eastAsia="仿宋" w:cs="仿宋"/>
          <w:color w:val="000000"/>
          <w:sz w:val="28"/>
          <w:szCs w:val="28"/>
        </w:rPr>
        <w:t>3.交货（服务）地点：南通市教育技术中心指定地点。</w:t>
      </w:r>
    </w:p>
    <w:p w14:paraId="14C74A71">
      <w:pPr>
        <w:spacing w:line="23" w:lineRule="atLeast"/>
        <w:rPr>
          <w:rFonts w:ascii="仿宋" w:hAnsi="仿宋" w:eastAsia="仿宋" w:cs="仿宋"/>
          <w:color w:val="000000"/>
          <w:sz w:val="28"/>
          <w:szCs w:val="28"/>
        </w:rPr>
      </w:pPr>
      <w:r>
        <w:rPr>
          <w:rFonts w:eastAsia="方正仿宋_GBK"/>
          <w:b/>
          <w:bCs/>
          <w:color w:val="000000"/>
          <w:sz w:val="28"/>
          <w:szCs w:val="28"/>
        </w:rPr>
        <w:t>（五）采购标的需满足的服务标准、期限、效率等要求；</w:t>
      </w:r>
    </w:p>
    <w:p w14:paraId="7F5EA12B">
      <w:pPr>
        <w:adjustRightInd w:val="0"/>
        <w:snapToGrid w:val="0"/>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1、服务期为1年；</w:t>
      </w:r>
    </w:p>
    <w:p w14:paraId="0307DA80">
      <w:pPr>
        <w:adjustRightInd w:val="0"/>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2、需提供专属一对一24小时技术支持，对</w:t>
      </w:r>
      <w:r>
        <w:rPr>
          <w:rFonts w:ascii="仿宋" w:hAnsi="仿宋" w:eastAsia="仿宋"/>
          <w:color w:val="000000"/>
          <w:sz w:val="28"/>
          <w:szCs w:val="28"/>
        </w:rPr>
        <w:t>4</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条裸纤链路的任意接入终端实时安全监测，精准定位失陷主机，防护恶意软件、勒索病毒、钓鱼等安全威胁，简化上网行为管控，扫除网络出口安全盲点。</w:t>
      </w:r>
    </w:p>
    <w:p w14:paraId="085B536B">
      <w:pPr>
        <w:adjustRightInd w:val="0"/>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w:t>
      </w:r>
      <w:r>
        <w:rPr>
          <w:rFonts w:hint="eastAsia" w:ascii="仿宋" w:hAnsi="仿宋" w:eastAsia="仿宋" w:cs="仿宋"/>
          <w:color w:val="000000"/>
          <w:sz w:val="28"/>
          <w:szCs w:val="28"/>
        </w:rPr>
        <w:t>线路性能要求：合同期内，采购人有权随时检测裸纤线路性能，模拟真实应用场景（例如：裸纤线路两侧架设FTP进行数据下载测试），要求数据传输速率达到10G，若检测不达标，第一次警告整改，第二次解除合同。</w:t>
      </w:r>
    </w:p>
    <w:p w14:paraId="125B2067">
      <w:pPr>
        <w:adjustRightInd w:val="0"/>
        <w:snapToGrid w:val="0"/>
        <w:spacing w:line="500" w:lineRule="exact"/>
        <w:rPr>
          <w:rFonts w:eastAsia="方正仿宋_GBK"/>
          <w:b/>
          <w:bCs/>
          <w:color w:val="000000"/>
          <w:sz w:val="28"/>
          <w:szCs w:val="28"/>
        </w:rPr>
      </w:pPr>
      <w:r>
        <w:rPr>
          <w:rFonts w:eastAsia="方正仿宋_GBK"/>
          <w:b/>
          <w:bCs/>
          <w:color w:val="000000"/>
          <w:sz w:val="28"/>
          <w:szCs w:val="28"/>
        </w:rPr>
        <w:t>（六）采购标的的验收标准；</w:t>
      </w:r>
    </w:p>
    <w:p w14:paraId="3DBD8B9B">
      <w:pPr>
        <w:adjustRightInd w:val="0"/>
        <w:snapToGrid w:val="0"/>
        <w:spacing w:line="5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工程验收时，中标方需提供合理有效的纯裸纤测试报告。</w:t>
      </w:r>
    </w:p>
    <w:p w14:paraId="487E35BD">
      <w:pPr>
        <w:adjustRightInd w:val="0"/>
        <w:snapToGrid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在接到供应商以书面形式提出验收申请后，按照政府信息化项目的验收规定组织验收，并出具验收报告，作为支付货款的依据。</w:t>
      </w:r>
    </w:p>
    <w:p w14:paraId="031BFD2E">
      <w:pPr>
        <w:numPr>
          <w:ilvl w:val="0"/>
          <w:numId w:val="3"/>
        </w:numPr>
        <w:adjustRightInd w:val="0"/>
        <w:snapToGrid w:val="0"/>
        <w:spacing w:line="500" w:lineRule="exact"/>
        <w:rPr>
          <w:rFonts w:eastAsia="方正仿宋_GBK"/>
          <w:b/>
          <w:bCs/>
          <w:color w:val="000000"/>
          <w:sz w:val="28"/>
          <w:szCs w:val="28"/>
        </w:rPr>
      </w:pPr>
      <w:r>
        <w:rPr>
          <w:rFonts w:eastAsia="方正仿宋_GBK"/>
          <w:b/>
          <w:bCs/>
          <w:color w:val="000000"/>
          <w:sz w:val="28"/>
          <w:szCs w:val="28"/>
        </w:rPr>
        <w:t>采购标的的其他技术、服务等要求；</w:t>
      </w:r>
    </w:p>
    <w:p w14:paraId="21C663B7">
      <w:pPr>
        <w:adjustRightInd w:val="0"/>
        <w:snapToGrid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1.提供1年或以上免费质量保修及售后服务承诺，不满足1年质保期为无效标书，质保期自双方在验收单上签字之日算起。</w:t>
      </w:r>
    </w:p>
    <w:p w14:paraId="0575BABA">
      <w:pPr>
        <w:adjustRightInd w:val="0"/>
        <w:snapToGrid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highlight w:val="none"/>
        </w:rPr>
        <w:t>.</w:t>
      </w:r>
      <w:r>
        <w:rPr>
          <w:rFonts w:hint="eastAsia" w:ascii="仿宋" w:hAnsi="仿宋" w:eastAsia="仿宋" w:cs="仿宋"/>
          <w:b w:val="0"/>
          <w:kern w:val="2"/>
          <w:sz w:val="28"/>
          <w:szCs w:val="28"/>
          <w:highlight w:val="none"/>
          <w:lang w:val="en-US" w:eastAsia="zh-CN" w:bidi="ar-SA"/>
        </w:rPr>
        <w:t>本次招标服务期为一年，本项目采取一次招标三年沿用，实行一年一签合同</w:t>
      </w:r>
      <w:r>
        <w:rPr>
          <w:rFonts w:hint="eastAsia" w:eastAsia="方正仿宋_GBK"/>
          <w:sz w:val="28"/>
          <w:szCs w:val="28"/>
        </w:rPr>
        <w:t>，供方服务良好且需求不变的情况下可根据采购人需求进行续签。</w:t>
      </w:r>
    </w:p>
    <w:p w14:paraId="233622D8">
      <w:pPr>
        <w:numPr>
          <w:ilvl w:val="0"/>
          <w:numId w:val="3"/>
        </w:numPr>
        <w:adjustRightInd w:val="0"/>
        <w:snapToGrid w:val="0"/>
        <w:spacing w:line="500" w:lineRule="exact"/>
        <w:rPr>
          <w:rFonts w:eastAsia="方正仿宋_GBK"/>
          <w:b/>
          <w:bCs/>
          <w:color w:val="000000"/>
          <w:sz w:val="28"/>
          <w:szCs w:val="28"/>
        </w:rPr>
      </w:pPr>
      <w:r>
        <w:rPr>
          <w:rFonts w:eastAsia="方正仿宋_GBK"/>
          <w:b/>
          <w:bCs/>
          <w:color w:val="000000"/>
          <w:sz w:val="28"/>
          <w:szCs w:val="28"/>
        </w:rPr>
        <w:t>付款方式；</w:t>
      </w:r>
    </w:p>
    <w:p w14:paraId="3D040642">
      <w:pPr>
        <w:spacing w:before="120" w:after="120" w:line="23" w:lineRule="atLeast"/>
        <w:ind w:firstLine="422" w:firstLineChars="151"/>
        <w:rPr>
          <w:rFonts w:hint="eastAsia" w:ascii="仿宋" w:hAnsi="仿宋" w:eastAsia="仿宋" w:cs="仿宋"/>
          <w:bCs/>
          <w:color w:val="000000"/>
          <w:sz w:val="28"/>
          <w:szCs w:val="28"/>
        </w:rPr>
      </w:pPr>
      <w:r>
        <w:rPr>
          <w:rFonts w:hint="eastAsia" w:ascii="仿宋" w:hAnsi="仿宋" w:eastAsia="仿宋" w:cs="仿宋"/>
          <w:bCs/>
          <w:color w:val="000000"/>
          <w:sz w:val="28"/>
          <w:szCs w:val="28"/>
        </w:rPr>
        <w:t>项目验收合格之后支付成交金额的</w:t>
      </w:r>
      <w:r>
        <w:rPr>
          <w:rFonts w:hint="eastAsia" w:ascii="仿宋" w:hAnsi="仿宋" w:eastAsia="仿宋" w:cs="仿宋"/>
          <w:bCs/>
          <w:color w:val="000000"/>
          <w:sz w:val="28"/>
          <w:szCs w:val="28"/>
          <w:lang w:val="en-US" w:eastAsia="zh-CN"/>
        </w:rPr>
        <w:t>10</w:t>
      </w:r>
      <w:r>
        <w:rPr>
          <w:rFonts w:hint="eastAsia" w:ascii="仿宋" w:hAnsi="仿宋" w:eastAsia="仿宋" w:cs="仿宋"/>
          <w:bCs/>
          <w:color w:val="000000"/>
          <w:sz w:val="28"/>
          <w:szCs w:val="28"/>
        </w:rPr>
        <w:t>0%。</w:t>
      </w:r>
    </w:p>
    <w:p w14:paraId="044166C3">
      <w:pPr>
        <w:spacing w:before="120" w:after="120" w:line="23" w:lineRule="atLeast"/>
        <w:ind w:firstLine="422" w:firstLineChars="151"/>
        <w:rPr>
          <w:rFonts w:hint="eastAsia"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备注：本项目原有</w:t>
      </w:r>
      <w:r>
        <w:rPr>
          <w:rFonts w:hint="eastAsia" w:ascii="仿宋" w:hAnsi="仿宋" w:eastAsia="仿宋" w:cs="仿宋"/>
          <w:bCs/>
          <w:color w:val="000000"/>
          <w:sz w:val="28"/>
          <w:szCs w:val="28"/>
          <w:highlight w:val="yellow"/>
          <w:lang w:val="en-US" w:eastAsia="zh-CN"/>
        </w:rPr>
        <w:t>43</w:t>
      </w:r>
      <w:r>
        <w:rPr>
          <w:rFonts w:hint="eastAsia" w:ascii="仿宋" w:hAnsi="仿宋" w:eastAsia="仿宋" w:cs="仿宋"/>
          <w:bCs/>
          <w:color w:val="000000"/>
          <w:sz w:val="28"/>
          <w:szCs w:val="28"/>
          <w:highlight w:val="yellow"/>
        </w:rPr>
        <w:t>条光纤于202</w:t>
      </w:r>
      <w:r>
        <w:rPr>
          <w:rFonts w:hint="eastAsia" w:ascii="仿宋" w:hAnsi="仿宋" w:eastAsia="仿宋" w:cs="仿宋"/>
          <w:bCs/>
          <w:color w:val="000000"/>
          <w:sz w:val="28"/>
          <w:szCs w:val="28"/>
          <w:highlight w:val="yellow"/>
          <w:lang w:val="en-US" w:eastAsia="zh-CN"/>
        </w:rPr>
        <w:t>5</w:t>
      </w:r>
      <w:r>
        <w:rPr>
          <w:rFonts w:hint="eastAsia" w:ascii="仿宋" w:hAnsi="仿宋" w:eastAsia="仿宋" w:cs="仿宋"/>
          <w:bCs/>
          <w:color w:val="000000"/>
          <w:sz w:val="28"/>
          <w:szCs w:val="28"/>
          <w:highlight w:val="yellow"/>
        </w:rPr>
        <w:t>年</w:t>
      </w:r>
      <w:r>
        <w:rPr>
          <w:rFonts w:hint="eastAsia" w:ascii="仿宋" w:hAnsi="仿宋" w:eastAsia="仿宋" w:cs="仿宋"/>
          <w:bCs/>
          <w:color w:val="000000"/>
          <w:sz w:val="28"/>
          <w:szCs w:val="28"/>
          <w:highlight w:val="yellow"/>
          <w:lang w:val="en-US" w:eastAsia="zh-CN"/>
        </w:rPr>
        <w:t>11</w:t>
      </w:r>
      <w:r>
        <w:rPr>
          <w:rFonts w:hint="eastAsia" w:ascii="仿宋" w:hAnsi="仿宋" w:eastAsia="仿宋" w:cs="仿宋"/>
          <w:bCs/>
          <w:color w:val="000000"/>
          <w:sz w:val="28"/>
          <w:szCs w:val="28"/>
          <w:highlight w:val="yellow"/>
        </w:rPr>
        <w:t>月30日到期，故本次支付为</w:t>
      </w:r>
      <w:r>
        <w:rPr>
          <w:rFonts w:hint="eastAsia" w:ascii="仿宋" w:hAnsi="仿宋" w:eastAsia="仿宋" w:cs="仿宋"/>
          <w:bCs/>
          <w:color w:val="000000"/>
          <w:sz w:val="28"/>
          <w:szCs w:val="28"/>
          <w:highlight w:val="yellow"/>
          <w:lang w:val="en-US" w:eastAsia="zh-CN"/>
        </w:rPr>
        <w:t>5</w:t>
      </w:r>
      <w:r>
        <w:rPr>
          <w:rFonts w:hint="eastAsia" w:ascii="仿宋" w:hAnsi="仿宋" w:eastAsia="仿宋" w:cs="仿宋"/>
          <w:bCs/>
          <w:color w:val="000000"/>
          <w:sz w:val="28"/>
          <w:szCs w:val="28"/>
          <w:highlight w:val="yellow"/>
        </w:rPr>
        <w:t>条裸纤1年的服务费及</w:t>
      </w:r>
      <w:r>
        <w:rPr>
          <w:rFonts w:hint="eastAsia" w:ascii="仿宋" w:hAnsi="仿宋" w:eastAsia="仿宋" w:cs="仿宋"/>
          <w:bCs/>
          <w:color w:val="000000"/>
          <w:sz w:val="28"/>
          <w:szCs w:val="28"/>
          <w:highlight w:val="yellow"/>
          <w:lang w:val="en-US" w:eastAsia="zh-CN"/>
        </w:rPr>
        <w:t>43</w:t>
      </w:r>
      <w:r>
        <w:rPr>
          <w:rFonts w:hint="eastAsia" w:ascii="仿宋" w:hAnsi="仿宋" w:eastAsia="仿宋" w:cs="仿宋"/>
          <w:bCs/>
          <w:color w:val="000000"/>
          <w:sz w:val="28"/>
          <w:szCs w:val="28"/>
          <w:highlight w:val="yellow"/>
        </w:rPr>
        <w:t>条裸纤202</w:t>
      </w:r>
      <w:r>
        <w:rPr>
          <w:rFonts w:hint="eastAsia" w:ascii="仿宋" w:hAnsi="仿宋" w:eastAsia="仿宋" w:cs="仿宋"/>
          <w:bCs/>
          <w:color w:val="000000"/>
          <w:sz w:val="28"/>
          <w:szCs w:val="28"/>
          <w:highlight w:val="yellow"/>
          <w:lang w:val="en-US" w:eastAsia="zh-CN"/>
        </w:rPr>
        <w:t>5</w:t>
      </w:r>
      <w:r>
        <w:rPr>
          <w:rFonts w:hint="eastAsia" w:ascii="仿宋" w:hAnsi="仿宋" w:eastAsia="仿宋" w:cs="仿宋"/>
          <w:bCs/>
          <w:color w:val="000000"/>
          <w:sz w:val="28"/>
          <w:szCs w:val="28"/>
          <w:highlight w:val="yellow"/>
        </w:rPr>
        <w:t>年</w:t>
      </w:r>
      <w:r>
        <w:rPr>
          <w:rFonts w:hint="eastAsia" w:ascii="仿宋" w:hAnsi="仿宋" w:eastAsia="仿宋" w:cs="仿宋"/>
          <w:bCs/>
          <w:color w:val="000000"/>
          <w:sz w:val="28"/>
          <w:szCs w:val="28"/>
          <w:highlight w:val="yellow"/>
          <w:lang w:val="en-US" w:eastAsia="zh-CN"/>
        </w:rPr>
        <w:t>12</w:t>
      </w:r>
      <w:r>
        <w:rPr>
          <w:rFonts w:hint="eastAsia" w:ascii="仿宋" w:hAnsi="仿宋" w:eastAsia="仿宋" w:cs="仿宋"/>
          <w:bCs/>
          <w:color w:val="000000"/>
          <w:sz w:val="28"/>
          <w:szCs w:val="28"/>
          <w:highlight w:val="yellow"/>
        </w:rPr>
        <w:t>月1日至合同约定结束日期的服务费。</w:t>
      </w:r>
    </w:p>
    <w:p w14:paraId="0C54DCE2">
      <w:pPr>
        <w:adjustRightInd w:val="0"/>
        <w:snapToGrid w:val="0"/>
        <w:spacing w:line="500" w:lineRule="exact"/>
        <w:rPr>
          <w:rFonts w:hint="eastAsia" w:eastAsia="方正仿宋_GBK"/>
          <w:b/>
          <w:color w:val="000000"/>
          <w:sz w:val="28"/>
          <w:szCs w:val="28"/>
        </w:rPr>
      </w:pPr>
      <w:r>
        <w:rPr>
          <w:rFonts w:hint="eastAsia" w:eastAsia="方正仿宋_GBK"/>
          <w:b/>
          <w:color w:val="000000"/>
          <w:sz w:val="28"/>
          <w:szCs w:val="28"/>
        </w:rPr>
        <w:t>（九）履约保证金：</w:t>
      </w:r>
    </w:p>
    <w:p w14:paraId="2A920E25">
      <w:pPr>
        <w:adjustRightInd w:val="0"/>
        <w:snapToGrid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本项目成交后的履约保证金为项目成交价的10%，成交供应商的履约保证金须在成交通知书发出之日起至合同签订前汇入采购单位账户（应当以支票、汇票或者金融机构、担保机构出具的保函等非现金形式提交），成交供应商凭成交通知书与采购单位签订合同。超期或未有协商，则视为自动放弃成交资格。</w:t>
      </w:r>
      <w:r>
        <w:rPr>
          <w:rFonts w:hint="eastAsia" w:ascii="仿宋" w:hAnsi="仿宋" w:eastAsia="仿宋" w:cs="仿宋"/>
          <w:color w:val="000000"/>
          <w:sz w:val="28"/>
          <w:szCs w:val="28"/>
        </w:rPr>
        <w:cr/>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2、成交供应商全部履约合同义务，经采购单位验收合格无质量、进度等问题的，采购人在验收合格后一次性退还履约保证金；</w:t>
      </w:r>
      <w:r>
        <w:rPr>
          <w:rFonts w:hint="eastAsia" w:ascii="仿宋" w:hAnsi="仿宋" w:eastAsia="仿宋" w:cs="仿宋"/>
          <w:color w:val="000000"/>
          <w:sz w:val="28"/>
          <w:szCs w:val="28"/>
        </w:rPr>
        <w:cr/>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3、发生以下情况的，履约保证金不予退还或部分退还：</w:t>
      </w:r>
      <w:r>
        <w:rPr>
          <w:rFonts w:hint="eastAsia" w:ascii="仿宋" w:hAnsi="仿宋" w:eastAsia="仿宋" w:cs="仿宋"/>
          <w:color w:val="000000"/>
          <w:sz w:val="28"/>
          <w:szCs w:val="28"/>
        </w:rPr>
        <w:cr/>
      </w:r>
      <w:r>
        <w:rPr>
          <w:rFonts w:hint="eastAsia" w:ascii="仿宋" w:hAnsi="仿宋" w:eastAsia="仿宋" w:cs="仿宋"/>
          <w:color w:val="000000"/>
          <w:sz w:val="28"/>
          <w:szCs w:val="28"/>
        </w:rPr>
        <w:t>a.签订合同后，成交供应商不履行合同义务的，采购单位有权全额扣除履约保证金，全额不予退还，同时采购单位亦有权终止合同，中标供应商还须承担相应的法律赔偿责任。</w:t>
      </w:r>
    </w:p>
    <w:p w14:paraId="3D50DD8C">
      <w:pPr>
        <w:adjustRightInd w:val="0"/>
        <w:snapToGrid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209F865E">
      <w:pPr>
        <w:adjustRightInd w:val="0"/>
        <w:snapToGrid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集中采购的中标（成交）供应商可在南通市公共资源交易金融服务平台 “履约保证保险”模块在线申请履约保证保险投保。</w:t>
      </w:r>
    </w:p>
    <w:p w14:paraId="21F04245">
      <w:pPr>
        <w:adjustRightInd w:val="0"/>
        <w:snapToGrid w:val="0"/>
        <w:spacing w:line="500" w:lineRule="exact"/>
        <w:ind w:firstLine="562" w:firstLineChars="200"/>
        <w:rPr>
          <w:rFonts w:hint="eastAsia" w:eastAsia="方正仿宋_GBK"/>
          <w:b/>
          <w:bCs/>
          <w:color w:val="000000"/>
          <w:sz w:val="28"/>
          <w:szCs w:val="28"/>
        </w:rPr>
      </w:pPr>
    </w:p>
    <w:p w14:paraId="5F2A2CB5">
      <w:pPr>
        <w:pStyle w:val="2"/>
        <w:jc w:val="both"/>
        <w:rPr>
          <w:rFonts w:hint="eastAsia" w:ascii="仿宋" w:hAnsi="仿宋" w:eastAsia="仿宋" w:cs="仿宋"/>
          <w:b/>
          <w:sz w:val="36"/>
          <w:szCs w:val="36"/>
          <w:highlight w:val="none"/>
        </w:rPr>
      </w:pPr>
    </w:p>
    <w:p w14:paraId="56AFDC57">
      <w:pPr>
        <w:rPr>
          <w:rFonts w:hint="eastAsia"/>
        </w:rPr>
      </w:pPr>
    </w:p>
    <w:p w14:paraId="48754AD2">
      <w:pPr>
        <w:pStyle w:val="2"/>
        <w:rPr>
          <w:rFonts w:hint="default"/>
          <w:lang w:val="en-US" w:eastAsia="zh-CN"/>
        </w:rPr>
      </w:pPr>
    </w:p>
    <w:p w14:paraId="4127D6B5">
      <w:pPr>
        <w:pStyle w:val="2"/>
        <w:jc w:val="center"/>
        <w:rPr>
          <w:rFonts w:ascii="仿宋" w:hAnsi="仿宋" w:eastAsia="仿宋" w:cs="仿宋"/>
          <w:b/>
          <w:sz w:val="36"/>
          <w:szCs w:val="36"/>
          <w:highlight w:val="none"/>
        </w:rPr>
      </w:pPr>
      <w:r>
        <w:rPr>
          <w:rFonts w:hint="eastAsia" w:ascii="仿宋" w:hAnsi="仿宋" w:eastAsia="仿宋" w:cs="仿宋"/>
          <w:b/>
          <w:sz w:val="36"/>
          <w:szCs w:val="36"/>
          <w:highlight w:val="none"/>
        </w:rPr>
        <w:t>第四部分  开标和评标</w:t>
      </w:r>
    </w:p>
    <w:p w14:paraId="7687D43D">
      <w:pPr>
        <w:tabs>
          <w:tab w:val="left" w:pos="3585"/>
        </w:tabs>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sz w:val="28"/>
          <w:szCs w:val="28"/>
          <w:highlight w:val="none"/>
        </w:rPr>
        <w:t>采购人组织开标。</w:t>
      </w:r>
    </w:p>
    <w:p w14:paraId="0A985AFE">
      <w:pPr>
        <w:tabs>
          <w:tab w:val="left" w:pos="358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比选人的法定代表人或授权人须持有效身份证参加开标会。</w:t>
      </w:r>
    </w:p>
    <w:p w14:paraId="4262B829">
      <w:pPr>
        <w:snapToGrid w:val="0"/>
        <w:spacing w:line="460" w:lineRule="exact"/>
        <w:ind w:firstLine="562" w:firstLineChars="200"/>
        <w:rPr>
          <w:rFonts w:ascii="仿宋" w:hAnsi="仿宋" w:eastAsia="仿宋" w:cs="仿宋"/>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sz w:val="28"/>
          <w:szCs w:val="28"/>
          <w:highlight w:val="none"/>
        </w:rPr>
        <w:t>评委会由</w:t>
      </w:r>
      <w:r>
        <w:rPr>
          <w:rFonts w:hint="eastAsia" w:ascii="仿宋" w:hAnsi="仿宋" w:eastAsia="仿宋" w:cs="仿宋"/>
          <w:b/>
          <w:bCs/>
          <w:sz w:val="28"/>
          <w:szCs w:val="28"/>
          <w:highlight w:val="none"/>
        </w:rPr>
        <w:t>有关专家和</w:t>
      </w:r>
      <w:r>
        <w:rPr>
          <w:rFonts w:hint="eastAsia" w:ascii="仿宋" w:hAnsi="仿宋" w:eastAsia="仿宋" w:cs="仿宋"/>
          <w:b/>
          <w:sz w:val="28"/>
          <w:szCs w:val="28"/>
          <w:highlight w:val="none"/>
        </w:rPr>
        <w:t>采购人代表</w:t>
      </w:r>
      <w:r>
        <w:rPr>
          <w:rFonts w:hint="eastAsia" w:ascii="仿宋" w:hAnsi="仿宋" w:eastAsia="仿宋" w:cs="仿宋"/>
          <w:b/>
          <w:bCs/>
          <w:sz w:val="28"/>
          <w:szCs w:val="28"/>
          <w:highlight w:val="none"/>
        </w:rPr>
        <w:t>组成</w:t>
      </w:r>
      <w:r>
        <w:rPr>
          <w:rFonts w:hint="eastAsia" w:ascii="仿宋" w:hAnsi="仿宋" w:eastAsia="仿宋" w:cs="仿宋"/>
          <w:sz w:val="28"/>
          <w:szCs w:val="28"/>
          <w:highlight w:val="none"/>
        </w:rPr>
        <w:t>，按照</w:t>
      </w:r>
      <w:r>
        <w:rPr>
          <w:rFonts w:hint="eastAsia" w:ascii="仿宋" w:hAnsi="仿宋" w:eastAsia="仿宋" w:cs="仿宋"/>
          <w:bCs/>
          <w:sz w:val="28"/>
          <w:szCs w:val="28"/>
          <w:highlight w:val="none"/>
        </w:rPr>
        <w:t>公平、公正、择优的原则进行</w:t>
      </w:r>
      <w:r>
        <w:rPr>
          <w:rFonts w:hint="eastAsia" w:ascii="仿宋" w:hAnsi="仿宋" w:eastAsia="仿宋" w:cs="仿宋"/>
          <w:sz w:val="28"/>
          <w:szCs w:val="28"/>
          <w:highlight w:val="none"/>
        </w:rPr>
        <w:t>独立</w:t>
      </w:r>
      <w:r>
        <w:rPr>
          <w:rFonts w:hint="eastAsia" w:ascii="仿宋" w:hAnsi="仿宋" w:eastAsia="仿宋" w:cs="仿宋"/>
          <w:bCs/>
          <w:sz w:val="28"/>
          <w:szCs w:val="28"/>
          <w:highlight w:val="none"/>
        </w:rPr>
        <w:t>评标。</w:t>
      </w:r>
    </w:p>
    <w:p w14:paraId="36E36A2C">
      <w:pPr>
        <w:tabs>
          <w:tab w:val="left" w:pos="358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由采购人代表对比选人资格性、符合性审查，对未通过审查的供应商，应现场告知原因。评委会对合格供应商的比选文件进行评审。</w:t>
      </w:r>
    </w:p>
    <w:p w14:paraId="2BA9F928">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（一）评审内容</w:t>
      </w:r>
    </w:p>
    <w:p w14:paraId="4FAFCB8B">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1.比选资格是否符合</w:t>
      </w:r>
    </w:p>
    <w:p w14:paraId="414D6986">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2.比选文件是否完整；</w:t>
      </w:r>
    </w:p>
    <w:p w14:paraId="772D9046">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3.比选文件是否恰当地签署；</w:t>
      </w:r>
    </w:p>
    <w:p w14:paraId="16A780DF">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4.是否作出实质性响应（</w:t>
      </w:r>
      <w:r>
        <w:rPr>
          <w:rFonts w:hint="eastAsia" w:ascii="仿宋" w:hAnsi="仿宋" w:eastAsia="仿宋" w:cs="仿宋"/>
          <w:b/>
          <w:sz w:val="28"/>
          <w:szCs w:val="28"/>
          <w:highlight w:val="none"/>
        </w:rPr>
        <w:t>是否有实质性响应，只根据比选文件本身，而不寻求外部证据）；</w:t>
      </w:r>
    </w:p>
    <w:p w14:paraId="5AF10381">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5.是否有计算错误。</w:t>
      </w:r>
    </w:p>
    <w:p w14:paraId="72B72AFA">
      <w:pPr>
        <w:snapToGrid w:val="0"/>
        <w:spacing w:line="4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（二）相应的规定</w:t>
      </w:r>
    </w:p>
    <w:p w14:paraId="3781B9CD">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1.</w:t>
      </w:r>
      <w:r>
        <w:rPr>
          <w:rFonts w:hint="eastAsia" w:ascii="仿宋" w:hAnsi="仿宋" w:eastAsia="仿宋" w:cs="仿宋"/>
          <w:sz w:val="28"/>
          <w:szCs w:val="28"/>
          <w:highlight w:val="none"/>
        </w:rPr>
        <w:t>如果单价汇总金额与总价金额有出入，以单价金额计算结果为准；</w:t>
      </w:r>
    </w:p>
    <w:p w14:paraId="31FE2A5D">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2.单价金额小数点有明显错位的，应以总价为准；</w:t>
      </w:r>
    </w:p>
    <w:p w14:paraId="51FF0F44">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3.正本与副本有矛盾的，以正本为准；</w:t>
      </w:r>
    </w:p>
    <w:p w14:paraId="047CB839">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4.若文件大写表示的数据与数字表示的有差别，以大写表示的数据为准。</w:t>
      </w:r>
    </w:p>
    <w:p w14:paraId="3E358E8B">
      <w:pPr>
        <w:tabs>
          <w:tab w:val="left" w:pos="3585"/>
        </w:tabs>
        <w:snapToGrid w:val="0"/>
        <w:spacing w:line="4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三、</w:t>
      </w:r>
      <w:r>
        <w:rPr>
          <w:rFonts w:hint="eastAsia" w:ascii="仿宋" w:hAnsi="仿宋" w:eastAsia="仿宋" w:cs="仿宋"/>
          <w:b/>
          <w:sz w:val="28"/>
          <w:szCs w:val="28"/>
          <w:highlight w:val="none"/>
        </w:rPr>
        <w:t>陈述、演示、</w:t>
      </w:r>
      <w:r>
        <w:rPr>
          <w:rFonts w:hint="eastAsia" w:ascii="仿宋" w:hAnsi="仿宋" w:eastAsia="仿宋" w:cs="仿宋"/>
          <w:b/>
          <w:bCs/>
          <w:sz w:val="28"/>
          <w:szCs w:val="28"/>
          <w:highlight w:val="none"/>
        </w:rPr>
        <w:t>答疑、澄清</w:t>
      </w:r>
    </w:p>
    <w:p w14:paraId="4B043CD0">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如评委会认为有必要，比选人按评委会的要求作陈述、演示、</w:t>
      </w:r>
      <w:r>
        <w:rPr>
          <w:rFonts w:hint="eastAsia" w:ascii="仿宋" w:hAnsi="仿宋" w:eastAsia="仿宋" w:cs="仿宋"/>
          <w:sz w:val="28"/>
          <w:szCs w:val="28"/>
          <w:highlight w:val="none"/>
        </w:rPr>
        <w:t>答疑及澄清其比选内容。时间由评委会掌握。</w:t>
      </w:r>
    </w:p>
    <w:p w14:paraId="75451F13">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重要澄清答复应是书面的，但不得对比选内容进行实质性修改。</w:t>
      </w:r>
    </w:p>
    <w:p w14:paraId="3CF8A401">
      <w:pPr>
        <w:tabs>
          <w:tab w:val="left" w:pos="6555"/>
          <w:tab w:val="right" w:pos="8306"/>
        </w:tabs>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四、出现下列情形之一的，作无效比选处理;</w:t>
      </w:r>
    </w:p>
    <w:p w14:paraId="19C93C89">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1.未按照采购文件规定要求签署、盖章的；</w:t>
      </w:r>
    </w:p>
    <w:p w14:paraId="564CDB2D">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2.不具备采购文件中规定的资格要求的；</w:t>
      </w:r>
    </w:p>
    <w:p w14:paraId="17D98DDF">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3.报价超过采购文件中规定的预算金额或者最高限价的；</w:t>
      </w:r>
    </w:p>
    <w:p w14:paraId="331E81FF">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4.比选文件含有采购人不能接受的附加条件的；</w:t>
      </w:r>
    </w:p>
    <w:p w14:paraId="71579909">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5.不符合采购文件中规定的其他实质性要求的。</w:t>
      </w:r>
    </w:p>
    <w:p w14:paraId="50D9FB08">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五、出现下列情形之一的，作废标处理</w:t>
      </w:r>
    </w:p>
    <w:p w14:paraId="3497E7F1">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1.符合条件的供应商或者对比选文件作实质响应的供应商不足</w:t>
      </w:r>
      <w:r>
        <w:rPr>
          <w:rFonts w:hint="eastAsia" w:ascii="仿宋" w:hAnsi="仿宋" w:eastAsia="仿宋" w:cs="仿宋"/>
          <w:b/>
          <w:bCs/>
          <w:sz w:val="28"/>
          <w:szCs w:val="28"/>
          <w:highlight w:val="none"/>
        </w:rPr>
        <w:t>3</w:t>
      </w:r>
      <w:r>
        <w:rPr>
          <w:rFonts w:hint="eastAsia" w:ascii="仿宋" w:hAnsi="仿宋" w:eastAsia="仿宋" w:cs="仿宋"/>
          <w:sz w:val="28"/>
          <w:szCs w:val="28"/>
          <w:highlight w:val="none"/>
        </w:rPr>
        <w:t>家的；</w:t>
      </w:r>
    </w:p>
    <w:p w14:paraId="142A9CEC">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
          <w:sz w:val="28"/>
          <w:szCs w:val="28"/>
          <w:highlight w:val="none"/>
        </w:rPr>
        <w:t>.</w:t>
      </w:r>
      <w:r>
        <w:rPr>
          <w:rFonts w:hint="eastAsia" w:ascii="仿宋" w:hAnsi="仿宋" w:eastAsia="仿宋" w:cs="仿宋"/>
          <w:sz w:val="28"/>
          <w:szCs w:val="28"/>
          <w:highlight w:val="none"/>
        </w:rPr>
        <w:t>出现影响采购公正的违法违规行为的；</w:t>
      </w:r>
    </w:p>
    <w:p w14:paraId="69D004FF">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3.比选人的报价均超过了采购预算，采购人不能支付的；</w:t>
      </w:r>
    </w:p>
    <w:p w14:paraId="0226700D">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4.因重大变故，采购任务取消的。</w:t>
      </w:r>
    </w:p>
    <w:p w14:paraId="51BE885B">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上述均保留评委会认定可以确定为无效比选或废标的其他情况。</w:t>
      </w:r>
    </w:p>
    <w:p w14:paraId="38B9AF12">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Cs/>
          <w:sz w:val="28"/>
          <w:szCs w:val="28"/>
          <w:highlight w:val="none"/>
        </w:rPr>
        <w:t>采用综合评分法。分资格审查、价格标、商务技术标三部分评审，总分值为100分，加分和减分因素除外。</w:t>
      </w:r>
    </w:p>
    <w:p w14:paraId="519DC9A0">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评委在认真审阅比选文件的基础上，根据各比选文件的商务、技术部分的响应情况，对各评分项目进行评分，不得统一打分。</w:t>
      </w:r>
    </w:p>
    <w:p w14:paraId="2AA452C2">
      <w:pPr>
        <w:snapToGrid w:val="0"/>
        <w:spacing w:line="460" w:lineRule="exact"/>
        <w:rPr>
          <w:rFonts w:ascii="仿宋" w:hAnsi="仿宋" w:eastAsia="仿宋" w:cs="仿宋"/>
          <w:b/>
          <w:sz w:val="28"/>
          <w:szCs w:val="28"/>
          <w:highlight w:val="none"/>
        </w:rPr>
      </w:pPr>
      <w:r>
        <w:rPr>
          <w:rFonts w:hint="eastAsia" w:ascii="仿宋" w:hAnsi="仿宋" w:eastAsia="仿宋" w:cs="仿宋"/>
          <w:b/>
          <w:sz w:val="28"/>
          <w:szCs w:val="28"/>
          <w:highlight w:val="none"/>
        </w:rPr>
        <w:t>（一）比选人资格性、符合性审查</w:t>
      </w:r>
    </w:p>
    <w:p w14:paraId="3BAE5D13">
      <w:pPr>
        <w:snapToGrid w:val="0"/>
        <w:spacing w:line="460" w:lineRule="exact"/>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比选人资格性、符合性不合格的，其比选文件判定为无效比选文件。合格的，评委对其比选文件继续评审。</w:t>
      </w:r>
    </w:p>
    <w:p w14:paraId="56E53DE9">
      <w:pPr>
        <w:kinsoku w:val="0"/>
        <w:overflowPunct w:val="0"/>
        <w:autoSpaceDE w:val="0"/>
        <w:autoSpaceDN w:val="0"/>
        <w:adjustRightInd w:val="0"/>
        <w:snapToGrid w:val="0"/>
        <w:spacing w:line="460" w:lineRule="exact"/>
        <w:ind w:firstLine="141" w:firstLineChars="50"/>
        <w:jc w:val="left"/>
        <w:rPr>
          <w:rFonts w:ascii="仿宋" w:hAnsi="仿宋" w:eastAsia="仿宋" w:cs="仿宋"/>
          <w:b/>
          <w:sz w:val="28"/>
          <w:szCs w:val="28"/>
          <w:highlight w:val="none"/>
        </w:rPr>
      </w:pPr>
      <w:r>
        <w:rPr>
          <w:rFonts w:hint="eastAsia" w:ascii="仿宋" w:hAnsi="仿宋" w:eastAsia="仿宋" w:cs="仿宋"/>
          <w:b/>
          <w:sz w:val="28"/>
          <w:szCs w:val="28"/>
          <w:highlight w:val="none"/>
          <w:lang w:val="zh-CN"/>
        </w:rPr>
        <w:t>(二)</w:t>
      </w:r>
      <w:r>
        <w:rPr>
          <w:rFonts w:hint="eastAsia" w:ascii="仿宋" w:hAnsi="仿宋" w:eastAsia="仿宋" w:cs="仿宋"/>
          <w:b/>
          <w:sz w:val="28"/>
          <w:szCs w:val="28"/>
          <w:highlight w:val="none"/>
        </w:rPr>
        <w:t>评分标准与权重</w:t>
      </w:r>
    </w:p>
    <w:p w14:paraId="0040D873">
      <w:pPr>
        <w:kinsoku w:val="0"/>
        <w:overflowPunct w:val="0"/>
        <w:autoSpaceDE w:val="0"/>
        <w:autoSpaceDN w:val="0"/>
        <w:adjustRightInd w:val="0"/>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rPr>
        <w:t>采用综合评分法，根据评分从高到低排序确定成交供应商，评分标准如下：</w:t>
      </w:r>
    </w:p>
    <w:p w14:paraId="21677E1F">
      <w:pPr>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1.商务技术标(</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0分)</w:t>
      </w:r>
    </w:p>
    <w:tbl>
      <w:tblPr>
        <w:tblStyle w:val="7"/>
        <w:tblW w:w="9656"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118"/>
        <w:gridCol w:w="815"/>
        <w:gridCol w:w="6946"/>
      </w:tblGrid>
      <w:tr w14:paraId="4FB7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2E8CB00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序号 </w:t>
            </w:r>
          </w:p>
        </w:tc>
        <w:tc>
          <w:tcPr>
            <w:tcW w:w="1118" w:type="dxa"/>
            <w:noWrap w:val="0"/>
            <w:vAlign w:val="center"/>
          </w:tcPr>
          <w:p w14:paraId="7A00835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评分点名称 </w:t>
            </w:r>
          </w:p>
        </w:tc>
        <w:tc>
          <w:tcPr>
            <w:tcW w:w="815" w:type="dxa"/>
            <w:noWrap w:val="0"/>
            <w:vAlign w:val="center"/>
          </w:tcPr>
          <w:p w14:paraId="4B47849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分值</w:t>
            </w:r>
          </w:p>
        </w:tc>
        <w:tc>
          <w:tcPr>
            <w:tcW w:w="6946" w:type="dxa"/>
            <w:noWrap w:val="0"/>
            <w:vAlign w:val="center"/>
          </w:tcPr>
          <w:p w14:paraId="2B13CFD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评审标准</w:t>
            </w:r>
          </w:p>
        </w:tc>
      </w:tr>
      <w:tr w14:paraId="7B00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26511E3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118" w:type="dxa"/>
            <w:noWrap w:val="0"/>
            <w:vAlign w:val="center"/>
          </w:tcPr>
          <w:p w14:paraId="7CD27D67">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技术性能</w:t>
            </w:r>
          </w:p>
        </w:tc>
        <w:tc>
          <w:tcPr>
            <w:tcW w:w="815" w:type="dxa"/>
            <w:noWrap w:val="0"/>
            <w:vAlign w:val="center"/>
          </w:tcPr>
          <w:p w14:paraId="4D8FA553">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w:t>
            </w:r>
          </w:p>
        </w:tc>
        <w:tc>
          <w:tcPr>
            <w:tcW w:w="6946" w:type="dxa"/>
            <w:noWrap w:val="0"/>
            <w:vAlign w:val="center"/>
          </w:tcPr>
          <w:p w14:paraId="443570F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1、标“▲”（共8个）项为重要技术参数，每满足有一项加2分，本项最多为16分。</w:t>
            </w:r>
          </w:p>
          <w:p w14:paraId="0A8F91B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技术参数投标人须逐条响应，提供证明材料及技术偏离表，并加盖公章。</w:t>
            </w:r>
          </w:p>
          <w:p w14:paraId="69F5F8C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2、未标“▲”项（共25个）指标每满足有一项加0.2分，本项最多为5分。</w:t>
            </w:r>
          </w:p>
          <w:p w14:paraId="7132951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技术参数投标人须逐条响应，提供技术偏离表，并加盖公章。</w:t>
            </w:r>
          </w:p>
        </w:tc>
      </w:tr>
      <w:tr w14:paraId="43C0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14:paraId="3794257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118" w:type="dxa"/>
            <w:noWrap w:val="0"/>
            <w:vAlign w:val="center"/>
          </w:tcPr>
          <w:p w14:paraId="74DD02F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厂商实力</w:t>
            </w:r>
          </w:p>
        </w:tc>
        <w:tc>
          <w:tcPr>
            <w:tcW w:w="815" w:type="dxa"/>
            <w:noWrap w:val="0"/>
            <w:vAlign w:val="center"/>
          </w:tcPr>
          <w:p w14:paraId="1D1AE03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0</w:t>
            </w:r>
          </w:p>
        </w:tc>
        <w:tc>
          <w:tcPr>
            <w:tcW w:w="6946" w:type="dxa"/>
            <w:noWrap w:val="0"/>
            <w:vAlign w:val="center"/>
          </w:tcPr>
          <w:p w14:paraId="551234E9">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1.安全接入监测服务厂商具有增值电信业务经营许可《互联网域名解析服务业务》证书得3分，不提供不得分。（需提供证书复印件并加盖原厂商公章）；</w:t>
            </w:r>
          </w:p>
          <w:p w14:paraId="4C7D3069">
            <w:pPr>
              <w:keepNext/>
              <w:jc w:val="left"/>
              <w:outlineLvl w:val="3"/>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2.具备国内外领先的威胁情报能力，能够提供高精准的情报数据，协助进行高级安全威胁监测，厂商入选四次及以上 Gartner威胁情报市场指南得3分，入选三次2分，入选二次得1分，入选-次及以下不得分；</w:t>
            </w:r>
          </w:p>
          <w:p w14:paraId="23FF1EAB">
            <w:pPr>
              <w:keepNext/>
              <w:jc w:val="left"/>
              <w:outlineLvl w:val="3"/>
              <w:rPr>
                <w:rFonts w:hint="eastAsia" w:ascii="宋体" w:hAnsi="宋体" w:cs="宋体"/>
                <w:color w:val="000000"/>
                <w:kern w:val="0"/>
                <w:szCs w:val="21"/>
                <w:lang w:bidi="ar"/>
              </w:rPr>
            </w:pPr>
            <w:r>
              <w:rPr>
                <w:rFonts w:hint="eastAsia" w:ascii="宋体" w:hAnsi="宋体" w:cs="宋体"/>
                <w:color w:val="000000"/>
                <w:kern w:val="0"/>
                <w:szCs w:val="21"/>
                <w:highlight w:val="none"/>
                <w:lang w:bidi="ar"/>
              </w:rPr>
              <w:t>3</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bidi="ar"/>
              </w:rPr>
              <w:t>自20</w:t>
            </w:r>
            <w:r>
              <w:rPr>
                <w:rFonts w:hint="eastAsia" w:ascii="宋体" w:hAnsi="宋体" w:cs="宋体"/>
                <w:color w:val="000000"/>
                <w:kern w:val="0"/>
                <w:szCs w:val="21"/>
                <w:highlight w:val="none"/>
                <w:lang w:val="en-US" w:eastAsia="zh-CN" w:bidi="ar"/>
              </w:rPr>
              <w:t>22</w:t>
            </w:r>
            <w:r>
              <w:rPr>
                <w:rFonts w:hint="eastAsia" w:ascii="宋体" w:hAnsi="宋体" w:cs="宋体"/>
                <w:color w:val="000000"/>
                <w:kern w:val="0"/>
                <w:szCs w:val="21"/>
                <w:highlight w:val="none"/>
                <w:lang w:bidi="ar"/>
              </w:rPr>
              <w:t>年1月1日以来，安全接入监测服务厂商具有成功实施且应用效果良好、从未出现过重大故障的业绩案例。厂商需要出具威胁情报相关项目的证明文件，有一项得2分，最多得4分。</w:t>
            </w:r>
          </w:p>
        </w:tc>
      </w:tr>
      <w:tr w14:paraId="758C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74BF933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118" w:type="dxa"/>
            <w:noWrap w:val="0"/>
            <w:vAlign w:val="center"/>
          </w:tcPr>
          <w:p w14:paraId="2444A49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安全接入监测服务平台对接方案</w:t>
            </w:r>
          </w:p>
        </w:tc>
        <w:tc>
          <w:tcPr>
            <w:tcW w:w="815" w:type="dxa"/>
            <w:noWrap w:val="0"/>
            <w:vAlign w:val="center"/>
          </w:tcPr>
          <w:p w14:paraId="0409C562">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6946" w:type="dxa"/>
            <w:noWrap w:val="0"/>
            <w:vAlign w:val="center"/>
          </w:tcPr>
          <w:p w14:paraId="75DEB4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委根据投标人提供的裸纤线路的安全接入监测服务与采购人现有威胁监测服务平台对接方案酌情打分，方案需全面、合理、切实可行，且可实现通过平台接收新增裸纤链路的所有终端威胁监测数据，实时定位失陷主机，</w:t>
            </w:r>
          </w:p>
          <w:p w14:paraId="6290739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1）对接方案详尽完善，技术路线科学合理，能顺畅实现数据接收与主机定位功能，与现有平台兼容性强，得 </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 xml:space="preserve"> 分；​</w:t>
            </w:r>
          </w:p>
          <w:p w14:paraId="2D4DDEC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2）对接方案基本完整，技术路线较为合理，可实现数据接收与主机定位核心功能，与现有平台兼容性较好，得 </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 xml:space="preserve"> 分；​</w:t>
            </w:r>
          </w:p>
          <w:p w14:paraId="194642E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3）对接方案内容粗略，技术路线存在一定不足，虽能实现基础的数据接收与主机定位功能，但效率和稳定性一般，得 </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 xml:space="preserve"> 分；​</w:t>
            </w:r>
          </w:p>
          <w:p w14:paraId="220FC92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4）未提供对接方案或方案内容严重缺失，无法评估其对接可行性及功能实现能力，不得分。</w:t>
            </w:r>
          </w:p>
        </w:tc>
      </w:tr>
      <w:tr w14:paraId="1EB6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777" w:type="dxa"/>
            <w:noWrap w:val="0"/>
            <w:vAlign w:val="center"/>
          </w:tcPr>
          <w:p w14:paraId="7096ABE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118" w:type="dxa"/>
            <w:noWrap w:val="0"/>
            <w:vAlign w:val="center"/>
          </w:tcPr>
          <w:p w14:paraId="15C7880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投标人实力</w:t>
            </w:r>
          </w:p>
        </w:tc>
        <w:tc>
          <w:tcPr>
            <w:tcW w:w="815" w:type="dxa"/>
            <w:noWrap w:val="0"/>
            <w:vAlign w:val="center"/>
          </w:tcPr>
          <w:p w14:paraId="5282345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ascii="宋体" w:hAnsi="宋体" w:cs="宋体"/>
                <w:color w:val="000000"/>
                <w:kern w:val="0"/>
                <w:szCs w:val="21"/>
                <w:lang w:bidi="ar"/>
              </w:rPr>
              <w:t>8</w:t>
            </w:r>
          </w:p>
        </w:tc>
        <w:tc>
          <w:tcPr>
            <w:tcW w:w="6946" w:type="dxa"/>
            <w:noWrap w:val="0"/>
            <w:vAlign w:val="center"/>
          </w:tcPr>
          <w:p w14:paraId="410E5356">
            <w:pPr>
              <w:spacing w:after="120"/>
              <w:rPr>
                <w:rFonts w:hint="eastAsia"/>
                <w:color w:val="000000"/>
              </w:rPr>
            </w:pPr>
            <w:r>
              <w:rPr>
                <w:rFonts w:hint="eastAsia"/>
                <w:color w:val="000000"/>
              </w:rPr>
              <w:t>1、投标人或所投线路品牌IPV6地址数（以块 / 32 为单位）：6千以上得5分，4千以上得3分，2千以上得1分，2千以下不得分。（投标人提供cnnic第56次《中国互联网络发展状况统计报告》证明并加盖公章，否则不得分）</w:t>
            </w:r>
          </w:p>
          <w:p w14:paraId="7AFAC874">
            <w:pPr>
              <w:spacing w:after="120"/>
              <w:rPr>
                <w:rFonts w:hint="eastAsia"/>
                <w:color w:val="000000"/>
              </w:rPr>
            </w:pPr>
            <w:r>
              <w:rPr>
                <w:rFonts w:hint="eastAsia"/>
                <w:color w:val="000000"/>
              </w:rPr>
              <w:t>2、投标人或所投线路品牌IPV4地址数：1亿个以上得5分，6千万个以上得3分，3千万个以上得1分，3千万个以下不得分。（投标人提供cnnic第56次《中国互联网络发展状况统计报告》证明并加盖公章，否则不得分）</w:t>
            </w:r>
          </w:p>
          <w:p w14:paraId="3E2B6DBA">
            <w:pPr>
              <w:spacing w:after="120"/>
              <w:rPr>
                <w:rFonts w:hint="eastAsia"/>
                <w:color w:val="000000"/>
              </w:rPr>
            </w:pPr>
            <w:r>
              <w:rPr>
                <w:rFonts w:hint="eastAsia"/>
                <w:color w:val="000000"/>
              </w:rPr>
              <w:t>3、供应商具备ISO20000IT服务管理体系认证证书的，得 4分。提供证书复印件加盖供应商公章，不提供不得分。</w:t>
            </w:r>
          </w:p>
          <w:p w14:paraId="0DDDF242">
            <w:pPr>
              <w:spacing w:after="120"/>
              <w:rPr>
                <w:rFonts w:hint="eastAsia" w:ascii="Calibri" w:hAnsi="Calibri"/>
                <w:color w:val="000000"/>
                <w:szCs w:val="26"/>
              </w:rPr>
            </w:pPr>
            <w:r>
              <w:rPr>
                <w:rFonts w:hint="eastAsia"/>
                <w:color w:val="000000"/>
              </w:rPr>
              <w:t>4、供应商具备ISO27001信息安全管理体系认证证书的，得4分。提供证书复印件加盖供应商公章，不提供不得分。</w:t>
            </w:r>
          </w:p>
        </w:tc>
      </w:tr>
      <w:tr w14:paraId="2543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091730F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118" w:type="dxa"/>
            <w:noWrap w:val="0"/>
            <w:vAlign w:val="center"/>
          </w:tcPr>
          <w:p w14:paraId="00CFF0A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建设方案</w:t>
            </w:r>
          </w:p>
        </w:tc>
        <w:tc>
          <w:tcPr>
            <w:tcW w:w="815" w:type="dxa"/>
            <w:noWrap w:val="0"/>
            <w:vAlign w:val="center"/>
          </w:tcPr>
          <w:p w14:paraId="7B33DB4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6946" w:type="dxa"/>
            <w:noWrap w:val="0"/>
            <w:vAlign w:val="center"/>
          </w:tcPr>
          <w:p w14:paraId="7F0798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评委根据投标人提供的裸纤线路建设方案酌情打分，方案需全面、合理、切实可行，</w:t>
            </w:r>
          </w:p>
          <w:p w14:paraId="10A22A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1）裸纤线路建设方案详尽完善，设计科学合理，建设流程清晰规范，能充分满足项目需求，得 8 分；​</w:t>
            </w:r>
          </w:p>
          <w:p w14:paraId="7BF8E9B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2）裸纤线路建设方案基本完整，设计较为合理，建设流程基本清晰，可满足项目主要需求，得 5 分；​</w:t>
            </w:r>
          </w:p>
          <w:p w14:paraId="495111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3）裸纤线路建设方案内容较为粗略，设计存在一定瑕疵，建设流程不够明确，仅能满足项目基础需求，得 2 分；​</w:t>
            </w:r>
          </w:p>
          <w:p w14:paraId="7F1521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4）未提供裸纤线路建设方案，无法评估其方案合理性和可行性，不得分。</w:t>
            </w:r>
          </w:p>
        </w:tc>
      </w:tr>
      <w:tr w14:paraId="3790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052A83E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118" w:type="dxa"/>
            <w:noWrap w:val="0"/>
            <w:vAlign w:val="center"/>
          </w:tcPr>
          <w:p w14:paraId="71261F44">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网络稳定性保障措施</w:t>
            </w:r>
          </w:p>
        </w:tc>
        <w:tc>
          <w:tcPr>
            <w:tcW w:w="815" w:type="dxa"/>
            <w:noWrap w:val="0"/>
            <w:vAlign w:val="center"/>
          </w:tcPr>
          <w:p w14:paraId="0AAE45E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6946" w:type="dxa"/>
            <w:noWrap w:val="0"/>
            <w:vAlign w:val="center"/>
          </w:tcPr>
          <w:p w14:paraId="52BF2FD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评委依据投标人提供的保障网络可靠性的措施方案酌情打分，</w:t>
            </w:r>
          </w:p>
          <w:p w14:paraId="7472CD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1）保障网络可靠性的措施方案详尽完善，措施科学有效，能全面应对各类网络风险，可充分保障网络稳定运行，得 8 分；​</w:t>
            </w:r>
          </w:p>
          <w:p w14:paraId="29FD37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2）保障网络可靠性的措施方案基本完整，措施具有一定有效性，能应对主要网络风险，可满足网络基本稳定需求，得 5 分；​</w:t>
            </w:r>
          </w:p>
          <w:p w14:paraId="23FF755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3）保障网络可靠性的措施方案内容较为粗略，措施针对性不强，仅能应对少量网络风险，对网络稳定运行保障有限，得 2 分；​</w:t>
            </w:r>
          </w:p>
          <w:p w14:paraId="0FB7A83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4）未提供保障网络可靠性的措施方案，无法评估其保障能力，不得分。</w:t>
            </w:r>
          </w:p>
        </w:tc>
      </w:tr>
      <w:tr w14:paraId="7591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51A38DC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118" w:type="dxa"/>
            <w:noWrap w:val="0"/>
            <w:vAlign w:val="center"/>
          </w:tcPr>
          <w:p w14:paraId="6792F28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售后服务</w:t>
            </w:r>
          </w:p>
        </w:tc>
        <w:tc>
          <w:tcPr>
            <w:tcW w:w="815" w:type="dxa"/>
            <w:noWrap w:val="0"/>
            <w:vAlign w:val="center"/>
          </w:tcPr>
          <w:p w14:paraId="55934D45">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7</w:t>
            </w:r>
          </w:p>
        </w:tc>
        <w:tc>
          <w:tcPr>
            <w:tcW w:w="6946" w:type="dxa"/>
            <w:noWrap w:val="0"/>
            <w:vAlign w:val="center"/>
          </w:tcPr>
          <w:p w14:paraId="060C52D9">
            <w:pPr>
              <w:widowControl/>
              <w:numPr>
                <w:ilvl w:val="0"/>
                <w:numId w:val="4"/>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根据投标人提供的售后服务及培训方案进行评价，方案需全面、合理、切实可行，</w:t>
            </w:r>
          </w:p>
          <w:p w14:paraId="4AEDF2C3">
            <w:pPr>
              <w:widowControl/>
              <w:numPr>
                <w:ilvl w:val="0"/>
                <w:numId w:val="0"/>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1）售后服务方案详尽完善，服务能力突出，故障处置响应时间迅速，能够确保及时有效地解决用户问题，得</w:t>
            </w: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分；</w:t>
            </w:r>
          </w:p>
          <w:p w14:paraId="40B4F1A9">
            <w:pPr>
              <w:widowControl/>
              <w:numPr>
                <w:ilvl w:val="0"/>
                <w:numId w:val="0"/>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2）售后服务方案基本完整，具备一定的服务能力，故障处置响应时间适中，基本满足用户需求，得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w:t>
            </w:r>
          </w:p>
          <w:p w14:paraId="47923B97">
            <w:pPr>
              <w:widowControl/>
              <w:numPr>
                <w:ilvl w:val="0"/>
                <w:numId w:val="0"/>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3）售后服务方案内容粗略，虽然有服务能力，但故障处置响应时间长，可能对用户问题解决造成一定影响，得</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w:t>
            </w:r>
          </w:p>
          <w:p w14:paraId="3CC1B4B0">
            <w:pPr>
              <w:widowControl/>
              <w:numPr>
                <w:ilvl w:val="0"/>
                <w:numId w:val="0"/>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4）未提供售后服务方案或方案内容严重缺失，无法评估其售后服务能力和故障响应能力，不得分。</w:t>
            </w:r>
          </w:p>
        </w:tc>
      </w:tr>
      <w:tr w14:paraId="1C4D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400AC511">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1118" w:type="dxa"/>
            <w:noWrap w:val="0"/>
            <w:vAlign w:val="center"/>
          </w:tcPr>
          <w:p w14:paraId="2FA5E30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故障响应时间</w:t>
            </w:r>
          </w:p>
        </w:tc>
        <w:tc>
          <w:tcPr>
            <w:tcW w:w="815" w:type="dxa"/>
            <w:noWrap w:val="0"/>
            <w:vAlign w:val="center"/>
          </w:tcPr>
          <w:p w14:paraId="632D7009">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6946" w:type="dxa"/>
            <w:noWrap w:val="0"/>
            <w:vAlign w:val="center"/>
          </w:tcPr>
          <w:p w14:paraId="301FE6EE">
            <w:pPr>
              <w:keepNext/>
              <w:jc w:val="left"/>
              <w:outlineLvl w:val="3"/>
              <w:rPr>
                <w:rFonts w:hint="eastAsia" w:ascii="宋体" w:hAnsi="宋体" w:cs="宋体"/>
                <w:color w:val="000000"/>
                <w:kern w:val="0"/>
                <w:szCs w:val="21"/>
                <w:lang w:bidi="ar"/>
              </w:rPr>
            </w:pPr>
            <w:r>
              <w:rPr>
                <w:rFonts w:hint="eastAsia" w:ascii="宋体" w:hAnsi="宋体" w:cs="宋体"/>
                <w:color w:val="000000"/>
                <w:kern w:val="0"/>
                <w:szCs w:val="21"/>
                <w:lang w:bidi="ar"/>
              </w:rPr>
              <w:t>故障响应时间要求：一般故障承诺在</w:t>
            </w:r>
            <w:r>
              <w:rPr>
                <w:rFonts w:ascii="宋体" w:hAnsi="宋体" w:cs="宋体"/>
                <w:color w:val="000000"/>
                <w:kern w:val="0"/>
                <w:szCs w:val="21"/>
                <w:lang w:bidi="ar"/>
              </w:rPr>
              <w:t>2</w:t>
            </w:r>
            <w:r>
              <w:rPr>
                <w:rFonts w:hint="eastAsia" w:ascii="宋体" w:hAnsi="宋体" w:cs="宋体"/>
                <w:color w:val="000000"/>
                <w:kern w:val="0"/>
                <w:szCs w:val="21"/>
                <w:lang w:bidi="ar"/>
              </w:rPr>
              <w:t xml:space="preserve">小时内到达现场解决，重大故障 </w:t>
            </w:r>
            <w:r>
              <w:rPr>
                <w:rFonts w:ascii="宋体" w:hAnsi="宋体" w:cs="宋体"/>
                <w:color w:val="000000"/>
                <w:kern w:val="0"/>
                <w:szCs w:val="21"/>
                <w:lang w:bidi="ar"/>
              </w:rPr>
              <w:t>4</w:t>
            </w:r>
            <w:r>
              <w:rPr>
                <w:rFonts w:hint="eastAsia" w:ascii="宋体" w:hAnsi="宋体" w:cs="宋体"/>
                <w:color w:val="000000"/>
                <w:kern w:val="0"/>
                <w:szCs w:val="21"/>
                <w:lang w:bidi="ar"/>
              </w:rPr>
              <w:t>小时内解决，投标人提供响应承诺函</w:t>
            </w:r>
            <w:r>
              <w:rPr>
                <w:rFonts w:hint="eastAsia" w:ascii="宋体" w:hAnsi="宋体" w:cs="宋体"/>
                <w:color w:val="000000"/>
                <w:kern w:val="0"/>
                <w:szCs w:val="21"/>
                <w:lang w:val="en-US" w:eastAsia="zh-CN" w:bidi="ar"/>
              </w:rPr>
              <w:t>并加盖公章（格式自拟），</w:t>
            </w:r>
            <w:r>
              <w:rPr>
                <w:rFonts w:hint="eastAsia" w:ascii="宋体" w:hAnsi="宋体" w:cs="宋体"/>
                <w:color w:val="000000"/>
                <w:kern w:val="0"/>
                <w:szCs w:val="21"/>
                <w:lang w:bidi="ar"/>
              </w:rPr>
              <w:t>得2分，不提供不得分。</w:t>
            </w:r>
          </w:p>
        </w:tc>
      </w:tr>
    </w:tbl>
    <w:p w14:paraId="6753F834">
      <w:pPr>
        <w:snapToGrid w:val="0"/>
        <w:spacing w:line="4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2.价格分：</w:t>
      </w:r>
      <w:r>
        <w:rPr>
          <w:rFonts w:hint="eastAsia" w:ascii="仿宋" w:hAnsi="仿宋" w:eastAsia="仿宋" w:cs="仿宋"/>
          <w:b/>
          <w:bCs/>
          <w:sz w:val="28"/>
          <w:szCs w:val="28"/>
          <w:highlight w:val="none"/>
          <w:lang w:val="en-US" w:eastAsia="zh-CN"/>
        </w:rPr>
        <w:t>20</w:t>
      </w:r>
      <w:r>
        <w:rPr>
          <w:rFonts w:hint="eastAsia" w:ascii="仿宋" w:hAnsi="仿宋" w:eastAsia="仿宋" w:cs="仿宋"/>
          <w:b/>
          <w:bCs/>
          <w:sz w:val="28"/>
          <w:szCs w:val="28"/>
          <w:highlight w:val="none"/>
        </w:rPr>
        <w:t>分</w:t>
      </w:r>
    </w:p>
    <w:p w14:paraId="1BB0133F">
      <w:pPr>
        <w:autoSpaceDE w:val="0"/>
        <w:autoSpaceDN w:val="0"/>
        <w:adjustRightInd w:val="0"/>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综合评分法中的价格分统一采用低价优先法计算，即满足比选文件要求且最后报价最低的供应商的价格为比选基准价，其价格分为满分。其他供应商的价格分统一按照下列公式计算：</w:t>
      </w:r>
    </w:p>
    <w:p w14:paraId="26195351">
      <w:pPr>
        <w:autoSpaceDE w:val="0"/>
        <w:autoSpaceDN w:val="0"/>
        <w:adjustRightInd w:val="0"/>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比选报价得分=（比选基准价/比选报价（最终比选报价））×价格权值×100</w:t>
      </w:r>
    </w:p>
    <w:p w14:paraId="0CFE973B">
      <w:pPr>
        <w:autoSpaceDE w:val="0"/>
        <w:autoSpaceDN w:val="0"/>
        <w:adjustRightInd w:val="0"/>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项目评审过程中，不得去掉最后报价中的最高报价和最低报价。</w:t>
      </w:r>
    </w:p>
    <w:p w14:paraId="0FA28BAC">
      <w:pPr>
        <w:snapToGrid w:val="0"/>
        <w:spacing w:line="460" w:lineRule="exact"/>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评审小组认为供应商的投标投标报价有可能影响服务质量或者不能诚信履约的，应当要求其在评标现场合理的时间内提供书面说明，必要时提交相关证明材料；供应商不能证明其报价合理性的，评审小组应当将其作为无效报价处理。</w:t>
      </w:r>
    </w:p>
    <w:p w14:paraId="4E310276">
      <w:pPr>
        <w:snapToGrid w:val="0"/>
        <w:spacing w:line="460" w:lineRule="exact"/>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3488DA24">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七、推荐中选服务单位</w:t>
      </w:r>
    </w:p>
    <w:p w14:paraId="0D6FA9E9">
      <w:pPr>
        <w:snapToGrid w:val="0"/>
        <w:spacing w:line="460" w:lineRule="exact"/>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采用综合评分法的，评标结果按评审后得分由高到低顺序排列，排名第一的为中标服务单位。得分相同的，按比选报价由低到高顺序排列。得分且比选报价相同的并列。采取随机抽取的方式确定。</w:t>
      </w:r>
    </w:p>
    <w:p w14:paraId="6053AB46">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八、其他注意事项</w:t>
      </w:r>
    </w:p>
    <w:p w14:paraId="67A117D1">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1.在比选、开标时间，比选人不得向评委询问情况，不得进行旨在影响评标结果的活动。</w:t>
      </w:r>
    </w:p>
    <w:p w14:paraId="18763E32">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2.评委会不得向比选人解释落标原因。</w:t>
      </w:r>
    </w:p>
    <w:p w14:paraId="0346FBE5">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3.在比选、评标过程中，如果比选人联合故意抬高报价或出现其他不正当行为，采购人有权中止比选或评标。</w:t>
      </w:r>
    </w:p>
    <w:p w14:paraId="337679B9">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333ABADA">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九、中标通知</w:t>
      </w:r>
    </w:p>
    <w:p w14:paraId="7B432B33">
      <w:pPr>
        <w:snapToGrid w:val="0"/>
        <w:spacing w:line="460" w:lineRule="exact"/>
        <w:ind w:firstLine="560" w:firstLineChars="200"/>
        <w:rPr>
          <w:rFonts w:ascii="仿宋" w:hAnsi="仿宋" w:eastAsia="仿宋" w:cs="仿宋"/>
          <w:sz w:val="28"/>
          <w:szCs w:val="32"/>
          <w:highlight w:val="none"/>
        </w:rPr>
      </w:pPr>
      <w:r>
        <w:rPr>
          <w:rFonts w:hint="eastAsia" w:ascii="仿宋" w:hAnsi="仿宋" w:eastAsia="仿宋" w:cs="仿宋"/>
          <w:sz w:val="28"/>
          <w:szCs w:val="28"/>
          <w:highlight w:val="none"/>
        </w:rPr>
        <w:t>中标结果在南通市教育局官网公示，公告期限为1个工作日。《中标通知书》一经发出，如采购单位改变中标结果，或者</w:t>
      </w:r>
      <w:r>
        <w:rPr>
          <w:rFonts w:hint="eastAsia" w:ascii="仿宋" w:hAnsi="仿宋" w:eastAsia="仿宋" w:cs="仿宋"/>
          <w:sz w:val="28"/>
          <w:szCs w:val="28"/>
          <w:highlight w:val="none"/>
          <w:lang w:eastAsia="zh-CN"/>
        </w:rPr>
        <w:t>中标人</w:t>
      </w:r>
      <w:r>
        <w:rPr>
          <w:rFonts w:hint="eastAsia" w:ascii="仿宋" w:hAnsi="仿宋" w:eastAsia="仿宋" w:cs="仿宋"/>
          <w:sz w:val="28"/>
          <w:szCs w:val="28"/>
          <w:highlight w:val="none"/>
        </w:rPr>
        <w:t>放弃中标的，各自承担相应的法律责任。《中标通知书》是采购合同的组成部分。</w:t>
      </w:r>
    </w:p>
    <w:p w14:paraId="0C232BC1">
      <w:pPr>
        <w:snapToGrid w:val="0"/>
        <w:spacing w:line="360" w:lineRule="auto"/>
        <w:jc w:val="center"/>
        <w:outlineLvl w:val="0"/>
        <w:rPr>
          <w:rFonts w:ascii="仿宋" w:hAnsi="仿宋" w:eastAsia="仿宋" w:cs="仿宋"/>
          <w:sz w:val="28"/>
          <w:szCs w:val="28"/>
          <w:highlight w:val="none"/>
        </w:rPr>
      </w:pPr>
      <w:r>
        <w:rPr>
          <w:rFonts w:hint="eastAsia" w:ascii="仿宋" w:hAnsi="仿宋" w:eastAsia="仿宋" w:cs="仿宋"/>
          <w:b/>
          <w:szCs w:val="36"/>
          <w:highlight w:val="none"/>
        </w:rPr>
        <w:br w:type="page"/>
      </w:r>
      <w:r>
        <w:rPr>
          <w:rFonts w:hint="eastAsia" w:ascii="仿宋" w:hAnsi="仿宋" w:eastAsia="仿宋" w:cs="仿宋"/>
          <w:b/>
          <w:sz w:val="36"/>
          <w:szCs w:val="36"/>
          <w:highlight w:val="none"/>
        </w:rPr>
        <w:t>第五部分  合同签订与验收付款</w:t>
      </w:r>
    </w:p>
    <w:p w14:paraId="68AA75EF">
      <w:pPr>
        <w:tabs>
          <w:tab w:val="right" w:leader="dot" w:pos="9214"/>
        </w:tabs>
        <w:snapToGrid w:val="0"/>
        <w:spacing w:line="460" w:lineRule="exact"/>
        <w:ind w:right="443" w:rightChars="211" w:firstLine="560" w:firstLineChars="200"/>
        <w:contextualSpacing/>
        <w:rPr>
          <w:rFonts w:ascii="仿宋" w:hAnsi="仿宋" w:eastAsia="仿宋" w:cs="仿宋"/>
          <w:kern w:val="0"/>
          <w:sz w:val="28"/>
          <w:szCs w:val="28"/>
          <w:highlight w:val="none"/>
        </w:rPr>
      </w:pPr>
      <w:bookmarkStart w:id="8" w:name="_Toc297048397"/>
      <w:bookmarkStart w:id="9" w:name="_Toc296347210"/>
      <w:bookmarkStart w:id="10" w:name="_Toc297120511"/>
      <w:bookmarkStart w:id="11" w:name="_Toc297123556"/>
      <w:bookmarkStart w:id="12" w:name="_Toc296891251"/>
      <w:bookmarkStart w:id="13" w:name="_Toc300935006"/>
      <w:bookmarkStart w:id="14" w:name="_Toc303539163"/>
      <w:bookmarkStart w:id="15" w:name="_Toc292559416"/>
      <w:bookmarkStart w:id="16" w:name="_Toc296891039"/>
      <w:bookmarkStart w:id="17" w:name="_Toc296346712"/>
      <w:bookmarkStart w:id="18" w:name="_Toc292559921"/>
      <w:bookmarkStart w:id="19" w:name="_Toc297216215"/>
      <w:bookmarkStart w:id="20" w:name="_Toc296944550"/>
      <w:bookmarkStart w:id="21" w:name="_Toc498006744"/>
      <w:bookmarkStart w:id="22" w:name="OLE_LINK1"/>
      <w:bookmarkStart w:id="23" w:name="_Toc267251442"/>
      <w:bookmarkStart w:id="24" w:name="_Toc296503211"/>
      <w:r>
        <w:rPr>
          <w:rFonts w:hint="eastAsia" w:ascii="仿宋" w:hAnsi="仿宋" w:eastAsia="仿宋" w:cs="仿宋"/>
          <w:kern w:val="0"/>
          <w:sz w:val="28"/>
          <w:szCs w:val="28"/>
          <w:highlight w:val="none"/>
        </w:rPr>
        <w:t>一、成交供应商和采购人在接到《成交通知书》后</w:t>
      </w:r>
      <w:r>
        <w:rPr>
          <w:rFonts w:hint="eastAsia" w:ascii="仿宋" w:hAnsi="仿宋" w:eastAsia="仿宋" w:cs="仿宋"/>
          <w:b/>
          <w:bCs/>
          <w:kern w:val="0"/>
          <w:sz w:val="28"/>
          <w:szCs w:val="28"/>
          <w:highlight w:val="none"/>
          <w:u w:val="single"/>
          <w:lang w:val="en-US" w:eastAsia="zh-CN"/>
        </w:rPr>
        <w:t>5</w:t>
      </w:r>
      <w:r>
        <w:rPr>
          <w:rFonts w:hint="eastAsia" w:ascii="仿宋" w:hAnsi="仿宋" w:eastAsia="仿宋" w:cs="仿宋"/>
          <w:kern w:val="0"/>
          <w:sz w:val="28"/>
          <w:szCs w:val="28"/>
          <w:highlight w:val="none"/>
        </w:rPr>
        <w:t>日内按照采购文件确定的事项签订采购合同。</w:t>
      </w:r>
      <w:r>
        <w:rPr>
          <w:rFonts w:hint="eastAsia" w:ascii="仿宋" w:hAnsi="仿宋" w:eastAsia="仿宋" w:cs="仿宋"/>
          <w:kern w:val="0"/>
          <w:sz w:val="28"/>
          <w:szCs w:val="28"/>
          <w:highlight w:val="none"/>
          <w:lang w:val="zh-CN"/>
        </w:rPr>
        <w:t>所签合同不得对采购文件作实质性修改</w:t>
      </w:r>
      <w:r>
        <w:rPr>
          <w:rFonts w:hint="eastAsia" w:ascii="仿宋" w:hAnsi="仿宋" w:eastAsia="仿宋" w:cs="仿宋"/>
          <w:kern w:val="0"/>
          <w:sz w:val="28"/>
          <w:szCs w:val="28"/>
          <w:highlight w:val="none"/>
        </w:rPr>
        <w:t>。采购人不得向成交供应商提出不合理的要求作为签订合同的条件，不得与成交供应商私下订立背离采购文件实质性内容的协议。</w:t>
      </w:r>
      <w:bookmarkStart w:id="25" w:name="_Toc94585343"/>
      <w:bookmarkStart w:id="26" w:name="_Toc363573858"/>
    </w:p>
    <w:p w14:paraId="461B5F03">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二、采购文件、成交人的响应文件及评审过程中有关书面澄清、承诺等均应作为合同附件，具有同等的法律效力。</w:t>
      </w:r>
    </w:p>
    <w:p w14:paraId="7C81A706">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三、成交人不得采用转包、分包的形式履行合同，否则，采购人有权终止合同，造成采购人损失的，成交人应承担相应赔偿责任。</w:t>
      </w:r>
    </w:p>
    <w:bookmarkEnd w:id="25"/>
    <w:bookmarkEnd w:id="26"/>
    <w:p w14:paraId="14CB58C9">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四、采购人和成交人应相互配合，按采购合同约定积极组织本项目的实施，确保项目按时完成。</w:t>
      </w:r>
    </w:p>
    <w:p w14:paraId="287917D6">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五、成交人履约到位后，应以书面形式向采购人提出验收申请。采购人接到申请后应及时组织验收。</w:t>
      </w:r>
    </w:p>
    <w:p w14:paraId="078DFCF7">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630D4035">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七、按采购合同约定支付的项目合同价款。</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5DD0FD9">
      <w:pPr>
        <w:tabs>
          <w:tab w:val="left" w:pos="8820"/>
        </w:tabs>
        <w:snapToGrid w:val="0"/>
        <w:spacing w:line="360" w:lineRule="auto"/>
        <w:contextualSpacing/>
        <w:rPr>
          <w:rFonts w:ascii="仿宋" w:hAnsi="仿宋" w:eastAsia="仿宋" w:cs="宋体"/>
          <w:color w:val="000000"/>
          <w:kern w:val="0"/>
          <w:sz w:val="28"/>
          <w:szCs w:val="28"/>
          <w:highlight w:val="none"/>
          <w:lang w:val="zh-CN"/>
        </w:rPr>
      </w:pPr>
    </w:p>
    <w:p w14:paraId="6B9EF505">
      <w:pPr>
        <w:rPr>
          <w:highlight w:val="none"/>
          <w:lang w:val="zh-CN"/>
        </w:rPr>
      </w:pPr>
    </w:p>
    <w:p w14:paraId="69D5C57A">
      <w:pPr>
        <w:snapToGrid w:val="0"/>
        <w:spacing w:line="360" w:lineRule="auto"/>
        <w:jc w:val="center"/>
        <w:outlineLvl w:val="0"/>
        <w:rPr>
          <w:rFonts w:ascii="仿宋" w:hAnsi="仿宋" w:eastAsia="仿宋" w:cs="仿宋"/>
          <w:b/>
          <w:sz w:val="32"/>
          <w:szCs w:val="32"/>
          <w:highlight w:val="none"/>
        </w:rPr>
      </w:pPr>
      <w:r>
        <w:rPr>
          <w:rFonts w:ascii="仿宋" w:hAnsi="仿宋" w:eastAsia="仿宋" w:cs="仿宋"/>
          <w:b/>
          <w:sz w:val="32"/>
          <w:szCs w:val="32"/>
          <w:highlight w:val="none"/>
        </w:rPr>
        <w:br w:type="page"/>
      </w:r>
      <w:r>
        <w:rPr>
          <w:rFonts w:hint="eastAsia" w:ascii="仿宋" w:hAnsi="仿宋" w:eastAsia="仿宋" w:cs="仿宋"/>
          <w:b/>
          <w:sz w:val="32"/>
          <w:szCs w:val="32"/>
          <w:highlight w:val="none"/>
        </w:rPr>
        <w:t>第六部分   比选文件组成</w:t>
      </w:r>
    </w:p>
    <w:p w14:paraId="5EE08268">
      <w:pPr>
        <w:snapToGrid w:val="0"/>
        <w:spacing w:before="120" w:beforeLines="50" w:line="460" w:lineRule="exact"/>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t>比选文件由资格审查证明材料、商务技术标、价格标三部分组成。</w:t>
      </w:r>
    </w:p>
    <w:p w14:paraId="4BBBDB73">
      <w:pPr>
        <w:widowControl/>
        <w:snapToGrid w:val="0"/>
        <w:spacing w:line="460" w:lineRule="exact"/>
        <w:ind w:firstLine="562" w:firstLineChars="200"/>
        <w:contextualSpacing/>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一、资格审查证明材料（不能出现报价，</w:t>
      </w:r>
      <w:r>
        <w:rPr>
          <w:rFonts w:hint="eastAsia" w:ascii="仿宋" w:hAnsi="仿宋" w:eastAsia="仿宋" w:cs="仿宋"/>
          <w:b/>
          <w:kern w:val="0"/>
          <w:sz w:val="28"/>
          <w:highlight w:val="none"/>
        </w:rPr>
        <w:t>一正两副，单独密封并牢固装订）</w:t>
      </w:r>
      <w:r>
        <w:rPr>
          <w:rFonts w:hint="eastAsia" w:ascii="仿宋" w:hAnsi="仿宋" w:eastAsia="仿宋" w:cs="仿宋"/>
          <w:b/>
          <w:kern w:val="0"/>
          <w:sz w:val="28"/>
          <w:szCs w:val="28"/>
          <w:highlight w:val="none"/>
        </w:rPr>
        <w:t>：</w:t>
      </w:r>
    </w:p>
    <w:p w14:paraId="440AE756">
      <w:pPr>
        <w:widowControl/>
        <w:snapToGrid w:val="0"/>
        <w:spacing w:line="460" w:lineRule="exact"/>
        <w:ind w:firstLine="560" w:firstLineChars="200"/>
        <w:jc w:val="left"/>
        <w:rPr>
          <w:rFonts w:ascii="仿宋" w:hAnsi="仿宋" w:eastAsia="仿宋" w:cs="仿宋"/>
          <w:sz w:val="28"/>
          <w:szCs w:val="28"/>
          <w:highlight w:val="none"/>
        </w:rPr>
      </w:pPr>
      <w:bookmarkStart w:id="27" w:name="OLE_LINK11"/>
      <w:r>
        <w:rPr>
          <w:rFonts w:hint="eastAsia" w:ascii="仿宋" w:hAnsi="仿宋" w:eastAsia="仿宋" w:cs="仿宋"/>
          <w:sz w:val="28"/>
          <w:szCs w:val="28"/>
          <w:highlight w:val="none"/>
        </w:rPr>
        <w:t>1.关于资格的响应函；</w:t>
      </w:r>
    </w:p>
    <w:p w14:paraId="3E4DE730">
      <w:pPr>
        <w:widowControl/>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pacing w:val="7"/>
          <w:sz w:val="28"/>
          <w:szCs w:val="28"/>
          <w:highlight w:val="none"/>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sz w:val="28"/>
          <w:szCs w:val="28"/>
          <w:highlight w:val="none"/>
        </w:rPr>
        <w:t>；</w:t>
      </w:r>
    </w:p>
    <w:p w14:paraId="70AA1C60">
      <w:pPr>
        <w:snapToGrid w:val="0"/>
        <w:spacing w:line="460" w:lineRule="exact"/>
        <w:ind w:firstLine="588" w:firstLineChars="200"/>
        <w:rPr>
          <w:rFonts w:ascii="仿宋" w:hAnsi="仿宋" w:eastAsia="仿宋" w:cs="仿宋"/>
          <w:spacing w:val="7"/>
          <w:sz w:val="28"/>
          <w:szCs w:val="28"/>
          <w:highlight w:val="none"/>
          <w:shd w:val="clear" w:color="auto" w:fill="FFFFFF"/>
        </w:rPr>
      </w:pPr>
      <w:r>
        <w:rPr>
          <w:rFonts w:ascii="仿宋" w:hAnsi="仿宋" w:eastAsia="仿宋" w:cs="仿宋"/>
          <w:spacing w:val="7"/>
          <w:sz w:val="28"/>
          <w:szCs w:val="28"/>
          <w:highlight w:val="none"/>
          <w:shd w:val="clear" w:color="auto" w:fill="FFFFFF"/>
        </w:rPr>
        <w:t>3</w:t>
      </w:r>
      <w:r>
        <w:rPr>
          <w:rFonts w:hint="eastAsia" w:ascii="仿宋" w:hAnsi="仿宋" w:eastAsia="仿宋" w:cs="仿宋"/>
          <w:spacing w:val="7"/>
          <w:sz w:val="28"/>
          <w:szCs w:val="28"/>
          <w:highlight w:val="none"/>
          <w:shd w:val="clear" w:color="auto" w:fill="FFFFFF"/>
        </w:rPr>
        <w:t>.</w:t>
      </w:r>
      <w:r>
        <w:rPr>
          <w:rFonts w:hint="eastAsia" w:ascii="仿宋" w:hAnsi="仿宋" w:eastAsia="仿宋" w:cs="仿宋"/>
          <w:spacing w:val="7"/>
          <w:sz w:val="28"/>
          <w:szCs w:val="28"/>
          <w:highlight w:val="none"/>
          <w:shd w:val="clear" w:color="auto" w:fill="FFFFFF"/>
          <w:lang w:val="zh-CN"/>
        </w:rPr>
        <w:t>参加本次采购活动前三年内，在经营活动中没有重大违法记录（</w:t>
      </w:r>
      <w:r>
        <w:rPr>
          <w:rFonts w:hint="eastAsia" w:ascii="仿宋" w:hAnsi="仿宋" w:eastAsia="仿宋" w:cs="仿宋"/>
          <w:spacing w:val="7"/>
          <w:sz w:val="28"/>
          <w:szCs w:val="28"/>
          <w:highlight w:val="none"/>
          <w:shd w:val="clear" w:color="auto" w:fill="FFFFFF"/>
        </w:rPr>
        <w:t>格式见下表</w:t>
      </w:r>
      <w:r>
        <w:rPr>
          <w:rFonts w:hint="eastAsia" w:ascii="仿宋" w:hAnsi="仿宋" w:eastAsia="仿宋" w:cs="仿宋"/>
          <w:spacing w:val="7"/>
          <w:sz w:val="28"/>
          <w:szCs w:val="28"/>
          <w:highlight w:val="none"/>
          <w:shd w:val="clear" w:color="auto" w:fill="FFFFFF"/>
          <w:lang w:val="zh-CN"/>
        </w:rPr>
        <w:t>）；</w:t>
      </w:r>
    </w:p>
    <w:p w14:paraId="50705CE5">
      <w:pPr>
        <w:snapToGrid w:val="0"/>
        <w:spacing w:line="460" w:lineRule="exact"/>
        <w:ind w:firstLine="588" w:firstLineChars="200"/>
        <w:rPr>
          <w:rFonts w:hint="eastAsia"/>
          <w:highlight w:val="none"/>
        </w:rPr>
      </w:pPr>
      <w:r>
        <w:rPr>
          <w:rFonts w:ascii="仿宋" w:hAnsi="仿宋" w:eastAsia="仿宋" w:cs="仿宋"/>
          <w:spacing w:val="7"/>
          <w:sz w:val="28"/>
          <w:szCs w:val="28"/>
          <w:highlight w:val="none"/>
          <w:shd w:val="clear" w:color="auto" w:fill="FFFFFF"/>
        </w:rPr>
        <w:t>4</w:t>
      </w:r>
      <w:r>
        <w:rPr>
          <w:rFonts w:hint="eastAsia" w:ascii="仿宋" w:hAnsi="仿宋" w:eastAsia="仿宋" w:cs="仿宋"/>
          <w:spacing w:val="7"/>
          <w:sz w:val="28"/>
          <w:szCs w:val="28"/>
          <w:highlight w:val="none"/>
          <w:shd w:val="clear" w:color="auto" w:fill="FFFFFF"/>
        </w:rPr>
        <w:t>.未被“信用中国”网站列入失信被执行人、重大税收违法案件当事人名单、采购严重违法失信行为记录名单，并提供截图证明。</w:t>
      </w:r>
    </w:p>
    <w:bookmarkEnd w:id="27"/>
    <w:p w14:paraId="4D2094AD">
      <w:pPr>
        <w:widowControl/>
        <w:snapToGrid w:val="0"/>
        <w:spacing w:line="460" w:lineRule="exact"/>
        <w:ind w:firstLine="562" w:firstLineChars="200"/>
        <w:contextualSpacing/>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二、商务技术标（不能出现报价；</w:t>
      </w:r>
      <w:r>
        <w:rPr>
          <w:rFonts w:hint="eastAsia" w:ascii="仿宋" w:hAnsi="仿宋" w:eastAsia="仿宋" w:cs="仿宋"/>
          <w:b/>
          <w:kern w:val="0"/>
          <w:sz w:val="28"/>
          <w:highlight w:val="none"/>
        </w:rPr>
        <w:t>一正两副，单独密封牢固装订</w:t>
      </w:r>
      <w:r>
        <w:rPr>
          <w:rFonts w:hint="eastAsia" w:ascii="仿宋" w:hAnsi="仿宋" w:eastAsia="仿宋" w:cs="仿宋"/>
          <w:b/>
          <w:kern w:val="0"/>
          <w:sz w:val="28"/>
          <w:szCs w:val="28"/>
          <w:highlight w:val="none"/>
        </w:rPr>
        <w:t>）：</w:t>
      </w:r>
    </w:p>
    <w:p w14:paraId="2D395AE8">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1.比选响应函；</w:t>
      </w:r>
    </w:p>
    <w:p w14:paraId="585DB255">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2.商务部分正负偏离表；</w:t>
      </w:r>
    </w:p>
    <w:p w14:paraId="62886708">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3.技术部分正负偏离表；</w:t>
      </w:r>
    </w:p>
    <w:p w14:paraId="29E30496">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4.商务技术部分得分佐证材料；</w:t>
      </w:r>
    </w:p>
    <w:p w14:paraId="6FE2093C">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5.评审办法中涉及的事项，为方便比选评审，请供应商按比选评审办法中所涉及的事项顺序进行编制，可以补充相关材料。</w:t>
      </w:r>
    </w:p>
    <w:p w14:paraId="554EF76D">
      <w:pPr>
        <w:widowControl/>
        <w:snapToGrid w:val="0"/>
        <w:spacing w:line="460" w:lineRule="exact"/>
        <w:ind w:firstLine="562" w:firstLineChars="200"/>
        <w:contextualSpacing/>
        <w:jc w:val="left"/>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三、</w:t>
      </w:r>
      <w:r>
        <w:rPr>
          <w:rFonts w:hint="eastAsia" w:ascii="仿宋" w:hAnsi="仿宋" w:eastAsia="仿宋" w:cs="仿宋"/>
          <w:b/>
          <w:kern w:val="0"/>
          <w:sz w:val="28"/>
          <w:highlight w:val="none"/>
        </w:rPr>
        <w:t>价格标，一正两副（单独密封并牢固装订），不得出现在商务技术响应文件及资格审查部分：</w:t>
      </w:r>
    </w:p>
    <w:p w14:paraId="1CD295FA">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1.报价总表；</w:t>
      </w:r>
    </w:p>
    <w:p w14:paraId="06118548">
      <w:pPr>
        <w:tabs>
          <w:tab w:val="left" w:pos="1260"/>
        </w:tabs>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报价明细表</w:t>
      </w:r>
      <w:r>
        <w:rPr>
          <w:rFonts w:hint="eastAsia" w:ascii="仿宋" w:hAnsi="仿宋" w:eastAsia="仿宋" w:cs="仿宋"/>
          <w:sz w:val="28"/>
          <w:szCs w:val="28"/>
          <w:highlight w:val="none"/>
          <w:lang w:eastAsia="zh-CN"/>
        </w:rPr>
        <w:t>。</w:t>
      </w:r>
    </w:p>
    <w:p w14:paraId="29B76F93">
      <w:pPr>
        <w:spacing w:line="360" w:lineRule="auto"/>
        <w:jc w:val="left"/>
        <w:outlineLvl w:val="2"/>
        <w:rPr>
          <w:rFonts w:ascii="仿宋" w:hAnsi="仿宋" w:eastAsia="仿宋" w:cs="仿宋"/>
          <w:b/>
          <w:sz w:val="28"/>
          <w:szCs w:val="32"/>
          <w:highlight w:val="none"/>
        </w:rPr>
      </w:pPr>
      <w:r>
        <w:rPr>
          <w:rFonts w:hint="eastAsia" w:ascii="仿宋" w:hAnsi="仿宋" w:eastAsia="仿宋" w:cs="仿宋"/>
          <w:sz w:val="28"/>
          <w:szCs w:val="28"/>
          <w:highlight w:val="none"/>
        </w:rPr>
        <w:br w:type="page"/>
      </w:r>
      <w:r>
        <w:rPr>
          <w:rFonts w:hint="eastAsia" w:ascii="仿宋" w:hAnsi="仿宋" w:eastAsia="仿宋" w:cs="仿宋"/>
          <w:b/>
          <w:sz w:val="28"/>
          <w:szCs w:val="32"/>
          <w:highlight w:val="none"/>
        </w:rPr>
        <w:t>资格审查证明材料相关格式</w:t>
      </w:r>
    </w:p>
    <w:p w14:paraId="15C0B0F9">
      <w:pPr>
        <w:spacing w:line="360" w:lineRule="auto"/>
        <w:jc w:val="center"/>
        <w:outlineLvl w:val="2"/>
        <w:rPr>
          <w:rFonts w:ascii="仿宋" w:hAnsi="仿宋" w:eastAsia="仿宋" w:cs="仿宋"/>
          <w:bCs/>
          <w:sz w:val="28"/>
          <w:szCs w:val="28"/>
          <w:highlight w:val="none"/>
        </w:rPr>
      </w:pPr>
      <w:r>
        <w:rPr>
          <w:rFonts w:hint="eastAsia" w:ascii="仿宋" w:hAnsi="仿宋" w:eastAsia="仿宋" w:cs="仿宋"/>
          <w:b/>
          <w:sz w:val="28"/>
          <w:szCs w:val="28"/>
          <w:highlight w:val="none"/>
        </w:rPr>
        <w:t>1.响  应  函</w:t>
      </w:r>
    </w:p>
    <w:p w14:paraId="7979FCBB">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2AD573DD">
      <w:pPr>
        <w:spacing w:line="520" w:lineRule="exact"/>
        <w:ind w:firstLine="560" w:firstLineChars="200"/>
        <w:rPr>
          <w:rFonts w:ascii="仿宋" w:hAnsi="仿宋" w:eastAsia="仿宋" w:cs="仿宋"/>
          <w:b/>
          <w:bCs/>
          <w:sz w:val="28"/>
          <w:szCs w:val="28"/>
          <w:highlight w:val="none"/>
        </w:rPr>
      </w:pPr>
      <w:r>
        <w:rPr>
          <w:rFonts w:hint="eastAsia" w:ascii="仿宋" w:hAnsi="仿宋" w:eastAsia="仿宋" w:cs="仿宋"/>
          <w:bCs/>
          <w:sz w:val="28"/>
          <w:szCs w:val="28"/>
          <w:highlight w:val="none"/>
        </w:rPr>
        <w:t>我单位参加</w:t>
      </w:r>
      <w:r>
        <w:rPr>
          <w:rFonts w:hint="eastAsia" w:ascii="仿宋" w:hAnsi="仿宋" w:eastAsia="仿宋" w:cs="仿宋"/>
          <w:sz w:val="28"/>
          <w:szCs w:val="28"/>
          <w:highlight w:val="none"/>
        </w:rPr>
        <w:t>贵单位组织的</w:t>
      </w:r>
      <w:r>
        <w:rPr>
          <w:rFonts w:hint="eastAsia" w:ascii="仿宋" w:hAnsi="仿宋" w:eastAsia="仿宋" w:cs="仿宋"/>
          <w:sz w:val="28"/>
          <w:szCs w:val="28"/>
          <w:highlight w:val="none"/>
          <w:u w:val="single"/>
        </w:rPr>
        <w:t>（采购项目名称)</w:t>
      </w:r>
      <w:r>
        <w:rPr>
          <w:rFonts w:hint="eastAsia" w:ascii="仿宋" w:hAnsi="仿宋" w:eastAsia="仿宋" w:cs="仿宋"/>
          <w:bCs/>
          <w:sz w:val="28"/>
          <w:szCs w:val="28"/>
          <w:highlight w:val="none"/>
        </w:rPr>
        <w:t>（项目编号:_______)投标活动。针对规定做出如下声明：</w:t>
      </w:r>
    </w:p>
    <w:p w14:paraId="0D931A3E">
      <w:pPr>
        <w:spacing w:line="520" w:lineRule="exact"/>
        <w:ind w:firstLine="482"/>
        <w:rPr>
          <w:rFonts w:ascii="仿宋" w:hAnsi="仿宋" w:eastAsia="仿宋" w:cs="仿宋"/>
          <w:sz w:val="28"/>
          <w:szCs w:val="28"/>
          <w:highlight w:val="none"/>
        </w:rPr>
      </w:pPr>
      <w:r>
        <w:rPr>
          <w:rFonts w:hint="eastAsia" w:ascii="仿宋" w:hAnsi="仿宋" w:eastAsia="仿宋" w:cs="仿宋"/>
          <w:bCs/>
          <w:sz w:val="28"/>
          <w:szCs w:val="28"/>
          <w:highlight w:val="none"/>
        </w:rPr>
        <w:t>1.我单位具有独立承担民事责任的能力；</w:t>
      </w:r>
    </w:p>
    <w:p w14:paraId="5981832A">
      <w:pPr>
        <w:spacing w:line="520" w:lineRule="exact"/>
        <w:ind w:firstLine="482"/>
        <w:rPr>
          <w:rFonts w:ascii="仿宋" w:hAnsi="仿宋" w:eastAsia="仿宋" w:cs="仿宋"/>
          <w:sz w:val="28"/>
          <w:szCs w:val="28"/>
          <w:highlight w:val="none"/>
        </w:rPr>
      </w:pPr>
      <w:r>
        <w:rPr>
          <w:rFonts w:hint="eastAsia" w:ascii="仿宋" w:hAnsi="仿宋" w:eastAsia="仿宋" w:cs="仿宋"/>
          <w:sz w:val="28"/>
          <w:szCs w:val="28"/>
          <w:highlight w:val="none"/>
        </w:rPr>
        <w:t>2.我单位具有良好的商业信誉和健全的财务会计制度；</w:t>
      </w:r>
    </w:p>
    <w:p w14:paraId="68CEB664">
      <w:pPr>
        <w:spacing w:line="520" w:lineRule="exact"/>
        <w:ind w:firstLine="482"/>
        <w:rPr>
          <w:rFonts w:ascii="仿宋" w:hAnsi="仿宋" w:eastAsia="仿宋" w:cs="仿宋"/>
          <w:sz w:val="28"/>
          <w:szCs w:val="28"/>
          <w:highlight w:val="none"/>
        </w:rPr>
      </w:pPr>
      <w:r>
        <w:rPr>
          <w:rFonts w:hint="eastAsia" w:ascii="仿宋" w:hAnsi="仿宋" w:eastAsia="仿宋" w:cs="仿宋"/>
          <w:sz w:val="28"/>
          <w:szCs w:val="28"/>
          <w:highlight w:val="none"/>
        </w:rPr>
        <w:t>3.我单位具有履行合同所必需的设备和专业技术能力；</w:t>
      </w:r>
    </w:p>
    <w:p w14:paraId="4A588FA7">
      <w:pPr>
        <w:spacing w:line="520" w:lineRule="exact"/>
        <w:ind w:firstLine="482"/>
        <w:rPr>
          <w:rFonts w:ascii="仿宋" w:hAnsi="仿宋" w:eastAsia="仿宋" w:cs="仿宋"/>
          <w:sz w:val="28"/>
          <w:szCs w:val="28"/>
          <w:highlight w:val="none"/>
        </w:rPr>
      </w:pPr>
      <w:r>
        <w:rPr>
          <w:rFonts w:hint="eastAsia" w:ascii="仿宋" w:hAnsi="仿宋" w:eastAsia="仿宋" w:cs="仿宋"/>
          <w:sz w:val="28"/>
          <w:szCs w:val="28"/>
          <w:highlight w:val="none"/>
        </w:rPr>
        <w:t>4.我单位有依法缴纳税收和社会保障资金的良好记录。</w:t>
      </w:r>
    </w:p>
    <w:p w14:paraId="1774016E">
      <w:pPr>
        <w:spacing w:line="520" w:lineRule="exact"/>
        <w:ind w:firstLine="482"/>
        <w:rPr>
          <w:rFonts w:ascii="仿宋" w:hAnsi="仿宋" w:eastAsia="仿宋" w:cs="仿宋"/>
          <w:bCs/>
          <w:sz w:val="28"/>
          <w:szCs w:val="28"/>
          <w:highlight w:val="none"/>
        </w:rPr>
      </w:pPr>
    </w:p>
    <w:p w14:paraId="20274440">
      <w:pPr>
        <w:spacing w:line="500" w:lineRule="exact"/>
        <w:ind w:firstLine="482"/>
        <w:rPr>
          <w:rFonts w:ascii="宋体" w:hAnsi="宋体" w:cs="宋体"/>
          <w:sz w:val="24"/>
          <w:highlight w:val="none"/>
        </w:rPr>
      </w:pPr>
    </w:p>
    <w:p w14:paraId="04656859">
      <w:pPr>
        <w:spacing w:line="500" w:lineRule="exact"/>
        <w:rPr>
          <w:rFonts w:ascii="宋体" w:hAnsi="宋体" w:cs="宋体"/>
          <w:bCs/>
          <w:sz w:val="24"/>
          <w:szCs w:val="21"/>
          <w:highlight w:val="none"/>
        </w:rPr>
      </w:pPr>
    </w:p>
    <w:p w14:paraId="46AAD045">
      <w:pPr>
        <w:spacing w:line="460" w:lineRule="exact"/>
        <w:jc w:val="center"/>
        <w:rPr>
          <w:rFonts w:ascii="宋体" w:hAnsi="宋体" w:cs="宋体"/>
          <w:bCs/>
          <w:sz w:val="24"/>
          <w:szCs w:val="21"/>
          <w:highlight w:val="none"/>
        </w:rPr>
      </w:pPr>
      <w:r>
        <w:rPr>
          <w:rFonts w:hint="eastAsia" w:ascii="宋体" w:hAnsi="宋体" w:cs="宋体"/>
          <w:bCs/>
          <w:sz w:val="24"/>
          <w:szCs w:val="21"/>
          <w:highlight w:val="none"/>
        </w:rPr>
        <w:t xml:space="preserve">            </w:t>
      </w:r>
      <w:r>
        <w:rPr>
          <w:rFonts w:hint="eastAsia" w:ascii="宋体" w:hAnsi="宋体" w:cs="宋体"/>
          <w:bCs/>
          <w:sz w:val="24"/>
          <w:szCs w:val="21"/>
          <w:highlight w:val="none"/>
        </w:rPr>
        <w:tab/>
      </w:r>
      <w:r>
        <w:rPr>
          <w:rFonts w:hint="eastAsia" w:ascii="宋体" w:hAnsi="宋体" w:cs="宋体"/>
          <w:bCs/>
          <w:sz w:val="24"/>
          <w:szCs w:val="21"/>
          <w:highlight w:val="none"/>
        </w:rPr>
        <w:t>承诺人名称（公章）：</w:t>
      </w:r>
    </w:p>
    <w:p w14:paraId="3BBE07A7">
      <w:pPr>
        <w:spacing w:line="460" w:lineRule="exact"/>
        <w:jc w:val="right"/>
        <w:rPr>
          <w:rFonts w:ascii="宋体" w:hAnsi="宋体" w:cs="宋体"/>
          <w:bCs/>
          <w:sz w:val="24"/>
          <w:szCs w:val="21"/>
          <w:highlight w:val="none"/>
        </w:rPr>
      </w:pPr>
      <w:r>
        <w:rPr>
          <w:rFonts w:hint="eastAsia" w:ascii="宋体" w:hAnsi="宋体" w:cs="宋体"/>
          <w:bCs/>
          <w:sz w:val="24"/>
          <w:szCs w:val="21"/>
          <w:highlight w:val="none"/>
        </w:rPr>
        <w:t xml:space="preserve">    </w:t>
      </w:r>
    </w:p>
    <w:p w14:paraId="4C9BD2AE">
      <w:pPr>
        <w:spacing w:line="460" w:lineRule="exact"/>
        <w:jc w:val="left"/>
        <w:rPr>
          <w:rFonts w:ascii="宋体" w:hAnsi="宋体" w:cs="宋体"/>
          <w:bCs/>
          <w:sz w:val="24"/>
          <w:szCs w:val="21"/>
          <w:highlight w:val="none"/>
        </w:rPr>
      </w:pPr>
      <w:r>
        <w:rPr>
          <w:rFonts w:hint="eastAsia" w:ascii="宋体" w:hAnsi="宋体" w:cs="宋体"/>
          <w:bCs/>
          <w:sz w:val="24"/>
          <w:szCs w:val="21"/>
          <w:highlight w:val="none"/>
        </w:rPr>
        <w:t xml:space="preserve">                        </w:t>
      </w:r>
      <w:r>
        <w:rPr>
          <w:rFonts w:hint="eastAsia" w:ascii="宋体" w:hAnsi="宋体" w:cs="宋体"/>
          <w:bCs/>
          <w:sz w:val="24"/>
          <w:szCs w:val="21"/>
          <w:highlight w:val="none"/>
        </w:rPr>
        <w:tab/>
      </w:r>
      <w:r>
        <w:rPr>
          <w:rFonts w:hint="eastAsia" w:ascii="宋体" w:hAnsi="宋体" w:cs="宋体"/>
          <w:bCs/>
          <w:sz w:val="24"/>
          <w:szCs w:val="21"/>
          <w:highlight w:val="none"/>
        </w:rPr>
        <w:tab/>
      </w:r>
      <w:r>
        <w:rPr>
          <w:rFonts w:hint="eastAsia" w:ascii="宋体" w:hAnsi="宋体" w:cs="宋体"/>
          <w:bCs/>
          <w:sz w:val="24"/>
          <w:szCs w:val="21"/>
          <w:highlight w:val="none"/>
        </w:rPr>
        <w:tab/>
      </w:r>
      <w:r>
        <w:rPr>
          <w:rFonts w:hint="eastAsia" w:ascii="宋体" w:hAnsi="宋体" w:cs="宋体"/>
          <w:bCs/>
          <w:sz w:val="24"/>
          <w:szCs w:val="21"/>
          <w:highlight w:val="none"/>
        </w:rPr>
        <w:tab/>
      </w:r>
      <w:r>
        <w:rPr>
          <w:rFonts w:hint="eastAsia" w:ascii="宋体" w:hAnsi="宋体" w:cs="宋体"/>
          <w:bCs/>
          <w:sz w:val="24"/>
          <w:szCs w:val="21"/>
          <w:highlight w:val="none"/>
        </w:rPr>
        <w:t>日期：</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年</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月</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日</w:t>
      </w:r>
    </w:p>
    <w:p w14:paraId="7E1CDF1B">
      <w:pPr>
        <w:rPr>
          <w:highlight w:val="none"/>
        </w:rPr>
      </w:pPr>
    </w:p>
    <w:p w14:paraId="1E23561F">
      <w:pPr>
        <w:rPr>
          <w:highlight w:val="none"/>
        </w:rPr>
      </w:pPr>
    </w:p>
    <w:p w14:paraId="5312AA76">
      <w:pPr>
        <w:rPr>
          <w:highlight w:val="none"/>
        </w:rPr>
      </w:pPr>
    </w:p>
    <w:p w14:paraId="353A76B8">
      <w:pPr>
        <w:rPr>
          <w:highlight w:val="none"/>
        </w:rPr>
      </w:pPr>
    </w:p>
    <w:p w14:paraId="295A8CDD">
      <w:pPr>
        <w:rPr>
          <w:highlight w:val="none"/>
        </w:rPr>
      </w:pPr>
    </w:p>
    <w:p w14:paraId="5B0CB200">
      <w:pPr>
        <w:rPr>
          <w:highlight w:val="none"/>
        </w:rPr>
      </w:pPr>
    </w:p>
    <w:p w14:paraId="781C07E1">
      <w:pPr>
        <w:spacing w:line="360" w:lineRule="auto"/>
        <w:jc w:val="center"/>
        <w:outlineLvl w:val="2"/>
        <w:rPr>
          <w:rFonts w:ascii="仿宋" w:hAnsi="仿宋" w:eastAsia="仿宋"/>
          <w:b/>
          <w:bCs/>
          <w:sz w:val="32"/>
          <w:szCs w:val="32"/>
          <w:highlight w:val="none"/>
        </w:rPr>
      </w:pPr>
      <w:r>
        <w:rPr>
          <w:rFonts w:hint="eastAsia" w:ascii="仿宋" w:hAnsi="仿宋" w:eastAsia="仿宋"/>
          <w:b/>
          <w:bCs/>
          <w:sz w:val="32"/>
          <w:szCs w:val="32"/>
          <w:highlight w:val="none"/>
        </w:rPr>
        <w:t>附有效的营业执照副本复印件并加盖公章</w:t>
      </w:r>
    </w:p>
    <w:p w14:paraId="4955BE17">
      <w:pPr>
        <w:spacing w:line="360" w:lineRule="auto"/>
        <w:jc w:val="center"/>
        <w:outlineLvl w:val="2"/>
        <w:rPr>
          <w:rFonts w:ascii="仿宋" w:hAnsi="仿宋" w:eastAsia="仿宋" w:cs="仿宋"/>
          <w:b/>
          <w:sz w:val="28"/>
          <w:szCs w:val="28"/>
          <w:highlight w:val="none"/>
        </w:rPr>
      </w:pPr>
      <w:r>
        <w:rPr>
          <w:rFonts w:hint="eastAsia" w:ascii="仿宋" w:hAnsi="仿宋" w:eastAsia="仿宋" w:cs="仿宋"/>
          <w:b/>
          <w:bCs/>
          <w:sz w:val="28"/>
          <w:szCs w:val="36"/>
          <w:highlight w:val="none"/>
        </w:rPr>
        <w:t>（未加盖公章的营业执照副本复印件无效）</w:t>
      </w:r>
      <w:r>
        <w:rPr>
          <w:rFonts w:hint="eastAsia" w:ascii="仿宋" w:hAnsi="仿宋" w:eastAsia="仿宋" w:cs="仿宋"/>
          <w:b/>
          <w:bCs/>
          <w:sz w:val="36"/>
          <w:szCs w:val="36"/>
          <w:highlight w:val="none"/>
        </w:rPr>
        <w:br w:type="page"/>
      </w:r>
      <w:r>
        <w:rPr>
          <w:rFonts w:hint="eastAsia" w:ascii="仿宋" w:hAnsi="仿宋" w:eastAsia="仿宋" w:cs="仿宋"/>
          <w:b/>
          <w:sz w:val="28"/>
          <w:szCs w:val="28"/>
          <w:highlight w:val="none"/>
        </w:rPr>
        <w:t>2.法定代表人身份证明</w:t>
      </w:r>
    </w:p>
    <w:p w14:paraId="1B27C9D4">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（姓名）</w:t>
      </w:r>
      <w:r>
        <w:rPr>
          <w:rFonts w:hint="eastAsia" w:ascii="仿宋" w:hAnsi="仿宋" w:eastAsia="仿宋" w:cs="仿宋"/>
          <w:sz w:val="28"/>
          <w:szCs w:val="28"/>
          <w:highlight w:val="none"/>
        </w:rPr>
        <w:t xml:space="preserve">  先生/女士（身份证号码：） 现任我单位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职务，为我单位法定代表人，特此证明。</w:t>
      </w:r>
    </w:p>
    <w:p w14:paraId="79F03B6E">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w:t>
      </w:r>
    </w:p>
    <w:p w14:paraId="2EE73336">
      <w:pPr>
        <w:snapToGrid w:val="0"/>
        <w:spacing w:line="360" w:lineRule="auto"/>
        <w:rPr>
          <w:rFonts w:ascii="仿宋" w:hAnsi="仿宋" w:eastAsia="仿宋" w:cs="仿宋"/>
          <w:sz w:val="28"/>
          <w:szCs w:val="28"/>
          <w:highlight w:val="none"/>
        </w:rPr>
      </w:pPr>
    </w:p>
    <w:p w14:paraId="47EE3AD2">
      <w:pPr>
        <w:snapToGrid w:val="0"/>
        <w:spacing w:line="360" w:lineRule="auto"/>
        <w:ind w:left="3780" w:firstLine="420"/>
        <w:rPr>
          <w:rFonts w:ascii="仿宋" w:hAnsi="仿宋" w:eastAsia="仿宋" w:cs="仿宋"/>
          <w:sz w:val="28"/>
          <w:szCs w:val="28"/>
          <w:highlight w:val="none"/>
        </w:rPr>
      </w:pPr>
      <w:r>
        <w:rPr>
          <w:rFonts w:hint="eastAsia" w:ascii="仿宋" w:hAnsi="仿宋" w:eastAsia="仿宋" w:cs="仿宋"/>
          <w:sz w:val="28"/>
          <w:szCs w:val="28"/>
          <w:highlight w:val="none"/>
        </w:rPr>
        <w:t xml:space="preserve">单位名称（公章）:                  </w:t>
      </w:r>
    </w:p>
    <w:p w14:paraId="465FF7BD">
      <w:pPr>
        <w:snapToGrid w:val="0"/>
        <w:spacing w:line="360" w:lineRule="auto"/>
        <w:ind w:left="3780" w:firstLine="42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71672154">
      <w:pPr>
        <w:snapToGrid w:val="0"/>
        <w:spacing w:line="360" w:lineRule="auto"/>
        <w:ind w:left="3780" w:firstLine="420"/>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7226D0A2">
      <w:pPr>
        <w:snapToGrid w:val="0"/>
        <w:spacing w:line="360" w:lineRule="auto"/>
        <w:ind w:firstLine="1200" w:firstLineChars="500"/>
        <w:rPr>
          <w:rFonts w:ascii="仿宋" w:hAnsi="仿宋" w:eastAsia="仿宋" w:cs="仿宋"/>
          <w:sz w:val="24"/>
          <w:highlight w:val="none"/>
        </w:rPr>
      </w:pPr>
      <w:r>
        <w:rPr>
          <w:rFonts w:hint="eastAsia" w:ascii="仿宋" w:hAnsi="仿宋" w:eastAsia="仿宋" w:cs="仿宋"/>
          <w:sz w:val="24"/>
          <w:highlight w:val="none"/>
        </w:rPr>
        <w:t xml:space="preserve">  </w:t>
      </w:r>
    </w:p>
    <w:p w14:paraId="3FDAAAD8">
      <w:pPr>
        <w:spacing w:line="480" w:lineRule="exact"/>
        <w:ind w:firstLine="480"/>
        <w:rPr>
          <w:rFonts w:ascii="宋体" w:hAnsi="宋体"/>
          <w:sz w:val="24"/>
          <w:highlight w:val="none"/>
        </w:rPr>
      </w:pPr>
    </w:p>
    <w:p w14:paraId="1CC6F278">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注:如为法定代表人参加投标时，须将身份证原件带至开标现场备查。</w:t>
      </w:r>
    </w:p>
    <w:p w14:paraId="4DB4FA5F">
      <w:pPr>
        <w:snapToGrid w:val="0"/>
        <w:spacing w:line="360" w:lineRule="auto"/>
        <w:ind w:firstLine="480" w:firstLineChars="200"/>
        <w:rPr>
          <w:rFonts w:hint="default" w:ascii="仿宋" w:hAnsi="仿宋" w:eastAsia="仿宋" w:cs="仿宋"/>
          <w:sz w:val="24"/>
          <w:highlight w:val="none"/>
          <w:lang w:val="en-US" w:eastAsia="zh-CN"/>
        </w:rPr>
      </w:pPr>
    </w:p>
    <w:p w14:paraId="532AB6DD">
      <w:pPr>
        <w:snapToGrid w:val="0"/>
        <w:spacing w:line="360" w:lineRule="auto"/>
        <w:ind w:firstLine="480" w:firstLineChars="200"/>
        <w:rPr>
          <w:rFonts w:ascii="仿宋" w:hAnsi="仿宋" w:eastAsia="仿宋" w:cs="仿宋"/>
          <w:sz w:val="24"/>
          <w:highlight w:val="none"/>
        </w:rPr>
      </w:pPr>
    </w:p>
    <w:tbl>
      <w:tblPr>
        <w:tblStyle w:val="7"/>
        <w:tblpPr w:leftFromText="180" w:rightFromText="180" w:vertAnchor="text" w:horzAnchor="page" w:tblpX="2024" w:tblpY="7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1917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0CF6ACAE">
            <w:pPr>
              <w:snapToGrid w:val="0"/>
              <w:spacing w:line="420" w:lineRule="exact"/>
              <w:ind w:left="193" w:firstLine="424" w:firstLineChars="202"/>
              <w:jc w:val="left"/>
              <w:rPr>
                <w:rFonts w:ascii="仿宋" w:hAnsi="仿宋" w:eastAsia="仿宋" w:cs="仿宋"/>
                <w:highlight w:val="none"/>
              </w:rPr>
            </w:pPr>
          </w:p>
          <w:p w14:paraId="34F8CFC6">
            <w:pPr>
              <w:snapToGrid w:val="0"/>
              <w:spacing w:line="420" w:lineRule="exact"/>
              <w:jc w:val="center"/>
              <w:rPr>
                <w:rFonts w:ascii="仿宋" w:hAnsi="仿宋" w:eastAsia="仿宋" w:cs="仿宋"/>
                <w:b/>
                <w:bCs/>
                <w:sz w:val="28"/>
                <w:szCs w:val="36"/>
                <w:highlight w:val="none"/>
              </w:rPr>
            </w:pPr>
            <w:r>
              <w:rPr>
                <w:rFonts w:hint="eastAsia" w:ascii="仿宋" w:hAnsi="仿宋" w:eastAsia="仿宋" w:cs="仿宋"/>
                <w:b/>
                <w:bCs/>
                <w:sz w:val="28"/>
                <w:szCs w:val="36"/>
                <w:highlight w:val="none"/>
              </w:rPr>
              <w:t>法定代表人身份证（正、反面）复印件并加盖公章</w:t>
            </w:r>
            <w:r>
              <w:rPr>
                <w:rFonts w:hint="eastAsia" w:ascii="仿宋" w:hAnsi="仿宋" w:eastAsia="仿宋" w:cs="仿宋"/>
                <w:b/>
                <w:bCs/>
                <w:sz w:val="28"/>
                <w:szCs w:val="36"/>
                <w:highlight w:val="none"/>
                <w:u w:val="single"/>
              </w:rPr>
              <w:t>（黏贴此处）</w:t>
            </w:r>
          </w:p>
          <w:p w14:paraId="47C52CEF">
            <w:pPr>
              <w:snapToGrid w:val="0"/>
              <w:spacing w:line="420" w:lineRule="exact"/>
              <w:ind w:left="193"/>
              <w:jc w:val="left"/>
              <w:rPr>
                <w:rFonts w:ascii="仿宋" w:hAnsi="仿宋" w:eastAsia="仿宋" w:cs="仿宋"/>
                <w:b/>
                <w:bCs/>
                <w:highlight w:val="none"/>
              </w:rPr>
            </w:pPr>
          </w:p>
          <w:p w14:paraId="1C462B2E">
            <w:pPr>
              <w:snapToGrid w:val="0"/>
              <w:spacing w:line="420" w:lineRule="exact"/>
              <w:ind w:left="193"/>
              <w:jc w:val="left"/>
              <w:rPr>
                <w:rFonts w:ascii="仿宋" w:hAnsi="仿宋" w:eastAsia="仿宋" w:cs="仿宋"/>
                <w:b/>
                <w:bCs/>
                <w:highlight w:val="none"/>
              </w:rPr>
            </w:pPr>
          </w:p>
          <w:p w14:paraId="55D78996">
            <w:pPr>
              <w:snapToGrid w:val="0"/>
              <w:spacing w:line="420" w:lineRule="exact"/>
              <w:ind w:left="193"/>
              <w:jc w:val="left"/>
              <w:rPr>
                <w:rFonts w:ascii="仿宋" w:hAnsi="仿宋" w:eastAsia="仿宋" w:cs="仿宋"/>
                <w:b/>
                <w:bCs/>
                <w:highlight w:val="none"/>
              </w:rPr>
            </w:pPr>
          </w:p>
          <w:p w14:paraId="0ADFC9F9">
            <w:pPr>
              <w:snapToGrid w:val="0"/>
              <w:spacing w:line="420" w:lineRule="exact"/>
              <w:ind w:left="193" w:firstLine="568" w:firstLineChars="202"/>
              <w:jc w:val="center"/>
              <w:rPr>
                <w:rFonts w:ascii="仿宋" w:hAnsi="仿宋" w:eastAsia="仿宋" w:cs="仿宋"/>
                <w:highlight w:val="none"/>
              </w:rPr>
            </w:pPr>
            <w:r>
              <w:rPr>
                <w:rFonts w:hint="eastAsia" w:ascii="仿宋" w:hAnsi="仿宋" w:eastAsia="仿宋" w:cs="仿宋"/>
                <w:b/>
                <w:bCs/>
                <w:sz w:val="28"/>
                <w:szCs w:val="36"/>
                <w:highlight w:val="none"/>
              </w:rPr>
              <w:t>（未盖加公章的身份证复印件无效）</w:t>
            </w:r>
          </w:p>
        </w:tc>
      </w:tr>
    </w:tbl>
    <w:p w14:paraId="28C1BD75">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bCs/>
          <w:sz w:val="28"/>
          <w:szCs w:val="28"/>
          <w:highlight w:val="none"/>
        </w:rPr>
        <w:t>3.授权委托书（如需）</w:t>
      </w:r>
    </w:p>
    <w:p w14:paraId="20825E40">
      <w:pPr>
        <w:snapToGrid w:val="0"/>
        <w:spacing w:line="360" w:lineRule="auto"/>
        <w:rPr>
          <w:rFonts w:ascii="仿宋" w:hAnsi="仿宋" w:eastAsia="仿宋" w:cs="仿宋"/>
          <w:bCs/>
          <w:sz w:val="28"/>
          <w:szCs w:val="28"/>
          <w:highlight w:val="none"/>
        </w:rPr>
      </w:pPr>
    </w:p>
    <w:p w14:paraId="18DA7056">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242487C4">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rPr>
        <w:t xml:space="preserve">    （姓名）系    </w:t>
      </w:r>
      <w:r>
        <w:rPr>
          <w:rFonts w:hint="eastAsia" w:ascii="仿宋" w:hAnsi="仿宋" w:eastAsia="仿宋" w:cs="仿宋"/>
          <w:sz w:val="28"/>
          <w:szCs w:val="28"/>
          <w:highlight w:val="none"/>
        </w:rPr>
        <w:t>（授权单位名称）的法定代表人，现委托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（姓名）（身份证号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）为我方代理人，以我方名义全权处理与</w:t>
      </w:r>
      <w:r>
        <w:rPr>
          <w:rFonts w:hint="eastAsia" w:ascii="仿宋" w:hAnsi="仿宋" w:eastAsia="仿宋" w:cs="仿宋"/>
          <w:sz w:val="28"/>
          <w:szCs w:val="28"/>
          <w:highlight w:val="none"/>
          <w:u w:val="single"/>
        </w:rPr>
        <w:t>（采购项目名称)</w:t>
      </w:r>
      <w:r>
        <w:rPr>
          <w:rFonts w:hint="eastAsia" w:ascii="仿宋" w:hAnsi="仿宋" w:eastAsia="仿宋" w:cs="仿宋"/>
          <w:bCs/>
          <w:sz w:val="28"/>
          <w:szCs w:val="28"/>
          <w:highlight w:val="none"/>
        </w:rPr>
        <w:t>（项目编号:_______)</w:t>
      </w:r>
      <w:r>
        <w:rPr>
          <w:rFonts w:hint="eastAsia" w:ascii="仿宋" w:hAnsi="仿宋" w:eastAsia="仿宋" w:cs="仿宋"/>
          <w:sz w:val="28"/>
          <w:szCs w:val="28"/>
          <w:highlight w:val="none"/>
        </w:rPr>
        <w:t>有关的一切事务，其法律后果由我方承担。</w:t>
      </w:r>
    </w:p>
    <w:p w14:paraId="2B39B9A1">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本委托书限期自</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日起至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日止。</w:t>
      </w:r>
    </w:p>
    <w:p w14:paraId="75EBC8FC">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授权代表无权转让委托权，特此委托。</w:t>
      </w:r>
    </w:p>
    <w:p w14:paraId="49E0E649">
      <w:pPr>
        <w:spacing w:line="560" w:lineRule="exact"/>
        <w:ind w:firstLine="560" w:firstLineChars="200"/>
        <w:rPr>
          <w:rFonts w:ascii="仿宋" w:hAnsi="仿宋" w:eastAsia="仿宋" w:cs="仿宋"/>
          <w:sz w:val="28"/>
          <w:szCs w:val="28"/>
          <w:highlight w:val="none"/>
        </w:rPr>
      </w:pPr>
    </w:p>
    <w:p w14:paraId="544A3991">
      <w:pPr>
        <w:spacing w:line="560" w:lineRule="exact"/>
        <w:ind w:left="2100" w:firstLine="420"/>
        <w:jc w:val="left"/>
        <w:rPr>
          <w:rFonts w:ascii="仿宋" w:hAnsi="仿宋" w:eastAsia="仿宋" w:cs="仿宋"/>
          <w:sz w:val="28"/>
          <w:szCs w:val="28"/>
          <w:highlight w:val="none"/>
        </w:rPr>
      </w:pPr>
      <w:r>
        <w:rPr>
          <w:rFonts w:hint="eastAsia" w:ascii="仿宋" w:hAnsi="仿宋" w:eastAsia="仿宋" w:cs="仿宋"/>
          <w:sz w:val="28"/>
          <w:szCs w:val="28"/>
          <w:highlight w:val="none"/>
        </w:rPr>
        <w:t>授权单位名称（盖章）：</w:t>
      </w:r>
    </w:p>
    <w:p w14:paraId="2169F0AF">
      <w:pPr>
        <w:spacing w:line="560" w:lineRule="exact"/>
        <w:ind w:left="2100" w:firstLine="420"/>
        <w:jc w:val="left"/>
        <w:rPr>
          <w:rFonts w:ascii="仿宋" w:hAnsi="仿宋" w:eastAsia="仿宋" w:cs="仿宋"/>
          <w:sz w:val="28"/>
          <w:szCs w:val="28"/>
          <w:highlight w:val="none"/>
        </w:rPr>
      </w:pPr>
      <w:r>
        <w:rPr>
          <w:rFonts w:hint="eastAsia" w:ascii="仿宋" w:hAnsi="仿宋" w:eastAsia="仿宋" w:cs="仿宋"/>
          <w:sz w:val="28"/>
          <w:szCs w:val="28"/>
          <w:highlight w:val="none"/>
        </w:rPr>
        <w:t>授权单位法定代表人（签字或盖章）：</w:t>
      </w:r>
    </w:p>
    <w:p w14:paraId="4B8F5FE8">
      <w:pPr>
        <w:snapToGrid w:val="0"/>
        <w:spacing w:line="360" w:lineRule="auto"/>
        <w:ind w:left="2100" w:firstLine="420"/>
        <w:rPr>
          <w:rFonts w:ascii="仿宋" w:hAnsi="仿宋" w:eastAsia="仿宋" w:cs="仿宋"/>
          <w:bCs/>
          <w:sz w:val="28"/>
          <w:szCs w:val="28"/>
          <w:highlight w:val="none"/>
        </w:rPr>
      </w:pPr>
      <w:r>
        <w:rPr>
          <w:rFonts w:hint="eastAsia" w:ascii="仿宋" w:hAnsi="仿宋" w:eastAsia="仿宋" w:cs="仿宋"/>
          <w:sz w:val="28"/>
          <w:szCs w:val="28"/>
          <w:highlight w:val="none"/>
        </w:rPr>
        <w:t xml:space="preserve">日期：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6A252FBA">
      <w:pPr>
        <w:spacing w:line="460" w:lineRule="exact"/>
        <w:jc w:val="left"/>
        <w:rPr>
          <w:rFonts w:ascii="仿宋" w:hAnsi="仿宋" w:eastAsia="仿宋" w:cs="仿宋"/>
          <w:sz w:val="28"/>
          <w:szCs w:val="28"/>
          <w:highlight w:val="none"/>
        </w:rPr>
      </w:pPr>
    </w:p>
    <w:p w14:paraId="639D8D17">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7F4E5CD7">
      <w:pPr>
        <w:spacing w:line="560" w:lineRule="exact"/>
        <w:ind w:firstLine="560" w:firstLineChars="200"/>
        <w:rPr>
          <w:rFonts w:ascii="仿宋" w:hAnsi="仿宋" w:eastAsia="仿宋" w:cs="仿宋"/>
          <w:sz w:val="28"/>
          <w:szCs w:val="28"/>
          <w:highlight w:val="none"/>
        </w:rPr>
      </w:pPr>
    </w:p>
    <w:p w14:paraId="4B544C11">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注:如为被授权人参加投标时，须将身份证原件带至开标现场备查。</w:t>
      </w:r>
    </w:p>
    <w:tbl>
      <w:tblPr>
        <w:tblStyle w:val="7"/>
        <w:tblpPr w:leftFromText="180" w:rightFromText="180" w:vertAnchor="text" w:horzAnchor="page" w:tblpX="2219" w:tblpY="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245A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74749E4E">
            <w:pPr>
              <w:snapToGrid w:val="0"/>
              <w:spacing w:line="420" w:lineRule="exact"/>
              <w:ind w:firstLine="424" w:firstLineChars="202"/>
              <w:jc w:val="left"/>
              <w:rPr>
                <w:rFonts w:ascii="仿宋" w:hAnsi="仿宋" w:eastAsia="仿宋" w:cs="仿宋"/>
                <w:highlight w:val="none"/>
              </w:rPr>
            </w:pPr>
          </w:p>
          <w:p w14:paraId="7650ECAD">
            <w:pPr>
              <w:snapToGrid w:val="0"/>
              <w:spacing w:line="420" w:lineRule="exact"/>
              <w:jc w:val="center"/>
              <w:rPr>
                <w:rFonts w:ascii="仿宋" w:hAnsi="仿宋" w:eastAsia="仿宋" w:cs="仿宋"/>
                <w:b/>
                <w:bCs/>
                <w:highlight w:val="none"/>
              </w:rPr>
            </w:pPr>
            <w:r>
              <w:rPr>
                <w:rFonts w:hint="eastAsia" w:ascii="仿宋" w:hAnsi="仿宋" w:eastAsia="仿宋" w:cs="仿宋"/>
                <w:b/>
                <w:bCs/>
                <w:sz w:val="28"/>
                <w:szCs w:val="36"/>
                <w:highlight w:val="none"/>
              </w:rPr>
              <w:t>被授权人身份证（正、反面）复印件并加盖公章</w:t>
            </w:r>
            <w:r>
              <w:rPr>
                <w:rFonts w:hint="eastAsia" w:ascii="仿宋" w:hAnsi="仿宋" w:eastAsia="仿宋" w:cs="仿宋"/>
                <w:b/>
                <w:bCs/>
                <w:sz w:val="28"/>
                <w:szCs w:val="36"/>
                <w:highlight w:val="none"/>
                <w:u w:val="single"/>
              </w:rPr>
              <w:t>（黏贴此处）</w:t>
            </w:r>
          </w:p>
          <w:p w14:paraId="7D7FA6BD">
            <w:pPr>
              <w:snapToGrid w:val="0"/>
              <w:spacing w:line="420" w:lineRule="exact"/>
              <w:jc w:val="center"/>
              <w:rPr>
                <w:rFonts w:ascii="仿宋" w:hAnsi="仿宋" w:eastAsia="仿宋" w:cs="仿宋"/>
                <w:b/>
                <w:bCs/>
                <w:highlight w:val="none"/>
              </w:rPr>
            </w:pPr>
          </w:p>
          <w:p w14:paraId="4EF5F092">
            <w:pPr>
              <w:snapToGrid w:val="0"/>
              <w:spacing w:line="420" w:lineRule="exact"/>
              <w:jc w:val="center"/>
              <w:rPr>
                <w:rFonts w:ascii="仿宋" w:hAnsi="仿宋" w:eastAsia="仿宋" w:cs="仿宋"/>
                <w:b/>
                <w:bCs/>
                <w:highlight w:val="none"/>
              </w:rPr>
            </w:pPr>
          </w:p>
          <w:p w14:paraId="6428773E">
            <w:pPr>
              <w:snapToGrid w:val="0"/>
              <w:spacing w:line="420" w:lineRule="exact"/>
              <w:jc w:val="center"/>
              <w:rPr>
                <w:rFonts w:ascii="仿宋" w:hAnsi="仿宋" w:eastAsia="仿宋" w:cs="仿宋"/>
                <w:highlight w:val="none"/>
              </w:rPr>
            </w:pPr>
          </w:p>
          <w:p w14:paraId="43A18964">
            <w:pPr>
              <w:snapToGrid w:val="0"/>
              <w:spacing w:line="420" w:lineRule="exact"/>
              <w:jc w:val="center"/>
              <w:rPr>
                <w:rFonts w:ascii="仿宋" w:hAnsi="仿宋" w:eastAsia="仿宋" w:cs="仿宋"/>
                <w:highlight w:val="none"/>
              </w:rPr>
            </w:pPr>
            <w:r>
              <w:rPr>
                <w:rFonts w:hint="eastAsia" w:ascii="仿宋" w:hAnsi="仿宋" w:eastAsia="仿宋" w:cs="仿宋"/>
                <w:b/>
                <w:bCs/>
                <w:sz w:val="28"/>
                <w:szCs w:val="36"/>
                <w:highlight w:val="none"/>
              </w:rPr>
              <w:t>（未加盖公章的身份证复印件无效）</w:t>
            </w:r>
          </w:p>
        </w:tc>
      </w:tr>
    </w:tbl>
    <w:p w14:paraId="214720D6">
      <w:pPr>
        <w:snapToGrid w:val="0"/>
        <w:spacing w:line="360" w:lineRule="auto"/>
        <w:ind w:firstLine="480" w:firstLineChars="200"/>
        <w:rPr>
          <w:rFonts w:ascii="仿宋" w:hAnsi="仿宋" w:eastAsia="仿宋" w:cs="仿宋"/>
          <w:kern w:val="0"/>
          <w:sz w:val="24"/>
          <w:highlight w:val="none"/>
        </w:rPr>
      </w:pPr>
    </w:p>
    <w:p w14:paraId="7DC26C91">
      <w:pPr>
        <w:spacing w:line="360" w:lineRule="auto"/>
        <w:jc w:val="center"/>
        <w:outlineLvl w:val="2"/>
        <w:rPr>
          <w:rFonts w:ascii="仿宋" w:hAnsi="仿宋" w:eastAsia="仿宋" w:cs="仿宋"/>
          <w:b/>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4.</w:t>
      </w:r>
      <w:r>
        <w:rPr>
          <w:rFonts w:hint="eastAsia" w:ascii="仿宋" w:hAnsi="仿宋" w:eastAsia="仿宋" w:cs="仿宋"/>
          <w:b/>
          <w:sz w:val="28"/>
          <w:szCs w:val="28"/>
          <w:highlight w:val="none"/>
        </w:rPr>
        <w:t>无重大违法记录声明</w:t>
      </w:r>
    </w:p>
    <w:p w14:paraId="01B176C9">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4857D347">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我公司郑重声明：参加本次采购活动前</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年内，我公司在经营活动中</w:t>
      </w:r>
      <w:r>
        <w:rPr>
          <w:rFonts w:hint="eastAsia" w:ascii="仿宋" w:hAnsi="仿宋" w:eastAsia="仿宋" w:cs="仿宋"/>
          <w:b/>
          <w:bCs/>
          <w:sz w:val="28"/>
          <w:szCs w:val="28"/>
          <w:highlight w:val="none"/>
          <w:u w:val="single"/>
        </w:rPr>
        <w:t>有/没有</w:t>
      </w:r>
      <w:r>
        <w:rPr>
          <w:rFonts w:hint="eastAsia" w:ascii="仿宋" w:hAnsi="仿宋" w:eastAsia="仿宋" w:cs="仿宋"/>
          <w:sz w:val="28"/>
          <w:szCs w:val="28"/>
          <w:highlight w:val="none"/>
        </w:rPr>
        <w:t>因违法经营受到刑事处罚或者责令停产停业、吊销许可证或者执照、较大数额罚款等行政处罚。</w:t>
      </w:r>
    </w:p>
    <w:p w14:paraId="0448CD7D">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在投标截止时间节点，没有被</w:t>
      </w:r>
      <w:r>
        <w:rPr>
          <w:rFonts w:hint="eastAsia" w:ascii="仿宋" w:hAnsi="仿宋" w:eastAsia="仿宋" w:cs="仿宋"/>
          <w:sz w:val="28"/>
          <w:szCs w:val="32"/>
          <w:highlight w:val="none"/>
        </w:rPr>
        <w:t>“信用江苏”“信用中国”</w:t>
      </w:r>
      <w:r>
        <w:rPr>
          <w:rFonts w:hint="eastAsia" w:ascii="仿宋" w:hAnsi="仿宋" w:eastAsia="仿宋" w:cs="仿宋"/>
          <w:sz w:val="28"/>
          <w:szCs w:val="28"/>
          <w:highlight w:val="none"/>
        </w:rPr>
        <w:t>网站列入失信被执行人、重大税收违法案件当事人名单、采购严重违法失信行为记录名单。</w:t>
      </w:r>
    </w:p>
    <w:p w14:paraId="6F622F8B">
      <w:pPr>
        <w:snapToGrid w:val="0"/>
        <w:spacing w:line="360" w:lineRule="auto"/>
        <w:ind w:firstLine="200"/>
        <w:rPr>
          <w:rFonts w:ascii="仿宋" w:hAnsi="仿宋" w:eastAsia="仿宋" w:cs="仿宋"/>
          <w:sz w:val="28"/>
          <w:szCs w:val="28"/>
          <w:highlight w:val="none"/>
        </w:rPr>
      </w:pPr>
    </w:p>
    <w:p w14:paraId="37B1E55B">
      <w:pPr>
        <w:snapToGrid w:val="0"/>
        <w:spacing w:line="480" w:lineRule="auto"/>
        <w:ind w:right="720" w:firstLine="560" w:firstLineChars="200"/>
        <w:contextualSpacing/>
        <w:jc w:val="center"/>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6702A970">
      <w:pPr>
        <w:snapToGrid w:val="0"/>
        <w:spacing w:line="480" w:lineRule="auto"/>
        <w:ind w:right="720" w:firstLine="3063" w:firstLineChars="1094"/>
        <w:contextualSpacing/>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法定代表人或授权委托人（签字或盖章）：</w:t>
      </w:r>
    </w:p>
    <w:p w14:paraId="03FBD5B4">
      <w:pPr>
        <w:snapToGrid w:val="0"/>
        <w:spacing w:line="480" w:lineRule="auto"/>
        <w:ind w:right="720" w:firstLine="3063" w:firstLineChars="1094"/>
        <w:contextualSpacing/>
        <w:rPr>
          <w:rFonts w:ascii="仿宋" w:hAnsi="仿宋" w:eastAsia="仿宋" w:cs="仿宋"/>
          <w:sz w:val="28"/>
          <w:szCs w:val="28"/>
          <w:highlight w:val="none"/>
        </w:rPr>
      </w:pPr>
      <w:r>
        <w:rPr>
          <w:rFonts w:hint="eastAsia" w:ascii="仿宋" w:hAnsi="仿宋" w:eastAsia="仿宋" w:cs="仿宋"/>
          <w:sz w:val="28"/>
          <w:szCs w:val="28"/>
          <w:highlight w:val="none"/>
        </w:rPr>
        <w:t>日期：</w:t>
      </w:r>
    </w:p>
    <w:p w14:paraId="069DDC57">
      <w:pPr>
        <w:spacing w:line="360" w:lineRule="auto"/>
        <w:ind w:firstLine="3092" w:firstLineChars="1100"/>
        <w:outlineLvl w:val="2"/>
        <w:rPr>
          <w:rFonts w:ascii="仿宋" w:hAnsi="仿宋" w:eastAsia="仿宋" w:cs="仿宋"/>
          <w:b/>
          <w:sz w:val="28"/>
          <w:szCs w:val="32"/>
          <w:highlight w:val="none"/>
        </w:rPr>
      </w:pPr>
    </w:p>
    <w:p w14:paraId="301505C1">
      <w:pPr>
        <w:spacing w:line="360" w:lineRule="auto"/>
        <w:ind w:firstLine="3092" w:firstLineChars="1100"/>
        <w:outlineLvl w:val="2"/>
        <w:rPr>
          <w:rFonts w:ascii="仿宋" w:hAnsi="仿宋" w:eastAsia="仿宋" w:cs="仿宋"/>
          <w:b/>
          <w:sz w:val="28"/>
          <w:szCs w:val="32"/>
          <w:highlight w:val="none"/>
        </w:rPr>
      </w:pPr>
    </w:p>
    <w:p w14:paraId="65DC2FAE">
      <w:pPr>
        <w:spacing w:line="360" w:lineRule="auto"/>
        <w:ind w:firstLine="3092" w:firstLineChars="1100"/>
        <w:outlineLvl w:val="2"/>
        <w:rPr>
          <w:rFonts w:ascii="仿宋" w:hAnsi="仿宋" w:eastAsia="仿宋" w:cs="仿宋"/>
          <w:b/>
          <w:sz w:val="28"/>
          <w:szCs w:val="32"/>
          <w:highlight w:val="none"/>
        </w:rPr>
      </w:pPr>
    </w:p>
    <w:p w14:paraId="357FD550">
      <w:pPr>
        <w:tabs>
          <w:tab w:val="left" w:pos="4330"/>
        </w:tabs>
        <w:spacing w:line="360" w:lineRule="auto"/>
        <w:outlineLvl w:val="2"/>
        <w:rPr>
          <w:rFonts w:hint="eastAsia" w:ascii="仿宋" w:hAnsi="仿宋" w:eastAsia="仿宋" w:cs="仿宋"/>
          <w:b/>
          <w:sz w:val="28"/>
          <w:szCs w:val="32"/>
          <w:highlight w:val="none"/>
          <w:lang w:eastAsia="zh-CN"/>
        </w:rPr>
      </w:pPr>
    </w:p>
    <w:p w14:paraId="351BA435">
      <w:pPr>
        <w:spacing w:line="360" w:lineRule="auto"/>
        <w:ind w:firstLine="3092" w:firstLineChars="1100"/>
        <w:outlineLvl w:val="2"/>
        <w:rPr>
          <w:rFonts w:ascii="仿宋" w:hAnsi="仿宋" w:eastAsia="仿宋" w:cs="仿宋"/>
          <w:b/>
          <w:bCs/>
          <w:sz w:val="28"/>
          <w:szCs w:val="36"/>
          <w:highlight w:val="none"/>
        </w:rPr>
      </w:pPr>
      <w:r>
        <w:rPr>
          <w:rFonts w:hint="eastAsia" w:ascii="仿宋" w:hAnsi="仿宋" w:eastAsia="仿宋" w:cs="仿宋"/>
          <w:b/>
          <w:sz w:val="28"/>
          <w:szCs w:val="32"/>
          <w:highlight w:val="none"/>
        </w:rPr>
        <w:t>附网站截图打印件</w:t>
      </w:r>
      <w:r>
        <w:rPr>
          <w:rFonts w:hint="eastAsia" w:ascii="仿宋" w:hAnsi="仿宋" w:eastAsia="仿宋" w:cs="仿宋"/>
          <w:b/>
          <w:bCs/>
          <w:sz w:val="28"/>
          <w:szCs w:val="36"/>
          <w:highlight w:val="none"/>
        </w:rPr>
        <w:t>并加盖公章</w:t>
      </w:r>
    </w:p>
    <w:p w14:paraId="24C6A43F">
      <w:pPr>
        <w:spacing w:line="360" w:lineRule="auto"/>
        <w:jc w:val="center"/>
        <w:outlineLvl w:val="2"/>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（未加盖公章的</w:t>
      </w:r>
      <w:r>
        <w:rPr>
          <w:rFonts w:hint="eastAsia" w:ascii="仿宋" w:hAnsi="仿宋" w:eastAsia="仿宋" w:cs="仿宋"/>
          <w:b/>
          <w:sz w:val="28"/>
          <w:szCs w:val="32"/>
          <w:highlight w:val="none"/>
        </w:rPr>
        <w:t>网站截图打印件</w:t>
      </w:r>
      <w:r>
        <w:rPr>
          <w:rFonts w:hint="eastAsia" w:ascii="仿宋" w:hAnsi="仿宋" w:eastAsia="仿宋" w:cs="仿宋"/>
          <w:b/>
          <w:bCs/>
          <w:sz w:val="28"/>
          <w:szCs w:val="36"/>
          <w:highlight w:val="none"/>
        </w:rPr>
        <w:t>无效）</w:t>
      </w:r>
    </w:p>
    <w:p w14:paraId="05A0551F">
      <w:pPr>
        <w:spacing w:line="360" w:lineRule="auto"/>
        <w:jc w:val="center"/>
        <w:outlineLvl w:val="2"/>
        <w:rPr>
          <w:rFonts w:hint="eastAsia" w:ascii="仿宋" w:hAnsi="仿宋" w:eastAsia="仿宋" w:cs="仿宋"/>
          <w:b/>
          <w:bCs/>
          <w:sz w:val="28"/>
          <w:szCs w:val="36"/>
          <w:highlight w:val="none"/>
        </w:rPr>
      </w:pPr>
    </w:p>
    <w:p w14:paraId="03296035">
      <w:pPr>
        <w:spacing w:line="360" w:lineRule="auto"/>
        <w:jc w:val="center"/>
        <w:outlineLvl w:val="2"/>
        <w:rPr>
          <w:rFonts w:hint="eastAsia" w:ascii="仿宋" w:hAnsi="仿宋" w:eastAsia="仿宋" w:cs="仿宋"/>
          <w:b/>
          <w:bCs/>
          <w:sz w:val="28"/>
          <w:szCs w:val="36"/>
          <w:highlight w:val="none"/>
        </w:rPr>
        <w:sectPr>
          <w:headerReference r:id="rId3" w:type="default"/>
          <w:footerReference r:id="rId4" w:type="default"/>
          <w:pgSz w:w="11905" w:h="16838"/>
          <w:pgMar w:top="1361" w:right="1304" w:bottom="1361" w:left="1361" w:header="850" w:footer="850" w:gutter="0"/>
          <w:cols w:space="720" w:num="1"/>
          <w:docGrid w:linePitch="312" w:charSpace="0"/>
        </w:sectPr>
      </w:pPr>
    </w:p>
    <w:p w14:paraId="73E47704">
      <w:pPr>
        <w:spacing w:line="360" w:lineRule="auto"/>
        <w:jc w:val="center"/>
        <w:outlineLvl w:val="2"/>
        <w:rPr>
          <w:rFonts w:hint="eastAsia" w:ascii="仿宋" w:hAnsi="仿宋" w:eastAsia="仿宋" w:cs="仿宋"/>
          <w:b/>
          <w:bCs/>
          <w:sz w:val="28"/>
          <w:szCs w:val="36"/>
          <w:highlight w:val="none"/>
        </w:rPr>
      </w:pPr>
    </w:p>
    <w:p w14:paraId="32A403FC">
      <w:pPr>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b/>
          <w:sz w:val="28"/>
          <w:szCs w:val="32"/>
          <w:highlight w:val="none"/>
        </w:rPr>
        <w:t>商务技术响应文件相关格式</w:t>
      </w:r>
    </w:p>
    <w:p w14:paraId="29FF35A1">
      <w:pPr>
        <w:spacing w:line="360" w:lineRule="auto"/>
        <w:jc w:val="center"/>
        <w:outlineLvl w:val="2"/>
        <w:rPr>
          <w:rFonts w:ascii="仿宋" w:hAnsi="仿宋" w:eastAsia="仿宋" w:cs="仿宋"/>
          <w:b/>
          <w:sz w:val="28"/>
          <w:szCs w:val="28"/>
          <w:highlight w:val="none"/>
        </w:rPr>
      </w:pPr>
      <w:bookmarkStart w:id="28" w:name="_Hlk89675716"/>
      <w:r>
        <w:rPr>
          <w:rFonts w:hint="eastAsia" w:ascii="仿宋" w:hAnsi="仿宋" w:eastAsia="仿宋" w:cs="仿宋"/>
          <w:b/>
          <w:sz w:val="28"/>
          <w:szCs w:val="28"/>
          <w:highlight w:val="none"/>
        </w:rPr>
        <w:t>1.比选响应函（格式不得变动）</w:t>
      </w:r>
    </w:p>
    <w:p w14:paraId="36C9680B">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6C96A84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依据贵单位组织的</w:t>
      </w:r>
      <w:r>
        <w:rPr>
          <w:rFonts w:hint="eastAsia" w:ascii="仿宋" w:hAnsi="仿宋" w:eastAsia="仿宋" w:cs="仿宋"/>
          <w:sz w:val="28"/>
          <w:szCs w:val="28"/>
          <w:highlight w:val="none"/>
          <w:u w:val="single"/>
        </w:rPr>
        <w:t>（比选项目名称)</w:t>
      </w:r>
      <w:r>
        <w:rPr>
          <w:rFonts w:hint="eastAsia" w:ascii="仿宋" w:hAnsi="仿宋" w:eastAsia="仿宋" w:cs="仿宋"/>
          <w:sz w:val="28"/>
          <w:szCs w:val="28"/>
          <w:highlight w:val="none"/>
        </w:rPr>
        <w:t>项目比选的邀请，我方授权</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为全权代表参加该项目的比选工作，全权处理本次比选的有关事宜。同时，我公司声明如下：</w:t>
      </w:r>
    </w:p>
    <w:p w14:paraId="5036016B">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1.同意并接受比选文件的各项要求，遵守比选文件中的各项规定，按比选文件的要求提供报价。</w:t>
      </w:r>
    </w:p>
    <w:p w14:paraId="46498AE0">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2.我公司已经详细阅读了比选文件的全部内容，我方已完全清晰理解比选文件的要求，不存在任何含糊不清和误解之处，同意放弃对比选文件所表述的内容提出异议的权利。</w:t>
      </w:r>
    </w:p>
    <w:p w14:paraId="6123E466">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3.我公司已毫无保留地向贵方提供一切所需的证明材料。</w:t>
      </w:r>
    </w:p>
    <w:p w14:paraId="0AAFA5CB">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4.我公司承诺在本次比选响应中提供的一切文件，无论是原件还是复印件均真实有效，绝无任何虚假、伪造和夸大的成份。否则，愿承担相应的后果和法律责任。</w:t>
      </w:r>
    </w:p>
    <w:p w14:paraId="20DAC31D">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b/>
          <w:sz w:val="28"/>
          <w:szCs w:val="28"/>
          <w:highlight w:val="none"/>
        </w:rPr>
        <w:t>我公司尊重比选小组所作的评定结果，同时清楚理解到报价最低并非意味着必定获得成交资格。</w:t>
      </w:r>
    </w:p>
    <w:p w14:paraId="5D682501">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b/>
          <w:sz w:val="28"/>
          <w:szCs w:val="28"/>
          <w:highlight w:val="none"/>
        </w:rPr>
        <w:t>一旦成交，我方将根据比选文件的规定，严格履行合同规定的责任和义务，并保证在比选文件中规定的时间期限内完成合同项目。</w:t>
      </w:r>
    </w:p>
    <w:p w14:paraId="120498B5">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7653A110">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法定代表人或授权委托人（签字或盖章）：</w:t>
      </w:r>
    </w:p>
    <w:p w14:paraId="6F9A37C0">
      <w:pPr>
        <w:ind w:firstLine="6480" w:firstLineChars="2700"/>
        <w:rPr>
          <w:rFonts w:ascii="仿宋" w:hAnsi="仿宋" w:eastAsia="仿宋" w:cs="仿宋"/>
          <w:kern w:val="0"/>
          <w:sz w:val="24"/>
          <w:szCs w:val="28"/>
          <w:highlight w:val="none"/>
        </w:rPr>
      </w:pPr>
      <w:r>
        <w:rPr>
          <w:rFonts w:hint="eastAsia" w:ascii="仿宋" w:hAnsi="仿宋" w:eastAsia="仿宋" w:cs="仿宋"/>
          <w:kern w:val="0"/>
          <w:sz w:val="24"/>
          <w:szCs w:val="28"/>
          <w:highlight w:val="none"/>
        </w:rPr>
        <w:t>日期：</w:t>
      </w:r>
    </w:p>
    <w:p w14:paraId="071E3ADD">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2.商务部分正负偏离表</w:t>
      </w:r>
    </w:p>
    <w:p w14:paraId="3257B26E">
      <w:pPr>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（由响应人据实提交，表格不够自行添加）</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474CC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008A41D3">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08466EE">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0D4D4BD3">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6CF1FDB6">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5016309C">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偏离说明</w:t>
            </w:r>
          </w:p>
        </w:tc>
      </w:tr>
      <w:tr w14:paraId="648E6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3E4DEF1A">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263" w:type="dxa"/>
            <w:tcBorders>
              <w:top w:val="single" w:color="auto" w:sz="6" w:space="0"/>
              <w:left w:val="single" w:color="auto" w:sz="6" w:space="0"/>
              <w:bottom w:val="single" w:color="auto" w:sz="6" w:space="0"/>
              <w:right w:val="single" w:color="auto" w:sz="6" w:space="0"/>
            </w:tcBorders>
            <w:vAlign w:val="center"/>
          </w:tcPr>
          <w:p w14:paraId="1AF7BC25">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60172F71">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5E9EBBF2">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20B8F204">
            <w:pPr>
              <w:spacing w:line="340" w:lineRule="exact"/>
              <w:jc w:val="center"/>
              <w:rPr>
                <w:rFonts w:ascii="仿宋" w:hAnsi="仿宋" w:eastAsia="仿宋" w:cs="仿宋"/>
                <w:sz w:val="24"/>
                <w:highlight w:val="none"/>
              </w:rPr>
            </w:pPr>
          </w:p>
        </w:tc>
      </w:tr>
      <w:tr w14:paraId="2523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4AF614F7">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263" w:type="dxa"/>
            <w:tcBorders>
              <w:top w:val="single" w:color="auto" w:sz="6" w:space="0"/>
              <w:left w:val="single" w:color="auto" w:sz="6" w:space="0"/>
              <w:bottom w:val="single" w:color="auto" w:sz="6" w:space="0"/>
              <w:right w:val="single" w:color="auto" w:sz="6" w:space="0"/>
            </w:tcBorders>
            <w:vAlign w:val="center"/>
          </w:tcPr>
          <w:p w14:paraId="2C3A9D63">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72C915F6">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3A0E1C8">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0E70C9AD">
            <w:pPr>
              <w:spacing w:line="340" w:lineRule="exact"/>
              <w:jc w:val="center"/>
              <w:rPr>
                <w:rFonts w:ascii="仿宋" w:hAnsi="仿宋" w:eastAsia="仿宋" w:cs="仿宋"/>
                <w:sz w:val="24"/>
                <w:highlight w:val="none"/>
              </w:rPr>
            </w:pPr>
          </w:p>
        </w:tc>
      </w:tr>
      <w:tr w14:paraId="43CA8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214F3D4E">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263" w:type="dxa"/>
            <w:tcBorders>
              <w:top w:val="single" w:color="auto" w:sz="6" w:space="0"/>
              <w:left w:val="single" w:color="auto" w:sz="6" w:space="0"/>
              <w:bottom w:val="single" w:color="auto" w:sz="6" w:space="0"/>
              <w:right w:val="single" w:color="auto" w:sz="6" w:space="0"/>
            </w:tcBorders>
            <w:vAlign w:val="center"/>
          </w:tcPr>
          <w:p w14:paraId="726907A4">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7ABB9FD6">
            <w:pPr>
              <w:spacing w:line="340" w:lineRule="exact"/>
              <w:ind w:firstLine="480" w:firstLineChars="200"/>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12C099F4">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3374F3D0">
            <w:pPr>
              <w:spacing w:line="340" w:lineRule="exact"/>
              <w:jc w:val="center"/>
              <w:rPr>
                <w:rFonts w:ascii="仿宋" w:hAnsi="仿宋" w:eastAsia="仿宋" w:cs="仿宋"/>
                <w:sz w:val="24"/>
                <w:highlight w:val="none"/>
              </w:rPr>
            </w:pPr>
          </w:p>
        </w:tc>
      </w:tr>
      <w:tr w14:paraId="05D81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001F7D74">
            <w:pPr>
              <w:spacing w:line="340" w:lineRule="exact"/>
              <w:jc w:val="center"/>
              <w:rPr>
                <w:rFonts w:ascii="仿宋" w:hAnsi="仿宋" w:eastAsia="仿宋" w:cs="仿宋"/>
                <w:sz w:val="24"/>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B353128">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3275661E">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CDFDC1B">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038B93D9">
            <w:pPr>
              <w:spacing w:line="340" w:lineRule="exact"/>
              <w:jc w:val="center"/>
              <w:rPr>
                <w:rFonts w:ascii="仿宋" w:hAnsi="仿宋" w:eastAsia="仿宋" w:cs="仿宋"/>
                <w:sz w:val="24"/>
                <w:highlight w:val="none"/>
              </w:rPr>
            </w:pPr>
          </w:p>
        </w:tc>
      </w:tr>
    </w:tbl>
    <w:p w14:paraId="1628696D">
      <w:pPr>
        <w:snapToGrid w:val="0"/>
        <w:spacing w:line="300" w:lineRule="auto"/>
        <w:contextualSpacing/>
        <w:rPr>
          <w:rFonts w:ascii="仿宋" w:hAnsi="仿宋" w:eastAsia="仿宋" w:cs="仿宋"/>
          <w:b/>
          <w:kern w:val="0"/>
          <w:sz w:val="24"/>
          <w:highlight w:val="none"/>
        </w:rPr>
      </w:pPr>
      <w:r>
        <w:rPr>
          <w:rFonts w:hint="eastAsia" w:ascii="仿宋" w:hAnsi="仿宋" w:eastAsia="仿宋" w:cs="仿宋"/>
          <w:b/>
          <w:kern w:val="0"/>
          <w:sz w:val="24"/>
          <w:highlight w:val="none"/>
        </w:rPr>
        <w:t>注：</w:t>
      </w:r>
    </w:p>
    <w:p w14:paraId="0E52B873">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1.响应人提交的响应文件中与比选文件第三部分“项目需求说明”中的商务、技术部分的要求有不同时，应逐条填列在偏离表中，否则将认为响应人接受比选文件的所有要求。完全响应部分不填到。</w:t>
      </w:r>
    </w:p>
    <w:p w14:paraId="27A452AC">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2.“偏离说明”一栏选择“正偏离”、“无偏离”、“负偏离”进行填写。正偏离的确认和负偏离的是否响应比选文件，经三分之二评委认定。</w:t>
      </w:r>
    </w:p>
    <w:p w14:paraId="3935E08F">
      <w:pPr>
        <w:snapToGrid w:val="0"/>
        <w:spacing w:line="30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3.响应人如果虚假响应，将承担被暂停参加采购人组织采购活动的风险。</w:t>
      </w:r>
    </w:p>
    <w:p w14:paraId="6B2CAEDE">
      <w:pPr>
        <w:snapToGrid w:val="0"/>
        <w:spacing w:line="30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4.供应商若提供其他增值服务，可以在表中自行据实填写。</w:t>
      </w:r>
    </w:p>
    <w:p w14:paraId="696DC341">
      <w:pPr>
        <w:snapToGrid w:val="0"/>
        <w:spacing w:line="300" w:lineRule="auto"/>
        <w:ind w:firstLine="560" w:firstLineChars="200"/>
        <w:contextualSpacing/>
        <w:rPr>
          <w:rFonts w:ascii="仿宋" w:hAnsi="仿宋" w:eastAsia="仿宋" w:cs="仿宋"/>
          <w:highlight w:val="none"/>
        </w:rPr>
      </w:pPr>
      <w:r>
        <w:rPr>
          <w:rFonts w:hint="eastAsia" w:ascii="仿宋" w:hAnsi="仿宋" w:eastAsia="仿宋" w:cs="仿宋"/>
          <w:bCs/>
          <w:sz w:val="28"/>
          <w:szCs w:val="28"/>
          <w:highlight w:val="none"/>
        </w:rPr>
        <w:t>5.填制正负偏离表，完全响应的，请以空白表列示。不完全响应的，必须在偏离表中列示；列示不全的，视同故意隐瞒。</w:t>
      </w:r>
    </w:p>
    <w:p w14:paraId="0A054B81">
      <w:pPr>
        <w:snapToGrid w:val="0"/>
        <w:spacing w:line="360" w:lineRule="auto"/>
        <w:ind w:firstLine="560" w:firstLineChars="200"/>
        <w:jc w:val="right"/>
        <w:rPr>
          <w:rFonts w:ascii="仿宋" w:hAnsi="仿宋" w:eastAsia="仿宋" w:cs="仿宋"/>
          <w:sz w:val="28"/>
          <w:szCs w:val="28"/>
          <w:highlight w:val="none"/>
          <w:lang w:bidi="ar"/>
        </w:rPr>
      </w:pPr>
    </w:p>
    <w:p w14:paraId="47BDD9D2">
      <w:pPr>
        <w:snapToGrid w:val="0"/>
        <w:spacing w:line="360" w:lineRule="auto"/>
        <w:ind w:firstLine="560" w:firstLineChars="200"/>
        <w:jc w:val="right"/>
        <w:rPr>
          <w:rFonts w:ascii="仿宋" w:hAnsi="仿宋" w:eastAsia="仿宋" w:cs="仿宋"/>
          <w:sz w:val="28"/>
          <w:szCs w:val="28"/>
          <w:highlight w:val="none"/>
          <w:lang w:bidi="ar"/>
        </w:rPr>
      </w:pPr>
    </w:p>
    <w:p w14:paraId="329A4868">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lang w:bidi="ar"/>
        </w:rPr>
        <w:t>供应商名称（盖章）：</w:t>
      </w:r>
    </w:p>
    <w:p w14:paraId="1E3C2090">
      <w:pPr>
        <w:snapToGrid w:val="0"/>
        <w:spacing w:line="360" w:lineRule="auto"/>
        <w:ind w:firstLine="560" w:firstLineChars="200"/>
        <w:jc w:val="right"/>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法定代表人或授权委托人（签字或盖章）：</w:t>
      </w:r>
    </w:p>
    <w:p w14:paraId="569EA599">
      <w:pPr>
        <w:widowControl/>
        <w:snapToGrid w:val="0"/>
        <w:spacing w:line="300" w:lineRule="auto"/>
        <w:jc w:val="right"/>
        <w:rPr>
          <w:rFonts w:ascii="仿宋" w:hAnsi="仿宋" w:eastAsia="仿宋" w:cs="仿宋"/>
          <w:kern w:val="0"/>
          <w:sz w:val="31"/>
          <w:szCs w:val="28"/>
          <w:highlight w:val="none"/>
          <w:lang w:bidi="ar"/>
        </w:rPr>
      </w:pPr>
      <w:r>
        <w:rPr>
          <w:rFonts w:hint="eastAsia" w:ascii="仿宋" w:hAnsi="仿宋" w:eastAsia="仿宋" w:cs="仿宋"/>
          <w:kern w:val="0"/>
          <w:sz w:val="31"/>
          <w:szCs w:val="28"/>
          <w:highlight w:val="none"/>
          <w:lang w:bidi="ar"/>
        </w:rPr>
        <w:t>日期：</w:t>
      </w:r>
    </w:p>
    <w:p w14:paraId="3506F4C4">
      <w:pPr>
        <w:widowControl/>
        <w:snapToGrid w:val="0"/>
        <w:spacing w:line="300" w:lineRule="auto"/>
        <w:jc w:val="right"/>
        <w:rPr>
          <w:rFonts w:ascii="仿宋" w:hAnsi="仿宋" w:eastAsia="仿宋" w:cs="仿宋"/>
          <w:kern w:val="0"/>
          <w:sz w:val="31"/>
          <w:szCs w:val="28"/>
          <w:highlight w:val="none"/>
          <w:lang w:bidi="ar"/>
        </w:rPr>
      </w:pPr>
    </w:p>
    <w:p w14:paraId="6D95E5E6">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3.技术部分正负偏离表</w:t>
      </w:r>
    </w:p>
    <w:p w14:paraId="40F8BC59">
      <w:pPr>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（由响应人据实提交，表格不够自行添加）</w:t>
      </w:r>
    </w:p>
    <w:p w14:paraId="244752BA">
      <w:pPr>
        <w:ind w:left="765"/>
        <w:rPr>
          <w:rFonts w:ascii="仿宋" w:hAnsi="仿宋" w:eastAsia="仿宋" w:cs="仿宋"/>
          <w:kern w:val="0"/>
          <w:sz w:val="28"/>
          <w:szCs w:val="20"/>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608A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61789BF0">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01279D04">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FDDD21A">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150D295F">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0EA77362">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偏离说明</w:t>
            </w:r>
          </w:p>
        </w:tc>
      </w:tr>
      <w:tr w14:paraId="44DD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552BB9AA">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263" w:type="dxa"/>
            <w:tcBorders>
              <w:top w:val="single" w:color="auto" w:sz="6" w:space="0"/>
              <w:left w:val="single" w:color="auto" w:sz="6" w:space="0"/>
              <w:bottom w:val="single" w:color="auto" w:sz="6" w:space="0"/>
              <w:right w:val="single" w:color="auto" w:sz="6" w:space="0"/>
            </w:tcBorders>
            <w:vAlign w:val="center"/>
          </w:tcPr>
          <w:p w14:paraId="619686DA">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231A46BF">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882974C">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6BCE5B69">
            <w:pPr>
              <w:spacing w:line="340" w:lineRule="exact"/>
              <w:jc w:val="center"/>
              <w:rPr>
                <w:rFonts w:ascii="仿宋" w:hAnsi="仿宋" w:eastAsia="仿宋" w:cs="仿宋"/>
                <w:sz w:val="24"/>
                <w:highlight w:val="none"/>
              </w:rPr>
            </w:pPr>
          </w:p>
        </w:tc>
      </w:tr>
      <w:tr w14:paraId="00729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1F6DD6B5">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263" w:type="dxa"/>
            <w:tcBorders>
              <w:top w:val="single" w:color="auto" w:sz="6" w:space="0"/>
              <w:left w:val="single" w:color="auto" w:sz="6" w:space="0"/>
              <w:bottom w:val="single" w:color="auto" w:sz="6" w:space="0"/>
              <w:right w:val="single" w:color="auto" w:sz="6" w:space="0"/>
            </w:tcBorders>
            <w:vAlign w:val="center"/>
          </w:tcPr>
          <w:p w14:paraId="74168C95">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45FE39B3">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6CC21C36">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47B1D046">
            <w:pPr>
              <w:spacing w:line="340" w:lineRule="exact"/>
              <w:jc w:val="center"/>
              <w:rPr>
                <w:rFonts w:ascii="仿宋" w:hAnsi="仿宋" w:eastAsia="仿宋" w:cs="仿宋"/>
                <w:sz w:val="24"/>
                <w:highlight w:val="none"/>
              </w:rPr>
            </w:pPr>
          </w:p>
        </w:tc>
      </w:tr>
      <w:tr w14:paraId="7A8FB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4C58F505">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263" w:type="dxa"/>
            <w:tcBorders>
              <w:top w:val="single" w:color="auto" w:sz="6" w:space="0"/>
              <w:left w:val="single" w:color="auto" w:sz="6" w:space="0"/>
              <w:bottom w:val="single" w:color="auto" w:sz="6" w:space="0"/>
              <w:right w:val="single" w:color="auto" w:sz="6" w:space="0"/>
            </w:tcBorders>
            <w:vAlign w:val="center"/>
          </w:tcPr>
          <w:p w14:paraId="2F9CDE9A">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613518E8">
            <w:pPr>
              <w:spacing w:line="340" w:lineRule="exact"/>
              <w:ind w:firstLine="480" w:firstLineChars="200"/>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86620CF">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6B36B8ED">
            <w:pPr>
              <w:spacing w:line="340" w:lineRule="exact"/>
              <w:jc w:val="center"/>
              <w:rPr>
                <w:rFonts w:ascii="仿宋" w:hAnsi="仿宋" w:eastAsia="仿宋" w:cs="仿宋"/>
                <w:sz w:val="24"/>
                <w:highlight w:val="none"/>
              </w:rPr>
            </w:pPr>
          </w:p>
        </w:tc>
      </w:tr>
      <w:tr w14:paraId="66165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613B11F3">
            <w:pPr>
              <w:spacing w:line="340" w:lineRule="exact"/>
              <w:jc w:val="center"/>
              <w:rPr>
                <w:rFonts w:ascii="仿宋" w:hAnsi="仿宋" w:eastAsia="仿宋" w:cs="仿宋"/>
                <w:sz w:val="24"/>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467FFC2">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47BF221A">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178C7FC6">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68EB497F">
            <w:pPr>
              <w:spacing w:line="340" w:lineRule="exact"/>
              <w:jc w:val="center"/>
              <w:rPr>
                <w:rFonts w:ascii="仿宋" w:hAnsi="仿宋" w:eastAsia="仿宋" w:cs="仿宋"/>
                <w:sz w:val="24"/>
                <w:highlight w:val="none"/>
              </w:rPr>
            </w:pPr>
          </w:p>
        </w:tc>
      </w:tr>
    </w:tbl>
    <w:p w14:paraId="01C49A77">
      <w:pPr>
        <w:spacing w:line="260" w:lineRule="exact"/>
        <w:rPr>
          <w:rFonts w:ascii="仿宋" w:hAnsi="仿宋" w:eastAsia="仿宋" w:cs="仿宋"/>
          <w:sz w:val="24"/>
          <w:highlight w:val="none"/>
          <w:u w:val="single"/>
        </w:rPr>
      </w:pPr>
    </w:p>
    <w:p w14:paraId="70D668FF">
      <w:pPr>
        <w:rPr>
          <w:rFonts w:ascii="仿宋" w:hAnsi="仿宋" w:eastAsia="仿宋" w:cs="仿宋"/>
          <w:b/>
          <w:kern w:val="0"/>
          <w:sz w:val="24"/>
          <w:highlight w:val="none"/>
        </w:rPr>
      </w:pPr>
      <w:r>
        <w:rPr>
          <w:rFonts w:hint="eastAsia" w:ascii="仿宋" w:hAnsi="仿宋" w:eastAsia="仿宋" w:cs="仿宋"/>
          <w:b/>
          <w:kern w:val="0"/>
          <w:sz w:val="24"/>
          <w:highlight w:val="none"/>
        </w:rPr>
        <w:t>注：</w:t>
      </w:r>
    </w:p>
    <w:p w14:paraId="4D5CEF10">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1.响应人提交的响应文件中与比选文件第三部分“项目需求说明”中的商务、技术部分的要求有不同时，应逐条填列在偏离表中，否则将认为响应人接受比选文件的所有要求。完全响应部分不填到。</w:t>
      </w:r>
    </w:p>
    <w:p w14:paraId="766DE518">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2.“偏离说明”一栏选择“正偏离”、“无偏离”、“负偏离”进行填写。正偏离的确认和负偏离的是否响应比选文件，经三分之二评委认定。</w:t>
      </w:r>
    </w:p>
    <w:p w14:paraId="6D308B0F">
      <w:pPr>
        <w:snapToGrid w:val="0"/>
        <w:spacing w:line="30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3.响应人如果虚假响应，将承担被暂停参加采购人组织采购活动的风险。</w:t>
      </w:r>
    </w:p>
    <w:p w14:paraId="6159C8C9">
      <w:pPr>
        <w:snapToGrid w:val="0"/>
        <w:spacing w:line="30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4.供应商若提供其他增值服务，可以在表中自行据实填写。</w:t>
      </w:r>
    </w:p>
    <w:p w14:paraId="6F1DEFA9">
      <w:pPr>
        <w:snapToGrid w:val="0"/>
        <w:spacing w:line="300" w:lineRule="auto"/>
        <w:ind w:firstLine="560" w:firstLineChars="200"/>
        <w:contextualSpacing/>
        <w:rPr>
          <w:rFonts w:ascii="仿宋" w:hAnsi="仿宋" w:eastAsia="仿宋" w:cs="仿宋"/>
          <w:highlight w:val="none"/>
        </w:rPr>
      </w:pPr>
      <w:r>
        <w:rPr>
          <w:rFonts w:hint="eastAsia" w:ascii="仿宋" w:hAnsi="仿宋" w:eastAsia="仿宋" w:cs="仿宋"/>
          <w:bCs/>
          <w:sz w:val="28"/>
          <w:szCs w:val="28"/>
          <w:highlight w:val="none"/>
        </w:rPr>
        <w:t>5.填制正负偏离表，完全响应的，请以空白表列示。不完全响应的，必须在偏离表中列示；列示不全的，视同故意隐瞒。</w:t>
      </w:r>
    </w:p>
    <w:p w14:paraId="4155A779">
      <w:pPr>
        <w:tabs>
          <w:tab w:val="left" w:pos="5250"/>
        </w:tabs>
        <w:rPr>
          <w:rFonts w:ascii="仿宋" w:hAnsi="仿宋" w:eastAsia="仿宋" w:cs="仿宋"/>
          <w:kern w:val="0"/>
          <w:sz w:val="24"/>
          <w:szCs w:val="28"/>
          <w:highlight w:val="none"/>
          <w:lang w:bidi="ar"/>
        </w:rPr>
      </w:pPr>
    </w:p>
    <w:p w14:paraId="6F6795AE">
      <w:pPr>
        <w:tabs>
          <w:tab w:val="left" w:pos="5250"/>
        </w:tabs>
        <w:rPr>
          <w:rFonts w:ascii="仿宋" w:hAnsi="仿宋" w:eastAsia="仿宋" w:cs="仿宋"/>
          <w:kern w:val="0"/>
          <w:sz w:val="24"/>
          <w:szCs w:val="28"/>
          <w:highlight w:val="none"/>
          <w:lang w:bidi="ar"/>
        </w:rPr>
      </w:pPr>
    </w:p>
    <w:p w14:paraId="1811961D">
      <w:pPr>
        <w:snapToGrid w:val="0"/>
        <w:spacing w:line="360" w:lineRule="auto"/>
        <w:ind w:firstLine="560" w:firstLineChars="200"/>
        <w:jc w:val="right"/>
        <w:rPr>
          <w:rFonts w:ascii="仿宋" w:hAnsi="仿宋" w:eastAsia="仿宋" w:cs="仿宋"/>
          <w:sz w:val="28"/>
          <w:szCs w:val="28"/>
          <w:highlight w:val="none"/>
          <w:lang w:bidi="ar"/>
        </w:rPr>
      </w:pPr>
    </w:p>
    <w:p w14:paraId="07140096">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lang w:bidi="ar"/>
        </w:rPr>
        <w:t>供应商名称（盖章）：</w:t>
      </w:r>
    </w:p>
    <w:p w14:paraId="2D87D462">
      <w:pPr>
        <w:snapToGrid w:val="0"/>
        <w:spacing w:line="360" w:lineRule="auto"/>
        <w:ind w:firstLine="560" w:firstLineChars="200"/>
        <w:jc w:val="right"/>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法定代表人或授权委托人（签字或盖章）：</w:t>
      </w:r>
    </w:p>
    <w:p w14:paraId="34743AF5">
      <w:pPr>
        <w:snapToGrid w:val="0"/>
        <w:spacing w:line="300" w:lineRule="auto"/>
        <w:jc w:val="right"/>
        <w:rPr>
          <w:rFonts w:ascii="仿宋" w:hAnsi="仿宋" w:eastAsia="仿宋" w:cs="仿宋"/>
          <w:b/>
          <w:kern w:val="0"/>
          <w:sz w:val="28"/>
          <w:szCs w:val="28"/>
          <w:highlight w:val="none"/>
        </w:rPr>
      </w:pPr>
      <w:r>
        <w:rPr>
          <w:rFonts w:hint="eastAsia" w:ascii="仿宋" w:hAnsi="仿宋" w:eastAsia="仿宋" w:cs="仿宋"/>
          <w:kern w:val="0"/>
          <w:sz w:val="31"/>
          <w:szCs w:val="28"/>
          <w:highlight w:val="none"/>
          <w:lang w:bidi="ar"/>
        </w:rPr>
        <w:t>日期：</w:t>
      </w:r>
    </w:p>
    <w:p w14:paraId="6853AE19">
      <w:pPr>
        <w:spacing w:line="360" w:lineRule="auto"/>
        <w:jc w:val="left"/>
        <w:outlineLvl w:val="2"/>
        <w:rPr>
          <w:rFonts w:hint="eastAsia" w:ascii="仿宋" w:hAnsi="仿宋" w:eastAsia="仿宋" w:cs="仿宋"/>
          <w:b/>
          <w:sz w:val="28"/>
          <w:szCs w:val="28"/>
          <w:highlight w:val="none"/>
        </w:rPr>
      </w:pPr>
    </w:p>
    <w:p w14:paraId="0387CDD9">
      <w:pPr>
        <w:spacing w:line="360" w:lineRule="auto"/>
        <w:jc w:val="left"/>
        <w:outlineLvl w:val="2"/>
        <w:rPr>
          <w:rFonts w:hint="eastAsia" w:ascii="仿宋" w:hAnsi="仿宋" w:eastAsia="仿宋" w:cs="仿宋"/>
          <w:b/>
          <w:sz w:val="28"/>
          <w:szCs w:val="28"/>
          <w:highlight w:val="none"/>
        </w:rPr>
      </w:pPr>
    </w:p>
    <w:p w14:paraId="1F96B200">
      <w:pPr>
        <w:spacing w:line="360" w:lineRule="auto"/>
        <w:jc w:val="left"/>
        <w:outlineLvl w:val="2"/>
        <w:rPr>
          <w:rFonts w:hint="eastAsia" w:ascii="仿宋" w:hAnsi="仿宋" w:eastAsia="仿宋" w:cs="仿宋"/>
          <w:b/>
          <w:sz w:val="28"/>
          <w:szCs w:val="28"/>
          <w:highlight w:val="none"/>
        </w:rPr>
      </w:pPr>
    </w:p>
    <w:p w14:paraId="44F0C8D4">
      <w:pPr>
        <w:spacing w:line="360" w:lineRule="auto"/>
        <w:jc w:val="left"/>
        <w:outlineLvl w:val="2"/>
        <w:rPr>
          <w:rFonts w:hint="eastAsia" w:ascii="仿宋" w:hAnsi="仿宋" w:eastAsia="仿宋" w:cs="仿宋"/>
          <w:b/>
          <w:sz w:val="28"/>
          <w:szCs w:val="28"/>
          <w:highlight w:val="none"/>
        </w:rPr>
      </w:pPr>
    </w:p>
    <w:p w14:paraId="79828B7E">
      <w:pPr>
        <w:spacing w:line="360" w:lineRule="auto"/>
        <w:jc w:val="left"/>
        <w:outlineLvl w:val="2"/>
        <w:rPr>
          <w:rFonts w:hint="eastAsia" w:ascii="仿宋" w:hAnsi="仿宋" w:eastAsia="仿宋" w:cs="仿宋"/>
          <w:b/>
          <w:sz w:val="28"/>
          <w:szCs w:val="28"/>
          <w:highlight w:val="none"/>
        </w:rPr>
      </w:pPr>
    </w:p>
    <w:p w14:paraId="2177C743">
      <w:pPr>
        <w:spacing w:line="360" w:lineRule="auto"/>
        <w:jc w:val="left"/>
        <w:outlineLvl w:val="2"/>
        <w:rPr>
          <w:rFonts w:ascii="仿宋" w:hAnsi="仿宋" w:eastAsia="仿宋" w:cs="仿宋"/>
          <w:b/>
          <w:sz w:val="28"/>
          <w:szCs w:val="28"/>
          <w:highlight w:val="none"/>
        </w:rPr>
      </w:pPr>
      <w:r>
        <w:rPr>
          <w:rFonts w:hint="eastAsia" w:ascii="仿宋" w:hAnsi="仿宋" w:eastAsia="仿宋" w:cs="仿宋"/>
          <w:b/>
          <w:sz w:val="28"/>
          <w:szCs w:val="28"/>
          <w:highlight w:val="none"/>
        </w:rPr>
        <w:t>价格标响应文件相关格式</w:t>
      </w:r>
    </w:p>
    <w:p w14:paraId="679F4DF1">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t>1.价格标响应文件</w:t>
      </w:r>
    </w:p>
    <w:tbl>
      <w:tblPr>
        <w:tblStyle w:val="7"/>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9"/>
        <w:gridCol w:w="2260"/>
        <w:gridCol w:w="1990"/>
        <w:gridCol w:w="1850"/>
      </w:tblGrid>
      <w:tr w14:paraId="3931C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369" w:type="dxa"/>
            <w:tcBorders>
              <w:top w:val="single" w:color="auto" w:sz="4" w:space="0"/>
              <w:left w:val="single" w:color="auto" w:sz="4" w:space="0"/>
              <w:bottom w:val="single" w:color="auto" w:sz="4" w:space="0"/>
              <w:right w:val="single" w:color="auto" w:sz="4" w:space="0"/>
            </w:tcBorders>
            <w:vAlign w:val="center"/>
          </w:tcPr>
          <w:p w14:paraId="72AB8351">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2260" w:type="dxa"/>
            <w:tcBorders>
              <w:top w:val="single" w:color="auto" w:sz="4" w:space="0"/>
              <w:left w:val="single" w:color="auto" w:sz="4" w:space="0"/>
              <w:bottom w:val="single" w:color="auto" w:sz="4" w:space="0"/>
              <w:right w:val="single" w:color="auto" w:sz="4" w:space="0"/>
            </w:tcBorders>
            <w:vAlign w:val="center"/>
          </w:tcPr>
          <w:p w14:paraId="6C7EB921">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报价（元）</w:t>
            </w:r>
          </w:p>
        </w:tc>
        <w:tc>
          <w:tcPr>
            <w:tcW w:w="1990" w:type="dxa"/>
            <w:tcBorders>
              <w:top w:val="single" w:color="auto" w:sz="4" w:space="0"/>
              <w:left w:val="single" w:color="auto" w:sz="4" w:space="0"/>
              <w:bottom w:val="single" w:color="auto" w:sz="4" w:space="0"/>
              <w:right w:val="single" w:color="auto" w:sz="4" w:space="0"/>
            </w:tcBorders>
            <w:vAlign w:val="center"/>
          </w:tcPr>
          <w:p w14:paraId="24FA3BDD">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06E2A3CB">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r>
      <w:tr w14:paraId="59708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369" w:type="dxa"/>
            <w:tcBorders>
              <w:top w:val="single" w:color="auto" w:sz="4" w:space="0"/>
              <w:left w:val="single" w:color="auto" w:sz="4" w:space="0"/>
              <w:bottom w:val="single" w:color="auto" w:sz="4" w:space="0"/>
              <w:right w:val="single" w:color="auto" w:sz="4" w:space="0"/>
            </w:tcBorders>
            <w:vAlign w:val="center"/>
          </w:tcPr>
          <w:p w14:paraId="31C8A883">
            <w:pPr>
              <w:snapToGrid w:val="0"/>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XXXXXX采购项目</w:t>
            </w:r>
          </w:p>
        </w:tc>
        <w:tc>
          <w:tcPr>
            <w:tcW w:w="2260" w:type="dxa"/>
            <w:tcBorders>
              <w:top w:val="single" w:color="auto" w:sz="4" w:space="0"/>
              <w:left w:val="single" w:color="auto" w:sz="4" w:space="0"/>
              <w:bottom w:val="single" w:color="auto" w:sz="4" w:space="0"/>
              <w:right w:val="single" w:color="auto" w:sz="4" w:space="0"/>
            </w:tcBorders>
            <w:vAlign w:val="center"/>
          </w:tcPr>
          <w:p w14:paraId="0AF893CB">
            <w:pPr>
              <w:kinsoku w:val="0"/>
              <w:topLinePunct/>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大写：</w:t>
            </w:r>
          </w:p>
          <w:p w14:paraId="2F992B89">
            <w:pPr>
              <w:kinsoku w:val="0"/>
              <w:topLinePunct/>
              <w:spacing w:line="440" w:lineRule="exact"/>
              <w:rPr>
                <w:rFonts w:ascii="仿宋" w:hAnsi="仿宋" w:eastAsia="仿宋" w:cs="仿宋"/>
                <w:sz w:val="28"/>
                <w:szCs w:val="28"/>
                <w:highlight w:val="none"/>
              </w:rPr>
            </w:pPr>
            <w:r>
              <w:rPr>
                <w:rFonts w:hint="eastAsia" w:ascii="仿宋" w:hAnsi="仿宋" w:eastAsia="仿宋" w:cs="仿宋"/>
                <w:b/>
                <w:sz w:val="28"/>
                <w:szCs w:val="28"/>
                <w:highlight w:val="none"/>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1F23AA4A">
            <w:pPr>
              <w:kinsoku w:val="0"/>
              <w:topLinePunct/>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48A99326">
            <w:pPr>
              <w:kinsoku w:val="0"/>
              <w:topLinePunct/>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完全响应比选文件要求的付款方式</w:t>
            </w:r>
          </w:p>
        </w:tc>
      </w:tr>
    </w:tbl>
    <w:p w14:paraId="7861C603">
      <w:pPr>
        <w:widowControl/>
        <w:spacing w:line="440" w:lineRule="exact"/>
        <w:ind w:firstLine="280" w:firstLineChars="1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（1）本表为格式表，不得自行改动，必须提供，否则视为未实质性响应比选采购文件。</w:t>
      </w:r>
    </w:p>
    <w:p w14:paraId="25F27A00">
      <w:pPr>
        <w:widowControl/>
        <w:spacing w:line="440" w:lineRule="exact"/>
        <w:ind w:firstLine="280" w:firstLineChars="100"/>
        <w:jc w:val="left"/>
        <w:rPr>
          <w:rFonts w:ascii="仿宋" w:hAnsi="仿宋" w:eastAsia="仿宋" w:cs="仿宋"/>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sz w:val="28"/>
          <w:szCs w:val="28"/>
          <w:highlight w:val="none"/>
        </w:rPr>
        <w:t>响应报价</w:t>
      </w:r>
      <w:r>
        <w:rPr>
          <w:rFonts w:hint="eastAsia" w:ascii="仿宋" w:hAnsi="仿宋" w:eastAsia="仿宋" w:cs="仿宋"/>
          <w:sz w:val="28"/>
          <w:szCs w:val="28"/>
          <w:highlight w:val="none"/>
          <w:lang w:val="zh-CN"/>
        </w:rPr>
        <w:t>应包括</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zh-CN"/>
        </w:rPr>
        <w:t>文件所确定的该项目的全部内容，包括响应及完成委托工作所需的一切费用，</w:t>
      </w:r>
      <w:r>
        <w:rPr>
          <w:rFonts w:hint="eastAsia" w:ascii="仿宋" w:hAnsi="仿宋" w:eastAsia="仿宋" w:cs="仿宋"/>
          <w:sz w:val="28"/>
          <w:szCs w:val="28"/>
          <w:highlight w:val="none"/>
        </w:rPr>
        <w:t>包含所有的设备费、运输到指定地点的装运费用（含装卸力资及保险费用）、人工费、安装及调试费、相关辅助材料费、税费、售后服务、为完成本项目所必须的其他辅助工作的相关费用等所有费用，即项目履行到项目执行结束的过程中所发生的一切费用及比选文件要求的所有费用。</w:t>
      </w:r>
    </w:p>
    <w:p w14:paraId="080F8C86">
      <w:pPr>
        <w:snapToGrid w:val="0"/>
        <w:spacing w:line="500" w:lineRule="exact"/>
        <w:ind w:left="1322" w:hanging="1321" w:hangingChars="472"/>
        <w:rPr>
          <w:rFonts w:ascii="仿宋" w:hAnsi="仿宋" w:eastAsia="仿宋" w:cs="仿宋"/>
          <w:sz w:val="28"/>
          <w:szCs w:val="28"/>
          <w:highlight w:val="none"/>
        </w:rPr>
      </w:pPr>
    </w:p>
    <w:p w14:paraId="278ED98A">
      <w:pPr>
        <w:snapToGrid w:val="0"/>
        <w:spacing w:line="500" w:lineRule="exact"/>
        <w:ind w:left="1322" w:hanging="1321" w:hangingChars="472"/>
        <w:rPr>
          <w:rFonts w:ascii="仿宋" w:hAnsi="仿宋" w:eastAsia="仿宋" w:cs="仿宋"/>
          <w:sz w:val="28"/>
          <w:szCs w:val="28"/>
          <w:highlight w:val="none"/>
        </w:rPr>
      </w:pPr>
    </w:p>
    <w:p w14:paraId="171D1617">
      <w:pPr>
        <w:snapToGrid w:val="0"/>
        <w:spacing w:line="500" w:lineRule="exact"/>
        <w:ind w:left="1322" w:hanging="1321" w:hangingChars="472"/>
        <w:rPr>
          <w:rFonts w:ascii="仿宋" w:hAnsi="仿宋" w:eastAsia="仿宋" w:cs="仿宋"/>
          <w:sz w:val="28"/>
          <w:szCs w:val="28"/>
          <w:highlight w:val="none"/>
        </w:rPr>
      </w:pPr>
      <w:r>
        <w:rPr>
          <w:rFonts w:hint="eastAsia" w:ascii="仿宋" w:hAnsi="仿宋" w:eastAsia="仿宋" w:cs="仿宋"/>
          <w:sz w:val="28"/>
          <w:szCs w:val="28"/>
          <w:highlight w:val="none"/>
        </w:rPr>
        <w:t xml:space="preserve">供应商名称：（盖章）             </w:t>
      </w:r>
    </w:p>
    <w:p w14:paraId="462DDB51">
      <w:pPr>
        <w:snapToGrid w:val="0"/>
        <w:spacing w:line="500" w:lineRule="exact"/>
        <w:ind w:left="1322" w:hanging="1321" w:hangingChars="472"/>
        <w:rPr>
          <w:rFonts w:ascii="仿宋" w:hAnsi="仿宋" w:eastAsia="仿宋" w:cs="仿宋"/>
          <w:sz w:val="28"/>
          <w:szCs w:val="28"/>
          <w:highlight w:val="none"/>
        </w:rPr>
      </w:pPr>
      <w:r>
        <w:rPr>
          <w:rFonts w:hint="eastAsia" w:ascii="仿宋" w:hAnsi="仿宋" w:eastAsia="仿宋" w:cs="仿宋"/>
          <w:sz w:val="28"/>
          <w:szCs w:val="28"/>
          <w:highlight w:val="none"/>
        </w:rPr>
        <w:t>法定代表人或受权委托人（签字或盖章）：</w:t>
      </w:r>
    </w:p>
    <w:p w14:paraId="10292282">
      <w:pPr>
        <w:snapToGrid w:val="0"/>
        <w:spacing w:line="500" w:lineRule="exact"/>
        <w:ind w:left="1322" w:hanging="1321" w:hangingChars="472"/>
        <w:rPr>
          <w:rFonts w:ascii="仿宋" w:hAnsi="仿宋" w:eastAsia="仿宋" w:cs="仿宋"/>
          <w:sz w:val="28"/>
          <w:szCs w:val="28"/>
          <w:highlight w:val="none"/>
        </w:rPr>
      </w:pPr>
      <w:r>
        <w:rPr>
          <w:rFonts w:hint="eastAsia" w:ascii="仿宋" w:hAnsi="仿宋" w:eastAsia="仿宋" w:cs="仿宋"/>
          <w:sz w:val="28"/>
          <w:szCs w:val="28"/>
          <w:highlight w:val="none"/>
        </w:rPr>
        <w:t>日期：</w:t>
      </w:r>
    </w:p>
    <w:p w14:paraId="73E8F19D">
      <w:pPr>
        <w:spacing w:after="120"/>
        <w:rPr>
          <w:rFonts w:ascii="仿宋" w:hAnsi="仿宋" w:eastAsia="仿宋" w:cs="仿宋"/>
          <w:b/>
          <w:kern w:val="0"/>
          <w:sz w:val="28"/>
          <w:szCs w:val="28"/>
          <w:highlight w:val="none"/>
        </w:rPr>
      </w:pPr>
    </w:p>
    <w:p w14:paraId="27691DC0">
      <w:pPr>
        <w:spacing w:after="120"/>
        <w:rPr>
          <w:rFonts w:ascii="仿宋" w:hAnsi="仿宋" w:eastAsia="仿宋" w:cs="仿宋"/>
          <w:b/>
          <w:kern w:val="0"/>
          <w:sz w:val="28"/>
          <w:szCs w:val="28"/>
          <w:highlight w:val="none"/>
        </w:rPr>
      </w:pPr>
    </w:p>
    <w:p w14:paraId="3FE01299">
      <w:pPr>
        <w:spacing w:after="120"/>
        <w:rPr>
          <w:rFonts w:ascii="仿宋" w:hAnsi="仿宋" w:eastAsia="仿宋" w:cs="仿宋"/>
          <w:b/>
          <w:kern w:val="0"/>
          <w:sz w:val="28"/>
          <w:szCs w:val="28"/>
          <w:highlight w:val="none"/>
        </w:rPr>
      </w:pPr>
    </w:p>
    <w:p w14:paraId="5BC0D613">
      <w:pPr>
        <w:spacing w:after="120"/>
        <w:rPr>
          <w:rFonts w:ascii="仿宋" w:hAnsi="仿宋" w:eastAsia="仿宋" w:cs="仿宋"/>
          <w:b/>
          <w:kern w:val="0"/>
          <w:sz w:val="28"/>
          <w:szCs w:val="28"/>
          <w:highlight w:val="none"/>
        </w:rPr>
      </w:pPr>
    </w:p>
    <w:p w14:paraId="7B3D3E26">
      <w:pPr>
        <w:spacing w:after="120"/>
        <w:rPr>
          <w:rFonts w:ascii="仿宋" w:hAnsi="仿宋" w:eastAsia="仿宋" w:cs="仿宋"/>
          <w:b/>
          <w:kern w:val="0"/>
          <w:sz w:val="28"/>
          <w:szCs w:val="28"/>
          <w:highlight w:val="none"/>
        </w:rPr>
      </w:pPr>
    </w:p>
    <w:p w14:paraId="2EE221A1">
      <w:pPr>
        <w:spacing w:after="120"/>
        <w:rPr>
          <w:rFonts w:ascii="仿宋" w:hAnsi="仿宋" w:eastAsia="仿宋" w:cs="仿宋"/>
          <w:b/>
          <w:kern w:val="0"/>
          <w:sz w:val="28"/>
          <w:szCs w:val="28"/>
          <w:highlight w:val="none"/>
        </w:rPr>
      </w:pPr>
    </w:p>
    <w:p w14:paraId="44B91512">
      <w:pPr>
        <w:spacing w:after="120"/>
        <w:rPr>
          <w:rFonts w:ascii="仿宋" w:hAnsi="仿宋" w:eastAsia="仿宋" w:cs="仿宋"/>
          <w:b/>
          <w:kern w:val="0"/>
          <w:sz w:val="28"/>
          <w:szCs w:val="28"/>
          <w:highlight w:val="none"/>
        </w:rPr>
      </w:pPr>
    </w:p>
    <w:p w14:paraId="565FB258">
      <w:pPr>
        <w:spacing w:after="120"/>
        <w:rPr>
          <w:rFonts w:ascii="仿宋" w:hAnsi="仿宋" w:eastAsia="仿宋" w:cs="仿宋"/>
          <w:b/>
          <w:kern w:val="0"/>
          <w:sz w:val="28"/>
          <w:szCs w:val="28"/>
          <w:highlight w:val="none"/>
        </w:rPr>
      </w:pPr>
    </w:p>
    <w:p w14:paraId="4CD6AA4F">
      <w:pPr>
        <w:spacing w:after="120"/>
        <w:rPr>
          <w:rFonts w:ascii="仿宋" w:hAnsi="仿宋" w:eastAsia="仿宋" w:cs="仿宋"/>
          <w:b/>
          <w:kern w:val="0"/>
          <w:sz w:val="28"/>
          <w:szCs w:val="28"/>
          <w:highlight w:val="none"/>
        </w:rPr>
      </w:pPr>
    </w:p>
    <w:p w14:paraId="420E265F">
      <w:pPr>
        <w:spacing w:line="360" w:lineRule="auto"/>
        <w:jc w:val="center"/>
        <w:outlineLvl w:val="2"/>
        <w:rPr>
          <w:rFonts w:hint="eastAsia" w:ascii="仿宋" w:hAnsi="仿宋" w:eastAsia="仿宋" w:cs="仿宋"/>
          <w:b/>
          <w:color w:val="000000"/>
          <w:sz w:val="28"/>
          <w:szCs w:val="28"/>
        </w:rPr>
      </w:pPr>
      <w:r>
        <w:rPr>
          <w:rFonts w:hint="eastAsia" w:ascii="仿宋" w:hAnsi="仿宋" w:eastAsia="仿宋" w:cs="仿宋"/>
          <w:b/>
          <w:color w:val="000000"/>
          <w:sz w:val="28"/>
          <w:szCs w:val="28"/>
        </w:rPr>
        <w:t>2.报价明细表</w:t>
      </w:r>
    </w:p>
    <w:p w14:paraId="5E76719F">
      <w:pPr>
        <w:snapToGrid w:val="0"/>
        <w:spacing w:line="400" w:lineRule="exact"/>
        <w:ind w:left="984" w:hanging="984" w:hangingChars="350"/>
        <w:rPr>
          <w:rFonts w:ascii="仿宋_GB2312" w:eastAsia="仿宋_GB2312"/>
          <w:b/>
          <w:bCs/>
          <w:color w:val="000000"/>
          <w:sz w:val="28"/>
          <w:szCs w:val="28"/>
        </w:rPr>
      </w:pPr>
    </w:p>
    <w:p w14:paraId="55649213">
      <w:pPr>
        <w:spacing w:line="400" w:lineRule="exact"/>
        <w:jc w:val="center"/>
        <w:rPr>
          <w:rFonts w:ascii="Calibri" w:hAnsi="Calibri"/>
          <w:b/>
          <w:bCs/>
          <w:color w:val="000000"/>
          <w:sz w:val="32"/>
          <w:szCs w:val="32"/>
        </w:rPr>
      </w:pPr>
      <w:r>
        <w:rPr>
          <w:rFonts w:hint="eastAsia" w:ascii="Calibri" w:hAnsi="Calibri"/>
          <w:b/>
          <w:bCs/>
          <w:color w:val="000000"/>
          <w:sz w:val="32"/>
          <w:szCs w:val="32"/>
        </w:rPr>
        <w:t>分项报价明细表（服务类）</w:t>
      </w:r>
    </w:p>
    <w:p w14:paraId="07773619">
      <w:pPr>
        <w:snapToGrid w:val="0"/>
        <w:spacing w:line="400" w:lineRule="exact"/>
        <w:rPr>
          <w:rFonts w:ascii="仿宋_GB2312" w:hAnsi="宋体" w:eastAsia="仿宋_GB2312"/>
          <w:color w:val="000000"/>
          <w:sz w:val="28"/>
          <w:szCs w:val="28"/>
        </w:rPr>
      </w:pPr>
    </w:p>
    <w:tbl>
      <w:tblPr>
        <w:tblStyle w:val="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5829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2DAAEC4C">
            <w:pPr>
              <w:snapToGrid w:val="0"/>
              <w:spacing w:line="360" w:lineRule="auto"/>
              <w:jc w:val="center"/>
              <w:rPr>
                <w:rFonts w:ascii="宋体" w:hAnsi="宋体"/>
                <w:b/>
                <w:color w:val="000000"/>
                <w:szCs w:val="21"/>
              </w:rPr>
            </w:pPr>
            <w:r>
              <w:rPr>
                <w:rFonts w:hint="eastAsia" w:ascii="宋体" w:hAnsi="宋体"/>
                <w:b/>
                <w:color w:val="000000"/>
                <w:szCs w:val="21"/>
              </w:rPr>
              <w:t>序号</w:t>
            </w:r>
          </w:p>
        </w:tc>
        <w:tc>
          <w:tcPr>
            <w:tcW w:w="1321" w:type="dxa"/>
            <w:noWrap w:val="0"/>
            <w:vAlign w:val="center"/>
          </w:tcPr>
          <w:p w14:paraId="5EF992C2">
            <w:pPr>
              <w:snapToGrid w:val="0"/>
              <w:spacing w:line="360" w:lineRule="auto"/>
              <w:jc w:val="center"/>
              <w:rPr>
                <w:rFonts w:ascii="宋体" w:hAnsi="宋体"/>
                <w:b/>
                <w:color w:val="000000"/>
                <w:szCs w:val="21"/>
              </w:rPr>
            </w:pPr>
            <w:r>
              <w:rPr>
                <w:rFonts w:hint="eastAsia" w:ascii="宋体" w:hAnsi="宋体"/>
                <w:b/>
                <w:color w:val="000000"/>
                <w:szCs w:val="21"/>
              </w:rPr>
              <w:t>名称</w:t>
            </w:r>
          </w:p>
        </w:tc>
        <w:tc>
          <w:tcPr>
            <w:tcW w:w="1417" w:type="dxa"/>
            <w:noWrap w:val="0"/>
            <w:vAlign w:val="center"/>
          </w:tcPr>
          <w:p w14:paraId="18DFED40">
            <w:pPr>
              <w:snapToGrid w:val="0"/>
              <w:spacing w:line="360" w:lineRule="auto"/>
              <w:jc w:val="center"/>
              <w:rPr>
                <w:rFonts w:ascii="宋体" w:hAnsi="宋体"/>
                <w:b/>
                <w:color w:val="000000"/>
                <w:szCs w:val="21"/>
              </w:rPr>
            </w:pPr>
            <w:r>
              <w:rPr>
                <w:rFonts w:hint="eastAsia" w:ascii="宋体" w:hAnsi="宋体"/>
                <w:b/>
                <w:color w:val="000000"/>
                <w:szCs w:val="21"/>
              </w:rPr>
              <w:t>服务范围</w:t>
            </w:r>
          </w:p>
        </w:tc>
        <w:tc>
          <w:tcPr>
            <w:tcW w:w="1418" w:type="dxa"/>
            <w:noWrap w:val="0"/>
            <w:vAlign w:val="center"/>
          </w:tcPr>
          <w:p w14:paraId="012F886F">
            <w:pPr>
              <w:snapToGrid w:val="0"/>
              <w:spacing w:line="360" w:lineRule="auto"/>
              <w:jc w:val="center"/>
              <w:rPr>
                <w:rFonts w:ascii="宋体" w:hAnsi="宋体"/>
                <w:b/>
                <w:color w:val="000000"/>
                <w:szCs w:val="21"/>
              </w:rPr>
            </w:pPr>
            <w:r>
              <w:rPr>
                <w:rFonts w:hint="eastAsia" w:ascii="宋体" w:hAnsi="宋体"/>
                <w:b/>
                <w:color w:val="000000"/>
                <w:szCs w:val="21"/>
              </w:rPr>
              <w:t>服务要求</w:t>
            </w:r>
          </w:p>
        </w:tc>
        <w:tc>
          <w:tcPr>
            <w:tcW w:w="1275" w:type="dxa"/>
            <w:noWrap w:val="0"/>
            <w:vAlign w:val="center"/>
          </w:tcPr>
          <w:p w14:paraId="0B5BC6F2">
            <w:pPr>
              <w:snapToGrid w:val="0"/>
              <w:spacing w:line="360" w:lineRule="auto"/>
              <w:jc w:val="center"/>
              <w:rPr>
                <w:rFonts w:ascii="宋体" w:hAnsi="宋体"/>
                <w:b/>
                <w:color w:val="000000"/>
                <w:szCs w:val="21"/>
              </w:rPr>
            </w:pPr>
            <w:r>
              <w:rPr>
                <w:rFonts w:hint="eastAsia" w:ascii="宋体" w:hAnsi="宋体"/>
                <w:b/>
                <w:color w:val="000000"/>
                <w:szCs w:val="21"/>
              </w:rPr>
              <w:t>服务时间</w:t>
            </w:r>
          </w:p>
        </w:tc>
        <w:tc>
          <w:tcPr>
            <w:tcW w:w="1276" w:type="dxa"/>
            <w:noWrap w:val="0"/>
            <w:vAlign w:val="center"/>
          </w:tcPr>
          <w:p w14:paraId="17A335EA">
            <w:pPr>
              <w:snapToGrid w:val="0"/>
              <w:spacing w:line="360" w:lineRule="auto"/>
              <w:jc w:val="center"/>
              <w:rPr>
                <w:rFonts w:ascii="宋体" w:hAnsi="宋体"/>
                <w:b/>
                <w:color w:val="000000"/>
                <w:szCs w:val="21"/>
              </w:rPr>
            </w:pPr>
            <w:r>
              <w:rPr>
                <w:rFonts w:hint="eastAsia" w:ascii="宋体" w:hAnsi="宋体"/>
                <w:b/>
                <w:color w:val="000000"/>
                <w:szCs w:val="21"/>
              </w:rPr>
              <w:t>服务标准</w:t>
            </w:r>
          </w:p>
        </w:tc>
        <w:tc>
          <w:tcPr>
            <w:tcW w:w="851" w:type="dxa"/>
            <w:noWrap w:val="0"/>
            <w:vAlign w:val="center"/>
          </w:tcPr>
          <w:p w14:paraId="570FE229">
            <w:pPr>
              <w:snapToGrid w:val="0"/>
              <w:spacing w:line="360" w:lineRule="auto"/>
              <w:jc w:val="center"/>
              <w:rPr>
                <w:rFonts w:ascii="宋体" w:hAnsi="宋体"/>
                <w:b/>
                <w:color w:val="000000"/>
                <w:szCs w:val="21"/>
              </w:rPr>
            </w:pPr>
            <w:r>
              <w:rPr>
                <w:rFonts w:hint="eastAsia" w:ascii="宋体" w:hAnsi="宋体"/>
                <w:b/>
                <w:color w:val="000000"/>
                <w:szCs w:val="21"/>
              </w:rPr>
              <w:t>金额</w:t>
            </w:r>
          </w:p>
        </w:tc>
        <w:tc>
          <w:tcPr>
            <w:tcW w:w="1151" w:type="dxa"/>
            <w:noWrap w:val="0"/>
            <w:vAlign w:val="center"/>
          </w:tcPr>
          <w:p w14:paraId="366BBC9E">
            <w:pPr>
              <w:snapToGrid w:val="0"/>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14:paraId="46FD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6490FC65">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p>
        </w:tc>
        <w:tc>
          <w:tcPr>
            <w:tcW w:w="1321" w:type="dxa"/>
            <w:noWrap w:val="0"/>
            <w:vAlign w:val="center"/>
          </w:tcPr>
          <w:p w14:paraId="143E0687">
            <w:pPr>
              <w:snapToGrid w:val="0"/>
              <w:spacing w:line="360" w:lineRule="auto"/>
              <w:jc w:val="center"/>
              <w:rPr>
                <w:rFonts w:ascii="仿宋_GB2312" w:hAnsi="宋体" w:eastAsia="仿宋_GB2312"/>
                <w:color w:val="000000"/>
                <w:sz w:val="24"/>
              </w:rPr>
            </w:pPr>
          </w:p>
        </w:tc>
        <w:tc>
          <w:tcPr>
            <w:tcW w:w="1417" w:type="dxa"/>
            <w:noWrap w:val="0"/>
            <w:vAlign w:val="center"/>
          </w:tcPr>
          <w:p w14:paraId="275ECB00">
            <w:pPr>
              <w:snapToGrid w:val="0"/>
              <w:spacing w:line="360" w:lineRule="auto"/>
              <w:jc w:val="center"/>
              <w:rPr>
                <w:rFonts w:ascii="仿宋_GB2312" w:hAnsi="宋体" w:eastAsia="仿宋_GB2312"/>
                <w:color w:val="000000"/>
                <w:sz w:val="24"/>
              </w:rPr>
            </w:pPr>
          </w:p>
        </w:tc>
        <w:tc>
          <w:tcPr>
            <w:tcW w:w="1418" w:type="dxa"/>
            <w:noWrap w:val="0"/>
            <w:vAlign w:val="center"/>
          </w:tcPr>
          <w:p w14:paraId="2200EE3C">
            <w:pPr>
              <w:snapToGrid w:val="0"/>
              <w:spacing w:line="360" w:lineRule="auto"/>
              <w:jc w:val="center"/>
              <w:rPr>
                <w:rFonts w:ascii="仿宋_GB2312" w:hAnsi="宋体" w:eastAsia="仿宋_GB2312"/>
                <w:color w:val="000000"/>
                <w:sz w:val="24"/>
              </w:rPr>
            </w:pPr>
          </w:p>
        </w:tc>
        <w:tc>
          <w:tcPr>
            <w:tcW w:w="1275" w:type="dxa"/>
            <w:noWrap w:val="0"/>
            <w:vAlign w:val="center"/>
          </w:tcPr>
          <w:p w14:paraId="3DD312D7">
            <w:pPr>
              <w:snapToGrid w:val="0"/>
              <w:spacing w:line="360" w:lineRule="auto"/>
              <w:jc w:val="center"/>
              <w:rPr>
                <w:rFonts w:ascii="仿宋_GB2312" w:hAnsi="宋体" w:eastAsia="仿宋_GB2312"/>
                <w:color w:val="000000"/>
                <w:sz w:val="24"/>
              </w:rPr>
            </w:pPr>
          </w:p>
        </w:tc>
        <w:tc>
          <w:tcPr>
            <w:tcW w:w="1276" w:type="dxa"/>
            <w:noWrap w:val="0"/>
            <w:vAlign w:val="center"/>
          </w:tcPr>
          <w:p w14:paraId="330D6B9C">
            <w:pPr>
              <w:snapToGrid w:val="0"/>
              <w:spacing w:line="360" w:lineRule="auto"/>
              <w:jc w:val="center"/>
              <w:rPr>
                <w:rFonts w:ascii="仿宋_GB2312" w:hAnsi="宋体" w:eastAsia="仿宋_GB2312"/>
                <w:color w:val="000000"/>
                <w:sz w:val="24"/>
              </w:rPr>
            </w:pPr>
          </w:p>
        </w:tc>
        <w:tc>
          <w:tcPr>
            <w:tcW w:w="851" w:type="dxa"/>
            <w:noWrap w:val="0"/>
            <w:vAlign w:val="center"/>
          </w:tcPr>
          <w:p w14:paraId="6034D6BF">
            <w:pPr>
              <w:snapToGrid w:val="0"/>
              <w:spacing w:line="360" w:lineRule="auto"/>
              <w:jc w:val="center"/>
              <w:rPr>
                <w:rFonts w:ascii="仿宋_GB2312" w:hAnsi="宋体" w:eastAsia="仿宋_GB2312"/>
                <w:color w:val="000000"/>
                <w:sz w:val="24"/>
              </w:rPr>
            </w:pPr>
          </w:p>
        </w:tc>
        <w:tc>
          <w:tcPr>
            <w:tcW w:w="1151" w:type="dxa"/>
            <w:noWrap w:val="0"/>
            <w:vAlign w:val="center"/>
          </w:tcPr>
          <w:p w14:paraId="61EC9026">
            <w:pPr>
              <w:snapToGrid w:val="0"/>
              <w:spacing w:line="360" w:lineRule="auto"/>
              <w:jc w:val="center"/>
              <w:rPr>
                <w:rFonts w:ascii="仿宋_GB2312" w:hAnsi="宋体" w:eastAsia="仿宋_GB2312"/>
                <w:color w:val="000000"/>
                <w:sz w:val="24"/>
              </w:rPr>
            </w:pPr>
          </w:p>
        </w:tc>
      </w:tr>
      <w:tr w14:paraId="2EDC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24499BB0">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p>
        </w:tc>
        <w:tc>
          <w:tcPr>
            <w:tcW w:w="1321" w:type="dxa"/>
            <w:noWrap w:val="0"/>
            <w:vAlign w:val="center"/>
          </w:tcPr>
          <w:p w14:paraId="5EAD77BB">
            <w:pPr>
              <w:snapToGrid w:val="0"/>
              <w:spacing w:line="360" w:lineRule="auto"/>
              <w:jc w:val="center"/>
              <w:rPr>
                <w:rFonts w:ascii="仿宋_GB2312" w:hAnsi="宋体" w:eastAsia="仿宋_GB2312"/>
                <w:color w:val="000000"/>
                <w:sz w:val="24"/>
              </w:rPr>
            </w:pPr>
          </w:p>
        </w:tc>
        <w:tc>
          <w:tcPr>
            <w:tcW w:w="1417" w:type="dxa"/>
            <w:noWrap w:val="0"/>
            <w:vAlign w:val="center"/>
          </w:tcPr>
          <w:p w14:paraId="3BAA1287">
            <w:pPr>
              <w:snapToGrid w:val="0"/>
              <w:spacing w:line="360" w:lineRule="auto"/>
              <w:jc w:val="center"/>
              <w:rPr>
                <w:rFonts w:ascii="仿宋_GB2312" w:hAnsi="宋体" w:eastAsia="仿宋_GB2312"/>
                <w:color w:val="000000"/>
                <w:sz w:val="24"/>
              </w:rPr>
            </w:pPr>
          </w:p>
        </w:tc>
        <w:tc>
          <w:tcPr>
            <w:tcW w:w="1418" w:type="dxa"/>
            <w:noWrap w:val="0"/>
            <w:vAlign w:val="center"/>
          </w:tcPr>
          <w:p w14:paraId="5AABE042">
            <w:pPr>
              <w:snapToGrid w:val="0"/>
              <w:spacing w:line="360" w:lineRule="auto"/>
              <w:jc w:val="center"/>
              <w:rPr>
                <w:rFonts w:ascii="仿宋_GB2312" w:hAnsi="宋体" w:eastAsia="仿宋_GB2312"/>
                <w:color w:val="000000"/>
                <w:sz w:val="24"/>
              </w:rPr>
            </w:pPr>
          </w:p>
        </w:tc>
        <w:tc>
          <w:tcPr>
            <w:tcW w:w="1275" w:type="dxa"/>
            <w:noWrap w:val="0"/>
            <w:vAlign w:val="center"/>
          </w:tcPr>
          <w:p w14:paraId="60EE98A8">
            <w:pPr>
              <w:snapToGrid w:val="0"/>
              <w:spacing w:line="360" w:lineRule="auto"/>
              <w:jc w:val="center"/>
              <w:rPr>
                <w:rFonts w:ascii="仿宋_GB2312" w:hAnsi="宋体" w:eastAsia="仿宋_GB2312"/>
                <w:color w:val="000000"/>
                <w:sz w:val="24"/>
              </w:rPr>
            </w:pPr>
          </w:p>
        </w:tc>
        <w:tc>
          <w:tcPr>
            <w:tcW w:w="1276" w:type="dxa"/>
            <w:noWrap w:val="0"/>
            <w:vAlign w:val="center"/>
          </w:tcPr>
          <w:p w14:paraId="0EC2EED1">
            <w:pPr>
              <w:snapToGrid w:val="0"/>
              <w:spacing w:line="360" w:lineRule="auto"/>
              <w:jc w:val="center"/>
              <w:rPr>
                <w:rFonts w:ascii="仿宋_GB2312" w:hAnsi="宋体" w:eastAsia="仿宋_GB2312"/>
                <w:color w:val="000000"/>
                <w:sz w:val="24"/>
              </w:rPr>
            </w:pPr>
          </w:p>
        </w:tc>
        <w:tc>
          <w:tcPr>
            <w:tcW w:w="851" w:type="dxa"/>
            <w:noWrap w:val="0"/>
            <w:vAlign w:val="center"/>
          </w:tcPr>
          <w:p w14:paraId="7750D26B">
            <w:pPr>
              <w:snapToGrid w:val="0"/>
              <w:spacing w:line="360" w:lineRule="auto"/>
              <w:jc w:val="center"/>
              <w:rPr>
                <w:rFonts w:ascii="仿宋_GB2312" w:hAnsi="宋体" w:eastAsia="仿宋_GB2312"/>
                <w:color w:val="000000"/>
                <w:sz w:val="24"/>
              </w:rPr>
            </w:pPr>
          </w:p>
        </w:tc>
        <w:tc>
          <w:tcPr>
            <w:tcW w:w="1151" w:type="dxa"/>
            <w:noWrap w:val="0"/>
            <w:vAlign w:val="center"/>
          </w:tcPr>
          <w:p w14:paraId="14D412A9">
            <w:pPr>
              <w:snapToGrid w:val="0"/>
              <w:spacing w:line="360" w:lineRule="auto"/>
              <w:jc w:val="center"/>
              <w:rPr>
                <w:rFonts w:ascii="仿宋_GB2312" w:hAnsi="宋体" w:eastAsia="仿宋_GB2312"/>
                <w:color w:val="000000"/>
                <w:sz w:val="24"/>
              </w:rPr>
            </w:pPr>
          </w:p>
        </w:tc>
      </w:tr>
      <w:tr w14:paraId="0E36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5D9374A1">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p>
        </w:tc>
        <w:tc>
          <w:tcPr>
            <w:tcW w:w="1321" w:type="dxa"/>
            <w:noWrap w:val="0"/>
            <w:vAlign w:val="center"/>
          </w:tcPr>
          <w:p w14:paraId="1BFF0C59">
            <w:pPr>
              <w:snapToGrid w:val="0"/>
              <w:spacing w:line="360" w:lineRule="auto"/>
              <w:jc w:val="center"/>
              <w:rPr>
                <w:rFonts w:ascii="仿宋_GB2312" w:hAnsi="宋体" w:eastAsia="仿宋_GB2312"/>
                <w:color w:val="000000"/>
                <w:sz w:val="24"/>
              </w:rPr>
            </w:pPr>
          </w:p>
        </w:tc>
        <w:tc>
          <w:tcPr>
            <w:tcW w:w="1417" w:type="dxa"/>
            <w:noWrap w:val="0"/>
            <w:vAlign w:val="center"/>
          </w:tcPr>
          <w:p w14:paraId="2D67C44A">
            <w:pPr>
              <w:snapToGrid w:val="0"/>
              <w:spacing w:line="360" w:lineRule="auto"/>
              <w:jc w:val="center"/>
              <w:rPr>
                <w:rFonts w:ascii="仿宋_GB2312" w:hAnsi="宋体" w:eastAsia="仿宋_GB2312"/>
                <w:color w:val="000000"/>
                <w:sz w:val="24"/>
              </w:rPr>
            </w:pPr>
          </w:p>
        </w:tc>
        <w:tc>
          <w:tcPr>
            <w:tcW w:w="1418" w:type="dxa"/>
            <w:noWrap w:val="0"/>
            <w:vAlign w:val="center"/>
          </w:tcPr>
          <w:p w14:paraId="14FCC43D">
            <w:pPr>
              <w:snapToGrid w:val="0"/>
              <w:spacing w:line="360" w:lineRule="auto"/>
              <w:jc w:val="center"/>
              <w:rPr>
                <w:rFonts w:ascii="仿宋_GB2312" w:hAnsi="宋体" w:eastAsia="仿宋_GB2312"/>
                <w:color w:val="000000"/>
                <w:sz w:val="24"/>
              </w:rPr>
            </w:pPr>
          </w:p>
        </w:tc>
        <w:tc>
          <w:tcPr>
            <w:tcW w:w="1275" w:type="dxa"/>
            <w:noWrap w:val="0"/>
            <w:vAlign w:val="center"/>
          </w:tcPr>
          <w:p w14:paraId="721F4197">
            <w:pPr>
              <w:snapToGrid w:val="0"/>
              <w:spacing w:line="360" w:lineRule="auto"/>
              <w:jc w:val="center"/>
              <w:rPr>
                <w:rFonts w:ascii="仿宋_GB2312" w:hAnsi="宋体" w:eastAsia="仿宋_GB2312"/>
                <w:color w:val="000000"/>
                <w:sz w:val="24"/>
              </w:rPr>
            </w:pPr>
          </w:p>
        </w:tc>
        <w:tc>
          <w:tcPr>
            <w:tcW w:w="1276" w:type="dxa"/>
            <w:noWrap w:val="0"/>
            <w:vAlign w:val="center"/>
          </w:tcPr>
          <w:p w14:paraId="0D57389C">
            <w:pPr>
              <w:snapToGrid w:val="0"/>
              <w:spacing w:line="360" w:lineRule="auto"/>
              <w:jc w:val="center"/>
              <w:rPr>
                <w:rFonts w:ascii="仿宋_GB2312" w:hAnsi="宋体" w:eastAsia="仿宋_GB2312"/>
                <w:color w:val="000000"/>
                <w:sz w:val="24"/>
              </w:rPr>
            </w:pPr>
          </w:p>
        </w:tc>
        <w:tc>
          <w:tcPr>
            <w:tcW w:w="851" w:type="dxa"/>
            <w:noWrap w:val="0"/>
            <w:vAlign w:val="center"/>
          </w:tcPr>
          <w:p w14:paraId="32693340">
            <w:pPr>
              <w:snapToGrid w:val="0"/>
              <w:spacing w:line="360" w:lineRule="auto"/>
              <w:jc w:val="center"/>
              <w:rPr>
                <w:rFonts w:ascii="仿宋_GB2312" w:hAnsi="宋体" w:eastAsia="仿宋_GB2312"/>
                <w:color w:val="000000"/>
                <w:sz w:val="24"/>
              </w:rPr>
            </w:pPr>
          </w:p>
        </w:tc>
        <w:tc>
          <w:tcPr>
            <w:tcW w:w="1151" w:type="dxa"/>
            <w:noWrap w:val="0"/>
            <w:vAlign w:val="center"/>
          </w:tcPr>
          <w:p w14:paraId="63ADFC4D">
            <w:pPr>
              <w:snapToGrid w:val="0"/>
              <w:spacing w:line="360" w:lineRule="auto"/>
              <w:jc w:val="center"/>
              <w:rPr>
                <w:rFonts w:ascii="仿宋_GB2312" w:hAnsi="宋体" w:eastAsia="仿宋_GB2312"/>
                <w:color w:val="000000"/>
                <w:sz w:val="24"/>
              </w:rPr>
            </w:pPr>
          </w:p>
        </w:tc>
      </w:tr>
      <w:tr w14:paraId="47E8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7351F389">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p>
        </w:tc>
        <w:tc>
          <w:tcPr>
            <w:tcW w:w="1321" w:type="dxa"/>
            <w:noWrap w:val="0"/>
            <w:vAlign w:val="center"/>
          </w:tcPr>
          <w:p w14:paraId="524CF06D">
            <w:pPr>
              <w:snapToGrid w:val="0"/>
              <w:spacing w:line="360" w:lineRule="auto"/>
              <w:jc w:val="center"/>
              <w:rPr>
                <w:rFonts w:ascii="仿宋_GB2312" w:hAnsi="宋体" w:eastAsia="仿宋_GB2312"/>
                <w:color w:val="000000"/>
                <w:sz w:val="24"/>
              </w:rPr>
            </w:pPr>
          </w:p>
        </w:tc>
        <w:tc>
          <w:tcPr>
            <w:tcW w:w="1417" w:type="dxa"/>
            <w:noWrap w:val="0"/>
            <w:vAlign w:val="center"/>
          </w:tcPr>
          <w:p w14:paraId="7C6EF9CA">
            <w:pPr>
              <w:snapToGrid w:val="0"/>
              <w:spacing w:line="360" w:lineRule="auto"/>
              <w:jc w:val="center"/>
              <w:rPr>
                <w:rFonts w:ascii="仿宋_GB2312" w:hAnsi="宋体" w:eastAsia="仿宋_GB2312"/>
                <w:color w:val="000000"/>
                <w:sz w:val="24"/>
              </w:rPr>
            </w:pPr>
          </w:p>
        </w:tc>
        <w:tc>
          <w:tcPr>
            <w:tcW w:w="1418" w:type="dxa"/>
            <w:noWrap w:val="0"/>
            <w:vAlign w:val="center"/>
          </w:tcPr>
          <w:p w14:paraId="6FFA2032">
            <w:pPr>
              <w:snapToGrid w:val="0"/>
              <w:spacing w:line="360" w:lineRule="auto"/>
              <w:jc w:val="center"/>
              <w:rPr>
                <w:rFonts w:ascii="仿宋_GB2312" w:hAnsi="宋体" w:eastAsia="仿宋_GB2312"/>
                <w:color w:val="000000"/>
                <w:sz w:val="24"/>
              </w:rPr>
            </w:pPr>
          </w:p>
        </w:tc>
        <w:tc>
          <w:tcPr>
            <w:tcW w:w="1275" w:type="dxa"/>
            <w:noWrap w:val="0"/>
            <w:vAlign w:val="center"/>
          </w:tcPr>
          <w:p w14:paraId="61F18344">
            <w:pPr>
              <w:snapToGrid w:val="0"/>
              <w:spacing w:line="360" w:lineRule="auto"/>
              <w:jc w:val="center"/>
              <w:rPr>
                <w:rFonts w:ascii="仿宋_GB2312" w:hAnsi="宋体" w:eastAsia="仿宋_GB2312"/>
                <w:color w:val="000000"/>
                <w:sz w:val="24"/>
              </w:rPr>
            </w:pPr>
          </w:p>
        </w:tc>
        <w:tc>
          <w:tcPr>
            <w:tcW w:w="1276" w:type="dxa"/>
            <w:noWrap w:val="0"/>
            <w:vAlign w:val="center"/>
          </w:tcPr>
          <w:p w14:paraId="086CD41A">
            <w:pPr>
              <w:snapToGrid w:val="0"/>
              <w:spacing w:line="360" w:lineRule="auto"/>
              <w:jc w:val="center"/>
              <w:rPr>
                <w:rFonts w:ascii="仿宋_GB2312" w:hAnsi="宋体" w:eastAsia="仿宋_GB2312"/>
                <w:color w:val="000000"/>
                <w:sz w:val="24"/>
              </w:rPr>
            </w:pPr>
          </w:p>
        </w:tc>
        <w:tc>
          <w:tcPr>
            <w:tcW w:w="851" w:type="dxa"/>
            <w:noWrap w:val="0"/>
            <w:vAlign w:val="center"/>
          </w:tcPr>
          <w:p w14:paraId="78E286AE">
            <w:pPr>
              <w:snapToGrid w:val="0"/>
              <w:spacing w:line="360" w:lineRule="auto"/>
              <w:jc w:val="center"/>
              <w:rPr>
                <w:rFonts w:ascii="仿宋_GB2312" w:hAnsi="宋体" w:eastAsia="仿宋_GB2312"/>
                <w:color w:val="000000"/>
                <w:sz w:val="24"/>
              </w:rPr>
            </w:pPr>
          </w:p>
        </w:tc>
        <w:tc>
          <w:tcPr>
            <w:tcW w:w="1151" w:type="dxa"/>
            <w:noWrap w:val="0"/>
            <w:vAlign w:val="center"/>
          </w:tcPr>
          <w:p w14:paraId="39F3A80D">
            <w:pPr>
              <w:snapToGrid w:val="0"/>
              <w:spacing w:line="360" w:lineRule="auto"/>
              <w:jc w:val="center"/>
              <w:rPr>
                <w:rFonts w:ascii="仿宋_GB2312" w:hAnsi="宋体" w:eastAsia="仿宋_GB2312"/>
                <w:color w:val="000000"/>
                <w:sz w:val="24"/>
              </w:rPr>
            </w:pPr>
          </w:p>
        </w:tc>
      </w:tr>
      <w:tr w14:paraId="7F1A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6A0758E2">
            <w:pPr>
              <w:snapToGrid w:val="0"/>
              <w:spacing w:line="360" w:lineRule="auto"/>
              <w:jc w:val="center"/>
              <w:rPr>
                <w:rFonts w:ascii="仿宋_GB2312" w:hAnsi="宋体" w:eastAsia="仿宋_GB2312"/>
                <w:color w:val="000000"/>
                <w:sz w:val="24"/>
              </w:rPr>
            </w:pPr>
          </w:p>
        </w:tc>
        <w:tc>
          <w:tcPr>
            <w:tcW w:w="1321" w:type="dxa"/>
            <w:noWrap w:val="0"/>
            <w:vAlign w:val="center"/>
          </w:tcPr>
          <w:p w14:paraId="2E6C25B2">
            <w:pPr>
              <w:snapToGrid w:val="0"/>
              <w:spacing w:line="360" w:lineRule="auto"/>
              <w:jc w:val="center"/>
              <w:rPr>
                <w:rFonts w:ascii="仿宋_GB2312" w:hAnsi="宋体" w:eastAsia="仿宋_GB2312"/>
                <w:color w:val="000000"/>
                <w:sz w:val="24"/>
              </w:rPr>
            </w:pPr>
          </w:p>
        </w:tc>
        <w:tc>
          <w:tcPr>
            <w:tcW w:w="1417" w:type="dxa"/>
            <w:noWrap w:val="0"/>
            <w:vAlign w:val="center"/>
          </w:tcPr>
          <w:p w14:paraId="6C838837">
            <w:pPr>
              <w:snapToGrid w:val="0"/>
              <w:spacing w:line="360" w:lineRule="auto"/>
              <w:jc w:val="center"/>
              <w:rPr>
                <w:rFonts w:ascii="仿宋_GB2312" w:hAnsi="宋体" w:eastAsia="仿宋_GB2312"/>
                <w:color w:val="000000"/>
                <w:sz w:val="24"/>
              </w:rPr>
            </w:pPr>
          </w:p>
        </w:tc>
        <w:tc>
          <w:tcPr>
            <w:tcW w:w="1418" w:type="dxa"/>
            <w:noWrap w:val="0"/>
            <w:vAlign w:val="center"/>
          </w:tcPr>
          <w:p w14:paraId="61FA7F38">
            <w:pPr>
              <w:snapToGrid w:val="0"/>
              <w:spacing w:line="360" w:lineRule="auto"/>
              <w:jc w:val="center"/>
              <w:rPr>
                <w:rFonts w:ascii="仿宋_GB2312" w:hAnsi="宋体" w:eastAsia="仿宋_GB2312"/>
                <w:color w:val="000000"/>
                <w:sz w:val="24"/>
              </w:rPr>
            </w:pPr>
          </w:p>
        </w:tc>
        <w:tc>
          <w:tcPr>
            <w:tcW w:w="1275" w:type="dxa"/>
            <w:noWrap w:val="0"/>
            <w:vAlign w:val="center"/>
          </w:tcPr>
          <w:p w14:paraId="35A6DD42">
            <w:pPr>
              <w:snapToGrid w:val="0"/>
              <w:spacing w:line="360" w:lineRule="auto"/>
              <w:jc w:val="center"/>
              <w:rPr>
                <w:rFonts w:ascii="仿宋_GB2312" w:hAnsi="宋体" w:eastAsia="仿宋_GB2312"/>
                <w:color w:val="000000"/>
                <w:sz w:val="24"/>
              </w:rPr>
            </w:pPr>
          </w:p>
        </w:tc>
        <w:tc>
          <w:tcPr>
            <w:tcW w:w="1276" w:type="dxa"/>
            <w:noWrap w:val="0"/>
            <w:vAlign w:val="center"/>
          </w:tcPr>
          <w:p w14:paraId="61D29DE2">
            <w:pPr>
              <w:snapToGrid w:val="0"/>
              <w:spacing w:line="360" w:lineRule="auto"/>
              <w:jc w:val="center"/>
              <w:rPr>
                <w:rFonts w:ascii="仿宋_GB2312" w:hAnsi="宋体" w:eastAsia="仿宋_GB2312"/>
                <w:color w:val="000000"/>
                <w:sz w:val="24"/>
              </w:rPr>
            </w:pPr>
          </w:p>
        </w:tc>
        <w:tc>
          <w:tcPr>
            <w:tcW w:w="851" w:type="dxa"/>
            <w:noWrap w:val="0"/>
            <w:vAlign w:val="center"/>
          </w:tcPr>
          <w:p w14:paraId="0974F74F">
            <w:pPr>
              <w:snapToGrid w:val="0"/>
              <w:spacing w:line="360" w:lineRule="auto"/>
              <w:jc w:val="center"/>
              <w:rPr>
                <w:rFonts w:ascii="仿宋_GB2312" w:hAnsi="宋体" w:eastAsia="仿宋_GB2312"/>
                <w:color w:val="000000"/>
                <w:sz w:val="24"/>
              </w:rPr>
            </w:pPr>
          </w:p>
        </w:tc>
        <w:tc>
          <w:tcPr>
            <w:tcW w:w="1151" w:type="dxa"/>
            <w:noWrap w:val="0"/>
            <w:vAlign w:val="center"/>
          </w:tcPr>
          <w:p w14:paraId="228F0068">
            <w:pPr>
              <w:snapToGrid w:val="0"/>
              <w:spacing w:line="360" w:lineRule="auto"/>
              <w:jc w:val="center"/>
              <w:rPr>
                <w:rFonts w:ascii="仿宋_GB2312" w:hAnsi="宋体" w:eastAsia="仿宋_GB2312"/>
                <w:color w:val="000000"/>
                <w:sz w:val="24"/>
              </w:rPr>
            </w:pPr>
          </w:p>
        </w:tc>
      </w:tr>
      <w:tr w14:paraId="65E9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12F61FBF">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8709" w:type="dxa"/>
            <w:gridSpan w:val="7"/>
            <w:noWrap w:val="0"/>
            <w:vAlign w:val="center"/>
          </w:tcPr>
          <w:p w14:paraId="4DAF14D0">
            <w:pPr>
              <w:snapToGrid w:val="0"/>
              <w:spacing w:line="360" w:lineRule="auto"/>
              <w:jc w:val="center"/>
              <w:rPr>
                <w:rFonts w:ascii="仿宋_GB2312" w:hAnsi="宋体" w:eastAsia="仿宋_GB2312"/>
                <w:color w:val="000000"/>
                <w:sz w:val="24"/>
              </w:rPr>
            </w:pPr>
          </w:p>
        </w:tc>
      </w:tr>
    </w:tbl>
    <w:p w14:paraId="4C830D9C">
      <w:pPr>
        <w:rPr>
          <w:rFonts w:hint="eastAsia"/>
          <w:color w:val="000000"/>
        </w:rPr>
      </w:pPr>
    </w:p>
    <w:p w14:paraId="1CF3EF49">
      <w:pPr>
        <w:rPr>
          <w:rFonts w:hint="eastAsia"/>
          <w:b/>
          <w:color w:val="000000"/>
          <w:sz w:val="28"/>
          <w:szCs w:val="28"/>
        </w:rPr>
      </w:pPr>
      <w:r>
        <w:rPr>
          <w:rFonts w:hint="eastAsia"/>
          <w:b/>
          <w:color w:val="000000"/>
          <w:sz w:val="28"/>
          <w:szCs w:val="28"/>
        </w:rPr>
        <w:t>注：供应商必须详细报出采购清单中各个子项的名称、品牌、规格型号、数量、单价。且本表各分项报价合计应当与报价总表报价合计相等。</w:t>
      </w:r>
    </w:p>
    <w:p w14:paraId="789C114C">
      <w:pPr>
        <w:snapToGrid w:val="0"/>
        <w:spacing w:line="360" w:lineRule="auto"/>
        <w:rPr>
          <w:rFonts w:hint="eastAsia" w:ascii="仿宋" w:hAnsi="仿宋" w:eastAsia="仿宋" w:cs="仿宋"/>
          <w:bCs/>
          <w:color w:val="000000"/>
          <w:sz w:val="28"/>
          <w:szCs w:val="28"/>
        </w:rPr>
      </w:pPr>
    </w:p>
    <w:p w14:paraId="0691C18C">
      <w:pPr>
        <w:widowControl/>
        <w:jc w:val="left"/>
        <w:rPr>
          <w:rFonts w:hint="eastAsia" w:ascii="仿宋" w:hAnsi="仿宋" w:eastAsia="仿宋" w:cs="仿宋"/>
          <w:color w:val="000000"/>
          <w:kern w:val="0"/>
          <w:sz w:val="28"/>
          <w:szCs w:val="28"/>
        </w:rPr>
      </w:pPr>
    </w:p>
    <w:p w14:paraId="054889C0">
      <w:pPr>
        <w:widowControl/>
        <w:jc w:val="left"/>
        <w:rPr>
          <w:rFonts w:hint="eastAsia" w:ascii="仿宋" w:hAnsi="仿宋" w:eastAsia="仿宋" w:cs="仿宋"/>
          <w:color w:val="000000"/>
          <w:kern w:val="0"/>
          <w:sz w:val="28"/>
          <w:szCs w:val="28"/>
        </w:rPr>
      </w:pPr>
    </w:p>
    <w:p w14:paraId="1E05254A">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en-US"/>
        </w:rPr>
        <w:t>供应商名称：（盖章）</w:t>
      </w:r>
    </w:p>
    <w:p w14:paraId="70C0ED20">
      <w:pPr>
        <w:snapToGrid w:val="0"/>
        <w:spacing w:line="500" w:lineRule="exact"/>
        <w:ind w:left="1322" w:hanging="1321" w:hangingChars="472"/>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法定代表人或授权委托人（签字）：</w:t>
      </w:r>
    </w:p>
    <w:p w14:paraId="362D2A53">
      <w:pPr>
        <w:numPr>
          <w:ilvl w:val="0"/>
          <w:numId w:val="0"/>
        </w:numPr>
        <w:bidi w:val="0"/>
      </w:pPr>
      <w:r>
        <w:rPr>
          <w:rFonts w:hint="eastAsia" w:ascii="仿宋" w:hAnsi="仿宋" w:eastAsia="仿宋" w:cs="仿宋"/>
          <w:color w:val="000000"/>
          <w:sz w:val="28"/>
          <w:szCs w:val="28"/>
        </w:rPr>
        <w:t>日期：</w:t>
      </w:r>
    </w:p>
    <w:p w14:paraId="76DF6327">
      <w:pPr>
        <w:spacing w:after="120"/>
        <w:rPr>
          <w:rFonts w:ascii="仿宋" w:hAnsi="仿宋" w:eastAsia="仿宋" w:cs="仿宋"/>
          <w:b/>
          <w:kern w:val="0"/>
          <w:sz w:val="28"/>
          <w:szCs w:val="28"/>
          <w:highlight w:val="none"/>
        </w:rPr>
        <w:sectPr>
          <w:pgSz w:w="11905" w:h="16838"/>
          <w:pgMar w:top="1361" w:right="1304" w:bottom="1361" w:left="1361" w:header="850" w:footer="850" w:gutter="0"/>
          <w:cols w:space="720" w:num="1"/>
          <w:docGrid w:linePitch="312" w:charSpace="0"/>
        </w:sectPr>
      </w:pPr>
    </w:p>
    <w:bookmarkEnd w:id="28"/>
    <w:p w14:paraId="6B463A9A">
      <w:pPr>
        <w:pStyle w:val="2"/>
        <w:jc w:val="center"/>
        <w:rPr>
          <w:rFonts w:hint="eastAsia" w:ascii="仿宋" w:hAnsi="仿宋" w:eastAsia="仿宋" w:cs="仿宋"/>
          <w:b/>
          <w:sz w:val="36"/>
          <w:szCs w:val="36"/>
          <w:highlight w:val="none"/>
        </w:rPr>
      </w:pPr>
    </w:p>
    <w:p w14:paraId="4D2A4237">
      <w:pPr>
        <w:pStyle w:val="2"/>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第七部分  质询提出和处理</w:t>
      </w:r>
    </w:p>
    <w:p w14:paraId="3072D23D">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一、质询的提出</w:t>
      </w:r>
    </w:p>
    <w:p w14:paraId="2B48352E">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1．质询人必须是直接参加本次采购活动的当事人。</w:t>
      </w:r>
    </w:p>
    <w:p w14:paraId="4889C6C5">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2．领取采购文件的供应商应根据第二部分“投标须知”中“第一款”“第1项”的约定提出询问。</w:t>
      </w:r>
    </w:p>
    <w:p w14:paraId="7F19BF92">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3．提出质询时，必须坚持“谁主张，谁举证”、“实事求是”的原则，不能臆测。属于须由法定部门调查、侦查或先行作出相关认定的事项，质询人应当依法申请具有法定职权的部门查清、认定，并将相关结果提供给采购人。采购人不具有法定调查、认定权限。</w:t>
      </w:r>
    </w:p>
    <w:p w14:paraId="5980E553">
      <w:pPr>
        <w:snapToGrid w:val="0"/>
        <w:spacing w:line="360" w:lineRule="auto"/>
        <w:ind w:firstLine="560" w:firstLineChars="200"/>
        <w:contextualSpacing/>
        <w:rPr>
          <w:rFonts w:ascii="仿宋" w:hAnsi="仿宋" w:eastAsia="仿宋" w:cs="宋体"/>
          <w:color w:val="000000"/>
          <w:kern w:val="0"/>
          <w:sz w:val="28"/>
          <w:szCs w:val="28"/>
          <w:highlight w:val="none"/>
        </w:rPr>
      </w:pPr>
      <w:r>
        <w:rPr>
          <w:rFonts w:hint="eastAsia" w:ascii="仿宋" w:hAnsi="仿宋" w:eastAsia="仿宋"/>
          <w:color w:val="000000"/>
          <w:sz w:val="28"/>
          <w:szCs w:val="28"/>
          <w:highlight w:val="none"/>
        </w:rPr>
        <w:t>4、对本次采购有质询的，实行实名制，不得进行虚假、恶意质询。质询人应在质询有效期内以书面形式</w:t>
      </w:r>
      <w:r>
        <w:rPr>
          <w:rFonts w:hint="eastAsia" w:ascii="仿宋" w:hAnsi="仿宋" w:eastAsia="仿宋" w:cs="宋体"/>
          <w:color w:val="000000"/>
          <w:kern w:val="0"/>
          <w:sz w:val="28"/>
          <w:szCs w:val="28"/>
          <w:highlight w:val="none"/>
          <w:lang w:val="zh-CN"/>
        </w:rPr>
        <w:t>提出《质询函》</w:t>
      </w:r>
      <w:r>
        <w:rPr>
          <w:rFonts w:hint="eastAsia" w:ascii="仿宋" w:hAnsi="仿宋" w:eastAsia="仿宋"/>
          <w:color w:val="000000"/>
          <w:sz w:val="28"/>
          <w:szCs w:val="28"/>
          <w:highlight w:val="none"/>
        </w:rPr>
        <w:t>，《质询函》内容应</w:t>
      </w:r>
      <w:r>
        <w:rPr>
          <w:rFonts w:hint="eastAsia" w:ascii="仿宋" w:hAnsi="仿宋" w:eastAsia="仿宋" w:cs="宋体"/>
          <w:color w:val="000000"/>
          <w:kern w:val="0"/>
          <w:sz w:val="28"/>
          <w:szCs w:val="28"/>
          <w:highlight w:val="none"/>
          <w:lang w:val="zh-CN"/>
        </w:rPr>
        <w:t>包括</w:t>
      </w:r>
      <w:r>
        <w:rPr>
          <w:rFonts w:hint="eastAsia" w:ascii="仿宋" w:hAnsi="仿宋" w:eastAsia="仿宋"/>
          <w:color w:val="000000"/>
          <w:sz w:val="28"/>
          <w:szCs w:val="28"/>
          <w:highlight w:val="none"/>
        </w:rPr>
        <w:t>质询事项、主要内容、事实依据、适应法规条款、佐证材料等。同时，</w:t>
      </w:r>
      <w:r>
        <w:rPr>
          <w:rFonts w:hint="eastAsia" w:ascii="仿宋" w:hAnsi="仿宋" w:eastAsia="仿宋" w:cs="宋体"/>
          <w:color w:val="000000"/>
          <w:kern w:val="0"/>
          <w:sz w:val="28"/>
          <w:szCs w:val="28"/>
          <w:highlight w:val="none"/>
        </w:rPr>
        <w:t>质询人应保证其提出的质询内容及</w:t>
      </w:r>
      <w:r>
        <w:rPr>
          <w:rFonts w:hint="eastAsia" w:ascii="仿宋" w:hAnsi="仿宋" w:eastAsia="仿宋"/>
          <w:color w:val="000000"/>
          <w:sz w:val="28"/>
          <w:szCs w:val="28"/>
          <w:highlight w:val="none"/>
        </w:rPr>
        <w:t>相关佐证材料</w:t>
      </w:r>
      <w:r>
        <w:rPr>
          <w:rFonts w:hint="eastAsia" w:ascii="仿宋" w:hAnsi="仿宋" w:eastAsia="仿宋" w:cs="宋体"/>
          <w:color w:val="000000"/>
          <w:kern w:val="0"/>
          <w:sz w:val="28"/>
          <w:szCs w:val="28"/>
          <w:highlight w:val="none"/>
        </w:rPr>
        <w:t>的真实性及来源的合法性，并承担相应的法律责任。</w:t>
      </w:r>
    </w:p>
    <w:p w14:paraId="347C5C29">
      <w:pPr>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s="宋体"/>
          <w:color w:val="000000"/>
          <w:kern w:val="0"/>
          <w:sz w:val="28"/>
          <w:szCs w:val="28"/>
          <w:highlight w:val="none"/>
          <w:lang w:val="zh-CN"/>
        </w:rPr>
        <w:t>对不按《质询函》格式就提出质询的、不能提供</w:t>
      </w:r>
      <w:r>
        <w:rPr>
          <w:rFonts w:hint="eastAsia" w:ascii="仿宋" w:hAnsi="仿宋" w:eastAsia="仿宋"/>
          <w:color w:val="000000"/>
          <w:sz w:val="28"/>
          <w:szCs w:val="28"/>
          <w:highlight w:val="none"/>
        </w:rPr>
        <w:t>相关佐证材料的、涉及商业秘密的、非书面形式的、非送达的、匿名的《质询函》将不予受理。</w:t>
      </w:r>
    </w:p>
    <w:p w14:paraId="7CEF4EC7">
      <w:pPr>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olor w:val="000000"/>
          <w:sz w:val="28"/>
          <w:szCs w:val="28"/>
          <w:highlight w:val="none"/>
        </w:rPr>
        <w:t>相关佐证材料要具备客观性、关联性、合法性，无法查实的（如宣传册、媒体报道、猜测、推理等）不能作为佐证材料。</w:t>
      </w:r>
    </w:p>
    <w:p w14:paraId="55BC810D">
      <w:pPr>
        <w:snapToGrid w:val="0"/>
        <w:spacing w:line="360" w:lineRule="auto"/>
        <w:ind w:firstLine="562" w:firstLineChars="200"/>
        <w:contextualSpacing/>
        <w:rPr>
          <w:rFonts w:ascii="仿宋" w:hAnsi="仿宋" w:eastAsia="仿宋" w:cs="宋体"/>
          <w:b/>
          <w:color w:val="000000"/>
          <w:kern w:val="0"/>
          <w:sz w:val="28"/>
          <w:szCs w:val="28"/>
          <w:highlight w:val="none"/>
        </w:rPr>
      </w:pPr>
      <w:r>
        <w:rPr>
          <w:rFonts w:hint="eastAsia" w:ascii="仿宋" w:hAnsi="仿宋" w:eastAsia="仿宋"/>
          <w:b/>
          <w:color w:val="000000"/>
          <w:sz w:val="28"/>
          <w:szCs w:val="28"/>
          <w:highlight w:val="none"/>
        </w:rPr>
        <w:t>采购人、采购组织方</w:t>
      </w:r>
      <w:r>
        <w:rPr>
          <w:rFonts w:hint="eastAsia" w:ascii="仿宋" w:hAnsi="仿宋" w:eastAsia="仿宋" w:cs="宋体"/>
          <w:b/>
          <w:color w:val="000000"/>
          <w:kern w:val="0"/>
          <w:sz w:val="28"/>
          <w:szCs w:val="28"/>
          <w:highlight w:val="none"/>
        </w:rPr>
        <w:t>不负责搜集相关佐证材料等工作。</w:t>
      </w:r>
    </w:p>
    <w:p w14:paraId="5CCAF956">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二、质询的受理</w:t>
      </w:r>
    </w:p>
    <w:p w14:paraId="20E6857C">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1、《质询函》须由质询人的法定代表人或参加本次采购授权人</w:t>
      </w:r>
      <w:r>
        <w:rPr>
          <w:rFonts w:hint="eastAsia" w:ascii="仿宋" w:hAnsi="仿宋" w:eastAsia="仿宋" w:cs="宋体"/>
          <w:color w:val="000000"/>
          <w:kern w:val="0"/>
          <w:sz w:val="28"/>
          <w:szCs w:val="28"/>
          <w:highlight w:val="none"/>
          <w:lang w:val="zh-CN"/>
        </w:rPr>
        <w:t>送达</w:t>
      </w:r>
      <w:r>
        <w:rPr>
          <w:rFonts w:hint="eastAsia" w:ascii="仿宋" w:hAnsi="仿宋" w:eastAsia="仿宋"/>
          <w:color w:val="000000"/>
          <w:sz w:val="28"/>
          <w:szCs w:val="28"/>
          <w:highlight w:val="none"/>
        </w:rPr>
        <w:t>采购人或采购组织方（联系方式见采购公告）</w:t>
      </w:r>
      <w:r>
        <w:rPr>
          <w:rFonts w:hint="eastAsia" w:ascii="仿宋" w:hAnsi="仿宋" w:eastAsia="仿宋" w:cs="宋体"/>
          <w:color w:val="000000"/>
          <w:kern w:val="0"/>
          <w:sz w:val="28"/>
          <w:szCs w:val="28"/>
          <w:highlight w:val="none"/>
          <w:lang w:val="zh-CN"/>
        </w:rPr>
        <w:t>。</w:t>
      </w:r>
    </w:p>
    <w:p w14:paraId="744AFF04">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2、对符合要求的《</w:t>
      </w:r>
      <w:r>
        <w:rPr>
          <w:rFonts w:hint="eastAsia" w:ascii="仿宋" w:hAnsi="仿宋" w:eastAsia="仿宋"/>
          <w:color w:val="000000"/>
          <w:sz w:val="28"/>
          <w:szCs w:val="28"/>
          <w:highlight w:val="none"/>
        </w:rPr>
        <w:t>质询函</w:t>
      </w:r>
      <w:r>
        <w:rPr>
          <w:rFonts w:hint="eastAsia" w:ascii="仿宋" w:hAnsi="仿宋" w:eastAsia="仿宋" w:cs="宋体"/>
          <w:color w:val="000000"/>
          <w:kern w:val="0"/>
          <w:sz w:val="28"/>
          <w:szCs w:val="28"/>
          <w:highlight w:val="none"/>
          <w:lang w:val="zh-CN"/>
        </w:rPr>
        <w:t>》，</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签收并受理。在受理过程中，发现需要质询人进一步补充相关佐证材料的，请质询人在规定的时间内提供，质询回复时间相应顺延。质询人不能按时补充相关佐证材料的，自行承担不利后果。</w:t>
      </w:r>
    </w:p>
    <w:p w14:paraId="79C89B0D">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3、对不符合要求的《</w:t>
      </w:r>
      <w:r>
        <w:rPr>
          <w:rFonts w:hint="eastAsia" w:ascii="仿宋" w:hAnsi="仿宋" w:eastAsia="仿宋"/>
          <w:color w:val="000000"/>
          <w:sz w:val="28"/>
          <w:szCs w:val="28"/>
          <w:highlight w:val="none"/>
        </w:rPr>
        <w:t>质询函</w:t>
      </w:r>
      <w:r>
        <w:rPr>
          <w:rFonts w:hint="eastAsia" w:ascii="仿宋" w:hAnsi="仿宋" w:eastAsia="仿宋" w:cs="宋体"/>
          <w:color w:val="000000"/>
          <w:kern w:val="0"/>
          <w:sz w:val="28"/>
          <w:szCs w:val="28"/>
          <w:highlight w:val="none"/>
          <w:lang w:val="zh-CN"/>
        </w:rPr>
        <w:t>》，</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将不予受理。</w:t>
      </w:r>
    </w:p>
    <w:p w14:paraId="2DC456B1">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lang w:val="zh-CN"/>
        </w:rPr>
        <w:t>4、</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rPr>
        <w:t>负责将质询人提出的质询材料提供给相关专家或评委审核，并将审核意见回复质询人。</w:t>
      </w:r>
    </w:p>
    <w:p w14:paraId="083BCC72">
      <w:pPr>
        <w:widowControl/>
        <w:tabs>
          <w:tab w:val="left" w:pos="0"/>
        </w:tabs>
        <w:snapToGrid w:val="0"/>
        <w:spacing w:line="360" w:lineRule="auto"/>
        <w:ind w:firstLine="560" w:firstLineChars="200"/>
        <w:contextualSpacing/>
        <w:rPr>
          <w:rFonts w:ascii="仿宋" w:hAnsi="仿宋" w:eastAsia="仿宋" w:cs="宋体"/>
          <w:color w:val="000000"/>
          <w:kern w:val="0"/>
          <w:sz w:val="28"/>
          <w:szCs w:val="28"/>
          <w:highlight w:val="none"/>
        </w:rPr>
      </w:pPr>
      <w:r>
        <w:rPr>
          <w:rFonts w:hint="eastAsia" w:ascii="仿宋" w:hAnsi="仿宋" w:eastAsia="仿宋"/>
          <w:color w:val="000000"/>
          <w:sz w:val="28"/>
          <w:szCs w:val="28"/>
          <w:highlight w:val="none"/>
        </w:rPr>
        <w:t>必要时，可向被质询人转发《质询函》及相关佐证材料。被质询人应当在要求的时间内，以书面形式作出说明，并提交相关证据。被质询人在规定时间内，无正当理由未提交相关证据的，视同放弃说明权利，</w:t>
      </w:r>
      <w:r>
        <w:rPr>
          <w:rFonts w:hint="eastAsia" w:ascii="仿宋" w:hAnsi="仿宋" w:eastAsia="仿宋" w:cs="宋体"/>
          <w:color w:val="000000"/>
          <w:kern w:val="0"/>
          <w:sz w:val="28"/>
          <w:szCs w:val="28"/>
          <w:highlight w:val="none"/>
          <w:lang w:val="zh-CN"/>
        </w:rPr>
        <w:t>自行承担不利后果</w:t>
      </w:r>
      <w:r>
        <w:rPr>
          <w:rFonts w:hint="eastAsia" w:ascii="仿宋" w:hAnsi="仿宋" w:eastAsia="仿宋"/>
          <w:color w:val="000000"/>
          <w:sz w:val="28"/>
          <w:szCs w:val="28"/>
          <w:highlight w:val="none"/>
        </w:rPr>
        <w:t>。</w:t>
      </w:r>
    </w:p>
    <w:p w14:paraId="5A7CB983">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rPr>
        <w:t>5、</w:t>
      </w:r>
      <w:r>
        <w:rPr>
          <w:rFonts w:hint="eastAsia" w:ascii="仿宋" w:hAnsi="仿宋" w:eastAsia="仿宋" w:cs="宋体"/>
          <w:color w:val="000000"/>
          <w:kern w:val="0"/>
          <w:sz w:val="28"/>
          <w:szCs w:val="28"/>
          <w:highlight w:val="none"/>
          <w:lang w:val="zh-CN"/>
        </w:rPr>
        <w:t>因质询情况复杂，组织论证或审查时间较长的，</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可适当延长质询处理的时间，并以书面形式通知质询人。</w:t>
      </w:r>
    </w:p>
    <w:p w14:paraId="3FF3FD3F">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lang w:val="zh-CN"/>
        </w:rPr>
      </w:pPr>
      <w:r>
        <w:rPr>
          <w:rFonts w:hint="eastAsia" w:ascii="仿宋" w:hAnsi="仿宋" w:eastAsia="仿宋"/>
          <w:b/>
          <w:color w:val="000000"/>
          <w:sz w:val="28"/>
          <w:szCs w:val="28"/>
          <w:highlight w:val="none"/>
          <w:lang w:val="zh-CN"/>
        </w:rPr>
        <w:t>三、质询处理结果</w:t>
      </w:r>
    </w:p>
    <w:p w14:paraId="4BD558B6">
      <w:pPr>
        <w:tabs>
          <w:tab w:val="left" w:pos="8820"/>
        </w:tabs>
        <w:autoSpaceDE w:val="0"/>
        <w:autoSpaceDN w:val="0"/>
        <w:adjustRightInd w:val="0"/>
        <w:snapToGrid w:val="0"/>
        <w:spacing w:line="360" w:lineRule="auto"/>
        <w:ind w:firstLine="562" w:firstLineChars="200"/>
        <w:contextualSpacing/>
        <w:rPr>
          <w:rFonts w:ascii="仿宋" w:hAnsi="仿宋" w:eastAsia="仿宋" w:cs="宋体"/>
          <w:b/>
          <w:color w:val="000000"/>
          <w:kern w:val="0"/>
          <w:sz w:val="28"/>
          <w:szCs w:val="28"/>
          <w:highlight w:val="none"/>
          <w:lang w:val="zh-CN"/>
        </w:rPr>
      </w:pPr>
      <w:r>
        <w:rPr>
          <w:rFonts w:hint="eastAsia" w:ascii="仿宋" w:hAnsi="仿宋" w:eastAsia="仿宋" w:cs="宋体"/>
          <w:b/>
          <w:color w:val="000000"/>
          <w:kern w:val="0"/>
          <w:sz w:val="28"/>
          <w:szCs w:val="28"/>
          <w:highlight w:val="none"/>
          <w:lang w:val="zh-CN"/>
        </w:rPr>
        <w:t>1、质询成立的情形。</w:t>
      </w:r>
    </w:p>
    <w:p w14:paraId="0A7D3894">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olor w:val="000000"/>
          <w:sz w:val="28"/>
          <w:szCs w:val="28"/>
          <w:highlight w:val="none"/>
        </w:rPr>
        <w:t>（1）质询人提供了客观详实的佐证材料，经调查认定事实成立的。</w:t>
      </w:r>
    </w:p>
    <w:p w14:paraId="1DBB4608">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olor w:val="000000"/>
          <w:sz w:val="28"/>
          <w:szCs w:val="28"/>
          <w:highlight w:val="none"/>
        </w:rPr>
        <w:t>（2）被质询人主动承认的。</w:t>
      </w:r>
    </w:p>
    <w:p w14:paraId="472E14C1">
      <w:pPr>
        <w:tabs>
          <w:tab w:val="left" w:pos="8820"/>
        </w:tabs>
        <w:snapToGrid w:val="0"/>
        <w:spacing w:line="360" w:lineRule="auto"/>
        <w:ind w:firstLine="570"/>
        <w:contextualSpacing/>
        <w:rPr>
          <w:rFonts w:ascii="仿宋" w:hAnsi="仿宋" w:eastAsia="仿宋" w:cs="宋体"/>
          <w:b/>
          <w:color w:val="000000"/>
          <w:kern w:val="0"/>
          <w:sz w:val="28"/>
          <w:szCs w:val="28"/>
          <w:highlight w:val="none"/>
          <w:lang w:val="zh-CN"/>
        </w:rPr>
      </w:pPr>
      <w:r>
        <w:rPr>
          <w:rFonts w:hint="eastAsia" w:ascii="仿宋" w:hAnsi="仿宋" w:eastAsia="仿宋" w:cs="宋体"/>
          <w:b/>
          <w:color w:val="000000"/>
          <w:kern w:val="0"/>
          <w:sz w:val="28"/>
          <w:szCs w:val="28"/>
          <w:highlight w:val="none"/>
          <w:lang w:val="zh-CN"/>
        </w:rPr>
        <w:t>2、质询不成立的情形。</w:t>
      </w:r>
    </w:p>
    <w:p w14:paraId="7E14C91A">
      <w:pPr>
        <w:tabs>
          <w:tab w:val="left" w:pos="8820"/>
        </w:tabs>
        <w:snapToGrid w:val="0"/>
        <w:spacing w:line="360" w:lineRule="auto"/>
        <w:ind w:firstLine="560" w:firstLineChars="200"/>
        <w:contextualSpacing/>
        <w:jc w:val="left"/>
        <w:rPr>
          <w:rFonts w:ascii="仿宋" w:hAnsi="仿宋" w:eastAsia="仿宋"/>
          <w:color w:val="000000"/>
          <w:sz w:val="28"/>
          <w:szCs w:val="28"/>
          <w:highlight w:val="none"/>
          <w:lang w:val="zh-CN"/>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zh-CN"/>
        </w:rPr>
        <w:t xml:space="preserve">质询人书面申请撤回的。 </w:t>
      </w:r>
    </w:p>
    <w:p w14:paraId="23EF994A">
      <w:pPr>
        <w:tabs>
          <w:tab w:val="left" w:pos="8820"/>
        </w:tabs>
        <w:snapToGrid w:val="0"/>
        <w:spacing w:line="360" w:lineRule="auto"/>
        <w:ind w:firstLine="560" w:firstLineChars="200"/>
        <w:contextualSpacing/>
        <w:jc w:val="left"/>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2</w:t>
      </w:r>
      <w:r>
        <w:rPr>
          <w:rFonts w:hint="eastAsia" w:ascii="仿宋" w:hAnsi="仿宋" w:eastAsia="仿宋"/>
          <w:color w:val="000000"/>
          <w:sz w:val="28"/>
          <w:szCs w:val="28"/>
          <w:highlight w:val="none"/>
        </w:rPr>
        <w:t>）</w:t>
      </w:r>
      <w:r>
        <w:rPr>
          <w:rFonts w:hint="eastAsia" w:ascii="仿宋" w:hAnsi="仿宋" w:eastAsia="仿宋" w:cs="宋体"/>
          <w:color w:val="000000"/>
          <w:kern w:val="0"/>
          <w:sz w:val="28"/>
          <w:szCs w:val="28"/>
          <w:highlight w:val="none"/>
          <w:lang w:val="zh-CN"/>
        </w:rPr>
        <w:t>质询人提供的</w:t>
      </w:r>
      <w:r>
        <w:rPr>
          <w:rFonts w:hint="eastAsia" w:ascii="仿宋" w:hAnsi="仿宋" w:eastAsia="仿宋"/>
          <w:color w:val="000000"/>
          <w:sz w:val="28"/>
          <w:szCs w:val="28"/>
          <w:highlight w:val="none"/>
        </w:rPr>
        <w:t>佐证材料</w:t>
      </w:r>
      <w:r>
        <w:rPr>
          <w:rFonts w:hint="eastAsia" w:ascii="仿宋" w:hAnsi="仿宋" w:eastAsia="仿宋" w:cs="宋体"/>
          <w:color w:val="000000"/>
          <w:kern w:val="0"/>
          <w:sz w:val="28"/>
          <w:szCs w:val="28"/>
          <w:highlight w:val="none"/>
          <w:lang w:val="zh-CN"/>
        </w:rPr>
        <w:t>不足以证明质询成立的，</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请质询人补充相关</w:t>
      </w:r>
      <w:r>
        <w:rPr>
          <w:rFonts w:hint="eastAsia" w:ascii="仿宋" w:hAnsi="仿宋" w:eastAsia="仿宋"/>
          <w:color w:val="000000"/>
          <w:sz w:val="28"/>
          <w:szCs w:val="28"/>
          <w:highlight w:val="none"/>
        </w:rPr>
        <w:t>佐证材料</w:t>
      </w:r>
      <w:r>
        <w:rPr>
          <w:rFonts w:hint="eastAsia" w:ascii="仿宋" w:hAnsi="仿宋" w:eastAsia="仿宋" w:cs="宋体"/>
          <w:color w:val="000000"/>
          <w:kern w:val="0"/>
          <w:sz w:val="28"/>
          <w:szCs w:val="28"/>
          <w:highlight w:val="none"/>
          <w:lang w:val="zh-CN"/>
        </w:rPr>
        <w:t>，</w:t>
      </w:r>
      <w:r>
        <w:rPr>
          <w:rFonts w:hint="eastAsia" w:ascii="仿宋" w:hAnsi="仿宋" w:eastAsia="仿宋"/>
          <w:color w:val="000000"/>
          <w:sz w:val="28"/>
          <w:szCs w:val="28"/>
          <w:highlight w:val="none"/>
        </w:rPr>
        <w:t>质询人在规定的时间内拒不配合的。</w:t>
      </w:r>
      <w:r>
        <w:rPr>
          <w:rFonts w:hint="eastAsia" w:ascii="仿宋" w:hAnsi="仿宋" w:eastAsia="仿宋" w:cs="宋体"/>
          <w:color w:val="000000"/>
          <w:kern w:val="0"/>
          <w:sz w:val="28"/>
          <w:szCs w:val="28"/>
          <w:highlight w:val="none"/>
          <w:lang w:val="zh-CN"/>
        </w:rPr>
        <w:t xml:space="preserve"> </w:t>
      </w:r>
    </w:p>
    <w:p w14:paraId="46ED21E4">
      <w:pPr>
        <w:tabs>
          <w:tab w:val="left" w:pos="8820"/>
        </w:tabs>
        <w:snapToGrid w:val="0"/>
        <w:spacing w:line="360" w:lineRule="auto"/>
        <w:ind w:firstLine="537" w:firstLineChars="192"/>
        <w:contextualSpacing/>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w:t>
      </w:r>
      <w:r>
        <w:rPr>
          <w:rFonts w:hint="eastAsia" w:ascii="仿宋" w:hAnsi="仿宋" w:eastAsia="仿宋" w:cs="宋体"/>
          <w:color w:val="000000"/>
          <w:kern w:val="0"/>
          <w:sz w:val="28"/>
          <w:szCs w:val="28"/>
          <w:highlight w:val="none"/>
          <w:lang w:val="zh-CN"/>
        </w:rPr>
        <w:t>对明显有违事实的、经相关专家或评委认定无依据的、经其他采购活动当事人举证无依据的。</w:t>
      </w:r>
    </w:p>
    <w:p w14:paraId="12F32631">
      <w:pPr>
        <w:tabs>
          <w:tab w:val="left" w:pos="8820"/>
        </w:tabs>
        <w:snapToGrid w:val="0"/>
        <w:spacing w:line="360" w:lineRule="auto"/>
        <w:ind w:firstLine="537" w:firstLineChars="192"/>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w:t>
      </w:r>
      <w:r>
        <w:rPr>
          <w:rFonts w:ascii="仿宋" w:hAnsi="仿宋" w:eastAsia="仿宋" w:cs="宋体"/>
          <w:color w:val="000000"/>
          <w:kern w:val="0"/>
          <w:sz w:val="28"/>
          <w:szCs w:val="28"/>
          <w:highlight w:val="none"/>
        </w:rPr>
        <w:t>4</w:t>
      </w:r>
      <w:r>
        <w:rPr>
          <w:rFonts w:hint="eastAsia" w:ascii="仿宋" w:hAnsi="仿宋" w:eastAsia="仿宋" w:cs="宋体"/>
          <w:color w:val="000000"/>
          <w:kern w:val="0"/>
          <w:sz w:val="28"/>
          <w:szCs w:val="28"/>
          <w:highlight w:val="none"/>
          <w:lang w:val="zh-CN"/>
        </w:rPr>
        <w:t>）经查实质询人使用虚假佐证材料的。</w:t>
      </w:r>
    </w:p>
    <w:p w14:paraId="01F09F31">
      <w:pPr>
        <w:tabs>
          <w:tab w:val="left" w:pos="8820"/>
        </w:tabs>
        <w:snapToGrid w:val="0"/>
        <w:spacing w:line="360" w:lineRule="auto"/>
        <w:ind w:firstLine="540" w:firstLineChars="192"/>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3、处理结果的披露</w:t>
      </w:r>
    </w:p>
    <w:p w14:paraId="69796318">
      <w:pPr>
        <w:tabs>
          <w:tab w:val="left" w:pos="8820"/>
        </w:tabs>
        <w:autoSpaceDE w:val="0"/>
        <w:autoSpaceDN w:val="0"/>
        <w:adjustRightInd w:val="0"/>
        <w:snapToGrid w:val="0"/>
        <w:spacing w:line="360" w:lineRule="auto"/>
        <w:ind w:firstLine="560" w:firstLineChars="200"/>
        <w:contextualSpacing/>
        <w:rPr>
          <w:color w:val="000000"/>
          <w:sz w:val="28"/>
          <w:szCs w:val="28"/>
          <w:highlight w:val="none"/>
        </w:rPr>
      </w:pPr>
      <w:r>
        <w:rPr>
          <w:rFonts w:hint="eastAsia" w:ascii="仿宋" w:hAnsi="仿宋" w:eastAsia="仿宋"/>
          <w:color w:val="000000"/>
          <w:sz w:val="28"/>
          <w:szCs w:val="28"/>
          <w:highlight w:val="none"/>
        </w:rPr>
        <w:t>（1）采购人或采购组织方参照</w:t>
      </w:r>
      <w:r>
        <w:rPr>
          <w:rFonts w:hint="eastAsia" w:ascii="仿宋" w:hAnsi="仿宋" w:eastAsia="仿宋" w:cs="宋体"/>
          <w:color w:val="000000"/>
          <w:kern w:val="0"/>
          <w:sz w:val="28"/>
          <w:szCs w:val="28"/>
          <w:highlight w:val="none"/>
        </w:rPr>
        <w:t>有关规定进行</w:t>
      </w:r>
      <w:r>
        <w:rPr>
          <w:rFonts w:hint="eastAsia" w:ascii="仿宋" w:hAnsi="仿宋" w:eastAsia="仿宋" w:cs="宋体"/>
          <w:color w:val="000000"/>
          <w:kern w:val="0"/>
          <w:sz w:val="28"/>
          <w:szCs w:val="28"/>
          <w:highlight w:val="none"/>
          <w:lang w:val="zh-CN"/>
        </w:rPr>
        <w:t>处理，并书面通知相关当事人。</w:t>
      </w:r>
    </w:p>
    <w:p w14:paraId="17768072">
      <w:pPr>
        <w:tabs>
          <w:tab w:val="left" w:pos="8820"/>
        </w:tabs>
        <w:snapToGrid w:val="0"/>
        <w:spacing w:line="360" w:lineRule="auto"/>
        <w:ind w:firstLine="537" w:firstLineChars="192"/>
        <w:contextualSpacing/>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（2）采购人或采购组织方将</w:t>
      </w:r>
      <w:r>
        <w:rPr>
          <w:rFonts w:hint="eastAsia" w:ascii="仿宋" w:hAnsi="仿宋" w:eastAsia="仿宋" w:cs="宋体"/>
          <w:color w:val="000000"/>
          <w:kern w:val="0"/>
          <w:sz w:val="28"/>
          <w:szCs w:val="28"/>
          <w:highlight w:val="none"/>
          <w:lang w:val="zh-CN"/>
        </w:rPr>
        <w:t>视</w:t>
      </w:r>
      <w:r>
        <w:rPr>
          <w:rFonts w:hint="eastAsia" w:ascii="仿宋" w:hAnsi="仿宋" w:eastAsia="仿宋" w:cs="宋体"/>
          <w:color w:val="000000"/>
          <w:kern w:val="0"/>
          <w:sz w:val="28"/>
          <w:szCs w:val="28"/>
          <w:highlight w:val="none"/>
        </w:rPr>
        <w:t>情况将质询处理结果报上级主管部门</w:t>
      </w:r>
      <w:r>
        <w:rPr>
          <w:rFonts w:hint="eastAsia" w:ascii="仿宋" w:hAnsi="仿宋" w:eastAsia="仿宋" w:cs="宋体"/>
          <w:color w:val="000000"/>
          <w:kern w:val="0"/>
          <w:sz w:val="28"/>
          <w:szCs w:val="28"/>
          <w:highlight w:val="none"/>
          <w:lang w:val="zh-CN"/>
        </w:rPr>
        <w:t>。</w:t>
      </w:r>
    </w:p>
    <w:p w14:paraId="641B638A">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四、</w:t>
      </w:r>
      <w:r>
        <w:rPr>
          <w:rFonts w:hint="eastAsia" w:ascii="仿宋" w:hAnsi="仿宋" w:eastAsia="仿宋"/>
          <w:b/>
          <w:color w:val="000000"/>
          <w:sz w:val="28"/>
          <w:szCs w:val="28"/>
          <w:highlight w:val="none"/>
          <w:lang w:val="zh-CN"/>
        </w:rPr>
        <w:t>质询函范本</w:t>
      </w:r>
    </w:p>
    <w:p w14:paraId="3F2DFCE0">
      <w:pPr>
        <w:jc w:val="center"/>
        <w:rPr>
          <w:rFonts w:ascii="黑体" w:hAnsi="黑体" w:eastAsia="黑体" w:cs="仿宋"/>
          <w:bCs/>
          <w:sz w:val="28"/>
          <w:szCs w:val="28"/>
          <w:highlight w:val="none"/>
        </w:rPr>
      </w:pPr>
    </w:p>
    <w:p w14:paraId="370EDC5A">
      <w:pPr>
        <w:jc w:val="center"/>
        <w:rPr>
          <w:rFonts w:ascii="黑体" w:hAnsi="黑体" w:eastAsia="黑体" w:cs="仿宋"/>
          <w:bCs/>
          <w:sz w:val="28"/>
          <w:szCs w:val="28"/>
          <w:highlight w:val="none"/>
        </w:rPr>
      </w:pPr>
      <w:r>
        <w:rPr>
          <w:rFonts w:hint="eastAsia" w:ascii="黑体" w:hAnsi="黑体" w:eastAsia="黑体" w:cs="仿宋"/>
          <w:bCs/>
          <w:sz w:val="28"/>
          <w:szCs w:val="28"/>
          <w:highlight w:val="none"/>
        </w:rPr>
        <w:t>质询函范本</w:t>
      </w:r>
    </w:p>
    <w:p w14:paraId="3A47DFCE">
      <w:pPr>
        <w:adjustRightInd w:val="0"/>
        <w:snapToGrid w:val="0"/>
        <w:spacing w:before="240" w:beforeLines="100" w:line="360" w:lineRule="auto"/>
        <w:rPr>
          <w:rFonts w:ascii="黑体" w:hAnsi="黑体" w:eastAsia="黑体" w:cs="仿宋"/>
          <w:bCs/>
          <w:sz w:val="24"/>
          <w:highlight w:val="none"/>
        </w:rPr>
      </w:pPr>
      <w:r>
        <w:rPr>
          <w:rFonts w:hint="eastAsia" w:ascii="黑体" w:hAnsi="黑体" w:eastAsia="黑体" w:cs="仿宋"/>
          <w:bCs/>
          <w:sz w:val="24"/>
          <w:highlight w:val="none"/>
        </w:rPr>
        <w:t>一、质询供应商基本信息</w:t>
      </w:r>
    </w:p>
    <w:p w14:paraId="52DA4CA5">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质询供应商：</w:t>
      </w:r>
    </w:p>
    <w:p w14:paraId="1E2DFD9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34DE0379">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622832BA">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3887323D">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63258841">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35987AAF">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二、质询项目基本情况</w:t>
      </w:r>
    </w:p>
    <w:p w14:paraId="2B06F41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质询项目的名称：</w:t>
      </w:r>
    </w:p>
    <w:p w14:paraId="7BBFBF33">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质询项目的编号：包号：</w:t>
      </w:r>
    </w:p>
    <w:p w14:paraId="37A509AC">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14:paraId="69FC1C28">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14:paraId="04FD8F49">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三、质询事项具体内容</w:t>
      </w:r>
    </w:p>
    <w:p w14:paraId="5A30BB21">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质询事项1：</w:t>
      </w:r>
    </w:p>
    <w:p w14:paraId="3C948703">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1E1CAFE7">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5D08B4C7">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质询事项2</w:t>
      </w:r>
    </w:p>
    <w:p w14:paraId="1508B8A1">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24C27884">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四、与质询事项相关的质询请求</w:t>
      </w:r>
    </w:p>
    <w:p w14:paraId="17E13ED8">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14:paraId="4BA9FECC">
      <w:pPr>
        <w:rPr>
          <w:rFonts w:ascii="仿宋_GB2312" w:hAnsi="Calibri" w:eastAsia="仿宋_GB2312"/>
          <w:sz w:val="24"/>
          <w:highlight w:val="none"/>
        </w:rPr>
      </w:pPr>
      <w:r>
        <w:rPr>
          <w:rFonts w:hint="eastAsia" w:ascii="仿宋_GB2312" w:hAnsi="Calibri" w:eastAsia="仿宋_GB2312"/>
          <w:sz w:val="24"/>
          <w:highlight w:val="none"/>
        </w:rPr>
        <w:t xml:space="preserve">签字(签章)：                   公章：                      </w:t>
      </w:r>
    </w:p>
    <w:p w14:paraId="5BD3DC6F">
      <w:pPr>
        <w:rPr>
          <w:rFonts w:ascii="仿宋_GB2312" w:hAnsi="Calibri" w:eastAsia="仿宋_GB2312"/>
          <w:sz w:val="24"/>
          <w:highlight w:val="none"/>
        </w:rPr>
      </w:pPr>
      <w:r>
        <w:rPr>
          <w:rFonts w:hint="eastAsia" w:ascii="仿宋_GB2312" w:hAnsi="Calibri" w:eastAsia="仿宋_GB2312"/>
          <w:sz w:val="24"/>
          <w:highlight w:val="none"/>
        </w:rPr>
        <w:t xml:space="preserve">日期：    </w:t>
      </w:r>
    </w:p>
    <w:p w14:paraId="33E17835">
      <w:pPr>
        <w:rPr>
          <w:rFonts w:ascii="黑体" w:hAnsi="黑体" w:eastAsia="黑体"/>
          <w:b/>
          <w:sz w:val="24"/>
          <w:highlight w:val="none"/>
        </w:rPr>
      </w:pPr>
      <w:r>
        <w:rPr>
          <w:rFonts w:hint="eastAsia" w:ascii="黑体" w:hAnsi="黑体" w:eastAsia="黑体"/>
          <w:b/>
          <w:sz w:val="24"/>
          <w:highlight w:val="none"/>
        </w:rPr>
        <w:t>质询函制作说明：</w:t>
      </w:r>
    </w:p>
    <w:p w14:paraId="4D09775A">
      <w:pPr>
        <w:widowControl/>
        <w:jc w:val="left"/>
        <w:rPr>
          <w:rFonts w:ascii="仿宋_GB2312" w:hAnsi="Calibri" w:eastAsia="仿宋_GB2312"/>
          <w:sz w:val="24"/>
          <w:highlight w:val="none"/>
        </w:rPr>
      </w:pPr>
      <w:r>
        <w:rPr>
          <w:rFonts w:hint="eastAsia" w:ascii="仿宋_GB2312" w:hAnsi="Calibri" w:eastAsia="仿宋_GB2312"/>
          <w:sz w:val="24"/>
          <w:highlight w:val="none"/>
        </w:rPr>
        <w:t>1.供应商提出质询时，应提交质询函和必要的证明材料。</w:t>
      </w:r>
    </w:p>
    <w:p w14:paraId="43C317C4">
      <w:pPr>
        <w:widowControl/>
        <w:jc w:val="left"/>
        <w:rPr>
          <w:rFonts w:ascii="仿宋_GB2312" w:hAnsi="Calibri" w:eastAsia="仿宋_GB2312"/>
          <w:sz w:val="24"/>
          <w:highlight w:val="none"/>
        </w:rPr>
      </w:pPr>
      <w:r>
        <w:rPr>
          <w:rFonts w:hint="eastAsia" w:ascii="仿宋_GB2312" w:hAnsi="Calibri" w:eastAsia="仿宋_GB2312"/>
          <w:sz w:val="24"/>
          <w:highlight w:val="none"/>
        </w:rPr>
        <w:t>2.质询供应商若对项目的某一分包进行质询，质询函中应列明具体分包号。</w:t>
      </w:r>
    </w:p>
    <w:p w14:paraId="2B2C6476">
      <w:pPr>
        <w:widowControl/>
        <w:jc w:val="left"/>
        <w:rPr>
          <w:rFonts w:ascii="仿宋_GB2312" w:hAnsi="Calibri" w:eastAsia="仿宋_GB2312"/>
          <w:sz w:val="24"/>
          <w:highlight w:val="none"/>
        </w:rPr>
      </w:pPr>
      <w:r>
        <w:rPr>
          <w:rFonts w:hint="eastAsia" w:ascii="仿宋_GB2312" w:hAnsi="Calibri" w:eastAsia="仿宋_GB2312"/>
          <w:sz w:val="24"/>
          <w:highlight w:val="none"/>
        </w:rPr>
        <w:t>3.质询函的质询事项应具体、明确，并有必要的事实依据和法律依据。</w:t>
      </w:r>
    </w:p>
    <w:p w14:paraId="43B933DD">
      <w:pPr>
        <w:widowControl/>
        <w:jc w:val="left"/>
        <w:rPr>
          <w:rFonts w:ascii="仿宋_GB2312" w:hAnsi="Calibri" w:eastAsia="仿宋_GB2312"/>
          <w:sz w:val="24"/>
          <w:highlight w:val="none"/>
        </w:rPr>
      </w:pPr>
      <w:r>
        <w:rPr>
          <w:rFonts w:hint="eastAsia" w:ascii="仿宋_GB2312" w:hAnsi="Calibri" w:eastAsia="仿宋_GB2312"/>
          <w:sz w:val="24"/>
          <w:highlight w:val="none"/>
        </w:rPr>
        <w:t>4.质询函的质询请求应与质询事项相关。</w:t>
      </w:r>
    </w:p>
    <w:p w14:paraId="02E39378">
      <w:pPr>
        <w:widowControl/>
        <w:jc w:val="left"/>
        <w:rPr>
          <w:rFonts w:ascii="宋体" w:hAnsi="宋体" w:cs="宋体"/>
          <w:b/>
          <w:kern w:val="0"/>
          <w:sz w:val="28"/>
          <w:szCs w:val="28"/>
          <w:highlight w:val="none"/>
          <w:lang w:val="zh-CN"/>
        </w:rPr>
      </w:pPr>
      <w:r>
        <w:rPr>
          <w:rFonts w:hint="eastAsia" w:ascii="仿宋_GB2312" w:hAnsi="Calibri" w:eastAsia="仿宋_GB2312"/>
          <w:sz w:val="24"/>
          <w:highlight w:val="none"/>
        </w:rPr>
        <w:t>5.质询函应由法定代表人或参加本次采购授权人签字或者盖章，并加盖公章。</w:t>
      </w:r>
    </w:p>
    <w:p w14:paraId="52D76B11">
      <w:pPr>
        <w:rPr>
          <w:highlight w:val="none"/>
        </w:rPr>
      </w:pPr>
    </w:p>
    <w:p w14:paraId="4D1307A6">
      <w:pPr>
        <w:rPr>
          <w:highlight w:val="none"/>
        </w:rPr>
      </w:pPr>
    </w:p>
    <w:p w14:paraId="75B35A8E"/>
    <w:p w14:paraId="217DBB60"/>
    <w:sectPr>
      <w:headerReference r:id="rId5"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A430">
    <w:pPr>
      <w:pStyle w:val="4"/>
      <w:ind w:firstLine="210"/>
      <w:jc w:val="center"/>
    </w:pPr>
    <w:r>
      <w:fldChar w:fldCharType="begin"/>
    </w:r>
    <w:r>
      <w:instrText xml:space="preserve">PAGE   \* MERGEFORMAT</w:instrText>
    </w:r>
    <w:r>
      <w:fldChar w:fldCharType="separate"/>
    </w:r>
    <w:r>
      <w:rPr>
        <w:lang w:val="zh-CN"/>
      </w:rPr>
      <w:t>20</w:t>
    </w:r>
    <w:r>
      <w:fldChar w:fldCharType="end"/>
    </w:r>
  </w:p>
  <w:p w14:paraId="68B5EB5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F1DE">
    <w:pPr>
      <w:pStyle w:val="5"/>
      <w:pBdr>
        <w:bottom w:val="none" w:color="auto" w:sz="0" w:space="1"/>
      </w:pBdr>
      <w:tabs>
        <w:tab w:val="clear" w:pos="4153"/>
      </w:tabs>
      <w:ind w:firstLine="504"/>
      <w:jc w:val="both"/>
      <w:rPr>
        <w:rFonts w:ascii="华文新魏" w:eastAsia="华文新魏"/>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4A6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72174"/>
    <w:multiLevelType w:val="singleLevel"/>
    <w:tmpl w:val="88672174"/>
    <w:lvl w:ilvl="0" w:tentative="0">
      <w:start w:val="1"/>
      <w:numFmt w:val="chineseCounting"/>
      <w:suff w:val="nothing"/>
      <w:lvlText w:val="（%1）"/>
      <w:lvlJc w:val="left"/>
      <w:rPr>
        <w:rFonts w:hint="eastAsia"/>
      </w:rPr>
    </w:lvl>
  </w:abstractNum>
  <w:abstractNum w:abstractNumId="1">
    <w:nsid w:val="8F612B00"/>
    <w:multiLevelType w:val="singleLevel"/>
    <w:tmpl w:val="8F612B00"/>
    <w:lvl w:ilvl="0" w:tentative="0">
      <w:start w:val="1"/>
      <w:numFmt w:val="decimal"/>
      <w:suff w:val="nothing"/>
      <w:lvlText w:val="%1、"/>
      <w:lvlJc w:val="left"/>
    </w:lvl>
  </w:abstractNum>
  <w:abstractNum w:abstractNumId="2">
    <w:nsid w:val="EB6F039A"/>
    <w:multiLevelType w:val="singleLevel"/>
    <w:tmpl w:val="EB6F039A"/>
    <w:lvl w:ilvl="0" w:tentative="0">
      <w:start w:val="7"/>
      <w:numFmt w:val="chineseCounting"/>
      <w:suff w:val="nothing"/>
      <w:lvlText w:val="（%1）"/>
      <w:lvlJc w:val="left"/>
      <w:rPr>
        <w:rFonts w:hint="eastAsia"/>
      </w:rPr>
    </w:lvl>
  </w:abstractNum>
  <w:abstractNum w:abstractNumId="3">
    <w:nsid w:val="FAB2BB70"/>
    <w:multiLevelType w:val="singleLevel"/>
    <w:tmpl w:val="FAB2BB7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A68C4"/>
    <w:rsid w:val="152B272F"/>
    <w:rsid w:val="522E0F28"/>
    <w:rsid w:val="675A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lock Text"/>
    <w:basedOn w:val="1"/>
    <w:next w:val="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jc w:val="center"/>
      <w:outlineLvl w:val="0"/>
    </w:pPr>
    <w:rPr>
      <w:rFonts w:ascii="Calibri Light" w:hAnsi="Calibri Light" w:eastAsia="方正小标宋简体"/>
      <w:bCs/>
      <w:sz w:val="36"/>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3163</Words>
  <Characters>3339</Characters>
  <Lines>0</Lines>
  <Paragraphs>0</Paragraphs>
  <TotalTime>0</TotalTime>
  <ScaleCrop>false</ScaleCrop>
  <LinksUpToDate>false</LinksUpToDate>
  <CharactersWithSpaces>3468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2025-08-08T02:33:00Z</dcterms:created>
  <dc:creator>张文馨</dc:creator>
  <cp:lastModifiedBy>姜  君</cp:lastModifiedBy>
  <dcterms:modified xsi:type="dcterms:W3CDTF">2025-08-12T06:54:35Z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16E46B996C3D4523855B4FFE8232A9E0_11</vt:lpwstr>
  </property>
  <property fmtid="{D5CDD505-2E9C-101B-9397-08002B2CF9AE}" pid="4" name="KSOTemplateDocerSaveRecord">
    <vt:lpwstr>eyJoZGlkIjoiMGRkNTk5ZjA5YWZiMjQ4N2FjZjQ2MmExYTFlODRiZjYiLCJ1c2VySWQiOiIxNjU1OTQ5OTkwIn0=</vt:lpwstr>
  </property>
</Properties>
</file>