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b/>
          <w:sz w:val="36"/>
          <w:szCs w:val="36"/>
        </w:rPr>
      </w:pPr>
    </w:p>
    <w:p>
      <w:pPr>
        <w:snapToGrid w:val="0"/>
        <w:spacing w:line="300" w:lineRule="auto"/>
        <w:jc w:val="center"/>
        <w:rPr>
          <w:rFonts w:hint="eastAsia" w:eastAsia="宋体"/>
          <w:b/>
          <w:color w:val="000000"/>
          <w:w w:val="80"/>
          <w:sz w:val="36"/>
          <w:szCs w:val="36"/>
          <w:lang w:eastAsia="zh-CN"/>
        </w:rPr>
      </w:pPr>
      <w:r>
        <w:rPr>
          <w:rFonts w:hint="eastAsia"/>
          <w:b/>
          <w:sz w:val="36"/>
          <w:szCs w:val="36"/>
        </w:rPr>
        <w:t>南通市旅游中等专业学校食堂服务商资格准入项目</w:t>
      </w:r>
      <w:r>
        <w:rPr>
          <w:rFonts w:hint="eastAsia"/>
          <w:b/>
          <w:sz w:val="36"/>
          <w:szCs w:val="36"/>
          <w:lang w:eastAsia="zh-CN"/>
        </w:rPr>
        <w:t>（</w:t>
      </w:r>
      <w:r>
        <w:rPr>
          <w:rFonts w:hint="eastAsia"/>
          <w:b/>
          <w:sz w:val="36"/>
          <w:szCs w:val="36"/>
          <w:lang w:val="en-US" w:eastAsia="zh-CN"/>
        </w:rPr>
        <w:t>二次</w:t>
      </w:r>
      <w:r>
        <w:rPr>
          <w:rFonts w:hint="eastAsia"/>
          <w:b/>
          <w:sz w:val="36"/>
          <w:szCs w:val="36"/>
          <w:lang w:eastAsia="zh-CN"/>
        </w:rPr>
        <w:t>）</w:t>
      </w:r>
    </w:p>
    <w:p>
      <w:pPr>
        <w:snapToGrid w:val="0"/>
        <w:spacing w:line="300" w:lineRule="auto"/>
        <w:jc w:val="center"/>
        <w:rPr>
          <w:b/>
          <w:color w:val="000000"/>
          <w:w w:val="80"/>
          <w:sz w:val="96"/>
          <w:szCs w:val="96"/>
        </w:rPr>
      </w:pPr>
    </w:p>
    <w:p>
      <w:pPr>
        <w:snapToGrid w:val="0"/>
        <w:spacing w:line="300" w:lineRule="auto"/>
        <w:jc w:val="center"/>
        <w:rPr>
          <w:b/>
          <w:color w:val="000000"/>
          <w:w w:val="80"/>
          <w:sz w:val="96"/>
          <w:szCs w:val="96"/>
        </w:rPr>
      </w:pPr>
    </w:p>
    <w:p>
      <w:pPr>
        <w:snapToGrid w:val="0"/>
        <w:spacing w:line="300" w:lineRule="auto"/>
        <w:jc w:val="center"/>
        <w:rPr>
          <w:b/>
          <w:color w:val="000000"/>
          <w:w w:val="80"/>
          <w:sz w:val="96"/>
          <w:szCs w:val="96"/>
        </w:rPr>
      </w:pPr>
      <w:r>
        <w:rPr>
          <w:rFonts w:hint="eastAsia"/>
          <w:b/>
          <w:color w:val="000000"/>
          <w:w w:val="80"/>
          <w:sz w:val="96"/>
          <w:szCs w:val="96"/>
        </w:rPr>
        <w:t>竞争性磋商文件</w:t>
      </w:r>
    </w:p>
    <w:p>
      <w:pPr>
        <w:snapToGrid w:val="0"/>
        <w:spacing w:line="300" w:lineRule="auto"/>
        <w:jc w:val="center"/>
        <w:rPr>
          <w:b/>
          <w:color w:val="000000"/>
          <w:w w:val="80"/>
          <w:sz w:val="24"/>
          <w:szCs w:val="24"/>
        </w:rPr>
      </w:pPr>
    </w:p>
    <w:p>
      <w:pPr>
        <w:snapToGrid w:val="0"/>
        <w:spacing w:line="360" w:lineRule="auto"/>
        <w:rPr>
          <w:b/>
          <w:color w:val="000000"/>
          <w:sz w:val="36"/>
          <w:szCs w:val="36"/>
        </w:rPr>
      </w:pPr>
    </w:p>
    <w:p>
      <w:pPr>
        <w:snapToGrid w:val="0"/>
        <w:spacing w:line="360" w:lineRule="auto"/>
        <w:rPr>
          <w:b/>
          <w:color w:val="000000"/>
          <w:sz w:val="36"/>
          <w:szCs w:val="36"/>
        </w:rPr>
      </w:pPr>
    </w:p>
    <w:p>
      <w:pPr>
        <w:snapToGrid w:val="0"/>
        <w:spacing w:line="360" w:lineRule="auto"/>
        <w:rPr>
          <w:b/>
          <w:color w:val="000000"/>
          <w:sz w:val="36"/>
          <w:szCs w:val="36"/>
        </w:rPr>
      </w:pPr>
    </w:p>
    <w:p>
      <w:pPr>
        <w:snapToGrid w:val="0"/>
        <w:spacing w:line="360" w:lineRule="auto"/>
        <w:rPr>
          <w:b/>
          <w:color w:val="000000"/>
          <w:sz w:val="36"/>
          <w:szCs w:val="36"/>
        </w:rPr>
      </w:pPr>
    </w:p>
    <w:p>
      <w:pPr>
        <w:snapToGrid w:val="0"/>
        <w:spacing w:line="360" w:lineRule="auto"/>
        <w:rPr>
          <w:b/>
          <w:color w:val="000000"/>
          <w:sz w:val="36"/>
          <w:szCs w:val="36"/>
        </w:rPr>
      </w:pPr>
    </w:p>
    <w:p>
      <w:pPr>
        <w:snapToGrid w:val="0"/>
        <w:spacing w:line="360" w:lineRule="auto"/>
        <w:rPr>
          <w:b/>
          <w:color w:val="000000"/>
          <w:sz w:val="36"/>
          <w:szCs w:val="36"/>
        </w:rPr>
      </w:pPr>
    </w:p>
    <w:p>
      <w:pPr>
        <w:snapToGrid w:val="0"/>
        <w:spacing w:line="360" w:lineRule="auto"/>
        <w:jc w:val="center"/>
        <w:rPr>
          <w:b/>
          <w:sz w:val="30"/>
          <w:szCs w:val="30"/>
        </w:rPr>
      </w:pPr>
      <w:r>
        <w:rPr>
          <w:rFonts w:hint="eastAsia"/>
          <w:b/>
          <w:sz w:val="30"/>
          <w:szCs w:val="30"/>
        </w:rPr>
        <w:t>采购单位：南通市旅游中等专业学校</w:t>
      </w:r>
    </w:p>
    <w:p>
      <w:pPr>
        <w:pStyle w:val="23"/>
        <w:spacing w:line="360" w:lineRule="auto"/>
        <w:ind w:left="0" w:leftChars="0" w:firstLine="0" w:firstLineChars="0"/>
        <w:jc w:val="center"/>
      </w:pPr>
      <w:r>
        <w:rPr>
          <w:rFonts w:hint="eastAsia"/>
          <w:b/>
          <w:sz w:val="30"/>
          <w:szCs w:val="30"/>
          <w:lang w:val="en-US" w:eastAsia="zh-CN"/>
        </w:rPr>
        <w:t xml:space="preserve">  </w:t>
      </w:r>
      <w:r>
        <w:rPr>
          <w:rFonts w:hint="eastAsia"/>
          <w:b/>
          <w:sz w:val="30"/>
          <w:szCs w:val="30"/>
        </w:rPr>
        <w:t>代理机构：江苏大成工程咨询有限公司</w:t>
      </w:r>
    </w:p>
    <w:p>
      <w:pPr>
        <w:snapToGrid w:val="0"/>
        <w:spacing w:line="360" w:lineRule="auto"/>
        <w:jc w:val="center"/>
        <w:rPr>
          <w:b/>
          <w:sz w:val="30"/>
          <w:szCs w:val="30"/>
        </w:rPr>
      </w:pPr>
      <w:r>
        <w:rPr>
          <w:rFonts w:hint="eastAsia"/>
          <w:b/>
          <w:sz w:val="30"/>
          <w:szCs w:val="30"/>
        </w:rPr>
        <w:t>二〇二〇年</w:t>
      </w:r>
      <w:r>
        <w:rPr>
          <w:rFonts w:hint="eastAsia"/>
          <w:b/>
          <w:sz w:val="30"/>
          <w:szCs w:val="30"/>
          <w:lang w:val="en-US" w:eastAsia="zh-CN"/>
        </w:rPr>
        <w:t>一</w:t>
      </w:r>
      <w:r>
        <w:rPr>
          <w:rFonts w:hint="eastAsia"/>
          <w:b/>
          <w:sz w:val="30"/>
          <w:szCs w:val="30"/>
        </w:rPr>
        <w:t>月</w:t>
      </w:r>
      <w:r>
        <w:rPr>
          <w:rFonts w:hint="eastAsia"/>
          <w:b/>
          <w:sz w:val="30"/>
          <w:szCs w:val="30"/>
          <w:lang w:val="en-US" w:eastAsia="zh-CN"/>
        </w:rPr>
        <w:t>十</w:t>
      </w:r>
      <w:r>
        <w:rPr>
          <w:rFonts w:hint="eastAsia"/>
          <w:b/>
          <w:sz w:val="30"/>
          <w:szCs w:val="30"/>
        </w:rPr>
        <w:t>日</w:t>
      </w:r>
    </w:p>
    <w:p>
      <w:pPr>
        <w:jc w:val="left"/>
      </w:pPr>
    </w:p>
    <w:p>
      <w:pPr>
        <w:jc w:val="left"/>
      </w:pPr>
    </w:p>
    <w:p>
      <w:pPr>
        <w:jc w:val="left"/>
      </w:pPr>
    </w:p>
    <w:p>
      <w:pPr>
        <w:jc w:val="left"/>
      </w:pPr>
    </w:p>
    <w:p>
      <w:pPr>
        <w:pStyle w:val="3"/>
        <w:rPr>
          <w:rFonts w:hint="eastAsia"/>
        </w:rPr>
      </w:pPr>
      <w:bookmarkStart w:id="0" w:name="_Toc6917"/>
      <w:bookmarkStart w:id="1" w:name="_Toc488504846"/>
      <w:bookmarkStart w:id="2" w:name="_Toc488498327"/>
      <w:bookmarkStart w:id="3" w:name="_Toc488498880"/>
    </w:p>
    <w:p>
      <w:pPr>
        <w:pStyle w:val="3"/>
        <w:rPr>
          <w:rFonts w:hint="eastAsia"/>
        </w:rPr>
      </w:pPr>
      <w:r>
        <w:rPr>
          <w:rFonts w:hint="eastAsia"/>
        </w:rPr>
        <w:t>目录</w:t>
      </w:r>
      <w:bookmarkEnd w:id="0"/>
      <w:bookmarkEnd w:id="1"/>
      <w:bookmarkEnd w:id="2"/>
      <w:bookmarkEnd w:id="3"/>
    </w:p>
    <w:p>
      <w:pPr>
        <w:pStyle w:val="10"/>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TOC \o "1-1" \h \u </w:instrText>
      </w:r>
      <w:r>
        <w:rPr>
          <w:rFonts w:hint="eastAsia" w:ascii="宋体" w:hAnsi="宋体" w:eastAsia="宋体" w:cs="宋体"/>
          <w:sz w:val="30"/>
          <w:szCs w:val="30"/>
        </w:rPr>
        <w:fldChar w:fldCharType="separate"/>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_Toc3805 </w:instrText>
      </w:r>
      <w:r>
        <w:rPr>
          <w:rFonts w:hint="eastAsia" w:ascii="宋体" w:hAnsi="宋体" w:eastAsia="宋体" w:cs="宋体"/>
          <w:sz w:val="30"/>
          <w:szCs w:val="30"/>
        </w:rPr>
        <w:fldChar w:fldCharType="separate"/>
      </w:r>
      <w:r>
        <w:rPr>
          <w:rFonts w:hint="eastAsia" w:ascii="宋体" w:hAnsi="宋体" w:eastAsia="宋体" w:cs="宋体"/>
          <w:sz w:val="30"/>
          <w:szCs w:val="30"/>
        </w:rPr>
        <w:t>第一章  竞争性磋商公告</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_Toc3805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_Toc14650 </w:instrText>
      </w:r>
      <w:r>
        <w:rPr>
          <w:rFonts w:hint="eastAsia" w:ascii="宋体" w:hAnsi="宋体" w:eastAsia="宋体" w:cs="宋体"/>
          <w:sz w:val="30"/>
          <w:szCs w:val="30"/>
        </w:rPr>
        <w:fldChar w:fldCharType="separate"/>
      </w:r>
      <w:r>
        <w:rPr>
          <w:rFonts w:hint="eastAsia" w:ascii="宋体" w:hAnsi="宋体" w:eastAsia="宋体" w:cs="宋体"/>
          <w:sz w:val="30"/>
          <w:szCs w:val="30"/>
        </w:rPr>
        <w:t>第二章  磋商供应商须知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_Toc14650 </w:instrText>
      </w:r>
      <w:r>
        <w:rPr>
          <w:rFonts w:hint="eastAsia" w:ascii="宋体" w:hAnsi="宋体" w:eastAsia="宋体" w:cs="宋体"/>
          <w:sz w:val="30"/>
          <w:szCs w:val="30"/>
        </w:rPr>
        <w:fldChar w:fldCharType="separate"/>
      </w:r>
      <w:r>
        <w:rPr>
          <w:rFonts w:hint="eastAsia" w:ascii="宋体" w:hAnsi="宋体" w:eastAsia="宋体" w:cs="宋体"/>
          <w:sz w:val="30"/>
          <w:szCs w:val="30"/>
        </w:rPr>
        <w:t>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_Toc14440 </w:instrText>
      </w:r>
      <w:r>
        <w:rPr>
          <w:rFonts w:hint="eastAsia" w:ascii="宋体" w:hAnsi="宋体" w:eastAsia="宋体" w:cs="宋体"/>
          <w:sz w:val="30"/>
          <w:szCs w:val="30"/>
        </w:rPr>
        <w:fldChar w:fldCharType="separate"/>
      </w:r>
      <w:r>
        <w:rPr>
          <w:rFonts w:hint="eastAsia" w:ascii="宋体" w:hAnsi="宋体" w:eastAsia="宋体" w:cs="宋体"/>
          <w:sz w:val="30"/>
          <w:szCs w:val="30"/>
        </w:rPr>
        <w:t>第三章  项目需求</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_Toc14440 </w:instrText>
      </w:r>
      <w:r>
        <w:rPr>
          <w:rFonts w:hint="eastAsia" w:ascii="宋体" w:hAnsi="宋体" w:eastAsia="宋体" w:cs="宋体"/>
          <w:sz w:val="30"/>
          <w:szCs w:val="30"/>
        </w:rPr>
        <w:fldChar w:fldCharType="separate"/>
      </w:r>
      <w:r>
        <w:rPr>
          <w:rFonts w:hint="eastAsia" w:ascii="宋体" w:hAnsi="宋体" w:eastAsia="宋体" w:cs="宋体"/>
          <w:sz w:val="30"/>
          <w:szCs w:val="30"/>
        </w:rPr>
        <w:t>9</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_Toc20539 </w:instrText>
      </w:r>
      <w:r>
        <w:rPr>
          <w:rFonts w:hint="eastAsia" w:ascii="宋体" w:hAnsi="宋体" w:eastAsia="宋体" w:cs="宋体"/>
          <w:sz w:val="30"/>
          <w:szCs w:val="30"/>
        </w:rPr>
        <w:fldChar w:fldCharType="separate"/>
      </w:r>
      <w:r>
        <w:rPr>
          <w:rFonts w:hint="eastAsia" w:ascii="宋体" w:hAnsi="宋体" w:eastAsia="宋体" w:cs="宋体"/>
          <w:sz w:val="30"/>
          <w:szCs w:val="30"/>
        </w:rPr>
        <w:t>第四章  评审程序和方法</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_Toc20539 </w:instrText>
      </w:r>
      <w:r>
        <w:rPr>
          <w:rFonts w:hint="eastAsia" w:ascii="宋体" w:hAnsi="宋体" w:eastAsia="宋体" w:cs="宋体"/>
          <w:sz w:val="30"/>
          <w:szCs w:val="30"/>
        </w:rPr>
        <w:fldChar w:fldCharType="separate"/>
      </w:r>
      <w:r>
        <w:rPr>
          <w:rFonts w:hint="eastAsia" w:ascii="宋体" w:hAnsi="宋体" w:eastAsia="宋体" w:cs="宋体"/>
          <w:sz w:val="30"/>
          <w:szCs w:val="30"/>
        </w:rPr>
        <w:t>13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_Toc22555 </w:instrText>
      </w:r>
      <w:r>
        <w:rPr>
          <w:rFonts w:hint="eastAsia" w:ascii="宋体" w:hAnsi="宋体" w:eastAsia="宋体" w:cs="宋体"/>
          <w:sz w:val="30"/>
          <w:szCs w:val="30"/>
        </w:rPr>
        <w:fldChar w:fldCharType="separate"/>
      </w:r>
      <w:r>
        <w:rPr>
          <w:rFonts w:hint="eastAsia" w:ascii="宋体" w:hAnsi="宋体" w:eastAsia="宋体" w:cs="宋体"/>
          <w:sz w:val="30"/>
          <w:szCs w:val="30"/>
        </w:rPr>
        <w:t>第五章  合同授予</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_Toc22555 </w:instrText>
      </w:r>
      <w:r>
        <w:rPr>
          <w:rFonts w:hint="eastAsia" w:ascii="宋体" w:hAnsi="宋体" w:eastAsia="宋体" w:cs="宋体"/>
          <w:sz w:val="30"/>
          <w:szCs w:val="30"/>
        </w:rPr>
        <w:fldChar w:fldCharType="separate"/>
      </w:r>
      <w:r>
        <w:rPr>
          <w:rFonts w:hint="eastAsia" w:ascii="宋体" w:hAnsi="宋体" w:eastAsia="宋体" w:cs="宋体"/>
          <w:sz w:val="30"/>
          <w:szCs w:val="30"/>
        </w:rPr>
        <w:t>19</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_Toc25632 </w:instrText>
      </w:r>
      <w:r>
        <w:rPr>
          <w:rFonts w:hint="eastAsia" w:ascii="宋体" w:hAnsi="宋体" w:eastAsia="宋体" w:cs="宋体"/>
          <w:sz w:val="30"/>
          <w:szCs w:val="30"/>
        </w:rPr>
        <w:fldChar w:fldCharType="separate"/>
      </w:r>
      <w:r>
        <w:rPr>
          <w:rFonts w:hint="eastAsia" w:ascii="宋体" w:hAnsi="宋体" w:eastAsia="宋体" w:cs="宋体"/>
          <w:sz w:val="30"/>
          <w:szCs w:val="30"/>
        </w:rPr>
        <w:t>第六章  质疑提出和处理</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_Toc25632 </w:instrText>
      </w:r>
      <w:r>
        <w:rPr>
          <w:rFonts w:hint="eastAsia" w:ascii="宋体" w:hAnsi="宋体" w:eastAsia="宋体" w:cs="宋体"/>
          <w:sz w:val="30"/>
          <w:szCs w:val="30"/>
        </w:rPr>
        <w:fldChar w:fldCharType="separate"/>
      </w:r>
      <w:r>
        <w:rPr>
          <w:rFonts w:hint="eastAsia" w:ascii="宋体" w:hAnsi="宋体" w:eastAsia="宋体" w:cs="宋体"/>
          <w:sz w:val="30"/>
          <w:szCs w:val="30"/>
        </w:rPr>
        <w:t>20</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0"/>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_Toc24592 </w:instrText>
      </w:r>
      <w:r>
        <w:rPr>
          <w:rFonts w:hint="eastAsia" w:ascii="宋体" w:hAnsi="宋体" w:eastAsia="宋体" w:cs="宋体"/>
          <w:sz w:val="30"/>
          <w:szCs w:val="30"/>
        </w:rPr>
        <w:fldChar w:fldCharType="separate"/>
      </w:r>
      <w:r>
        <w:rPr>
          <w:rFonts w:hint="eastAsia" w:ascii="宋体" w:hAnsi="宋体" w:eastAsia="宋体" w:cs="宋体"/>
          <w:sz w:val="30"/>
          <w:szCs w:val="30"/>
        </w:rPr>
        <w:t>第七章  磋商响应文件组成及格式</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_Toc24592 </w:instrText>
      </w:r>
      <w:r>
        <w:rPr>
          <w:rFonts w:hint="eastAsia" w:ascii="宋体" w:hAnsi="宋体" w:eastAsia="宋体" w:cs="宋体"/>
          <w:sz w:val="30"/>
          <w:szCs w:val="30"/>
        </w:rPr>
        <w:fldChar w:fldCharType="separate"/>
      </w:r>
      <w:r>
        <w:rPr>
          <w:rFonts w:hint="eastAsia" w:ascii="宋体" w:hAnsi="宋体" w:eastAsia="宋体" w:cs="宋体"/>
          <w:sz w:val="30"/>
          <w:szCs w:val="30"/>
        </w:rPr>
        <w:t>23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3"/>
        <w:jc w:val="both"/>
        <w:rPr>
          <w:rFonts w:hint="eastAsia"/>
        </w:rPr>
      </w:pPr>
      <w:r>
        <w:rPr>
          <w:rFonts w:hint="eastAsia" w:ascii="宋体" w:hAnsi="宋体" w:eastAsia="宋体" w:cs="宋体"/>
          <w:sz w:val="30"/>
          <w:szCs w:val="30"/>
        </w:rP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hint="eastAsia"/>
        </w:rPr>
        <w:sectPr>
          <w:pgSz w:w="11906" w:h="16838"/>
          <w:pgMar w:top="1440" w:right="1800" w:bottom="1440" w:left="1800" w:header="851" w:footer="992" w:gutter="0"/>
          <w:cols w:space="720" w:num="1"/>
          <w:docGrid w:type="lines" w:linePitch="312" w:charSpace="0"/>
        </w:sectPr>
      </w:pPr>
      <w:bookmarkStart w:id="4" w:name="_Toc488504847"/>
    </w:p>
    <w:p>
      <w:pPr>
        <w:pStyle w:val="3"/>
      </w:pPr>
      <w:bookmarkStart w:id="5" w:name="_Toc3805"/>
      <w:r>
        <w:rPr>
          <w:rFonts w:hint="eastAsia"/>
        </w:rPr>
        <w:t>第一章</w:t>
      </w:r>
      <w:r>
        <w:t xml:space="preserve">  </w:t>
      </w:r>
      <w:r>
        <w:rPr>
          <w:rFonts w:hint="eastAsia"/>
        </w:rPr>
        <w:t>竞争性磋商公告</w:t>
      </w:r>
      <w:bookmarkEnd w:id="4"/>
      <w:bookmarkEnd w:id="5"/>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sz w:val="24"/>
          <w:szCs w:val="24"/>
        </w:rPr>
      </w:pPr>
      <w:r>
        <w:rPr>
          <w:rFonts w:hint="eastAsia" w:ascii="宋体" w:hAnsi="宋体" w:cs="宋体"/>
          <w:color w:val="000000"/>
          <w:sz w:val="24"/>
          <w:szCs w:val="24"/>
        </w:rPr>
        <w:t>江苏大成工程咨询有限公司</w:t>
      </w:r>
      <w:r>
        <w:rPr>
          <w:rFonts w:hint="eastAsia" w:ascii="宋体" w:hAnsi="宋体" w:cs="宋体"/>
          <w:sz w:val="24"/>
          <w:szCs w:val="24"/>
        </w:rPr>
        <w:t>（以下称代理机构）受南通市旅游中等专业学校（以下称采购人）的委托，</w:t>
      </w:r>
      <w:r>
        <w:rPr>
          <w:rFonts w:hint="eastAsia"/>
          <w:sz w:val="24"/>
          <w:szCs w:val="24"/>
        </w:rPr>
        <w:t>并报南通市教育局批准，为吸引社会优质资源服务我校食堂，提高服务质量，满足师生需求，经学校研究决定，就南通市旅游中等专业学校食堂服务商准入项目组织竞争性磋商采购，诚邀符合条件的潜在供应商参加该项目的竞争性磋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4"/>
          <w:szCs w:val="24"/>
        </w:rPr>
      </w:pPr>
      <w:r>
        <w:rPr>
          <w:rFonts w:hint="eastAsia"/>
          <w:b/>
          <w:sz w:val="24"/>
          <w:szCs w:val="24"/>
        </w:rPr>
        <w:t>一、项目名称：南通市旅游中等专业学校食堂服务商资格准入项目。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color w:val="FF6600"/>
          <w:sz w:val="24"/>
          <w:szCs w:val="24"/>
        </w:rPr>
      </w:pPr>
      <w:r>
        <w:rPr>
          <w:rFonts w:hint="eastAsia"/>
          <w:b/>
          <w:sz w:val="24"/>
          <w:szCs w:val="24"/>
        </w:rPr>
        <w:t>二、项目编号：</w:t>
      </w:r>
      <w:r>
        <w:rPr>
          <w:b/>
          <w:sz w:val="24"/>
          <w:szCs w:val="24"/>
        </w:rPr>
        <w:t>2019LYZZCS1201</w:t>
      </w:r>
      <w:r>
        <w:rPr>
          <w:b/>
          <w:color w:val="FF66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4"/>
          <w:szCs w:val="24"/>
        </w:rPr>
      </w:pPr>
      <w:r>
        <w:rPr>
          <w:rFonts w:hint="eastAsia"/>
          <w:b/>
          <w:sz w:val="24"/>
          <w:szCs w:val="24"/>
        </w:rPr>
        <w:t>三、项目预算：</w:t>
      </w:r>
      <w:r>
        <w:rPr>
          <w:b/>
          <w:sz w:val="24"/>
          <w:szCs w:val="24"/>
        </w:rPr>
        <w:t>60</w:t>
      </w:r>
      <w:r>
        <w:rPr>
          <w:rFonts w:hint="eastAsia"/>
          <w:b/>
          <w:sz w:val="24"/>
          <w:szCs w:val="24"/>
        </w:rPr>
        <w:t>万。</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4"/>
          <w:szCs w:val="24"/>
        </w:rPr>
      </w:pPr>
      <w:r>
        <w:rPr>
          <w:rFonts w:hint="eastAsia"/>
          <w:b/>
          <w:sz w:val="24"/>
          <w:szCs w:val="24"/>
        </w:rPr>
        <w:t>四、项目需求：见磋商文件“项目需求”。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b/>
          <w:sz w:val="24"/>
          <w:szCs w:val="24"/>
        </w:rPr>
      </w:pPr>
      <w:r>
        <w:rPr>
          <w:rFonts w:hint="eastAsia"/>
          <w:b/>
          <w:sz w:val="24"/>
          <w:szCs w:val="24"/>
        </w:rPr>
        <w:t>五、项目概况</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sz w:val="24"/>
          <w:szCs w:val="24"/>
        </w:rPr>
      </w:pPr>
      <w:r>
        <w:rPr>
          <w:sz w:val="24"/>
          <w:szCs w:val="24"/>
        </w:rPr>
        <w:t>1</w:t>
      </w:r>
      <w:r>
        <w:rPr>
          <w:rFonts w:hint="eastAsia"/>
          <w:sz w:val="24"/>
          <w:szCs w:val="24"/>
          <w:lang w:eastAsia="zh-CN"/>
        </w:rPr>
        <w:t>、</w:t>
      </w:r>
      <w:r>
        <w:rPr>
          <w:rFonts w:hint="eastAsia"/>
          <w:sz w:val="24"/>
          <w:szCs w:val="24"/>
        </w:rPr>
        <w:t>食堂面积：学校食堂总建筑面积约</w:t>
      </w:r>
      <w:r>
        <w:rPr>
          <w:sz w:val="24"/>
          <w:szCs w:val="24"/>
        </w:rPr>
        <w:t>4227</w:t>
      </w:r>
      <w:r>
        <w:rPr>
          <w:rFonts w:hint="eastAsia"/>
          <w:sz w:val="24"/>
          <w:szCs w:val="24"/>
        </w:rPr>
        <w:t>平方米，一楼学生食堂有</w:t>
      </w:r>
      <w:r>
        <w:rPr>
          <w:sz w:val="24"/>
          <w:szCs w:val="24"/>
        </w:rPr>
        <w:t>10</w:t>
      </w:r>
      <w:r>
        <w:rPr>
          <w:rFonts w:hint="eastAsia"/>
          <w:sz w:val="24"/>
          <w:szCs w:val="24"/>
        </w:rPr>
        <w:t>个窗口，二楼供应学生炒饭炒面</w:t>
      </w:r>
      <w:r>
        <w:rPr>
          <w:sz w:val="24"/>
          <w:szCs w:val="24"/>
        </w:rPr>
        <w:t>2</w:t>
      </w:r>
      <w:r>
        <w:rPr>
          <w:rFonts w:hint="eastAsia"/>
          <w:sz w:val="24"/>
          <w:szCs w:val="24"/>
        </w:rPr>
        <w:t>个窗口；教工餐厅位于二楼，主要供应午餐，另有大小包厢</w:t>
      </w:r>
      <w:r>
        <w:rPr>
          <w:sz w:val="24"/>
          <w:szCs w:val="24"/>
        </w:rPr>
        <w:t>5</w:t>
      </w:r>
      <w:r>
        <w:rPr>
          <w:rFonts w:hint="eastAsia"/>
          <w:sz w:val="24"/>
          <w:szCs w:val="24"/>
        </w:rPr>
        <w:t>个。</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sz w:val="24"/>
          <w:szCs w:val="24"/>
        </w:rPr>
      </w:pPr>
      <w:r>
        <w:rPr>
          <w:sz w:val="24"/>
          <w:szCs w:val="24"/>
        </w:rPr>
        <w:t>2</w:t>
      </w:r>
      <w:r>
        <w:rPr>
          <w:rFonts w:hint="eastAsia"/>
          <w:sz w:val="24"/>
          <w:szCs w:val="24"/>
          <w:lang w:eastAsia="zh-CN"/>
        </w:rPr>
        <w:t>、</w:t>
      </w:r>
      <w:r>
        <w:rPr>
          <w:rFonts w:hint="eastAsia"/>
          <w:sz w:val="24"/>
          <w:szCs w:val="24"/>
        </w:rPr>
        <w:t>就餐人数：</w:t>
      </w:r>
      <w:r>
        <w:rPr>
          <w:sz w:val="24"/>
          <w:szCs w:val="24"/>
        </w:rPr>
        <w:t>9</w:t>
      </w:r>
      <w:r>
        <w:rPr>
          <w:rFonts w:hint="eastAsia"/>
          <w:sz w:val="24"/>
          <w:szCs w:val="24"/>
        </w:rPr>
        <w:t>月</w:t>
      </w:r>
      <w:r>
        <w:rPr>
          <w:sz w:val="24"/>
          <w:szCs w:val="24"/>
        </w:rPr>
        <w:t>~11</w:t>
      </w:r>
      <w:r>
        <w:rPr>
          <w:rFonts w:hint="eastAsia"/>
          <w:sz w:val="24"/>
          <w:szCs w:val="24"/>
        </w:rPr>
        <w:t>月中旬，学校约</w:t>
      </w:r>
      <w:r>
        <w:rPr>
          <w:sz w:val="24"/>
          <w:szCs w:val="24"/>
        </w:rPr>
        <w:t>1110</w:t>
      </w:r>
      <w:r>
        <w:rPr>
          <w:rFonts w:hint="eastAsia"/>
          <w:sz w:val="24"/>
          <w:szCs w:val="24"/>
        </w:rPr>
        <w:t>名师生用餐，其中住宿生</w:t>
      </w:r>
      <w:r>
        <w:rPr>
          <w:sz w:val="24"/>
          <w:szCs w:val="24"/>
        </w:rPr>
        <w:t>590</w:t>
      </w:r>
      <w:r>
        <w:rPr>
          <w:rFonts w:hint="eastAsia"/>
          <w:sz w:val="24"/>
          <w:szCs w:val="24"/>
        </w:rPr>
        <w:t>人，其余时间学校用餐人数约</w:t>
      </w:r>
      <w:r>
        <w:rPr>
          <w:sz w:val="24"/>
          <w:szCs w:val="24"/>
        </w:rPr>
        <w:t>760</w:t>
      </w:r>
      <w:r>
        <w:rPr>
          <w:rFonts w:hint="eastAsia"/>
          <w:sz w:val="24"/>
          <w:szCs w:val="24"/>
        </w:rPr>
        <w:t>人，住宿生有</w:t>
      </w:r>
      <w:r>
        <w:rPr>
          <w:sz w:val="24"/>
          <w:szCs w:val="24"/>
        </w:rPr>
        <w:t>450</w:t>
      </w:r>
      <w:r>
        <w:rPr>
          <w:rFonts w:hint="eastAsia"/>
          <w:sz w:val="24"/>
          <w:szCs w:val="24"/>
        </w:rPr>
        <w:t>人。</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sz w:val="24"/>
          <w:szCs w:val="24"/>
        </w:rPr>
      </w:pPr>
      <w:r>
        <w:rPr>
          <w:sz w:val="24"/>
          <w:szCs w:val="24"/>
        </w:rPr>
        <w:t>3</w:t>
      </w:r>
      <w:r>
        <w:rPr>
          <w:rFonts w:hint="eastAsia"/>
          <w:sz w:val="24"/>
          <w:szCs w:val="24"/>
          <w:lang w:eastAsia="zh-CN"/>
        </w:rPr>
        <w:t>、</w:t>
      </w:r>
      <w:r>
        <w:rPr>
          <w:rFonts w:hint="eastAsia"/>
          <w:sz w:val="24"/>
          <w:szCs w:val="24"/>
        </w:rPr>
        <w:t>供餐餐次：早、中、晚三次。</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sz w:val="24"/>
          <w:szCs w:val="24"/>
        </w:rPr>
      </w:pPr>
      <w:r>
        <w:rPr>
          <w:sz w:val="24"/>
          <w:szCs w:val="24"/>
        </w:rPr>
        <w:t>4</w:t>
      </w:r>
      <w:r>
        <w:rPr>
          <w:rFonts w:hint="eastAsia"/>
          <w:sz w:val="24"/>
          <w:szCs w:val="24"/>
          <w:lang w:eastAsia="zh-CN"/>
        </w:rPr>
        <w:t>、</w:t>
      </w:r>
      <w:r>
        <w:rPr>
          <w:rFonts w:hint="eastAsia"/>
          <w:sz w:val="24"/>
          <w:szCs w:val="24"/>
        </w:rPr>
        <w:t>供餐方式：学生和教工自主选餐，开放所有的配餐窗口（目前用餐排队时间约</w:t>
      </w:r>
      <w:r>
        <w:rPr>
          <w:sz w:val="24"/>
          <w:szCs w:val="24"/>
        </w:rPr>
        <w:t>20</w:t>
      </w:r>
      <w:r>
        <w:rPr>
          <w:rFonts w:hint="eastAsia"/>
          <w:sz w:val="24"/>
          <w:szCs w:val="24"/>
        </w:rPr>
        <w:t>分钟）</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sz w:val="24"/>
          <w:szCs w:val="24"/>
        </w:rPr>
      </w:pPr>
      <w:r>
        <w:rPr>
          <w:sz w:val="24"/>
          <w:szCs w:val="24"/>
        </w:rPr>
        <w:t>5</w:t>
      </w:r>
      <w:r>
        <w:rPr>
          <w:rFonts w:hint="eastAsia"/>
          <w:sz w:val="24"/>
          <w:szCs w:val="24"/>
          <w:lang w:eastAsia="zh-CN"/>
        </w:rPr>
        <w:t>、</w:t>
      </w:r>
      <w:r>
        <w:rPr>
          <w:rFonts w:hint="eastAsia"/>
          <w:sz w:val="24"/>
          <w:szCs w:val="24"/>
        </w:rPr>
        <w:t>菜品数量：早餐（含中西点）不少于</w:t>
      </w:r>
      <w:r>
        <w:rPr>
          <w:sz w:val="24"/>
          <w:szCs w:val="24"/>
        </w:rPr>
        <w:t>10</w:t>
      </w:r>
      <w:r>
        <w:rPr>
          <w:rFonts w:hint="eastAsia"/>
          <w:sz w:val="24"/>
          <w:szCs w:val="24"/>
        </w:rPr>
        <w:t>个品种，中（晚）餐（含中西点）不少于</w:t>
      </w:r>
      <w:r>
        <w:rPr>
          <w:sz w:val="24"/>
          <w:szCs w:val="24"/>
        </w:rPr>
        <w:t>20</w:t>
      </w:r>
      <w:r>
        <w:rPr>
          <w:rFonts w:hint="eastAsia"/>
          <w:sz w:val="24"/>
          <w:szCs w:val="24"/>
        </w:rPr>
        <w:t>个品种。</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sz w:val="24"/>
          <w:szCs w:val="24"/>
        </w:rPr>
      </w:pPr>
      <w:r>
        <w:rPr>
          <w:sz w:val="24"/>
          <w:szCs w:val="24"/>
        </w:rPr>
        <w:t>6</w:t>
      </w:r>
      <w:r>
        <w:rPr>
          <w:rFonts w:hint="eastAsia"/>
          <w:sz w:val="24"/>
          <w:szCs w:val="24"/>
          <w:lang w:eastAsia="zh-CN"/>
        </w:rPr>
        <w:t>、</w:t>
      </w:r>
      <w:r>
        <w:rPr>
          <w:rFonts w:hint="eastAsia"/>
          <w:sz w:val="24"/>
          <w:szCs w:val="24"/>
        </w:rPr>
        <w:t>人员组成：工作人员不少于</w:t>
      </w:r>
      <w:r>
        <w:rPr>
          <w:sz w:val="24"/>
          <w:szCs w:val="24"/>
        </w:rPr>
        <w:t>1</w:t>
      </w:r>
      <w:r>
        <w:rPr>
          <w:rFonts w:hint="eastAsia"/>
          <w:sz w:val="24"/>
          <w:szCs w:val="24"/>
          <w:lang w:val="en-US" w:eastAsia="zh-CN"/>
        </w:rPr>
        <w:t>3</w:t>
      </w:r>
      <w:r>
        <w:rPr>
          <w:rFonts w:hint="eastAsia"/>
          <w:sz w:val="24"/>
          <w:szCs w:val="24"/>
        </w:rPr>
        <w:t>人，其中项目经理</w:t>
      </w:r>
      <w:r>
        <w:rPr>
          <w:sz w:val="24"/>
          <w:szCs w:val="24"/>
        </w:rPr>
        <w:t>1</w:t>
      </w:r>
      <w:r>
        <w:rPr>
          <w:rFonts w:hint="eastAsia"/>
          <w:sz w:val="24"/>
          <w:szCs w:val="24"/>
        </w:rPr>
        <w:t>人，营养师</w:t>
      </w:r>
      <w:r>
        <w:rPr>
          <w:sz w:val="24"/>
          <w:szCs w:val="24"/>
        </w:rPr>
        <w:t>1</w:t>
      </w:r>
      <w:r>
        <w:rPr>
          <w:rFonts w:hint="eastAsia"/>
          <w:sz w:val="24"/>
          <w:szCs w:val="24"/>
        </w:rPr>
        <w:t>人，三级以上厨师</w:t>
      </w:r>
      <w:r>
        <w:rPr>
          <w:sz w:val="24"/>
          <w:szCs w:val="24"/>
        </w:rPr>
        <w:t>3-4</w:t>
      </w:r>
      <w:r>
        <w:rPr>
          <w:rFonts w:hint="eastAsia"/>
          <w:sz w:val="24"/>
          <w:szCs w:val="24"/>
        </w:rPr>
        <w:t>人，中西点心师</w:t>
      </w:r>
      <w:r>
        <w:rPr>
          <w:sz w:val="24"/>
          <w:szCs w:val="24"/>
        </w:rPr>
        <w:t>1</w:t>
      </w:r>
      <w:r>
        <w:rPr>
          <w:rFonts w:hint="eastAsia"/>
          <w:sz w:val="24"/>
          <w:szCs w:val="24"/>
        </w:rPr>
        <w:t>人。男工作人员年龄不超过</w:t>
      </w:r>
      <w:r>
        <w:rPr>
          <w:sz w:val="24"/>
          <w:szCs w:val="24"/>
        </w:rPr>
        <w:t>65</w:t>
      </w:r>
      <w:r>
        <w:rPr>
          <w:rFonts w:hint="eastAsia"/>
          <w:sz w:val="24"/>
          <w:szCs w:val="24"/>
        </w:rPr>
        <w:t>周岁，女工作人员年龄不超过</w:t>
      </w:r>
      <w:r>
        <w:rPr>
          <w:sz w:val="24"/>
          <w:szCs w:val="24"/>
        </w:rPr>
        <w:t>55</w:t>
      </w:r>
      <w:r>
        <w:rPr>
          <w:rFonts w:hint="eastAsia"/>
          <w:sz w:val="24"/>
          <w:szCs w:val="24"/>
        </w:rPr>
        <w:t>周岁。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sz w:val="24"/>
          <w:szCs w:val="24"/>
        </w:rPr>
      </w:pPr>
      <w:r>
        <w:rPr>
          <w:sz w:val="24"/>
          <w:szCs w:val="24"/>
          <w:highlight w:val="none"/>
        </w:rPr>
        <w:t>7</w:t>
      </w:r>
      <w:r>
        <w:rPr>
          <w:rFonts w:hint="eastAsia"/>
          <w:sz w:val="24"/>
          <w:szCs w:val="24"/>
          <w:highlight w:val="none"/>
          <w:lang w:eastAsia="zh-CN"/>
        </w:rPr>
        <w:t>、</w:t>
      </w:r>
      <w:r>
        <w:rPr>
          <w:rFonts w:hint="eastAsia"/>
          <w:sz w:val="24"/>
          <w:szCs w:val="24"/>
          <w:highlight w:val="none"/>
        </w:rPr>
        <w:t>服务期限</w:t>
      </w:r>
      <w:r>
        <w:rPr>
          <w:rFonts w:hint="eastAsia"/>
          <w:sz w:val="24"/>
          <w:szCs w:val="24"/>
        </w:rPr>
        <w:t>：合同签订之日起壹年（参照南通市政务中心服务类招标文件精神，合同先签订壹年，如中标单位服务质量高，业主满意程度高，可以采取续签合同，续签不超过3年）。</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sz w:val="24"/>
          <w:szCs w:val="24"/>
        </w:rPr>
      </w:pPr>
      <w:r>
        <w:rPr>
          <w:rFonts w:hint="eastAsia"/>
          <w:b/>
          <w:sz w:val="24"/>
          <w:szCs w:val="24"/>
        </w:rPr>
        <w:t>六、供应商资格要求</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供应商应符合《政府采购法》第二十二条之规定：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投标供应商须提供餐饮服务许可证。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lang w:val="en-US" w:eastAsia="zh-CN"/>
        </w:rPr>
        <w:t>3</w:t>
      </w:r>
      <w:r>
        <w:rPr>
          <w:rFonts w:hint="eastAsia"/>
          <w:sz w:val="24"/>
          <w:szCs w:val="24"/>
          <w:lang w:eastAsia="zh-CN"/>
        </w:rPr>
        <w:t>、</w:t>
      </w:r>
      <w:r>
        <w:rPr>
          <w:rFonts w:hint="eastAsia"/>
          <w:sz w:val="24"/>
          <w:szCs w:val="24"/>
        </w:rPr>
        <w:t>法定代表人为同一个人的两个及两个以上法人，母公司、全资子公司及其控股公司，都不得在同一采购项目中同时参加投标，一经发现，将视同围标处理。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lang w:val="en-US" w:eastAsia="zh-CN"/>
        </w:rPr>
        <w:t>4</w:t>
      </w:r>
      <w:r>
        <w:rPr>
          <w:rFonts w:hint="eastAsia"/>
          <w:sz w:val="24"/>
          <w:szCs w:val="24"/>
          <w:lang w:eastAsia="zh-CN"/>
        </w:rPr>
        <w:t>、</w:t>
      </w:r>
      <w:r>
        <w:rPr>
          <w:rFonts w:hint="eastAsia"/>
          <w:sz w:val="24"/>
          <w:szCs w:val="24"/>
        </w:rPr>
        <w:t>本项目不接受联合体投标。</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请供应商认真对照资格要求，如不符合要求，无意或故意参与竞争性磋商的，所产生的一切后果由供应商承担。对提供虚假材料的响应供应商作无效标处理，磋商保证金不予退还，并报教育主管部门将其列入采购黑名单。</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sz w:val="24"/>
          <w:szCs w:val="24"/>
        </w:rPr>
      </w:pPr>
      <w:r>
        <w:rPr>
          <w:rFonts w:hint="eastAsia"/>
          <w:b/>
          <w:sz w:val="24"/>
          <w:szCs w:val="24"/>
        </w:rPr>
        <w:t>七、保证金</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本项目磋商保证金为：人民币壹万圆整（¥1</w:t>
      </w:r>
      <w:r>
        <w:rPr>
          <w:rFonts w:hint="eastAsia"/>
          <w:sz w:val="24"/>
          <w:szCs w:val="24"/>
          <w:lang w:val="en-US" w:eastAsia="zh-CN"/>
        </w:rPr>
        <w:t>0</w:t>
      </w:r>
      <w:r>
        <w:rPr>
          <w:rFonts w:hint="eastAsia"/>
          <w:sz w:val="24"/>
          <w:szCs w:val="24"/>
        </w:rPr>
        <w:t>000.00元）；</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供应商交纳的磋商保证金仅限现金（信封密封）的形式（其他形式概不接收）带至磋商现场,在递交磋商响应文件时交给采购代理机构。</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未按上述要求提交磋商保证金的供应商，招标采购单位有权拒绝其磋商响应文件。</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w:t>
      </w:r>
      <w:r>
        <w:rPr>
          <w:rFonts w:hint="eastAsia"/>
          <w:sz w:val="24"/>
          <w:szCs w:val="24"/>
          <w:lang w:eastAsia="zh-CN"/>
        </w:rPr>
        <w:t>、</w:t>
      </w:r>
      <w:r>
        <w:rPr>
          <w:rFonts w:hint="eastAsia"/>
          <w:sz w:val="24"/>
          <w:szCs w:val="24"/>
        </w:rPr>
        <w:t>未成交供应商其磋商保证金，当场退还。</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5</w:t>
      </w:r>
      <w:r>
        <w:rPr>
          <w:rFonts w:hint="eastAsia"/>
          <w:sz w:val="24"/>
          <w:szCs w:val="24"/>
          <w:lang w:eastAsia="zh-CN"/>
        </w:rPr>
        <w:t>、</w:t>
      </w:r>
      <w:r>
        <w:rPr>
          <w:rFonts w:hint="eastAsia"/>
          <w:sz w:val="24"/>
          <w:szCs w:val="24"/>
        </w:rPr>
        <w:t>发生下列情况之一，磋商保证金将不予退还。</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 xml:space="preserve">（1）供应商在提交磋商响应文件截止时间后撤回磋商响应文件的；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 xml:space="preserve">（2）供应商与采购人、其他供应商或者采购代理机构恶意串通的；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 xml:space="preserve">（3）除因不可抗力或磋商文件认可的情形以外，成交人不与采购人签订合同的；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（4）供应商在磋商过程中有违反有关法律法规的行为；</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（5）磋商文件规定的其他情形。</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b/>
          <w:sz w:val="24"/>
          <w:szCs w:val="24"/>
        </w:rPr>
      </w:pPr>
      <w:r>
        <w:rPr>
          <w:rFonts w:hint="eastAsia"/>
          <w:b/>
          <w:sz w:val="24"/>
          <w:szCs w:val="24"/>
        </w:rPr>
        <w:t>八、有关时间、地点等信息</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招标审查小组将对各参与项目的供应商资格进行审查，审查通过方可参与项目的竞争性投标。</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竞争性磋商资格后审材料、响应文件接收截止时间和地点：</w:t>
      </w:r>
      <w:r>
        <w:rPr>
          <w:rFonts w:hint="eastAsia"/>
          <w:sz w:val="24"/>
          <w:szCs w:val="24"/>
          <w:lang w:val="en-US" w:eastAsia="zh-CN"/>
        </w:rPr>
        <w:t>2020</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20</w:t>
      </w:r>
      <w:r>
        <w:rPr>
          <w:rFonts w:hint="eastAsia"/>
          <w:sz w:val="24"/>
          <w:szCs w:val="24"/>
        </w:rPr>
        <w:t>日</w:t>
      </w:r>
      <w:r>
        <w:rPr>
          <w:rFonts w:hint="eastAsia"/>
          <w:sz w:val="24"/>
          <w:szCs w:val="24"/>
          <w:lang w:val="en-US" w:eastAsia="zh-CN"/>
        </w:rPr>
        <w:t>下</w:t>
      </w:r>
      <w:r>
        <w:rPr>
          <w:rFonts w:hint="eastAsia"/>
          <w:sz w:val="24"/>
          <w:szCs w:val="24"/>
        </w:rPr>
        <w:t>午</w:t>
      </w:r>
      <w:r>
        <w:rPr>
          <w:rFonts w:hint="eastAsia"/>
          <w:sz w:val="24"/>
          <w:szCs w:val="24"/>
          <w:lang w:val="en-US" w:eastAsia="zh-CN"/>
        </w:rPr>
        <w:t>14</w:t>
      </w:r>
      <w:r>
        <w:rPr>
          <w:rFonts w:hint="eastAsia"/>
          <w:sz w:val="24"/>
          <w:szCs w:val="24"/>
        </w:rPr>
        <w:t>时</w:t>
      </w:r>
      <w:r>
        <w:rPr>
          <w:rFonts w:hint="eastAsia"/>
          <w:sz w:val="24"/>
          <w:szCs w:val="24"/>
          <w:lang w:val="en-US" w:eastAsia="zh-CN"/>
        </w:rPr>
        <w:t>30</w:t>
      </w:r>
      <w:r>
        <w:rPr>
          <w:rFonts w:hint="eastAsia"/>
          <w:sz w:val="24"/>
          <w:szCs w:val="24"/>
        </w:rPr>
        <w:t>分，供应商必须在此之前将竞争性磋商文件送至南通市旅游中等专业学校，逾期送达的竞争性磋商文件将被拒绝。</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lang w:val="en-US" w:eastAsia="zh-CN"/>
        </w:rPr>
        <w:t>2</w:t>
      </w:r>
      <w:r>
        <w:rPr>
          <w:rFonts w:hint="eastAsia"/>
          <w:sz w:val="24"/>
          <w:szCs w:val="24"/>
          <w:lang w:eastAsia="zh-CN"/>
        </w:rPr>
        <w:t>、</w:t>
      </w:r>
      <w:r>
        <w:rPr>
          <w:rFonts w:hint="eastAsia"/>
          <w:sz w:val="24"/>
          <w:szCs w:val="24"/>
        </w:rPr>
        <w:t>评标时间和地点：</w:t>
      </w:r>
      <w:r>
        <w:rPr>
          <w:rFonts w:hint="eastAsia"/>
          <w:sz w:val="24"/>
          <w:szCs w:val="24"/>
          <w:highlight w:val="none"/>
        </w:rPr>
        <w:t>20</w:t>
      </w:r>
      <w:r>
        <w:rPr>
          <w:rFonts w:hint="eastAsia"/>
          <w:sz w:val="24"/>
          <w:szCs w:val="24"/>
          <w:highlight w:val="none"/>
          <w:lang w:val="en-US" w:eastAsia="zh-CN"/>
        </w:rPr>
        <w:t>20</w:t>
      </w:r>
      <w:r>
        <w:rPr>
          <w:rFonts w:hint="eastAsia"/>
          <w:sz w:val="24"/>
          <w:szCs w:val="24"/>
          <w:highlight w:val="none"/>
        </w:rPr>
        <w:t>年</w:t>
      </w:r>
      <w:r>
        <w:rPr>
          <w:rFonts w:hint="eastAsia"/>
          <w:sz w:val="24"/>
          <w:szCs w:val="24"/>
          <w:highlight w:val="none"/>
          <w:lang w:val="en-US" w:eastAsia="zh-CN"/>
        </w:rPr>
        <w:t>1</w:t>
      </w:r>
      <w:r>
        <w:rPr>
          <w:rFonts w:hint="eastAsia"/>
          <w:sz w:val="24"/>
          <w:szCs w:val="24"/>
          <w:highlight w:val="none"/>
        </w:rPr>
        <w:t>月</w:t>
      </w:r>
      <w:r>
        <w:rPr>
          <w:rFonts w:hint="eastAsia"/>
          <w:sz w:val="24"/>
          <w:szCs w:val="24"/>
          <w:highlight w:val="none"/>
          <w:lang w:val="en-US" w:eastAsia="zh-CN"/>
        </w:rPr>
        <w:t>20</w:t>
      </w:r>
      <w:r>
        <w:rPr>
          <w:rFonts w:hint="eastAsia"/>
          <w:sz w:val="24"/>
          <w:szCs w:val="24"/>
          <w:highlight w:val="none"/>
        </w:rPr>
        <w:t>日</w:t>
      </w:r>
      <w:r>
        <w:rPr>
          <w:rFonts w:hint="eastAsia"/>
          <w:sz w:val="24"/>
          <w:szCs w:val="24"/>
          <w:highlight w:val="none"/>
          <w:lang w:val="en-US" w:eastAsia="zh-CN"/>
        </w:rPr>
        <w:t>下</w:t>
      </w:r>
      <w:r>
        <w:rPr>
          <w:rFonts w:hint="eastAsia"/>
          <w:sz w:val="24"/>
          <w:szCs w:val="24"/>
          <w:highlight w:val="none"/>
        </w:rPr>
        <w:t>午</w:t>
      </w:r>
      <w:r>
        <w:rPr>
          <w:rFonts w:hint="eastAsia"/>
          <w:sz w:val="24"/>
          <w:szCs w:val="24"/>
          <w:highlight w:val="none"/>
          <w:lang w:val="en-US" w:eastAsia="zh-CN"/>
        </w:rPr>
        <w:t>14</w:t>
      </w:r>
      <w:r>
        <w:rPr>
          <w:rFonts w:hint="eastAsia"/>
          <w:sz w:val="24"/>
          <w:szCs w:val="24"/>
          <w:highlight w:val="none"/>
        </w:rPr>
        <w:t>时</w:t>
      </w:r>
      <w:r>
        <w:rPr>
          <w:rFonts w:hint="eastAsia"/>
          <w:sz w:val="24"/>
          <w:szCs w:val="24"/>
          <w:highlight w:val="none"/>
          <w:lang w:val="en-US" w:eastAsia="zh-CN"/>
        </w:rPr>
        <w:t>30</w:t>
      </w:r>
      <w:r>
        <w:rPr>
          <w:rFonts w:hint="eastAsia"/>
          <w:sz w:val="24"/>
          <w:szCs w:val="24"/>
          <w:highlight w:val="none"/>
        </w:rPr>
        <w:t>分</w:t>
      </w:r>
      <w:r>
        <w:rPr>
          <w:rFonts w:hint="eastAsia"/>
          <w:sz w:val="24"/>
          <w:szCs w:val="24"/>
        </w:rPr>
        <w:t>，南通市旅游中等专业学校仁恒楼二楼会议室。</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有意愿参与本项目磋商响应的单位，请于本公告发布日起至磋商响应截</w:t>
      </w:r>
      <w:r>
        <w:rPr>
          <w:rFonts w:hint="eastAsia" w:asciiTheme="minorEastAsia" w:hAnsiTheme="minorEastAsia" w:eastAsiaTheme="minorEastAsia" w:cstheme="minorEastAsia"/>
          <w:kern w:val="0"/>
          <w:sz w:val="24"/>
          <w:szCs w:val="24"/>
          <w:highlight w:val="none"/>
        </w:rPr>
        <w:t>止前，到“</w:t>
      </w:r>
      <w:r>
        <w:rPr>
          <w:rFonts w:hint="eastAsia" w:asciiTheme="minorEastAsia" w:hAnsiTheme="minorEastAsia" w:eastAsiaTheme="minorEastAsia" w:cstheme="minorEastAsia"/>
          <w:kern w:val="0"/>
          <w:sz w:val="24"/>
          <w:szCs w:val="24"/>
          <w:highlight w:val="none"/>
          <w:lang w:val="en-US" w:eastAsia="zh-CN"/>
        </w:rPr>
        <w:t>南通市教育局网</w:t>
      </w:r>
      <w:r>
        <w:rPr>
          <w:rFonts w:hint="eastAsia" w:asciiTheme="minorEastAsia" w:hAnsiTheme="minorEastAsia" w:eastAsiaTheme="minorEastAsia" w:cstheme="minorEastAsia"/>
          <w:kern w:val="0"/>
          <w:sz w:val="24"/>
          <w:szCs w:val="24"/>
          <w:highlight w:val="none"/>
          <w:lang w:eastAsia="zh-CN"/>
        </w:rPr>
        <w:t>”</w:t>
      </w:r>
      <w:r>
        <w:rPr>
          <w:rFonts w:hint="eastAsia" w:asciiTheme="minorEastAsia" w:hAnsiTheme="minorEastAsia" w:eastAsiaTheme="minorEastAsia" w:cstheme="minorEastAsia"/>
          <w:kern w:val="0"/>
          <w:sz w:val="24"/>
          <w:szCs w:val="24"/>
          <w:highlight w:val="none"/>
        </w:rPr>
        <w:t>(http://jyj.nantong.gov.cn/)</w:t>
      </w:r>
      <w:r>
        <w:rPr>
          <w:rFonts w:hint="eastAsia" w:asciiTheme="minorEastAsia" w:hAnsiTheme="minorEastAsia" w:eastAsiaTheme="minorEastAsia" w:cstheme="minorEastAsia"/>
          <w:kern w:val="0"/>
          <w:sz w:val="24"/>
          <w:szCs w:val="24"/>
          <w:highlight w:val="none"/>
          <w:lang w:val="en-US" w:eastAsia="zh-CN"/>
        </w:rPr>
        <w:t>和“南通市旅游中等专业学校官网”</w:t>
      </w:r>
      <w:r>
        <w:rPr>
          <w:rFonts w:hint="eastAsia" w:asciiTheme="minorEastAsia" w:hAnsiTheme="minorEastAsia" w:eastAsiaTheme="minorEastAsia" w:cstheme="minorEastAsia"/>
          <w:kern w:val="0"/>
          <w:sz w:val="24"/>
          <w:szCs w:val="24"/>
          <w:highlight w:val="none"/>
        </w:rPr>
        <w:t>下载本项</w:t>
      </w:r>
      <w:r>
        <w:rPr>
          <w:rFonts w:hint="eastAsia" w:asciiTheme="minorEastAsia" w:hAnsiTheme="minorEastAsia" w:eastAsiaTheme="minorEastAsia" w:cstheme="minorEastAsia"/>
          <w:kern w:val="0"/>
          <w:sz w:val="24"/>
          <w:szCs w:val="24"/>
        </w:rPr>
        <w:t>目的磋商文件。</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lang w:val="en-US" w:eastAsia="zh-CN"/>
        </w:rPr>
        <w:t>4</w:t>
      </w:r>
      <w:r>
        <w:rPr>
          <w:rFonts w:hint="eastAsia"/>
          <w:sz w:val="24"/>
          <w:szCs w:val="24"/>
          <w:lang w:eastAsia="zh-CN"/>
        </w:rPr>
        <w:t>、</w:t>
      </w:r>
      <w:r>
        <w:rPr>
          <w:rFonts w:hint="eastAsia"/>
          <w:sz w:val="24"/>
          <w:szCs w:val="24"/>
        </w:rPr>
        <w:t>本招标项目联系事项</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采购单位：南通市旅游中等专业学校</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 xml:space="preserve">联系人：金建明 </w:t>
      </w:r>
      <w:r>
        <w:rPr>
          <w:rFonts w:hint="eastAsia"/>
          <w:sz w:val="24"/>
          <w:szCs w:val="24"/>
          <w:lang w:val="en-US" w:eastAsia="zh-CN"/>
        </w:rPr>
        <w:t xml:space="preserve">  </w:t>
      </w:r>
      <w:r>
        <w:rPr>
          <w:rFonts w:hint="eastAsia"/>
          <w:sz w:val="24"/>
          <w:szCs w:val="24"/>
        </w:rPr>
        <w:t>朱健忠</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联系电话：0513-85716119</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代理机构：江苏大成工程咨询有限公司</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联系人：江  工</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color w:val="000000"/>
        </w:rPr>
      </w:pPr>
      <w:r>
        <w:rPr>
          <w:rFonts w:hint="eastAsia"/>
          <w:sz w:val="24"/>
          <w:szCs w:val="24"/>
        </w:rPr>
        <w:t>联系电话：16651730763</w:t>
      </w:r>
    </w:p>
    <w:p>
      <w:pPr>
        <w:pStyle w:val="3"/>
        <w:snapToGrid w:val="0"/>
        <w:spacing w:before="0" w:after="0" w:line="360" w:lineRule="auto"/>
        <w:rPr>
          <w:rFonts w:hint="eastAsia"/>
          <w:color w:val="000000"/>
        </w:rPr>
      </w:pPr>
      <w:bookmarkStart w:id="6" w:name="_Toc488504848"/>
    </w:p>
    <w:p>
      <w:pPr>
        <w:pStyle w:val="3"/>
        <w:snapToGrid w:val="0"/>
        <w:spacing w:before="0" w:after="0" w:line="360" w:lineRule="auto"/>
        <w:rPr>
          <w:rFonts w:hint="eastAsia"/>
          <w:color w:val="000000"/>
        </w:rPr>
      </w:pPr>
    </w:p>
    <w:p>
      <w:pPr>
        <w:pStyle w:val="3"/>
        <w:snapToGrid w:val="0"/>
        <w:spacing w:before="0" w:after="0" w:line="360" w:lineRule="auto"/>
        <w:rPr>
          <w:rFonts w:hint="eastAsia"/>
          <w:color w:val="000000"/>
        </w:rPr>
      </w:pPr>
    </w:p>
    <w:p>
      <w:pPr>
        <w:pStyle w:val="3"/>
        <w:snapToGrid w:val="0"/>
        <w:spacing w:before="0" w:after="0" w:line="360" w:lineRule="auto"/>
        <w:jc w:val="both"/>
        <w:rPr>
          <w:rFonts w:hint="eastAsia"/>
          <w:color w:val="000000"/>
        </w:rPr>
      </w:pPr>
    </w:p>
    <w:p>
      <w:pPr>
        <w:pStyle w:val="3"/>
        <w:snapToGrid w:val="0"/>
        <w:spacing w:before="0" w:after="0" w:line="360" w:lineRule="auto"/>
        <w:rPr>
          <w:rFonts w:hint="eastAsia"/>
          <w:color w:val="000000"/>
        </w:rPr>
      </w:pPr>
      <w:bookmarkStart w:id="7" w:name="_Toc14650"/>
    </w:p>
    <w:p>
      <w:pPr>
        <w:pStyle w:val="3"/>
        <w:snapToGrid w:val="0"/>
        <w:spacing w:before="0" w:after="0" w:line="360" w:lineRule="auto"/>
        <w:rPr>
          <w:rFonts w:hint="eastAsia"/>
          <w:color w:val="000000"/>
        </w:rPr>
      </w:pPr>
    </w:p>
    <w:p>
      <w:pPr>
        <w:pStyle w:val="3"/>
        <w:snapToGrid w:val="0"/>
        <w:spacing w:before="0" w:after="0" w:line="360" w:lineRule="auto"/>
        <w:rPr>
          <w:rFonts w:hint="eastAsia"/>
          <w:color w:val="000000"/>
        </w:rPr>
      </w:pPr>
    </w:p>
    <w:p>
      <w:pPr>
        <w:pStyle w:val="3"/>
        <w:snapToGrid w:val="0"/>
        <w:spacing w:before="0" w:after="0" w:line="360" w:lineRule="auto"/>
        <w:rPr>
          <w:rFonts w:hint="eastAsia"/>
          <w:color w:val="000000"/>
        </w:rPr>
      </w:pPr>
    </w:p>
    <w:p>
      <w:pPr>
        <w:pStyle w:val="3"/>
        <w:snapToGrid w:val="0"/>
        <w:spacing w:before="0" w:after="0" w:line="360" w:lineRule="auto"/>
        <w:jc w:val="both"/>
        <w:rPr>
          <w:rFonts w:hint="eastAsia"/>
          <w:color w:val="000000"/>
        </w:rPr>
      </w:pPr>
    </w:p>
    <w:p>
      <w:pPr>
        <w:pStyle w:val="3"/>
        <w:snapToGrid w:val="0"/>
        <w:spacing w:before="0" w:after="0" w:line="360" w:lineRule="auto"/>
        <w:rPr>
          <w:color w:val="000000"/>
        </w:rPr>
      </w:pPr>
      <w:r>
        <w:rPr>
          <w:rFonts w:hint="eastAsia"/>
          <w:color w:val="000000"/>
        </w:rPr>
        <w:t>第二章</w:t>
      </w:r>
      <w:r>
        <w:rPr>
          <w:color w:val="000000"/>
        </w:rPr>
        <w:t xml:space="preserve">  </w:t>
      </w:r>
      <w:r>
        <w:rPr>
          <w:rFonts w:hint="eastAsia"/>
          <w:color w:val="000000"/>
        </w:rPr>
        <w:t>磋商供应商须知</w:t>
      </w:r>
      <w:bookmarkEnd w:id="6"/>
      <w:bookmarkEnd w:id="7"/>
    </w:p>
    <w:p>
      <w:pPr>
        <w:spacing w:line="360" w:lineRule="auto"/>
        <w:jc w:val="left"/>
        <w:rPr>
          <w:b/>
          <w:sz w:val="24"/>
          <w:szCs w:val="24"/>
        </w:rPr>
      </w:pPr>
      <w:r>
        <w:rPr>
          <w:rFonts w:hint="eastAsia"/>
          <w:b/>
          <w:sz w:val="24"/>
          <w:szCs w:val="24"/>
        </w:rPr>
        <w:t>一、说明</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本竞争性磋商文件仅适用于南通市旅游中等专业学校食堂服务商资格准入项目采购活动。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本次竞争性磋商活动及因本次招标产生的合同受中国法律制约和保护。</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本次竞争性磋商文件的解释权属于南通市旅游中等专业学校。</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下载磋商文件后，应仔细检查磋商文件的所有内容，如有内容或页码残缺、资格要求和技术参数含有倾向性或排他性等表述的，请在磋商文件发布后4个工作日内，以书面形式提出询问或疑问，未在规定时间内提出询问或疑问的，视同供应商理解并接受本磋商文件所有内容，并由此引起的损失自负。供应商不得在响应结束后针对磋商文件所有内容提出质疑事项。非书面形式的不作为日后质疑提出的依据。</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5</w:t>
      </w:r>
      <w:r>
        <w:rPr>
          <w:rFonts w:hint="eastAsia"/>
          <w:sz w:val="24"/>
          <w:szCs w:val="24"/>
          <w:lang w:eastAsia="zh-CN"/>
        </w:rPr>
        <w:t>、</w:t>
      </w:r>
      <w:r>
        <w:rPr>
          <w:rFonts w:hint="eastAsia"/>
          <w:sz w:val="24"/>
          <w:szCs w:val="24"/>
        </w:rPr>
        <w:t>供应商应认真审阅磋商文件中所有的事项、格式、条款和规范要求等，如果供应商没有按照磋商文件要求提交响应文件，或者响应文件没有对磋商文件做出实质性响应，其响应将被拒绝，应由供应商自行承担。</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6</w:t>
      </w:r>
      <w:r>
        <w:rPr>
          <w:rFonts w:hint="eastAsia"/>
          <w:sz w:val="24"/>
          <w:szCs w:val="24"/>
          <w:lang w:eastAsia="zh-CN"/>
        </w:rPr>
        <w:t>、</w:t>
      </w:r>
      <w:r>
        <w:rPr>
          <w:rFonts w:hint="eastAsia"/>
          <w:sz w:val="24"/>
          <w:szCs w:val="24"/>
        </w:rPr>
        <w:t>磋商文件项目需求中所涉及的要求，供应商在磋商响应文件中应满足招标人的需要。</w:t>
      </w:r>
    </w:p>
    <w:p>
      <w:pPr>
        <w:spacing w:line="360" w:lineRule="auto"/>
        <w:jc w:val="left"/>
        <w:rPr>
          <w:rFonts w:hint="eastAsia"/>
          <w:b/>
          <w:sz w:val="24"/>
          <w:szCs w:val="24"/>
        </w:rPr>
      </w:pPr>
      <w:r>
        <w:rPr>
          <w:rFonts w:hint="eastAsia"/>
          <w:b/>
          <w:sz w:val="24"/>
          <w:szCs w:val="24"/>
        </w:rPr>
        <w:t>二、磋商文件的澄清、修改、答疑</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招标人有权对发出的磋商文件进行必要的澄清、修改或补充。</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磋商文件的澄清、修改、补充等内容均以书面明确的形式发布，并以南通市旅游中等专业学校官网发布的信息为准。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lang w:val="en-US" w:eastAsia="zh-CN"/>
        </w:rPr>
        <w:t>3</w:t>
      </w:r>
      <w:r>
        <w:rPr>
          <w:rFonts w:hint="eastAsia"/>
          <w:sz w:val="24"/>
          <w:szCs w:val="24"/>
          <w:lang w:eastAsia="zh-CN"/>
        </w:rPr>
        <w:t>、</w:t>
      </w:r>
      <w:r>
        <w:rPr>
          <w:rFonts w:hint="eastAsia"/>
          <w:sz w:val="24"/>
          <w:szCs w:val="24"/>
        </w:rPr>
        <w:t>招标人对磋商文件的澄清、修改将构成磋商文件的一部分，对响应竞争性磋商的供应商具有约束力。</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w:t>
      </w:r>
      <w:r>
        <w:rPr>
          <w:rFonts w:hint="eastAsia"/>
          <w:sz w:val="24"/>
          <w:szCs w:val="24"/>
          <w:lang w:eastAsia="zh-CN"/>
        </w:rPr>
        <w:t>、</w:t>
      </w:r>
      <w:r>
        <w:rPr>
          <w:rFonts w:hint="eastAsia"/>
          <w:sz w:val="24"/>
          <w:szCs w:val="24"/>
        </w:rPr>
        <w:t>澄清或者修改的内容可能影响到响应文件编制的，招标人将在提交响应文件接收截止之日的5日前，发布澄清或者修改公告，不足5日的，当顺延提交响应文件接收截止之日。</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5</w:t>
      </w:r>
      <w:r>
        <w:rPr>
          <w:rFonts w:hint="eastAsia"/>
          <w:sz w:val="24"/>
          <w:szCs w:val="24"/>
          <w:lang w:eastAsia="zh-CN"/>
        </w:rPr>
        <w:t>、</w:t>
      </w:r>
      <w:r>
        <w:rPr>
          <w:rFonts w:hint="eastAsia"/>
          <w:sz w:val="24"/>
          <w:szCs w:val="24"/>
        </w:rPr>
        <w:t>除非招标人以书面的形式对磋商文件做出澄清、修改及补充，供应商对涉及磋商文件的任何推论、理解和结论所造成的结果，均由供应商自负。</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6</w:t>
      </w:r>
      <w:r>
        <w:rPr>
          <w:rFonts w:hint="eastAsia"/>
          <w:sz w:val="24"/>
          <w:szCs w:val="24"/>
          <w:lang w:eastAsia="zh-CN"/>
        </w:rPr>
        <w:t>、</w:t>
      </w:r>
      <w:r>
        <w:rPr>
          <w:rFonts w:hint="eastAsia"/>
          <w:sz w:val="24"/>
          <w:szCs w:val="24"/>
        </w:rPr>
        <w:t>招标采购单位视情组织答疑会。如有产生答疑且对磋商文件内容有修改，招标人将按照本须知有关规定，以补充通知（公告）的方式发出。</w:t>
      </w:r>
    </w:p>
    <w:p>
      <w:pPr>
        <w:spacing w:line="360" w:lineRule="auto"/>
        <w:jc w:val="left"/>
        <w:rPr>
          <w:rFonts w:hint="eastAsia"/>
          <w:b/>
          <w:sz w:val="24"/>
          <w:szCs w:val="24"/>
        </w:rPr>
      </w:pPr>
      <w:r>
        <w:rPr>
          <w:rFonts w:hint="eastAsia"/>
          <w:b/>
          <w:sz w:val="24"/>
          <w:szCs w:val="24"/>
        </w:rPr>
        <w:t>三、磋商项目涉及到的现场勘察</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根据自身需要，供应商可在响应文件递交之日前对有关现场和周围环境进行勘察，以获取编制响应文件和签署合同所需的信息。勘察现场所发生的费用由供应商自己承担。</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招标人向供应商提供的有关现场的资料和数据，是招标人现有的并认为能使供应商可利用的资料。招标人对供应商由此而做出的推论、理解和结论概不负责。</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经招标人允许，供应商可为勘察目的进入招标人的项目现场，但供应商不得因此使招标人承担有关的责任和蒙受损失。供应商应承担勘察现场的责任和风险。</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应认真踏勘现场。在现场勘察时，熟悉现场及周围交通道路等情况，以获得一切可能影响磋商的直接资料。供应商参与项目磋商并中标后，不得以不完全了解现场情况为理由而向招标人提出任何索赔的要求，对此招标人不承担任何责任并将不作任何答复与考虑。</w:t>
      </w:r>
    </w:p>
    <w:p>
      <w:pPr>
        <w:spacing w:line="360" w:lineRule="auto"/>
        <w:jc w:val="left"/>
        <w:rPr>
          <w:rFonts w:hint="eastAsia"/>
          <w:b/>
          <w:sz w:val="24"/>
          <w:szCs w:val="24"/>
        </w:rPr>
      </w:pPr>
      <w:r>
        <w:rPr>
          <w:rFonts w:hint="eastAsia"/>
          <w:b/>
          <w:sz w:val="24"/>
          <w:szCs w:val="24"/>
        </w:rPr>
        <w:t>四、响应文件的编写及装订</w:t>
      </w:r>
    </w:p>
    <w:p>
      <w:pPr>
        <w:spacing w:line="360" w:lineRule="auto"/>
        <w:jc w:val="left"/>
        <w:rPr>
          <w:rFonts w:hint="eastAsia"/>
          <w:b/>
          <w:sz w:val="24"/>
          <w:szCs w:val="24"/>
        </w:rPr>
      </w:pPr>
      <w:r>
        <w:rPr>
          <w:rFonts w:hint="eastAsia"/>
          <w:b/>
          <w:sz w:val="24"/>
          <w:szCs w:val="24"/>
        </w:rPr>
        <w:t>（一）供应商磋商响应文件应包括下列内容：</w:t>
      </w:r>
    </w:p>
    <w:p>
      <w:pPr>
        <w:spacing w:line="360" w:lineRule="auto"/>
        <w:jc w:val="left"/>
        <w:rPr>
          <w:rFonts w:hint="eastAsia"/>
          <w:b/>
          <w:sz w:val="24"/>
          <w:szCs w:val="24"/>
        </w:rPr>
      </w:pPr>
      <w:r>
        <w:rPr>
          <w:rFonts w:hint="eastAsia"/>
          <w:b/>
          <w:sz w:val="24"/>
          <w:szCs w:val="24"/>
        </w:rPr>
        <w:t>A、原件包（核查，格式参见第七章）</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lang w:val="zh-CN"/>
        </w:rPr>
      </w:pPr>
      <w:r>
        <w:rPr>
          <w:rFonts w:hint="eastAsia"/>
          <w:sz w:val="24"/>
          <w:szCs w:val="24"/>
          <w:lang w:val="zh-CN"/>
        </w:rPr>
        <w:t>【特别提醒】未携带要求的原件或因携带原件不齐全而引起的后果，由供应商自负。（请将复印件加盖单位公章后编排目录页码装订密封、以便在开标前审查）</w:t>
      </w:r>
    </w:p>
    <w:p>
      <w:pPr>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1、营业执照副本原件；</w:t>
      </w:r>
    </w:p>
    <w:p>
      <w:pPr>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2、供应商餐饮服务许可证；</w:t>
      </w:r>
    </w:p>
    <w:p>
      <w:pPr>
        <w:adjustRightInd w:val="0"/>
        <w:snapToGrid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3、技术响应文件中所涉及的事项需提供的证明资料。</w:t>
      </w:r>
    </w:p>
    <w:p>
      <w:pPr>
        <w:spacing w:line="360" w:lineRule="auto"/>
        <w:jc w:val="left"/>
        <w:rPr>
          <w:rFonts w:hint="eastAsia"/>
          <w:b/>
          <w:sz w:val="24"/>
          <w:szCs w:val="24"/>
        </w:rPr>
      </w:pPr>
      <w:r>
        <w:rPr>
          <w:rFonts w:hint="eastAsia"/>
          <w:b/>
          <w:sz w:val="24"/>
          <w:szCs w:val="24"/>
        </w:rPr>
        <w:t>B、资格后审资料文件包（格式参见第七章）</w:t>
      </w: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zh-CN"/>
        </w:rPr>
        <w:t>1</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营业执照副本复印件</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须加盖公章</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w:t>
      </w: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zh-CN"/>
        </w:rPr>
        <w:t>2</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供应商餐饮服务许可证复印件（原件备查</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须加盖公章）；</w:t>
      </w: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en-US" w:eastAsia="zh-CN"/>
        </w:rPr>
        <w:t>3、</w:t>
      </w:r>
      <w:r>
        <w:rPr>
          <w:rFonts w:hint="eastAsia" w:ascii="宋体" w:hAnsi="宋体" w:cs="宋体"/>
          <w:color w:val="000000"/>
          <w:sz w:val="24"/>
          <w:szCs w:val="24"/>
          <w:lang w:val="zh-CN"/>
        </w:rPr>
        <w:t>磋商公告供应商资格要求材料；</w:t>
      </w: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en-US" w:eastAsia="zh-CN"/>
        </w:rPr>
        <w:t>4、</w:t>
      </w:r>
      <w:r>
        <w:rPr>
          <w:rFonts w:hint="eastAsia" w:ascii="宋体" w:hAnsi="宋体" w:cs="宋体"/>
          <w:color w:val="000000"/>
          <w:sz w:val="24"/>
          <w:szCs w:val="24"/>
          <w:lang w:val="zh-CN"/>
        </w:rPr>
        <w:t>提供磋商文件第七章磋商响应文件格式中“三、B.B.2”中的“资格后审资料文件相关的格式文件及表格”中可能涉及到的相关内容，如：（1）法定代表人身份证明；（2）授权委托书；（3）关于资格文件的声明函</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须加盖公章</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w:t>
      </w:r>
    </w:p>
    <w:p>
      <w:pPr>
        <w:spacing w:line="360" w:lineRule="auto"/>
        <w:jc w:val="left"/>
        <w:rPr>
          <w:rFonts w:hint="eastAsia"/>
          <w:b/>
          <w:sz w:val="24"/>
          <w:szCs w:val="24"/>
        </w:rPr>
      </w:pPr>
      <w:r>
        <w:rPr>
          <w:rFonts w:hint="eastAsia"/>
          <w:b/>
          <w:sz w:val="24"/>
          <w:szCs w:val="24"/>
        </w:rPr>
        <w:t>C、技术磋商响应文件（不能出现报价，单独密封）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【特别提醒】以下技术标磋商响应文件的内容，不得有缺项或漏项。否则将有可能被视为未实质性响应磋商文件要求而作无效投标处理。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竞争性磋商响应函（格式参见第七章）；</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公司规模、信誉与认证；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公司业绩证明；</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w:t>
      </w:r>
      <w:r>
        <w:rPr>
          <w:rFonts w:hint="eastAsia"/>
          <w:sz w:val="24"/>
          <w:szCs w:val="24"/>
          <w:lang w:eastAsia="zh-CN"/>
        </w:rPr>
        <w:t>、</w:t>
      </w:r>
      <w:r>
        <w:rPr>
          <w:rFonts w:hint="eastAsia"/>
          <w:sz w:val="24"/>
          <w:szCs w:val="24"/>
        </w:rPr>
        <w:t>管理制度；</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5</w:t>
      </w:r>
      <w:r>
        <w:rPr>
          <w:rFonts w:hint="eastAsia"/>
          <w:sz w:val="24"/>
          <w:szCs w:val="24"/>
          <w:lang w:eastAsia="zh-CN"/>
        </w:rPr>
        <w:t>、</w:t>
      </w:r>
      <w:r>
        <w:rPr>
          <w:rFonts w:hint="eastAsia"/>
          <w:sz w:val="24"/>
          <w:szCs w:val="24"/>
        </w:rPr>
        <w:t>提供服务人员专业性；</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6</w:t>
      </w:r>
      <w:r>
        <w:rPr>
          <w:rFonts w:hint="eastAsia"/>
          <w:sz w:val="24"/>
          <w:szCs w:val="24"/>
          <w:lang w:eastAsia="zh-CN"/>
        </w:rPr>
        <w:t>、</w:t>
      </w:r>
      <w:r>
        <w:rPr>
          <w:rFonts w:hint="eastAsia"/>
          <w:sz w:val="24"/>
          <w:szCs w:val="24"/>
        </w:rPr>
        <w:t>食物安全控制措施；</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7</w:t>
      </w:r>
      <w:r>
        <w:rPr>
          <w:rFonts w:hint="eastAsia"/>
          <w:sz w:val="24"/>
          <w:szCs w:val="24"/>
          <w:lang w:eastAsia="zh-CN"/>
        </w:rPr>
        <w:t>、</w:t>
      </w:r>
      <w:r>
        <w:rPr>
          <w:rFonts w:hint="eastAsia"/>
          <w:sz w:val="24"/>
          <w:szCs w:val="24"/>
        </w:rPr>
        <w:t>食物安全应急预案；</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8</w:t>
      </w:r>
      <w:r>
        <w:rPr>
          <w:rFonts w:hint="eastAsia"/>
          <w:sz w:val="24"/>
          <w:szCs w:val="24"/>
          <w:lang w:eastAsia="zh-CN"/>
        </w:rPr>
        <w:t>、</w:t>
      </w:r>
      <w:r>
        <w:rPr>
          <w:rFonts w:hint="eastAsia"/>
          <w:sz w:val="24"/>
          <w:szCs w:val="24"/>
        </w:rPr>
        <w:t>评标办法中所涉及的事项需提供的证明资料；</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9</w:t>
      </w:r>
      <w:r>
        <w:rPr>
          <w:rFonts w:hint="eastAsia"/>
          <w:sz w:val="24"/>
          <w:szCs w:val="24"/>
          <w:lang w:eastAsia="zh-CN"/>
        </w:rPr>
        <w:t>、</w:t>
      </w:r>
      <w:r>
        <w:rPr>
          <w:rFonts w:hint="eastAsia"/>
          <w:sz w:val="24"/>
          <w:szCs w:val="24"/>
        </w:rPr>
        <w:t>评标办法中未涉及的事项，供应商认为需要提交的其他资料。</w:t>
      </w:r>
    </w:p>
    <w:p>
      <w:pPr>
        <w:spacing w:line="360" w:lineRule="auto"/>
        <w:jc w:val="left"/>
        <w:rPr>
          <w:rFonts w:hint="eastAsia"/>
          <w:b/>
          <w:sz w:val="24"/>
          <w:szCs w:val="24"/>
        </w:rPr>
      </w:pPr>
      <w:r>
        <w:rPr>
          <w:rFonts w:hint="eastAsia"/>
          <w:b/>
          <w:sz w:val="24"/>
          <w:szCs w:val="24"/>
        </w:rPr>
        <w:t>D、商务报价磋商响应文件（格式参见第七章，不得出现在技术标部分）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磋商响应报价总表（格式参见第七章）；</w:t>
      </w:r>
    </w:p>
    <w:p>
      <w:pPr>
        <w:spacing w:line="360" w:lineRule="auto"/>
        <w:jc w:val="left"/>
        <w:rPr>
          <w:rFonts w:hint="eastAsia"/>
          <w:b/>
          <w:sz w:val="24"/>
          <w:szCs w:val="24"/>
        </w:rPr>
      </w:pPr>
      <w:r>
        <w:rPr>
          <w:rFonts w:hint="eastAsia"/>
          <w:b/>
          <w:sz w:val="24"/>
          <w:szCs w:val="24"/>
        </w:rPr>
        <w:t>（二）磋商响应文件的编制及装订</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供应商按磋商响应文件组成顺序编写响应文件，并牢固装订成册。磋商响应文件均需采用A4纸（图纸等除外），不允许使用活页夹、拉杆夹、文件夹、塑料方便式书脊（插入式或穿孔式）装订。磋商响应文件不得行间插字、涂改、增删，如修改错漏处，须经磋商响应文件签署人签字并加盖公章。</w:t>
      </w:r>
    </w:p>
    <w:p>
      <w:pPr>
        <w:spacing w:line="360" w:lineRule="auto"/>
        <w:jc w:val="left"/>
        <w:rPr>
          <w:rFonts w:hint="eastAsia"/>
          <w:b/>
          <w:sz w:val="24"/>
          <w:szCs w:val="24"/>
        </w:rPr>
      </w:pPr>
      <w:r>
        <w:rPr>
          <w:rFonts w:hint="eastAsia"/>
          <w:b/>
          <w:sz w:val="24"/>
          <w:szCs w:val="24"/>
        </w:rPr>
        <w:t>五、磋商响应文件的份数和签署</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磋商响应文件由：①原件包、②资格后审资料文件包、③技术磋商响应文件、④商务报价磋商响应文件，共4部分组成（以下由文件序号代称）。</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磋商响应文件中，除“①原件包”外，其余均为1份“正本”和2份“副本”。</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在每份磋商响应文件上要明确标注项目名称、项目编号、对应的磋商响应文件名称、招标人的全称、日期、“正本”、“副本”字样。“正本”和“副本”若有差异，概以“正本”为准。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w:t>
      </w:r>
      <w:r>
        <w:rPr>
          <w:rFonts w:hint="eastAsia"/>
          <w:sz w:val="24"/>
          <w:szCs w:val="24"/>
          <w:lang w:eastAsia="zh-CN"/>
        </w:rPr>
        <w:t>、</w:t>
      </w:r>
      <w:r>
        <w:rPr>
          <w:rFonts w:hint="eastAsia"/>
          <w:sz w:val="24"/>
          <w:szCs w:val="24"/>
        </w:rPr>
        <w:t>磋商响应文件中的所有“正本”，须为打印的，其正文内容由供应商法定代表人或受权人签字（或盖章）并加盖公章。“副本”可复印，但尚须加盖公章。</w:t>
      </w:r>
    </w:p>
    <w:p>
      <w:pPr>
        <w:spacing w:line="360" w:lineRule="auto"/>
        <w:jc w:val="left"/>
        <w:rPr>
          <w:rFonts w:hint="eastAsia"/>
          <w:b/>
          <w:sz w:val="24"/>
          <w:szCs w:val="24"/>
        </w:rPr>
      </w:pPr>
      <w:r>
        <w:rPr>
          <w:rFonts w:hint="eastAsia"/>
          <w:b/>
          <w:sz w:val="24"/>
          <w:szCs w:val="24"/>
        </w:rPr>
        <w:t>六、磋商响应文件的密封及标记</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供应商须将本项目磋商响应文件：①、②、③、④单独密封。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密封后，应在每一密封的磋商响应文件上明确标注招标项目名称、项目编号、磋商响应文件各自对应的名称、供应商的全称及日期。</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在边缝处加盖供应商公章，可注明于开标前不得启封。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color w:val="000000"/>
          <w:sz w:val="24"/>
          <w:szCs w:val="24"/>
        </w:rPr>
      </w:pPr>
      <w:r>
        <w:rPr>
          <w:rFonts w:hint="eastAsia"/>
          <w:sz w:val="24"/>
          <w:szCs w:val="24"/>
        </w:rPr>
        <w:t>【特别提醒】磋商响应文件中的①</w:t>
      </w:r>
      <w:r>
        <w:rPr>
          <w:rFonts w:hint="eastAsia"/>
          <w:sz w:val="24"/>
          <w:szCs w:val="24"/>
          <w:lang w:eastAsia="zh-CN"/>
        </w:rPr>
        <w:t>、</w:t>
      </w:r>
      <w:r>
        <w:rPr>
          <w:rFonts w:hint="eastAsia"/>
          <w:sz w:val="24"/>
          <w:szCs w:val="24"/>
        </w:rPr>
        <w:t>②、③的“正本”或“副本”中，均不得含有商务报价响应文件中报价表（报价单）内的任何项目价格，否则作废标处理。</w:t>
      </w:r>
    </w:p>
    <w:p>
      <w:pPr>
        <w:spacing w:line="360" w:lineRule="auto"/>
        <w:jc w:val="left"/>
        <w:rPr>
          <w:rFonts w:hint="eastAsia"/>
          <w:b/>
          <w:sz w:val="24"/>
          <w:szCs w:val="24"/>
        </w:rPr>
      </w:pPr>
      <w:r>
        <w:rPr>
          <w:rFonts w:hint="eastAsia"/>
          <w:b/>
          <w:sz w:val="24"/>
          <w:szCs w:val="24"/>
        </w:rPr>
        <w:t>七、投标报价</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本项目不接受任何有选择的报价。</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 xml:space="preserve">招标响应报价均以人民币为报价的货币单位。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报价表必须加盖供应商公章且必须经法定代表人或被委托授权人签署。总价和明细价的大小写金额必须一致，若有差异，以大写为准。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ascii="宋体" w:cs="宋体"/>
          <w:b/>
          <w:color w:val="000000"/>
          <w:sz w:val="24"/>
          <w:szCs w:val="24"/>
        </w:rPr>
      </w:pPr>
      <w:r>
        <w:rPr>
          <w:rFonts w:hint="eastAsia"/>
          <w:sz w:val="24"/>
          <w:szCs w:val="24"/>
        </w:rPr>
        <w:t>4</w:t>
      </w:r>
      <w:r>
        <w:rPr>
          <w:rFonts w:hint="eastAsia"/>
          <w:sz w:val="24"/>
          <w:szCs w:val="24"/>
          <w:lang w:eastAsia="zh-CN"/>
        </w:rPr>
        <w:t>、</w:t>
      </w:r>
      <w:r>
        <w:rPr>
          <w:rFonts w:hint="eastAsia"/>
          <w:sz w:val="24"/>
          <w:szCs w:val="24"/>
        </w:rPr>
        <w:t>报价总价金额与按单价汇总金额不一致的，以单价金额计算结果为准。</w:t>
      </w:r>
    </w:p>
    <w:p>
      <w:pPr>
        <w:snapToGrid w:val="0"/>
        <w:spacing w:line="360" w:lineRule="auto"/>
        <w:ind w:firstLine="475" w:firstLineChars="198"/>
        <w:rPr>
          <w:rFonts w:ascii="宋体" w:cs="宋体"/>
          <w:sz w:val="24"/>
          <w:szCs w:val="24"/>
        </w:rPr>
      </w:pPr>
      <w:r>
        <w:rPr>
          <w:rFonts w:hint="eastAsia"/>
          <w:b w:val="0"/>
          <w:bCs w:val="0"/>
          <w:sz w:val="24"/>
          <w:szCs w:val="24"/>
        </w:rPr>
        <w:t>5</w:t>
      </w:r>
      <w:r>
        <w:rPr>
          <w:rFonts w:hint="eastAsia"/>
          <w:b w:val="0"/>
          <w:bCs w:val="0"/>
          <w:sz w:val="24"/>
          <w:szCs w:val="24"/>
          <w:lang w:eastAsia="zh-CN"/>
        </w:rPr>
        <w:t>、</w:t>
      </w:r>
      <w:r>
        <w:rPr>
          <w:rFonts w:hint="eastAsia"/>
          <w:b w:val="0"/>
          <w:bCs w:val="0"/>
          <w:sz w:val="24"/>
          <w:szCs w:val="24"/>
        </w:rPr>
        <w:t>投标响应报价的总价中应包含：人员工资、社保费用、管理费、税费及政策性文件规定和合同包含的所有风险、责任等各项应有费用。</w:t>
      </w:r>
      <w:r>
        <w:rPr>
          <w:rFonts w:hint="eastAsia"/>
          <w:b/>
          <w:bCs/>
          <w:sz w:val="24"/>
          <w:szCs w:val="24"/>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6</w:t>
      </w:r>
      <w:r>
        <w:rPr>
          <w:rFonts w:hint="eastAsia"/>
          <w:sz w:val="24"/>
          <w:szCs w:val="24"/>
          <w:lang w:eastAsia="zh-CN"/>
        </w:rPr>
        <w:t>、</w:t>
      </w:r>
      <w:r>
        <w:rPr>
          <w:rFonts w:hint="eastAsia"/>
          <w:sz w:val="24"/>
          <w:szCs w:val="24"/>
        </w:rPr>
        <w:t>最终报价将作为招标小组评定中标供应商的依据。除非因特殊原因并经买卖双方协商同意，供应商不得再要求追加任何费用。同时，除非合同条款中另有规定，否则，供应商的最终中标价在合同实施期间不因市场变化因素而变动。</w:t>
      </w:r>
    </w:p>
    <w:p>
      <w:pPr>
        <w:spacing w:line="360" w:lineRule="auto"/>
        <w:jc w:val="left"/>
        <w:rPr>
          <w:rFonts w:hint="eastAsia"/>
          <w:b/>
          <w:sz w:val="24"/>
          <w:szCs w:val="24"/>
        </w:rPr>
      </w:pPr>
      <w:r>
        <w:rPr>
          <w:rFonts w:hint="eastAsia"/>
          <w:b/>
          <w:sz w:val="24"/>
          <w:szCs w:val="24"/>
        </w:rPr>
        <w:t>八、联合体参与招标</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不接受任何形式的联合体参与本项目的招标。</w:t>
      </w:r>
    </w:p>
    <w:p>
      <w:pPr>
        <w:spacing w:line="360" w:lineRule="auto"/>
        <w:jc w:val="left"/>
        <w:rPr>
          <w:rFonts w:hint="eastAsia"/>
          <w:b/>
          <w:sz w:val="24"/>
          <w:szCs w:val="24"/>
        </w:rPr>
      </w:pPr>
      <w:r>
        <w:rPr>
          <w:rFonts w:hint="eastAsia"/>
          <w:b/>
          <w:sz w:val="24"/>
          <w:szCs w:val="24"/>
        </w:rPr>
        <w:t>九、磋商响应文件及招标费用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招标程序顺利进行后，除供应商的“原件包”可退回外，其余所有的磋商响应文件都将作为档案保存，不论中标与否，招标人均不退回。</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无论磋商过程和结果如何，参加项目磋商的供应商自行承担与本次项目招标有关的全部费用。</w:t>
      </w:r>
    </w:p>
    <w:p>
      <w:pPr>
        <w:spacing w:line="360" w:lineRule="auto"/>
        <w:outlineLvl w:val="1"/>
        <w:rPr>
          <w:rFonts w:hint="eastAsia"/>
          <w:b/>
          <w:color w:val="000000"/>
          <w:sz w:val="24"/>
          <w:szCs w:val="24"/>
        </w:rPr>
      </w:pPr>
      <w:r>
        <w:rPr>
          <w:rFonts w:hint="eastAsia"/>
          <w:b/>
          <w:color w:val="000000"/>
          <w:sz w:val="24"/>
          <w:szCs w:val="24"/>
        </w:rPr>
        <w:t>十、保证金退还</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招标人在磋商结束后及时退还供应商的保证金，但因供应商自身原因导致无法及时退还的除外。未中标供应商的保证金应当在中标通知书发出后5个工作日内原额退还，中标供应商的投标保证金转为履约保证金。</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发生下列情形之一的，保证金不予退还：</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（1）供应商在提交磋商响应文件截止时间后撤回磋商响应文件的；</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（2）供应商在响应文件中提供虚假材料的；</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（3）除因不可抗力或磋商文件认可的情形以外，中标供应商不与招标人签订合同的；</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（4）供应商与招标人、其他供应商恶意串通的；</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sz w:val="24"/>
          <w:szCs w:val="24"/>
        </w:rPr>
      </w:pPr>
      <w:r>
        <w:rPr>
          <w:rFonts w:hint="eastAsia"/>
          <w:sz w:val="24"/>
          <w:szCs w:val="24"/>
        </w:rPr>
        <w:t>（5）磋商文件规定的其他情形的。</w:t>
      </w:r>
    </w:p>
    <w:p>
      <w:pPr>
        <w:spacing w:line="360" w:lineRule="auto"/>
        <w:rPr>
          <w:b/>
          <w:sz w:val="24"/>
          <w:szCs w:val="24"/>
        </w:rPr>
      </w:pPr>
      <w:r>
        <w:rPr>
          <w:rFonts w:hint="eastAsia"/>
          <w:b/>
          <w:sz w:val="24"/>
          <w:szCs w:val="24"/>
        </w:rPr>
        <w:t>十一、未尽事宜</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rPr>
      </w:pPr>
      <w:r>
        <w:rPr>
          <w:rFonts w:hint="eastAsia"/>
          <w:sz w:val="24"/>
          <w:szCs w:val="24"/>
        </w:rPr>
        <w:t>按《中华人民共和国政府采购法》及《政府采购竞争性磋商采购方式管理暂行办法》与其他有关法律法规的规定执行。</w:t>
      </w:r>
      <w:bookmarkStart w:id="8" w:name="_Toc488504849"/>
      <w:bookmarkStart w:id="9" w:name="_Toc14440"/>
      <w:bookmarkStart w:id="10" w:name="_Toc363573855"/>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i/>
        </w:rPr>
      </w:pPr>
      <w:r>
        <w:rPr>
          <w:rFonts w:hint="eastAsia"/>
        </w:rPr>
        <w:t>第三章</w:t>
      </w:r>
      <w:r>
        <w:t xml:space="preserve">  </w:t>
      </w:r>
      <w:r>
        <w:rPr>
          <w:rFonts w:hint="eastAsia"/>
        </w:rPr>
        <w:t>项目需求</w:t>
      </w:r>
      <w:bookmarkEnd w:id="8"/>
      <w:bookmarkEnd w:id="9"/>
      <w:bookmarkEnd w:id="10"/>
    </w:p>
    <w:p>
      <w:pPr>
        <w:spacing w:line="360" w:lineRule="auto"/>
        <w:rPr>
          <w:rFonts w:hint="eastAsia"/>
          <w:b/>
          <w:sz w:val="24"/>
          <w:szCs w:val="24"/>
        </w:rPr>
      </w:pPr>
      <w:r>
        <w:rPr>
          <w:rFonts w:hint="eastAsia"/>
          <w:b/>
          <w:sz w:val="24"/>
          <w:szCs w:val="24"/>
        </w:rPr>
        <w:t>一、项目概况</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南通市旅游中等专业学校约有1100名师生，食堂建筑面积4227平方米，一楼学生食堂有10个窗口，二楼供应学生炒饭炒面2个窗口；教工餐厅位于二楼，主要供应午餐，另有大小包厢5个。为了加强学校食堂管理工作，贯彻南通市政府通政发［2015］49号文精神，更好地服务教育教学工作，决定通过竞争性磋商确定我校食堂服务供应商。</w:t>
      </w:r>
    </w:p>
    <w:p>
      <w:pPr>
        <w:spacing w:line="360" w:lineRule="auto"/>
        <w:rPr>
          <w:rFonts w:hint="eastAsia"/>
          <w:b/>
          <w:sz w:val="24"/>
          <w:szCs w:val="24"/>
        </w:rPr>
      </w:pPr>
      <w:r>
        <w:rPr>
          <w:rFonts w:hint="eastAsia"/>
          <w:b/>
          <w:sz w:val="24"/>
          <w:szCs w:val="24"/>
        </w:rPr>
        <w:t>二、项目需求</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供应商能够按照学校要求提供专业化的管理、规范化的操作，为校方食堂加工饭菜等工作提供服务，并对食堂食品安全卫生负责。</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供应商能够为学校食堂配足1</w:t>
      </w:r>
      <w:r>
        <w:rPr>
          <w:rFonts w:hint="eastAsia"/>
          <w:sz w:val="24"/>
          <w:szCs w:val="24"/>
          <w:lang w:val="en-US" w:eastAsia="zh-CN"/>
        </w:rPr>
        <w:t>3</w:t>
      </w:r>
      <w:r>
        <w:rPr>
          <w:rFonts w:hint="eastAsia"/>
          <w:sz w:val="24"/>
          <w:szCs w:val="24"/>
        </w:rPr>
        <w:t>名工作人员（其中包括项目经理1人，营养师1人，三级以上厨师3人，中西点心师1人，其余为勤杂工）。</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所有工作人员必须持有健康证，营养师和厨师持有相关等级证书。</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w:t>
      </w:r>
      <w:r>
        <w:rPr>
          <w:rFonts w:hint="eastAsia"/>
          <w:sz w:val="24"/>
          <w:szCs w:val="24"/>
          <w:lang w:eastAsia="zh-CN"/>
        </w:rPr>
        <w:t>、</w:t>
      </w:r>
      <w:r>
        <w:rPr>
          <w:rFonts w:hint="eastAsia"/>
          <w:sz w:val="24"/>
          <w:szCs w:val="24"/>
        </w:rPr>
        <w:t>食堂9月~11月中旬，约1110名师生用餐，其中住宿生590人，其余时间学校用餐人数约760人，住宿生有450人，早中晚三餐都需供餐。</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5</w:t>
      </w:r>
      <w:r>
        <w:rPr>
          <w:rFonts w:hint="eastAsia"/>
          <w:sz w:val="24"/>
          <w:szCs w:val="24"/>
          <w:lang w:eastAsia="zh-CN"/>
        </w:rPr>
        <w:t>、</w:t>
      </w:r>
      <w:r>
        <w:rPr>
          <w:rFonts w:hint="eastAsia"/>
          <w:sz w:val="24"/>
          <w:szCs w:val="24"/>
        </w:rPr>
        <w:t>菜品数量：早餐（含中西点）不少于10个品种，中（晚）餐（含中西点）不少于20个品种。</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6</w:t>
      </w:r>
      <w:r>
        <w:rPr>
          <w:rFonts w:hint="eastAsia"/>
          <w:sz w:val="24"/>
          <w:szCs w:val="24"/>
          <w:lang w:eastAsia="zh-CN"/>
        </w:rPr>
        <w:t>、</w:t>
      </w:r>
      <w:r>
        <w:rPr>
          <w:rFonts w:hint="eastAsia"/>
          <w:sz w:val="24"/>
          <w:szCs w:val="24"/>
        </w:rPr>
        <w:t>男工作人员年龄不超过65周岁，女工作人员年龄不超过55周岁。</w:t>
      </w:r>
    </w:p>
    <w:p>
      <w:pPr>
        <w:spacing w:line="360" w:lineRule="auto"/>
        <w:rPr>
          <w:rFonts w:hint="eastAsia"/>
          <w:b/>
          <w:sz w:val="24"/>
          <w:szCs w:val="24"/>
        </w:rPr>
      </w:pPr>
      <w:r>
        <w:rPr>
          <w:rFonts w:hint="eastAsia"/>
          <w:b/>
          <w:sz w:val="24"/>
          <w:szCs w:val="24"/>
        </w:rPr>
        <w:t>三、项目要求</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中标供应商成为我校食堂餐饮服务供应商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供应商与学校在本招标文件的框架内签定服务合同。</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服务人员与学校不存在雇佣等劳动关系；供应商应培训好服务从业人员，相关岗位需持证上岗，供应商所用全体工作人员的岗位职责、操作规范、人身安全、医疗、工资、各项保险、内部管理、各类纠纷等各项事宜及所涉及经费均由供应商自行负责，招标人概不负责。</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供应商在开展各类服务管理时，必须支持和配合学校开展工作，保证学校各项工作的正常运行，并接受学校相关部门的管理、指导、监督、考核。</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5</w:t>
      </w:r>
      <w:r>
        <w:rPr>
          <w:rFonts w:hint="eastAsia"/>
          <w:sz w:val="24"/>
          <w:szCs w:val="24"/>
          <w:lang w:eastAsia="zh-CN"/>
        </w:rPr>
        <w:t>、</w:t>
      </w:r>
      <w:r>
        <w:rPr>
          <w:rFonts w:hint="eastAsia"/>
          <w:sz w:val="24"/>
          <w:szCs w:val="24"/>
        </w:rPr>
        <w:t>供应商必须严格执行南通市用工工资标准的有关规定，并承担其雇员的劳动报酬、福利待遇、按劳动法交纳社会保险、劳动保护、工伤抚恤等用人费用，承担未正确执行劳动用工规定所产生的法律责任。维护和保障员工的合法权益。</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6</w:t>
      </w:r>
      <w:r>
        <w:rPr>
          <w:rFonts w:hint="eastAsia"/>
          <w:sz w:val="24"/>
          <w:szCs w:val="24"/>
          <w:lang w:eastAsia="zh-CN"/>
        </w:rPr>
        <w:t>、</w:t>
      </w:r>
      <w:r>
        <w:rPr>
          <w:rFonts w:hint="eastAsia"/>
          <w:sz w:val="24"/>
          <w:szCs w:val="24"/>
        </w:rPr>
        <w:t>妥善保管食堂设施、设备资料档案，设施设备管理完善，运行记录、值班记录完整、填写规范、交接手续齐备，检索方便。</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7</w:t>
      </w:r>
      <w:r>
        <w:rPr>
          <w:rFonts w:hint="eastAsia"/>
          <w:sz w:val="24"/>
          <w:szCs w:val="24"/>
          <w:lang w:eastAsia="zh-CN"/>
        </w:rPr>
        <w:t>、</w:t>
      </w:r>
      <w:r>
        <w:rPr>
          <w:rFonts w:hint="eastAsia"/>
          <w:sz w:val="24"/>
          <w:szCs w:val="24"/>
        </w:rPr>
        <w:t>如果发生因服务人员工作失职造成消防事故、失窃事件或其他财产损失和人身伤害，均由供应商承担相关经济和法律责任。</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8</w:t>
      </w:r>
      <w:r>
        <w:rPr>
          <w:rFonts w:hint="eastAsia"/>
          <w:sz w:val="24"/>
          <w:szCs w:val="24"/>
          <w:lang w:eastAsia="zh-CN"/>
        </w:rPr>
        <w:t>、</w:t>
      </w:r>
      <w:r>
        <w:rPr>
          <w:rFonts w:hint="eastAsia"/>
          <w:sz w:val="24"/>
          <w:szCs w:val="24"/>
        </w:rPr>
        <w:t>供应商有严格有效的食品安全管理体系和食品安全事故应急处理预案，如果发生因服务人员工作失职造成食品安全事故，由供应商承担相关经济和法律责任。</w:t>
      </w:r>
    </w:p>
    <w:p>
      <w:pPr>
        <w:spacing w:line="360" w:lineRule="auto"/>
        <w:rPr>
          <w:rFonts w:hint="eastAsia"/>
          <w:b/>
          <w:sz w:val="24"/>
          <w:szCs w:val="24"/>
        </w:rPr>
      </w:pPr>
      <w:r>
        <w:rPr>
          <w:rFonts w:hint="eastAsia"/>
          <w:b/>
          <w:sz w:val="24"/>
          <w:szCs w:val="24"/>
        </w:rPr>
        <w:t>四、服务期限和合同签订</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资格准入期限：合同签订之日起一年以内。学校将根据供应商履约情况，对供应商进行考核，考核结果将作为支付供应商履约金的重要依据。对每学年累计三次以上月度考核不合格的供应商，学校有权终止合同。参照南通市政务中心服务类招标文件精神，合同先签订一年或若干月；如供应商服务质量高，学校满意程度高，可以采取续签合同，续签不超过3年。</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合同履约要求</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供应商与学校签订合同，甲乙双方责任如下：</w:t>
      </w:r>
    </w:p>
    <w:p>
      <w:pPr>
        <w:adjustRightInd w:val="0"/>
        <w:snapToGrid w:val="0"/>
        <w:spacing w:line="360" w:lineRule="auto"/>
        <w:ind w:firstLine="482" w:firstLineChars="200"/>
        <w:rPr>
          <w:b/>
          <w:color w:val="000000"/>
          <w:sz w:val="24"/>
          <w:szCs w:val="24"/>
        </w:rPr>
      </w:pPr>
      <w:r>
        <w:rPr>
          <w:rFonts w:hint="eastAsia"/>
          <w:b/>
          <w:bCs/>
          <w:sz w:val="24"/>
          <w:szCs w:val="24"/>
        </w:rPr>
        <w:t>（</w:t>
      </w:r>
      <w:r>
        <w:rPr>
          <w:b/>
          <w:color w:val="000000"/>
          <w:sz w:val="24"/>
          <w:szCs w:val="24"/>
        </w:rPr>
        <w:t>1</w:t>
      </w:r>
      <w:r>
        <w:rPr>
          <w:rFonts w:hint="eastAsia"/>
          <w:b/>
          <w:color w:val="000000"/>
          <w:sz w:val="24"/>
          <w:szCs w:val="24"/>
        </w:rPr>
        <w:t>）甲方责任（学校方）</w:t>
      </w:r>
    </w:p>
    <w:p>
      <w:pPr>
        <w:snapToGrid w:val="0"/>
        <w:spacing w:line="360" w:lineRule="auto"/>
        <w:ind w:firstLine="480" w:firstLineChars="200"/>
        <w:jc w:val="left"/>
        <w:rPr>
          <w:sz w:val="24"/>
          <w:szCs w:val="24"/>
        </w:rPr>
      </w:pPr>
      <w:r>
        <w:rPr>
          <w:rFonts w:hint="eastAsia"/>
          <w:sz w:val="24"/>
          <w:szCs w:val="24"/>
        </w:rPr>
        <w:t>①甲方提供学校食堂现有用房及设备、炊具用品、餐桌凳等，甲方将食堂财产清点列单后移交给乙方。</w:t>
      </w:r>
    </w:p>
    <w:p>
      <w:pPr>
        <w:snapToGrid w:val="0"/>
        <w:spacing w:line="360" w:lineRule="auto"/>
        <w:ind w:firstLine="480" w:firstLineChars="200"/>
        <w:jc w:val="left"/>
        <w:rPr>
          <w:sz w:val="24"/>
          <w:szCs w:val="24"/>
        </w:rPr>
      </w:pPr>
      <w:r>
        <w:rPr>
          <w:rFonts w:hint="eastAsia"/>
          <w:sz w:val="24"/>
          <w:szCs w:val="24"/>
        </w:rPr>
        <w:t>②甲方负责食堂设备的维护维修及更换并承担水、电、煤气费。</w:t>
      </w:r>
    </w:p>
    <w:p>
      <w:pPr>
        <w:snapToGrid w:val="0"/>
        <w:spacing w:line="360" w:lineRule="auto"/>
        <w:ind w:firstLine="480" w:firstLineChars="200"/>
        <w:jc w:val="left"/>
        <w:rPr>
          <w:sz w:val="24"/>
          <w:szCs w:val="24"/>
        </w:rPr>
      </w:pPr>
      <w:r>
        <w:rPr>
          <w:rFonts w:hint="eastAsia"/>
          <w:sz w:val="24"/>
          <w:szCs w:val="24"/>
        </w:rPr>
        <w:t>③甲方自行负责采购食品原料，进行成本核算。</w:t>
      </w:r>
    </w:p>
    <w:p>
      <w:pPr>
        <w:snapToGrid w:val="0"/>
        <w:spacing w:line="360" w:lineRule="auto"/>
        <w:ind w:firstLine="480" w:firstLineChars="200"/>
        <w:jc w:val="left"/>
        <w:rPr>
          <w:sz w:val="24"/>
          <w:szCs w:val="24"/>
        </w:rPr>
      </w:pPr>
      <w:r>
        <w:rPr>
          <w:rFonts w:hint="eastAsia"/>
          <w:sz w:val="24"/>
          <w:szCs w:val="24"/>
        </w:rPr>
        <w:t>④甲方对乙方人员资质、加工食品安全卫生、服务质量等方面进行监管，有权对食堂违规操作行为进行经济处罚。</w:t>
      </w:r>
    </w:p>
    <w:p>
      <w:pPr>
        <w:snapToGrid w:val="0"/>
        <w:spacing w:line="360" w:lineRule="auto"/>
        <w:ind w:firstLine="480" w:firstLineChars="200"/>
        <w:jc w:val="left"/>
        <w:rPr>
          <w:sz w:val="24"/>
          <w:szCs w:val="24"/>
        </w:rPr>
      </w:pPr>
      <w:r>
        <w:rPr>
          <w:rFonts w:hint="eastAsia"/>
          <w:sz w:val="24"/>
          <w:szCs w:val="24"/>
        </w:rPr>
        <w:t>⑤甲方按照协议按时向乙方支付服务费。如在服务过程中乙方出现不规范用工行为，甲方有权要求乙方规范用工；如乙方不执行，甲方有权扣除相关费用并予以处罚，直至取消服务资格。</w:t>
      </w:r>
    </w:p>
    <w:p>
      <w:pPr>
        <w:snapToGrid w:val="0"/>
        <w:spacing w:line="360" w:lineRule="auto"/>
        <w:ind w:firstLine="480" w:firstLineChars="200"/>
        <w:jc w:val="left"/>
        <w:rPr>
          <w:color w:val="000000"/>
          <w:sz w:val="24"/>
          <w:szCs w:val="24"/>
        </w:rPr>
      </w:pPr>
      <w:r>
        <w:rPr>
          <w:rFonts w:hint="eastAsia"/>
          <w:sz w:val="24"/>
          <w:szCs w:val="24"/>
        </w:rPr>
        <w:t>⑥甲方为乙方所用本项目的工作人员提供工作服等劳动保护用品。</w:t>
      </w:r>
    </w:p>
    <w:p>
      <w:pPr>
        <w:adjustRightInd w:val="0"/>
        <w:snapToGrid w:val="0"/>
        <w:spacing w:line="360" w:lineRule="auto"/>
        <w:ind w:firstLine="482" w:firstLineChars="200"/>
        <w:rPr>
          <w:b/>
          <w:color w:val="000000"/>
          <w:sz w:val="24"/>
          <w:szCs w:val="24"/>
        </w:rPr>
      </w:pPr>
      <w:r>
        <w:rPr>
          <w:rFonts w:hint="eastAsia"/>
          <w:b/>
          <w:color w:val="000000"/>
          <w:sz w:val="24"/>
          <w:szCs w:val="24"/>
        </w:rPr>
        <w:t>（</w:t>
      </w:r>
      <w:r>
        <w:rPr>
          <w:b/>
          <w:color w:val="000000"/>
          <w:sz w:val="24"/>
          <w:szCs w:val="24"/>
        </w:rPr>
        <w:t>2</w:t>
      </w:r>
      <w:r>
        <w:rPr>
          <w:rFonts w:hint="eastAsia"/>
          <w:b/>
          <w:color w:val="000000"/>
          <w:sz w:val="24"/>
          <w:szCs w:val="24"/>
        </w:rPr>
        <w:t>）乙方责任（餐饮企业）</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①</w:t>
      </w:r>
      <w:r>
        <w:rPr>
          <w:rFonts w:hint="eastAsia"/>
          <w:color w:val="000000"/>
          <w:sz w:val="24"/>
          <w:szCs w:val="24"/>
        </w:rPr>
        <w:t>经营期间，食堂所涵盖的餐厅、操作间、储藏间、卫生间、食堂周边等属于服务者管理范围。</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②</w:t>
      </w:r>
      <w:r>
        <w:rPr>
          <w:rFonts w:hint="eastAsia"/>
          <w:color w:val="000000"/>
          <w:sz w:val="24"/>
          <w:szCs w:val="24"/>
        </w:rPr>
        <w:t>乙方必须在每周四之前提供下周带量菜谱，及每天所进食品原料数量的清单。配合甲方完成食品原材料的运输工作，并对每天所进食品原料质量进行检查，杜绝过期、变质腐烂的食品原料进入食堂。</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③</w:t>
      </w:r>
      <w:r>
        <w:rPr>
          <w:rFonts w:hint="eastAsia"/>
          <w:color w:val="000000"/>
          <w:sz w:val="24"/>
          <w:szCs w:val="24"/>
        </w:rPr>
        <w:t>乙方在遵守国家有关法规及学校各项规章制度下，按照甲方要求提高餐饮服务质量。接受甲方和第三方对食堂服务的全面考核评估。相关部门对食堂进行检验检疫、资格审查、违规处罚，</w:t>
      </w:r>
      <w:r>
        <w:rPr>
          <w:rFonts w:hint="eastAsia" w:ascii="Cambria Math" w:hAnsi="Cambria Math" w:cs="Cambria Math"/>
          <w:color w:val="000000"/>
          <w:sz w:val="24"/>
          <w:szCs w:val="24"/>
        </w:rPr>
        <w:t>所涉及到的费用均由乙方自行承担。</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④</w:t>
      </w:r>
      <w:r>
        <w:rPr>
          <w:rFonts w:hint="eastAsia"/>
          <w:color w:val="000000"/>
          <w:sz w:val="24"/>
          <w:szCs w:val="24"/>
        </w:rPr>
        <w:t>食堂工作人员必须按招标文件要求配足，所聘人员都必须具备有效健康证明，乙方负责每学年为所有工作人员体检一次。乙方必须按规定，定期对食堂工作人员进行食品安全卫生知识培训和业务培训，并提供台帐资料备查。食堂的人员资质、消防安全、保卫安全、食品生产安全等方面的全部经营内容必须满足食品安全、消防安全等相关法律法规的要求，满足卫生监督、消防及相关部门的要求，相应的食品安全卫生、员工培训等台帐资料按要求整理成册备查。若因乙方措施不到位发生安全事故，造成的相关损失，乙方承担一切责任。</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⑤</w:t>
      </w:r>
      <w:r>
        <w:rPr>
          <w:rFonts w:hint="eastAsia"/>
          <w:color w:val="000000"/>
          <w:sz w:val="24"/>
          <w:szCs w:val="24"/>
        </w:rPr>
        <w:t>乙方须缴纳履约保证金（即安全、质量等风险保证金）人民币陆万元整（￥</w:t>
      </w:r>
      <w:r>
        <w:rPr>
          <w:color w:val="000000"/>
          <w:sz w:val="24"/>
          <w:szCs w:val="24"/>
        </w:rPr>
        <w:t>60000.00</w:t>
      </w:r>
      <w:r>
        <w:rPr>
          <w:rFonts w:hint="eastAsia"/>
          <w:color w:val="000000"/>
          <w:sz w:val="24"/>
          <w:szCs w:val="24"/>
        </w:rPr>
        <w:t>），在经营期间若均无相应扣罚，合同期满后，其履约保证金无息如数退还。</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⑥</w:t>
      </w:r>
      <w:r>
        <w:rPr>
          <w:rFonts w:hint="eastAsia"/>
          <w:color w:val="000000"/>
          <w:sz w:val="24"/>
          <w:szCs w:val="24"/>
        </w:rPr>
        <w:t>在合同规定经营期限内，乙方不得进行任何形式的转包；不得在食堂内从事任何非法活动及违反学校规定的有关行为，如有发现，甲方有权终止合同。</w:t>
      </w:r>
      <w:r>
        <w:rPr>
          <w:rFonts w:hint="eastAsia" w:ascii="Cambria Math" w:hAnsi="Cambria Math" w:cs="Cambria Math"/>
          <w:color w:val="000000"/>
          <w:sz w:val="24"/>
          <w:szCs w:val="24"/>
        </w:rPr>
        <w:t>乙方按照甲方的要求按时进场和退场，不得拖延，否则按照违约处理。</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⑦</w:t>
      </w:r>
      <w:r>
        <w:rPr>
          <w:rFonts w:hint="eastAsia" w:ascii="Cambria Math" w:hAnsi="Cambria Math" w:cs="Cambria Math"/>
          <w:color w:val="000000"/>
          <w:sz w:val="24"/>
          <w:szCs w:val="24"/>
        </w:rPr>
        <w:t>乙方配合甲方做好节假日餐饮服务工作以及学校安排的对外餐饮代办业务，乙方不得承办学校安排以外的对外餐饮服务。</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⑧乙方及时为食堂服务人员发放工资，并交纳养老保险等，妥善处理好公司与服务人员间的关系，否则将承当由于人员纠纷给甲方造成的损失和一切法律责任。</w:t>
      </w:r>
    </w:p>
    <w:p>
      <w:pPr>
        <w:adjustRightInd w:val="0"/>
        <w:snapToGrid w:val="0"/>
        <w:spacing w:line="360" w:lineRule="auto"/>
        <w:ind w:firstLine="480" w:firstLineChars="200"/>
        <w:rPr>
          <w:rFonts w:ascii="Cambria Math" w:hAnsi="Cambria Math" w:cs="Cambria Math"/>
          <w:color w:val="000000"/>
          <w:sz w:val="24"/>
          <w:szCs w:val="24"/>
        </w:rPr>
      </w:pPr>
      <w:r>
        <w:rPr>
          <w:rFonts w:hint="eastAsia" w:ascii="Cambria Math" w:hAnsi="Cambria Math" w:cs="Cambria Math"/>
          <w:color w:val="000000"/>
          <w:sz w:val="24"/>
          <w:szCs w:val="24"/>
        </w:rPr>
        <w:t>⑨乙方每月凭乙方公司出具的正式发票从甲方食堂财务处支取服务费。</w:t>
      </w:r>
    </w:p>
    <w:p>
      <w:pPr>
        <w:spacing w:line="360" w:lineRule="auto"/>
        <w:rPr>
          <w:rFonts w:hint="eastAsia"/>
          <w:b/>
          <w:sz w:val="24"/>
          <w:szCs w:val="24"/>
        </w:rPr>
      </w:pPr>
      <w:r>
        <w:rPr>
          <w:rFonts w:hint="eastAsia"/>
          <w:b/>
          <w:sz w:val="24"/>
          <w:szCs w:val="24"/>
        </w:rPr>
        <w:t>五、服务费及其结算方式</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甲方凭乙方提供的合法票据每月上旬向乙方支付上月的服务费，</w:t>
      </w:r>
      <w:r>
        <w:rPr>
          <w:rFonts w:hint="eastAsia" w:ascii="宋体" w:hAnsi="宋体" w:cs="宋体"/>
          <w:b/>
          <w:bCs/>
          <w:color w:val="000000"/>
          <w:sz w:val="24"/>
          <w:szCs w:val="24"/>
        </w:rPr>
        <w:t>每月的服务费=供应商的中标价/12。</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如果甲方安排对外餐饮服务，乙方有权向甲方获得相应营业额的3.5%，作为服务人员的加班费。</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营业额奖惩：乙方应当完成相应的营业额数，学校根据完成营业额数的情况给与一定奖惩。</w:t>
      </w:r>
    </w:p>
    <w:p>
      <w:pPr>
        <w:snapToGrid w:val="0"/>
        <w:spacing w:line="360" w:lineRule="auto"/>
        <w:rPr>
          <w:rFonts w:ascii="宋体" w:cs="宋体"/>
          <w:color w:val="000000"/>
          <w:sz w:val="24"/>
          <w:szCs w:val="24"/>
        </w:rPr>
      </w:pPr>
    </w:p>
    <w:p>
      <w:pPr>
        <w:pStyle w:val="3"/>
        <w:rPr>
          <w:rFonts w:hint="eastAsia"/>
        </w:rPr>
      </w:pPr>
      <w:bookmarkStart w:id="11" w:name="_Toc488504850"/>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bookmarkStart w:id="12" w:name="_Toc20539"/>
    </w:p>
    <w:p>
      <w:pPr>
        <w:pStyle w:val="3"/>
        <w:rPr>
          <w:rFonts w:hint="eastAsia"/>
        </w:rPr>
      </w:pPr>
    </w:p>
    <w:p>
      <w:pPr>
        <w:pStyle w:val="3"/>
        <w:rPr>
          <w:rFonts w:hint="eastAsia"/>
        </w:rPr>
      </w:pPr>
    </w:p>
    <w:p>
      <w:pPr>
        <w:pStyle w:val="3"/>
        <w:rPr>
          <w:rFonts w:hint="eastAsia"/>
        </w:rPr>
      </w:pPr>
    </w:p>
    <w:p>
      <w:pPr>
        <w:pStyle w:val="3"/>
      </w:pPr>
      <w:r>
        <w:rPr>
          <w:rFonts w:hint="eastAsia"/>
        </w:rPr>
        <w:t>第四章</w:t>
      </w:r>
      <w:r>
        <w:t xml:space="preserve">  </w:t>
      </w:r>
      <w:bookmarkStart w:id="13" w:name="_Toc37322565"/>
      <w:bookmarkStart w:id="14" w:name="_Toc38121794"/>
      <w:bookmarkStart w:id="15" w:name="_Toc182848996"/>
      <w:bookmarkStart w:id="16" w:name="_Toc85627670"/>
      <w:bookmarkStart w:id="17" w:name="_Toc43217893"/>
      <w:r>
        <w:rPr>
          <w:rFonts w:hint="eastAsia"/>
        </w:rPr>
        <w:t>评审程序和方法</w:t>
      </w:r>
      <w:bookmarkEnd w:id="11"/>
      <w:bookmarkEnd w:id="12"/>
      <w:bookmarkEnd w:id="13"/>
      <w:bookmarkEnd w:id="14"/>
      <w:bookmarkEnd w:id="15"/>
      <w:bookmarkEnd w:id="16"/>
      <w:bookmarkEnd w:id="17"/>
    </w:p>
    <w:p>
      <w:pPr>
        <w:snapToGrid w:val="0"/>
        <w:spacing w:line="360" w:lineRule="auto"/>
        <w:outlineLvl w:val="1"/>
        <w:rPr>
          <w:b/>
          <w:color w:val="000000"/>
          <w:sz w:val="24"/>
          <w:szCs w:val="24"/>
        </w:rPr>
      </w:pPr>
      <w:r>
        <w:rPr>
          <w:rFonts w:hint="eastAsia"/>
          <w:b/>
          <w:color w:val="000000"/>
          <w:sz w:val="24"/>
          <w:szCs w:val="24"/>
        </w:rPr>
        <w:t>一、招标人组织评审</w:t>
      </w:r>
    </w:p>
    <w:p>
      <w:pPr>
        <w:adjustRightInd w:val="0"/>
        <w:snapToGrid w:val="0"/>
        <w:spacing w:line="360" w:lineRule="auto"/>
        <w:ind w:firstLine="480" w:firstLineChars="200"/>
        <w:rPr>
          <w:rFonts w:hint="eastAsia" w:ascii="宋体" w:hAnsi="宋体" w:cs="宋体"/>
          <w:color w:val="000000"/>
          <w:sz w:val="24"/>
          <w:szCs w:val="24"/>
        </w:rPr>
      </w:pPr>
      <w:r>
        <w:rPr>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本次竞争性磋商依据《中华人民共和国政府采购法》、《政府采购竞争性磋商采购方式管理暂行办法》及有关法规成立磋商小组。磋商小组由采购人代表和评审专家共3人组成。采购人不以评审专家身份参加本采购项目的评审。招标代理机构人员不得参加本机构代理的采购项目的评审。</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磋商小组的职责：</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（1）磋商小组成员应当按照客观、公正、审慎的原则，根据磋商文件规定的评审程序、评审方法和评审标准进行独立评审。</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（2）磋商小组成员应当遵守评审工作纪律，不得泄露评审情况和评审中获悉的商业秘密，对个人的评审意见承担法律责任；</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（3）磋商小组成员在评审过程中发现供应商有行贿、提供虚假材料或者串通等违法行为的，应当及时向本次招标监督委员会报告。</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（4）磋商小组成员在评审过程中受到非法干涉的，应当及时向招标监督委员会举报。</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（5）配合采购单位答复供应商提出的质疑；配合招标监督委员会的投诉处理和监督检查工作。</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评审有关记录由磋商小组成员签名，存档备查。</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eastAsia="zh-CN"/>
        </w:rPr>
        <w:t>、</w:t>
      </w:r>
      <w:r>
        <w:rPr>
          <w:rFonts w:hint="eastAsia" w:ascii="宋体" w:hAnsi="宋体" w:cs="宋体"/>
          <w:color w:val="000000"/>
          <w:sz w:val="24"/>
          <w:szCs w:val="24"/>
        </w:rPr>
        <w:t>供应商的法定代表人或被授权人须持身份证准时参加招标开标会。</w:t>
      </w:r>
    </w:p>
    <w:p>
      <w:pPr>
        <w:snapToGrid w:val="0"/>
        <w:spacing w:line="360" w:lineRule="auto"/>
        <w:outlineLvl w:val="1"/>
        <w:rPr>
          <w:rFonts w:hint="eastAsia"/>
          <w:b/>
          <w:color w:val="000000"/>
          <w:sz w:val="24"/>
          <w:szCs w:val="24"/>
        </w:rPr>
      </w:pPr>
      <w:r>
        <w:rPr>
          <w:rFonts w:hint="eastAsia"/>
          <w:b/>
          <w:color w:val="000000"/>
          <w:sz w:val="24"/>
          <w:szCs w:val="24"/>
        </w:rPr>
        <w:t>二、磋商原则</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磋商小组依据《中华人民共和国招标投标法》以及国家和地方政府的有关规定，遵循“公平、公正、客观、择优”的原则进行磋商评审。</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评委与供应商有利害关系的，不得担任磋商小组成员，如事先不知情的，应在宣读供应商名单及评标纪律后主动提出回避。</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磋商小组将按照磋商文件的规定，只对通过资格审查合格的供应商的磋商响应文件进行评审和比较。</w:t>
      </w:r>
    </w:p>
    <w:p>
      <w:pPr>
        <w:snapToGrid w:val="0"/>
        <w:spacing w:line="360" w:lineRule="auto"/>
        <w:outlineLvl w:val="1"/>
        <w:rPr>
          <w:rFonts w:hint="eastAsia"/>
          <w:b/>
          <w:color w:val="000000"/>
          <w:sz w:val="24"/>
          <w:szCs w:val="24"/>
        </w:rPr>
      </w:pPr>
      <w:r>
        <w:rPr>
          <w:rFonts w:hint="eastAsia"/>
          <w:b/>
          <w:color w:val="000000"/>
          <w:sz w:val="24"/>
          <w:szCs w:val="24"/>
        </w:rPr>
        <w:t>三、评审程序、内容</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超出响应文件的范围或者改变响应文件的实质性内容。</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磋商小组所有成员应当集中与单一供应商分别进行磋商，并给予所有参加磋商的供应商平等的磋商机会。</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对磋商文件作出的实质性变动是磋商文件的有效组成部分，磋商小组应当及时以书面形式同时通知所有参加磋商的供应商。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eastAsia="zh-CN"/>
        </w:rPr>
        <w:t>、</w:t>
      </w:r>
      <w:r>
        <w:rPr>
          <w:rFonts w:hint="eastAsia" w:ascii="宋体" w:hAnsi="宋体" w:cs="宋体"/>
          <w:color w:val="000000"/>
          <w:sz w:val="24"/>
          <w:szCs w:val="24"/>
        </w:rPr>
        <w:t>磋商文件能够详细列明采购标的的技术、服务要求的，磋商结束后，磋商小组应当要求所有实质性响应的供应商在规定时间内提交最后报价，供应商的现场报价在货物（服务）数量没有增加，配置、服务标准没有重大提高的情况下，各投标人的现场第一轮报价不得高于其投标文件中的书面报价且下一轮报价不得高于上一轮报价。否则，磋商小组有权拒绝该谈判报价并不再给予报价补救机会。提交最后报价的供应商不得少于3家。</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eastAsia="zh-CN"/>
        </w:rPr>
        <w:t>、</w:t>
      </w:r>
      <w:r>
        <w:rPr>
          <w:rFonts w:hint="eastAsia" w:ascii="宋体" w:hAnsi="宋体" w:cs="宋体"/>
          <w:color w:val="000000"/>
          <w:sz w:val="24"/>
          <w:szCs w:val="24"/>
        </w:rPr>
        <w:t>最后报价是供应商响应文件的有效组成部分。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6</w:t>
      </w:r>
      <w:r>
        <w:rPr>
          <w:rFonts w:hint="eastAsia" w:ascii="宋体" w:hAnsi="宋体" w:cs="宋体"/>
          <w:color w:val="000000"/>
          <w:sz w:val="24"/>
          <w:szCs w:val="24"/>
          <w:lang w:eastAsia="zh-CN"/>
        </w:rPr>
        <w:t>、</w:t>
      </w:r>
      <w:r>
        <w:rPr>
          <w:rFonts w:hint="eastAsia" w:ascii="宋体" w:hAnsi="宋体" w:cs="宋体"/>
          <w:color w:val="000000"/>
          <w:sz w:val="24"/>
          <w:szCs w:val="24"/>
        </w:rPr>
        <w:t>已提交响应文件的供应商，在提交最后报价之前，可以根据磋商情况退出磋商。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7</w:t>
      </w:r>
      <w:r>
        <w:rPr>
          <w:rFonts w:hint="eastAsia" w:ascii="宋体" w:hAnsi="宋体" w:cs="宋体"/>
          <w:color w:val="000000"/>
          <w:sz w:val="24"/>
          <w:szCs w:val="24"/>
          <w:lang w:eastAsia="zh-CN"/>
        </w:rPr>
        <w:t>、</w:t>
      </w:r>
      <w:r>
        <w:rPr>
          <w:rFonts w:hint="eastAsia" w:ascii="宋体" w:hAnsi="宋体" w:cs="宋体"/>
          <w:color w:val="000000"/>
          <w:sz w:val="24"/>
          <w:szCs w:val="24"/>
        </w:rPr>
        <w:t>磋商时间由磋商小组掌握。</w:t>
      </w:r>
    </w:p>
    <w:p>
      <w:pPr>
        <w:snapToGrid w:val="0"/>
        <w:spacing w:line="360" w:lineRule="auto"/>
        <w:outlineLvl w:val="1"/>
        <w:rPr>
          <w:rFonts w:hint="eastAsia"/>
          <w:b/>
          <w:color w:val="000000"/>
          <w:sz w:val="24"/>
          <w:szCs w:val="24"/>
        </w:rPr>
      </w:pPr>
      <w:r>
        <w:rPr>
          <w:rFonts w:hint="eastAsia"/>
          <w:b/>
          <w:color w:val="000000"/>
          <w:sz w:val="24"/>
          <w:szCs w:val="24"/>
        </w:rPr>
        <w:t>四、招标评定结果的方法</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由磋商小组采用综合评分法对招标的响应文件进行综合评分。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评审时，磋商小组各成员应当独立对每个有效响应的文件进行评价、打分，然后汇总每个供应商每项评分因素的得分（计算结果均四舍五入保留两位小数）。</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本次磋商项目的技术响应文件和商务报价响应文件评审总分值为100分。两部分评审因素比重如下：</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技术响应文件分值占总分值的比重为</w:t>
      </w:r>
      <w:r>
        <w:rPr>
          <w:rFonts w:hint="eastAsia" w:ascii="宋体" w:hAnsi="宋体" w:cs="宋体"/>
          <w:b/>
          <w:bCs/>
          <w:color w:val="000000"/>
          <w:sz w:val="24"/>
          <w:szCs w:val="24"/>
          <w:u w:val="single"/>
        </w:rPr>
        <w:t>80%（权重）</w:t>
      </w:r>
      <w:r>
        <w:rPr>
          <w:rFonts w:hint="eastAsia" w:ascii="宋体" w:hAnsi="宋体" w:cs="宋体"/>
          <w:color w:val="000000"/>
          <w:sz w:val="24"/>
          <w:szCs w:val="24"/>
        </w:rPr>
        <w:t>（四舍五入保留两位小数）；</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商务报价响应文件分值占总分值的比重为</w:t>
      </w:r>
      <w:r>
        <w:rPr>
          <w:rFonts w:hint="eastAsia" w:ascii="宋体" w:hAnsi="宋体" w:cs="宋体"/>
          <w:b/>
          <w:bCs/>
          <w:color w:val="000000"/>
          <w:sz w:val="24"/>
          <w:szCs w:val="24"/>
          <w:u w:val="single"/>
        </w:rPr>
        <w:t>20%（权重）</w:t>
      </w:r>
      <w:r>
        <w:rPr>
          <w:rFonts w:hint="eastAsia" w:ascii="宋体" w:hAnsi="宋体" w:cs="宋体"/>
          <w:color w:val="000000"/>
          <w:sz w:val="24"/>
          <w:szCs w:val="24"/>
        </w:rPr>
        <w:t>（四舍五入保留两位小数）。</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eastAsia="zh-CN"/>
        </w:rPr>
        <w:t>、</w:t>
      </w:r>
      <w:r>
        <w:rPr>
          <w:rFonts w:hint="eastAsia" w:ascii="宋体" w:hAnsi="宋体" w:cs="宋体"/>
          <w:color w:val="000000"/>
          <w:sz w:val="24"/>
          <w:szCs w:val="24"/>
        </w:rPr>
        <w:t>技术响应文件分值取算数平均值，计算结果均四舍五入保留两位小数。</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eastAsia="zh-CN"/>
        </w:rPr>
        <w:t>、</w:t>
      </w:r>
      <w:r>
        <w:rPr>
          <w:rFonts w:hint="eastAsia" w:ascii="宋体" w:hAnsi="宋体" w:cs="宋体"/>
          <w:color w:val="000000"/>
          <w:sz w:val="24"/>
          <w:szCs w:val="24"/>
        </w:rPr>
        <w:t>商务报价响应文件分值统一采用低价优先法计算直接取得，与技术响应文件分值相加为供应商的综合得分（四舍五入保留两位小数）。</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6</w:t>
      </w:r>
      <w:r>
        <w:rPr>
          <w:rFonts w:hint="eastAsia" w:ascii="宋体" w:hAnsi="宋体" w:cs="宋体"/>
          <w:color w:val="000000"/>
          <w:sz w:val="24"/>
          <w:szCs w:val="24"/>
          <w:lang w:eastAsia="zh-CN"/>
        </w:rPr>
        <w:t>、</w:t>
      </w:r>
      <w:r>
        <w:rPr>
          <w:rFonts w:hint="eastAsia" w:ascii="宋体" w:hAnsi="宋体" w:cs="宋体"/>
          <w:color w:val="000000"/>
          <w:sz w:val="24"/>
          <w:szCs w:val="24"/>
        </w:rPr>
        <w:t>各评委就每个供应商的商务标和技术标打分，满分100分，综合得分从高到低排序，综合得分最高的供应商为本项目中标候选人。</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7</w:t>
      </w:r>
      <w:r>
        <w:rPr>
          <w:rFonts w:hint="eastAsia" w:ascii="宋体" w:hAnsi="宋体" w:cs="宋体"/>
          <w:color w:val="000000"/>
          <w:sz w:val="24"/>
          <w:szCs w:val="24"/>
          <w:lang w:eastAsia="zh-CN"/>
        </w:rPr>
        <w:t>、</w:t>
      </w:r>
      <w:r>
        <w:rPr>
          <w:rFonts w:hint="eastAsia" w:ascii="宋体" w:hAnsi="宋体" w:cs="宋体"/>
          <w:color w:val="000000"/>
          <w:sz w:val="24"/>
          <w:szCs w:val="24"/>
        </w:rPr>
        <w:t>确定中标候选人的特殊情况处理：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（1）若总分相同，则技术响应得分高者优先中标。</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（2）若总分相同，且技术响应得分相同，则采取现场抽签的方式确定中标候选人（投标单位的抽签顺序分别为各投标供应商递交投标文件签到顺序号）。</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8</w:t>
      </w:r>
      <w:r>
        <w:rPr>
          <w:rFonts w:hint="eastAsia" w:ascii="宋体" w:hAnsi="宋体" w:cs="宋体"/>
          <w:color w:val="000000"/>
          <w:sz w:val="24"/>
          <w:szCs w:val="24"/>
          <w:lang w:eastAsia="zh-CN"/>
        </w:rPr>
        <w:t>、</w:t>
      </w:r>
      <w:r>
        <w:rPr>
          <w:rFonts w:hint="eastAsia" w:ascii="宋体" w:hAnsi="宋体" w:cs="宋体"/>
          <w:color w:val="000000"/>
          <w:sz w:val="24"/>
          <w:szCs w:val="24"/>
        </w:rPr>
        <w:t>磋商评审时，评委对评审的细则若有争议，由磋商小组集体讨论确定，并对未尽情况有最终解释权。</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9</w:t>
      </w:r>
      <w:r>
        <w:rPr>
          <w:rFonts w:hint="eastAsia" w:ascii="宋体" w:hAnsi="宋体" w:cs="宋体"/>
          <w:color w:val="000000"/>
          <w:sz w:val="24"/>
          <w:szCs w:val="24"/>
          <w:lang w:eastAsia="zh-CN"/>
        </w:rPr>
        <w:t>、</w:t>
      </w:r>
      <w:r>
        <w:rPr>
          <w:rFonts w:hint="eastAsia" w:ascii="宋体" w:hAnsi="宋体" w:cs="宋体"/>
          <w:color w:val="000000"/>
          <w:sz w:val="24"/>
          <w:szCs w:val="24"/>
        </w:rPr>
        <w:t>对落标的供应商不做落标原因的解释。</w:t>
      </w:r>
    </w:p>
    <w:p>
      <w:pPr>
        <w:snapToGrid w:val="0"/>
        <w:spacing w:line="360" w:lineRule="auto"/>
        <w:outlineLvl w:val="1"/>
        <w:rPr>
          <w:rFonts w:hint="eastAsia"/>
          <w:b/>
          <w:color w:val="000000"/>
          <w:sz w:val="24"/>
          <w:szCs w:val="24"/>
        </w:rPr>
      </w:pPr>
      <w:r>
        <w:rPr>
          <w:rFonts w:hint="eastAsia"/>
          <w:b/>
          <w:color w:val="000000"/>
          <w:sz w:val="24"/>
          <w:szCs w:val="24"/>
        </w:rPr>
        <w:t>五、综合评分评审标准</w:t>
      </w:r>
    </w:p>
    <w:p>
      <w:pPr>
        <w:snapToGrid w:val="0"/>
        <w:spacing w:line="360" w:lineRule="auto"/>
        <w:outlineLvl w:val="1"/>
        <w:rPr>
          <w:rFonts w:hint="eastAsia"/>
          <w:b/>
          <w:color w:val="000000"/>
          <w:sz w:val="24"/>
          <w:szCs w:val="24"/>
        </w:rPr>
      </w:pPr>
      <w:r>
        <w:rPr>
          <w:rFonts w:hint="eastAsia"/>
          <w:b/>
          <w:color w:val="000000"/>
          <w:sz w:val="24"/>
          <w:szCs w:val="24"/>
        </w:rPr>
        <w:t>（一）商务响应文件评分（20分）</w:t>
      </w:r>
    </w:p>
    <w:p>
      <w:pPr>
        <w:adjustRightInd w:val="0"/>
        <w:snapToGrid w:val="0"/>
        <w:spacing w:line="36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1</w:t>
      </w:r>
      <w:r>
        <w:rPr>
          <w:rFonts w:hint="eastAsia" w:ascii="宋体" w:hAnsi="宋体" w:cs="宋体"/>
          <w:b/>
          <w:bCs/>
          <w:color w:val="000000"/>
          <w:sz w:val="24"/>
          <w:szCs w:val="24"/>
          <w:lang w:eastAsia="zh-CN"/>
        </w:rPr>
        <w:t>、</w:t>
      </w:r>
      <w:r>
        <w:rPr>
          <w:rFonts w:hint="eastAsia" w:ascii="宋体" w:hAnsi="宋体" w:cs="宋体"/>
          <w:b/>
          <w:bCs/>
          <w:color w:val="000000"/>
          <w:sz w:val="24"/>
          <w:szCs w:val="24"/>
        </w:rPr>
        <w:t>本次项目最高限价：60万元，超过限价的作无效标处理。</w:t>
      </w:r>
    </w:p>
    <w:p>
      <w:pPr>
        <w:adjustRightInd w:val="0"/>
        <w:snapToGrid w:val="0"/>
        <w:spacing w:line="360" w:lineRule="auto"/>
        <w:ind w:firstLine="480" w:firstLineChars="200"/>
        <w:rPr>
          <w:rFonts w:ascii="宋体" w:cs="宋体"/>
          <w:b/>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满足磋商文件要求且最后报价（费率）最低的供应商的报价（费率）为磋商基准报价，其商务报价响应分为满分20分。其他供应商的商务报价响应分统一按照下列公式计算：</w:t>
      </w:r>
      <w:r>
        <w:rPr>
          <w:rFonts w:hint="eastAsia" w:ascii="宋体" w:hAnsi="宋体" w:cs="宋体"/>
          <w:b/>
          <w:sz w:val="24"/>
          <w:szCs w:val="24"/>
        </w:rPr>
        <w:t>商务报价响应分</w:t>
      </w:r>
      <w:r>
        <w:rPr>
          <w:rFonts w:ascii="宋体" w:hAnsi="宋体" w:cs="宋体"/>
          <w:b/>
          <w:sz w:val="24"/>
          <w:szCs w:val="24"/>
        </w:rPr>
        <w:t xml:space="preserve"> =</w:t>
      </w:r>
      <w:r>
        <w:rPr>
          <w:rFonts w:hint="eastAsia" w:ascii="宋体" w:hAnsi="宋体" w:cs="宋体"/>
          <w:b/>
          <w:sz w:val="24"/>
          <w:szCs w:val="24"/>
        </w:rPr>
        <w:t>（磋商基准报价</w:t>
      </w:r>
      <w:r>
        <w:rPr>
          <w:rFonts w:ascii="宋体" w:hAnsi="宋体" w:cs="宋体"/>
          <w:b/>
          <w:sz w:val="24"/>
          <w:szCs w:val="24"/>
        </w:rPr>
        <w:t>/</w:t>
      </w:r>
      <w:r>
        <w:rPr>
          <w:rFonts w:hint="eastAsia" w:ascii="宋体" w:hAnsi="宋体" w:cs="宋体"/>
          <w:b/>
          <w:sz w:val="24"/>
          <w:szCs w:val="24"/>
        </w:rPr>
        <w:t>最后磋商报价）×</w:t>
      </w:r>
      <w:r>
        <w:rPr>
          <w:rFonts w:ascii="宋体" w:hAnsi="宋体" w:cs="宋体"/>
          <w:b/>
          <w:sz w:val="24"/>
          <w:szCs w:val="24"/>
        </w:rPr>
        <w:t>20</w:t>
      </w:r>
    </w:p>
    <w:p>
      <w:pPr>
        <w:snapToGrid w:val="0"/>
        <w:spacing w:line="360" w:lineRule="auto"/>
        <w:outlineLvl w:val="1"/>
        <w:rPr>
          <w:rFonts w:hint="eastAsia"/>
          <w:b/>
          <w:color w:val="000000"/>
          <w:sz w:val="24"/>
          <w:szCs w:val="24"/>
        </w:rPr>
      </w:pPr>
      <w:r>
        <w:rPr>
          <w:rFonts w:hint="eastAsia"/>
          <w:b/>
          <w:color w:val="000000"/>
          <w:sz w:val="24"/>
          <w:szCs w:val="24"/>
        </w:rPr>
        <w:t>（二）技术响应文件评分（80分）</w:t>
      </w:r>
    </w:p>
    <w:tbl>
      <w:tblPr>
        <w:tblStyle w:val="12"/>
        <w:tblW w:w="9497" w:type="dxa"/>
        <w:jc w:val="center"/>
        <w:tblLayout w:type="fixed"/>
        <w:tblCellMar>
          <w:top w:w="0" w:type="dxa"/>
          <w:left w:w="0" w:type="dxa"/>
          <w:bottom w:w="0" w:type="dxa"/>
          <w:right w:w="0" w:type="dxa"/>
        </w:tblCellMar>
      </w:tblPr>
      <w:tblGrid>
        <w:gridCol w:w="599"/>
        <w:gridCol w:w="1559"/>
        <w:gridCol w:w="567"/>
        <w:gridCol w:w="6772"/>
      </w:tblGrid>
      <w:tr>
        <w:tblPrEx>
          <w:tblCellMar>
            <w:top w:w="0" w:type="dxa"/>
            <w:left w:w="0" w:type="dxa"/>
            <w:bottom w:w="0" w:type="dxa"/>
            <w:right w:w="0" w:type="dxa"/>
          </w:tblCellMar>
        </w:tblPrEx>
        <w:trPr>
          <w:trHeight w:val="724" w:hRule="atLeast"/>
          <w:jc w:val="center"/>
        </w:trPr>
        <w:tc>
          <w:tcPr>
            <w:tcW w:w="599"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hAnsi="宋体"/>
              </w:rPr>
              <w:t>序</w:t>
            </w:r>
          </w:p>
          <w:p>
            <w:pPr>
              <w:jc w:val="center"/>
            </w:pPr>
            <w:r>
              <w:rPr>
                <w:rFonts w:hint="eastAsia" w:ascii="宋体" w:hAnsi="宋体"/>
              </w:rPr>
              <w:t>号</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rPr>
              <w:t>评分内容</w:t>
            </w:r>
          </w:p>
        </w:tc>
        <w:tc>
          <w:tcPr>
            <w:tcW w:w="567"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rPr>
              <w:t>分值</w:t>
            </w:r>
          </w:p>
        </w:tc>
        <w:tc>
          <w:tcPr>
            <w:tcW w:w="6772"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rPr>
              <w:t>评分标准</w:t>
            </w:r>
          </w:p>
        </w:tc>
      </w:tr>
      <w:tr>
        <w:tblPrEx>
          <w:tblCellMar>
            <w:top w:w="0" w:type="dxa"/>
            <w:left w:w="0" w:type="dxa"/>
            <w:bottom w:w="0" w:type="dxa"/>
            <w:right w:w="0" w:type="dxa"/>
          </w:tblCellMar>
        </w:tblPrEx>
        <w:trPr>
          <w:trHeight w:val="2189" w:hRule="atLeast"/>
          <w:jc w:val="center"/>
        </w:trPr>
        <w:tc>
          <w:tcPr>
            <w:tcW w:w="599" w:type="dxa"/>
            <w:tcBorders>
              <w:top w:val="single" w:color="auto" w:sz="8" w:space="0"/>
              <w:left w:val="single" w:color="auto" w:sz="8" w:space="0"/>
              <w:right w:val="single" w:color="auto" w:sz="8" w:space="0"/>
            </w:tcBorders>
            <w:vAlign w:val="center"/>
          </w:tcPr>
          <w:p>
            <w:pPr>
              <w:jc w:val="center"/>
            </w:pPr>
            <w:r>
              <w:rPr>
                <w:rFonts w:ascii="宋体" w:hAnsi="宋体"/>
              </w:rPr>
              <w:t>1</w:t>
            </w:r>
          </w:p>
        </w:tc>
        <w:tc>
          <w:tcPr>
            <w:tcW w:w="1559" w:type="dxa"/>
            <w:tcBorders>
              <w:top w:val="single" w:color="auto" w:sz="8" w:space="0"/>
              <w:left w:val="single" w:color="auto" w:sz="8" w:space="0"/>
              <w:right w:val="single" w:color="auto" w:sz="8" w:space="0"/>
            </w:tcBorders>
            <w:vAlign w:val="center"/>
          </w:tcPr>
          <w:p>
            <w:pPr>
              <w:jc w:val="center"/>
            </w:pPr>
            <w:r>
              <w:rPr>
                <w:rFonts w:hint="eastAsia"/>
              </w:rPr>
              <w:t>公司规模、</w:t>
            </w:r>
          </w:p>
          <w:p>
            <w:pPr>
              <w:jc w:val="center"/>
            </w:pPr>
            <w:r>
              <w:rPr>
                <w:rFonts w:hint="eastAsia"/>
              </w:rPr>
              <w:t>信誉与认证</w:t>
            </w:r>
          </w:p>
        </w:tc>
        <w:tc>
          <w:tcPr>
            <w:tcW w:w="567" w:type="dxa"/>
            <w:tcBorders>
              <w:top w:val="single" w:color="auto" w:sz="8" w:space="0"/>
              <w:left w:val="single" w:color="auto" w:sz="8" w:space="0"/>
              <w:right w:val="single" w:color="auto" w:sz="8" w:space="0"/>
            </w:tcBorders>
            <w:vAlign w:val="center"/>
          </w:tcPr>
          <w:p>
            <w:pPr>
              <w:jc w:val="center"/>
            </w:pPr>
            <w:r>
              <w:rPr>
                <w:rFonts w:ascii="宋体" w:hAnsi="宋体"/>
              </w:rPr>
              <w:t>15</w:t>
            </w:r>
            <w:r>
              <w:rPr>
                <w:rFonts w:hint="eastAsia" w:ascii="宋体" w:hAnsi="宋体"/>
              </w:rPr>
              <w:t>分</w:t>
            </w:r>
          </w:p>
        </w:tc>
        <w:tc>
          <w:tcPr>
            <w:tcW w:w="6772" w:type="dxa"/>
            <w:tcBorders>
              <w:top w:val="single" w:color="auto" w:sz="8" w:space="0"/>
              <w:left w:val="single" w:color="auto" w:sz="8" w:space="0"/>
              <w:bottom w:val="single" w:color="auto" w:sz="8" w:space="0"/>
              <w:right w:val="single" w:color="auto" w:sz="8" w:space="0"/>
            </w:tcBorders>
            <w:vAlign w:val="center"/>
          </w:tcPr>
          <w:p>
            <w:pPr>
              <w:rPr>
                <w:rFonts w:hint="eastAsia" w:ascii="宋体" w:eastAsia="宋体"/>
                <w:highlight w:val="none"/>
                <w:lang w:eastAsia="zh-CN"/>
              </w:rPr>
            </w:pPr>
            <w:r>
              <w:rPr>
                <w:rFonts w:ascii="宋体" w:hAnsi="宋体"/>
                <w:highlight w:val="none"/>
              </w:rPr>
              <w:t>1</w:t>
            </w:r>
            <w:r>
              <w:rPr>
                <w:rFonts w:hint="eastAsia" w:ascii="宋体" w:hAnsi="宋体"/>
                <w:highlight w:val="none"/>
              </w:rPr>
              <w:t>、供应商</w:t>
            </w:r>
            <w:r>
              <w:rPr>
                <w:rFonts w:ascii="宋体" w:hAnsi="宋体"/>
                <w:highlight w:val="none"/>
              </w:rPr>
              <w:t>2015</w:t>
            </w:r>
            <w:r>
              <w:rPr>
                <w:rFonts w:hint="eastAsia" w:ascii="宋体" w:hAnsi="宋体"/>
                <w:highlight w:val="none"/>
              </w:rPr>
              <w:t>年以来在服务的学校食堂管理经营项目中获得</w:t>
            </w:r>
            <w:r>
              <w:rPr>
                <w:rFonts w:ascii="宋体" w:hAnsi="宋体"/>
                <w:highlight w:val="none"/>
              </w:rPr>
              <w:t>A</w:t>
            </w:r>
            <w:r>
              <w:rPr>
                <w:rFonts w:hint="eastAsia" w:ascii="宋体" w:hAnsi="宋体"/>
                <w:highlight w:val="none"/>
              </w:rPr>
              <w:t>级食堂量化管理等级证明的</w:t>
            </w:r>
            <w:r>
              <w:rPr>
                <w:rFonts w:hint="eastAsia" w:ascii="宋体" w:hAnsi="宋体"/>
                <w:highlight w:val="none"/>
                <w:lang w:val="en-US" w:eastAsia="zh-CN"/>
              </w:rPr>
              <w:t>一个得3分</w:t>
            </w:r>
            <w:r>
              <w:rPr>
                <w:rFonts w:hint="eastAsia" w:ascii="宋体" w:hAnsi="宋体"/>
                <w:highlight w:val="none"/>
              </w:rPr>
              <w:t>。本项最高得</w:t>
            </w:r>
            <w:r>
              <w:rPr>
                <w:rFonts w:ascii="宋体" w:hAnsi="宋体"/>
                <w:highlight w:val="none"/>
              </w:rPr>
              <w:t>6</w:t>
            </w:r>
            <w:r>
              <w:rPr>
                <w:rFonts w:hint="eastAsia" w:ascii="宋体" w:hAnsi="宋体"/>
                <w:highlight w:val="none"/>
              </w:rPr>
              <w:t>分，未提供的不得分。（</w:t>
            </w:r>
            <w:r>
              <w:rPr>
                <w:rFonts w:hint="eastAsia" w:ascii="宋体" w:hAnsi="宋体"/>
                <w:highlight w:val="none"/>
                <w:lang w:val="en-US" w:eastAsia="zh-CN"/>
              </w:rPr>
              <w:t>注：</w:t>
            </w:r>
            <w:r>
              <w:rPr>
                <w:rFonts w:hint="eastAsia" w:ascii="宋体" w:hAnsi="宋体"/>
                <w:highlight w:val="none"/>
              </w:rPr>
              <w:t>必须提供被服务学校出具的证明材料，材料中必须有学校盖章，联系人电话号码）</w:t>
            </w:r>
            <w:r>
              <w:rPr>
                <w:rFonts w:hint="eastAsia" w:ascii="宋体" w:hAnsi="宋体"/>
                <w:highlight w:val="none"/>
                <w:lang w:eastAsia="zh-CN"/>
              </w:rPr>
              <w:t>。</w:t>
            </w:r>
          </w:p>
          <w:p>
            <w:pPr>
              <w:rPr>
                <w:rFonts w:ascii="宋体"/>
                <w:highlight w:val="none"/>
              </w:rPr>
            </w:pPr>
            <w:r>
              <w:rPr>
                <w:rFonts w:ascii="宋体" w:hAnsi="宋体"/>
                <w:highlight w:val="none"/>
              </w:rPr>
              <w:t>2</w:t>
            </w:r>
            <w:r>
              <w:rPr>
                <w:rFonts w:hint="eastAsia" w:ascii="宋体" w:hAnsi="宋体"/>
                <w:highlight w:val="none"/>
              </w:rPr>
              <w:t>、提供投标供应商</w:t>
            </w:r>
            <w:r>
              <w:rPr>
                <w:rFonts w:ascii="宋体" w:hAnsi="宋体"/>
                <w:highlight w:val="none"/>
              </w:rPr>
              <w:t>ISO9001</w:t>
            </w:r>
            <w:r>
              <w:rPr>
                <w:rFonts w:hint="eastAsia" w:ascii="宋体" w:hAnsi="宋体"/>
                <w:highlight w:val="none"/>
              </w:rPr>
              <w:t>质量管理体系认证证书</w:t>
            </w:r>
            <w:bookmarkStart w:id="18" w:name="OLE_LINK10"/>
            <w:bookmarkStart w:id="19" w:name="OLE_LINK11"/>
            <w:bookmarkStart w:id="20" w:name="OLE_LINK9"/>
            <w:r>
              <w:rPr>
                <w:rFonts w:hint="eastAsia" w:ascii="宋体" w:hAnsi="宋体"/>
                <w:highlight w:val="none"/>
              </w:rPr>
              <w:t>、</w:t>
            </w:r>
            <w:r>
              <w:rPr>
                <w:rFonts w:ascii="宋体" w:hAnsi="宋体"/>
                <w:highlight w:val="none"/>
              </w:rPr>
              <w:t>ISO14001</w:t>
            </w:r>
            <w:r>
              <w:rPr>
                <w:rFonts w:hint="eastAsia" w:ascii="宋体" w:hAnsi="宋体"/>
                <w:highlight w:val="none"/>
              </w:rPr>
              <w:t>国际标准化环境管理体系认证、</w:t>
            </w:r>
            <w:r>
              <w:rPr>
                <w:rFonts w:ascii="宋体" w:hAnsi="宋体"/>
                <w:highlight w:val="none"/>
              </w:rPr>
              <w:t>OHSAS18001</w:t>
            </w:r>
            <w:r>
              <w:rPr>
                <w:rFonts w:hint="eastAsia" w:ascii="宋体" w:hAnsi="宋体"/>
                <w:highlight w:val="none"/>
              </w:rPr>
              <w:t>职业健康管理体系认证</w:t>
            </w:r>
            <w:bookmarkEnd w:id="18"/>
            <w:bookmarkEnd w:id="19"/>
            <w:bookmarkEnd w:id="20"/>
            <w:r>
              <w:rPr>
                <w:rFonts w:hint="eastAsia" w:ascii="宋体" w:hAnsi="宋体"/>
                <w:highlight w:val="none"/>
              </w:rPr>
              <w:t>证书、</w:t>
            </w:r>
            <w:bookmarkStart w:id="21" w:name="OLE_LINK14"/>
            <w:bookmarkStart w:id="22" w:name="OLE_LINK13"/>
            <w:bookmarkStart w:id="23" w:name="OLE_LINK12"/>
            <w:r>
              <w:rPr>
                <w:rFonts w:hint="eastAsia" w:ascii="宋体" w:hAnsi="宋体"/>
                <w:highlight w:val="none"/>
              </w:rPr>
              <w:t>、</w:t>
            </w:r>
            <w:r>
              <w:rPr>
                <w:rFonts w:ascii="宋体" w:hAnsi="宋体"/>
                <w:highlight w:val="none"/>
              </w:rPr>
              <w:t>ISO22000</w:t>
            </w:r>
            <w:bookmarkEnd w:id="21"/>
            <w:bookmarkEnd w:id="22"/>
            <w:bookmarkEnd w:id="23"/>
            <w:r>
              <w:rPr>
                <w:rFonts w:hint="eastAsia" w:ascii="宋体" w:hAnsi="宋体"/>
                <w:highlight w:val="none"/>
              </w:rPr>
              <w:t>食品安全管理体系认证证书，每提供一种证书得</w:t>
            </w:r>
            <w:r>
              <w:rPr>
                <w:rFonts w:ascii="宋体" w:hAnsi="宋体"/>
                <w:highlight w:val="none"/>
              </w:rPr>
              <w:t>1</w:t>
            </w:r>
            <w:r>
              <w:rPr>
                <w:rFonts w:hint="eastAsia" w:ascii="宋体" w:hAnsi="宋体"/>
                <w:highlight w:val="none"/>
              </w:rPr>
              <w:t>分，本项最高得</w:t>
            </w:r>
            <w:r>
              <w:rPr>
                <w:rFonts w:ascii="宋体" w:hAnsi="宋体"/>
                <w:highlight w:val="none"/>
              </w:rPr>
              <w:t>4</w:t>
            </w:r>
            <w:r>
              <w:rPr>
                <w:rFonts w:hint="eastAsia" w:ascii="宋体" w:hAnsi="宋体"/>
                <w:highlight w:val="none"/>
              </w:rPr>
              <w:t>分，未提供的不得分。</w:t>
            </w:r>
          </w:p>
          <w:p>
            <w:pPr>
              <w:pStyle w:val="2"/>
              <w:ind w:firstLine="0"/>
              <w:rPr>
                <w:rFonts w:hint="eastAsia" w:eastAsia="宋体"/>
                <w:highlight w:val="none"/>
                <w:lang w:val="en-US" w:eastAsia="zh-CN"/>
              </w:rPr>
            </w:pPr>
            <w:r>
              <w:rPr>
                <w:rFonts w:ascii="宋体" w:hAnsi="宋体"/>
                <w:highlight w:val="none"/>
              </w:rPr>
              <w:t>3</w:t>
            </w:r>
            <w:r>
              <w:rPr>
                <w:rFonts w:hint="eastAsia" w:ascii="宋体" w:hAnsi="宋体"/>
                <w:highlight w:val="none"/>
              </w:rPr>
              <w:t>、</w:t>
            </w:r>
            <w:r>
              <w:rPr>
                <w:rFonts w:hint="eastAsia"/>
                <w:highlight w:val="none"/>
              </w:rPr>
              <w:t>投标单位获企业信用等级</w:t>
            </w:r>
            <w:r>
              <w:rPr>
                <w:highlight w:val="none"/>
              </w:rPr>
              <w:t>AAA</w:t>
            </w:r>
            <w:r>
              <w:rPr>
                <w:rFonts w:hint="eastAsia"/>
                <w:highlight w:val="none"/>
              </w:rPr>
              <w:t>得</w:t>
            </w:r>
            <w:r>
              <w:rPr>
                <w:rFonts w:ascii="宋体" w:hAnsi="宋体"/>
                <w:highlight w:val="none"/>
              </w:rPr>
              <w:t>5</w:t>
            </w:r>
            <w:r>
              <w:rPr>
                <w:rFonts w:hint="eastAsia" w:ascii="宋体" w:hAnsi="宋体"/>
                <w:highlight w:val="none"/>
              </w:rPr>
              <w:t>分</w:t>
            </w:r>
            <w:r>
              <w:rPr>
                <w:rFonts w:hint="eastAsia"/>
                <w:highlight w:val="none"/>
              </w:rPr>
              <w:t>；企业信用等级</w:t>
            </w:r>
            <w:r>
              <w:rPr>
                <w:highlight w:val="none"/>
              </w:rPr>
              <w:t>AA</w:t>
            </w:r>
            <w:r>
              <w:rPr>
                <w:rFonts w:hint="eastAsia"/>
                <w:highlight w:val="none"/>
              </w:rPr>
              <w:t>的得</w:t>
            </w:r>
            <w:r>
              <w:rPr>
                <w:rFonts w:ascii="宋体" w:hAnsi="宋体"/>
                <w:highlight w:val="none"/>
              </w:rPr>
              <w:t>2</w:t>
            </w:r>
            <w:r>
              <w:rPr>
                <w:rFonts w:hint="eastAsia" w:ascii="宋体" w:hAnsi="宋体"/>
                <w:highlight w:val="none"/>
              </w:rPr>
              <w:t>分</w:t>
            </w:r>
            <w:r>
              <w:rPr>
                <w:rFonts w:hint="eastAsia"/>
                <w:highlight w:val="none"/>
                <w:lang w:eastAsia="zh-CN"/>
              </w:rPr>
              <w:t>；</w:t>
            </w:r>
            <w:r>
              <w:rPr>
                <w:rFonts w:hint="eastAsia"/>
                <w:highlight w:val="none"/>
                <w:lang w:val="en-US" w:eastAsia="zh-CN"/>
              </w:rPr>
              <w:t>本项最高得5分。</w:t>
            </w:r>
          </w:p>
          <w:p>
            <w:r>
              <w:rPr>
                <w:rFonts w:hint="eastAsia" w:ascii="宋体" w:hAnsi="宋体"/>
                <w:highlight w:val="none"/>
              </w:rPr>
              <w:t>（以上须提供相关证书复印件加盖公章，原件备查）。</w:t>
            </w:r>
          </w:p>
        </w:tc>
      </w:tr>
      <w:tr>
        <w:tblPrEx>
          <w:tblCellMar>
            <w:top w:w="0" w:type="dxa"/>
            <w:left w:w="0" w:type="dxa"/>
            <w:bottom w:w="0" w:type="dxa"/>
            <w:right w:w="0" w:type="dxa"/>
          </w:tblCellMar>
        </w:tblPrEx>
        <w:trPr>
          <w:trHeight w:val="688" w:hRule="atLeast"/>
          <w:jc w:val="center"/>
        </w:trPr>
        <w:tc>
          <w:tcPr>
            <w:tcW w:w="599" w:type="dxa"/>
            <w:tcBorders>
              <w:top w:val="single" w:color="auto" w:sz="8" w:space="0"/>
              <w:left w:val="single" w:color="auto" w:sz="8" w:space="0"/>
              <w:bottom w:val="single" w:color="auto" w:sz="8" w:space="0"/>
              <w:right w:val="single" w:color="auto" w:sz="8" w:space="0"/>
            </w:tcBorders>
            <w:vAlign w:val="center"/>
          </w:tcPr>
          <w:p>
            <w:pPr>
              <w:jc w:val="center"/>
            </w:pPr>
            <w:r>
              <w:rPr>
                <w:rFonts w:ascii="宋体" w:hAnsi="宋体"/>
              </w:rPr>
              <w:t>2</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业绩经验</w:t>
            </w:r>
          </w:p>
        </w:tc>
        <w:tc>
          <w:tcPr>
            <w:tcW w:w="567"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lang w:val="en-US" w:eastAsia="zh-CN"/>
              </w:rPr>
              <w:t>15</w:t>
            </w:r>
            <w:r>
              <w:rPr>
                <w:rFonts w:hint="eastAsia" w:ascii="宋体" w:hAnsi="宋体"/>
              </w:rPr>
              <w:t>分</w:t>
            </w:r>
          </w:p>
        </w:tc>
        <w:tc>
          <w:tcPr>
            <w:tcW w:w="6772" w:type="dxa"/>
            <w:tcBorders>
              <w:top w:val="single" w:color="auto" w:sz="8" w:space="0"/>
              <w:left w:val="single" w:color="auto" w:sz="8" w:space="0"/>
              <w:bottom w:val="single" w:color="auto" w:sz="8" w:space="0"/>
              <w:right w:val="single" w:color="auto" w:sz="8" w:space="0"/>
            </w:tcBorders>
            <w:vAlign w:val="center"/>
          </w:tcPr>
          <w:p>
            <w:r>
              <w:rPr>
                <w:rFonts w:hint="eastAsia" w:ascii="宋体" w:hAnsi="宋体"/>
                <w:highlight w:val="none"/>
              </w:rPr>
              <w:t>投标单位的类似项目管理经验。投标单位2014年以来有四年及其以上超过1500名学生的学校食堂服务管理经验，服务对象为大中专院校项目的</w:t>
            </w:r>
            <w:r>
              <w:rPr>
                <w:rFonts w:hint="eastAsia" w:ascii="宋体" w:hAnsi="宋体"/>
                <w:highlight w:val="none"/>
                <w:lang w:val="en-US" w:eastAsia="zh-CN"/>
              </w:rPr>
              <w:t>一个</w:t>
            </w:r>
            <w:r>
              <w:rPr>
                <w:rFonts w:hint="eastAsia" w:ascii="宋体" w:hAnsi="宋体"/>
                <w:highlight w:val="none"/>
              </w:rPr>
              <w:t>得</w:t>
            </w:r>
            <w:r>
              <w:rPr>
                <w:rFonts w:hint="eastAsia" w:ascii="宋体" w:hAnsi="宋体"/>
                <w:highlight w:val="none"/>
                <w:lang w:val="en-US" w:eastAsia="zh-CN"/>
              </w:rPr>
              <w:t>5</w:t>
            </w:r>
            <w:r>
              <w:rPr>
                <w:rFonts w:hint="eastAsia" w:ascii="宋体" w:hAnsi="宋体"/>
                <w:highlight w:val="none"/>
              </w:rPr>
              <w:t>分，服务对象为小学和初中项目的</w:t>
            </w:r>
            <w:r>
              <w:rPr>
                <w:rFonts w:hint="eastAsia" w:ascii="宋体" w:hAnsi="宋体"/>
                <w:highlight w:val="none"/>
                <w:lang w:val="en-US" w:eastAsia="zh-CN"/>
              </w:rPr>
              <w:t>一个</w:t>
            </w:r>
            <w:r>
              <w:rPr>
                <w:rFonts w:hint="eastAsia" w:ascii="宋体" w:hAnsi="宋体"/>
                <w:highlight w:val="none"/>
              </w:rPr>
              <w:t>得</w:t>
            </w:r>
            <w:r>
              <w:rPr>
                <w:rFonts w:hint="eastAsia" w:ascii="宋体" w:hAnsi="宋体"/>
                <w:highlight w:val="none"/>
                <w:lang w:val="en-US" w:eastAsia="zh-CN"/>
              </w:rPr>
              <w:t>5</w:t>
            </w:r>
            <w:r>
              <w:rPr>
                <w:rFonts w:hint="eastAsia" w:ascii="宋体" w:hAnsi="宋体"/>
                <w:highlight w:val="none"/>
              </w:rPr>
              <w:t>分，服务对象为高中项目</w:t>
            </w:r>
            <w:r>
              <w:rPr>
                <w:rFonts w:hint="eastAsia" w:ascii="宋体" w:hAnsi="宋体"/>
                <w:highlight w:val="none"/>
                <w:lang w:val="en-US" w:eastAsia="zh-CN"/>
              </w:rPr>
              <w:t>一个</w:t>
            </w:r>
            <w:r>
              <w:rPr>
                <w:rFonts w:hint="eastAsia" w:ascii="宋体" w:hAnsi="宋体"/>
                <w:highlight w:val="none"/>
              </w:rPr>
              <w:t>的得</w:t>
            </w:r>
            <w:r>
              <w:rPr>
                <w:rFonts w:hint="eastAsia" w:ascii="宋体" w:hAnsi="宋体"/>
                <w:highlight w:val="none"/>
                <w:lang w:val="en-US" w:eastAsia="zh-CN"/>
              </w:rPr>
              <w:t>5</w:t>
            </w:r>
            <w:r>
              <w:rPr>
                <w:rFonts w:hint="eastAsia" w:ascii="宋体" w:hAnsi="宋体"/>
                <w:highlight w:val="none"/>
              </w:rPr>
              <w:t>分，本项最高</w:t>
            </w:r>
            <w:r>
              <w:rPr>
                <w:rFonts w:hint="eastAsia" w:ascii="宋体" w:hAnsi="宋体"/>
                <w:highlight w:val="none"/>
                <w:lang w:val="en-US" w:eastAsia="zh-CN"/>
              </w:rPr>
              <w:t>累计</w:t>
            </w:r>
            <w:r>
              <w:rPr>
                <w:rFonts w:hint="eastAsia" w:ascii="宋体" w:hAnsi="宋体"/>
                <w:highlight w:val="none"/>
              </w:rPr>
              <w:t>得</w:t>
            </w:r>
            <w:r>
              <w:rPr>
                <w:rFonts w:hint="eastAsia" w:ascii="宋体" w:hAnsi="宋体"/>
                <w:highlight w:val="none"/>
                <w:lang w:val="en-US" w:eastAsia="zh-CN"/>
              </w:rPr>
              <w:t>15</w:t>
            </w:r>
            <w:r>
              <w:rPr>
                <w:rFonts w:hint="eastAsia" w:ascii="宋体" w:hAnsi="宋体"/>
                <w:highlight w:val="none"/>
              </w:rPr>
              <w:t>分</w:t>
            </w:r>
            <w:r>
              <w:rPr>
                <w:rFonts w:hint="eastAsia" w:ascii="宋体" w:hAnsi="宋体"/>
                <w:highlight w:val="none"/>
                <w:lang w:eastAsia="zh-CN"/>
              </w:rPr>
              <w:t>，</w:t>
            </w:r>
            <w:r>
              <w:rPr>
                <w:rFonts w:hint="eastAsia" w:ascii="宋体" w:hAnsi="宋体"/>
                <w:highlight w:val="none"/>
              </w:rPr>
              <w:t>服务对象为非学校项目的不得分（</w:t>
            </w:r>
            <w:r>
              <w:rPr>
                <w:rFonts w:hint="eastAsia" w:ascii="宋体" w:hAnsi="宋体"/>
                <w:highlight w:val="none"/>
                <w:lang w:val="en-US" w:eastAsia="zh-CN"/>
              </w:rPr>
              <w:t>项</w:t>
            </w:r>
            <w:r>
              <w:rPr>
                <w:rFonts w:hint="eastAsia" w:ascii="宋体" w:hAnsi="宋体"/>
                <w:highlight w:val="none"/>
              </w:rPr>
              <w:t>目时间以合同签订时间为准，须提供合同复印件，原件备查；不按要求提供的不得分）。</w:t>
            </w:r>
          </w:p>
        </w:tc>
      </w:tr>
      <w:tr>
        <w:tblPrEx>
          <w:tblCellMar>
            <w:top w:w="0" w:type="dxa"/>
            <w:left w:w="0" w:type="dxa"/>
            <w:bottom w:w="0" w:type="dxa"/>
            <w:right w:w="0" w:type="dxa"/>
          </w:tblCellMar>
        </w:tblPrEx>
        <w:trPr>
          <w:trHeight w:val="962" w:hRule="atLeast"/>
          <w:jc w:val="center"/>
        </w:trPr>
        <w:tc>
          <w:tcPr>
            <w:tcW w:w="599"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ascii="宋体" w:hAnsi="宋体"/>
              </w:rPr>
              <w:t>3</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管理制度</w:t>
            </w:r>
          </w:p>
        </w:tc>
        <w:tc>
          <w:tcPr>
            <w:tcW w:w="56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ascii="宋体" w:hAnsi="宋体"/>
              </w:rPr>
              <w:t>22</w:t>
            </w:r>
            <w:r>
              <w:rPr>
                <w:rFonts w:hint="eastAsia" w:ascii="宋体" w:hAnsi="宋体"/>
              </w:rPr>
              <w:t>分</w:t>
            </w:r>
          </w:p>
        </w:tc>
        <w:tc>
          <w:tcPr>
            <w:tcW w:w="6772" w:type="dxa"/>
            <w:tcBorders>
              <w:top w:val="single" w:color="auto" w:sz="8" w:space="0"/>
              <w:left w:val="single" w:color="auto" w:sz="8" w:space="0"/>
              <w:bottom w:val="single" w:color="auto" w:sz="8" w:space="0"/>
              <w:right w:val="single" w:color="auto" w:sz="8" w:space="0"/>
            </w:tcBorders>
            <w:vAlign w:val="center"/>
          </w:tcPr>
          <w:p>
            <w:pPr>
              <w:numPr>
                <w:ilvl w:val="0"/>
                <w:numId w:val="1"/>
              </w:numPr>
            </w:pPr>
            <w:r>
              <w:rPr>
                <w:rFonts w:hint="eastAsia"/>
              </w:rPr>
              <w:t>经营理念目标</w:t>
            </w:r>
            <w:r>
              <w:rPr>
                <w:rFonts w:hint="eastAsia" w:ascii="宋体" w:hAnsi="宋体"/>
              </w:rPr>
              <w:t>（本项最高得</w:t>
            </w:r>
            <w:r>
              <w:rPr>
                <w:rFonts w:ascii="宋体" w:hAnsi="宋体"/>
              </w:rPr>
              <w:t>5</w:t>
            </w:r>
            <w:r>
              <w:rPr>
                <w:rFonts w:hint="eastAsia" w:ascii="宋体" w:hAnsi="宋体"/>
              </w:rPr>
              <w:t>分）</w:t>
            </w:r>
          </w:p>
          <w:p>
            <w:pPr>
              <w:rPr>
                <w:rFonts w:ascii="宋体"/>
                <w:highlight w:val="none"/>
              </w:rPr>
            </w:pPr>
            <w:r>
              <w:rPr>
                <w:rFonts w:hint="eastAsia"/>
                <w:highlight w:val="none"/>
              </w:rPr>
              <w:t>提出针对本项目食堂管理服务设想（包括服务宗旨、目标、设想等）</w:t>
            </w:r>
            <w:r>
              <w:rPr>
                <w:rFonts w:hint="eastAsia" w:ascii="宋体" w:hAnsi="宋体"/>
                <w:highlight w:val="none"/>
              </w:rPr>
              <w:t>由评委酌情打分</w:t>
            </w:r>
            <w:r>
              <w:rPr>
                <w:rFonts w:hint="eastAsia" w:ascii="宋体" w:hAnsi="宋体"/>
                <w:highlight w:val="none"/>
                <w:lang w:eastAsia="zh-CN"/>
              </w:rPr>
              <w:t>，</w:t>
            </w:r>
            <w:r>
              <w:rPr>
                <w:rFonts w:hint="eastAsia" w:ascii="宋体" w:hAnsi="宋体"/>
                <w:highlight w:val="none"/>
              </w:rPr>
              <w:t>按优劣分为三档：</w:t>
            </w:r>
            <w:r>
              <w:rPr>
                <w:rFonts w:hint="eastAsia" w:ascii="宋体" w:hAnsi="宋体"/>
                <w:highlight w:val="none"/>
                <w:lang w:val="en-US" w:eastAsia="zh-CN"/>
              </w:rPr>
              <w:t>优秀（5分）、良好（4-3分）、一般（2-1分）。</w:t>
            </w:r>
          </w:p>
          <w:p>
            <w:pPr>
              <w:pStyle w:val="2"/>
              <w:numPr>
                <w:ilvl w:val="0"/>
                <w:numId w:val="1"/>
              </w:numPr>
              <w:ind w:firstLine="0"/>
              <w:rPr>
                <w:rFonts w:ascii="宋体"/>
                <w:highlight w:val="none"/>
              </w:rPr>
            </w:pPr>
            <w:r>
              <w:rPr>
                <w:rFonts w:hint="eastAsia" w:ascii="宋体" w:hAnsi="宋体"/>
                <w:highlight w:val="none"/>
              </w:rPr>
              <w:t>根据供应商各项管理制度，包括但不限于（岗位责任、管理制度及规程、管理人员考核制度及标准的完善性、可行性、实用性等进行综合评价</w:t>
            </w:r>
            <w:r>
              <w:rPr>
                <w:rFonts w:ascii="宋体" w:hAnsi="宋体"/>
                <w:highlight w:val="none"/>
              </w:rPr>
              <w:t xml:space="preserve">, </w:t>
            </w:r>
            <w:r>
              <w:rPr>
                <w:rFonts w:hint="eastAsia" w:ascii="宋体" w:hAnsi="宋体"/>
                <w:highlight w:val="none"/>
              </w:rPr>
              <w:t>由评委酌情打分</w:t>
            </w:r>
            <w:r>
              <w:rPr>
                <w:rFonts w:hint="eastAsia" w:ascii="宋体" w:hAnsi="宋体"/>
                <w:highlight w:val="none"/>
                <w:lang w:eastAsia="zh-CN"/>
              </w:rPr>
              <w:t>，</w:t>
            </w:r>
            <w:r>
              <w:rPr>
                <w:rFonts w:hint="eastAsia" w:ascii="宋体" w:hAnsi="宋体"/>
                <w:highlight w:val="none"/>
              </w:rPr>
              <w:t>按优劣分为三档：</w:t>
            </w:r>
            <w:r>
              <w:rPr>
                <w:rFonts w:hint="eastAsia" w:ascii="宋体" w:hAnsi="宋体"/>
                <w:highlight w:val="none"/>
                <w:lang w:val="en-US" w:eastAsia="zh-CN"/>
              </w:rPr>
              <w:t>优秀（10-8分）、良好（6-4分）、一般（2-0分）。</w:t>
            </w:r>
            <w:r>
              <w:rPr>
                <w:rFonts w:hint="eastAsia" w:ascii="宋体" w:hAnsi="宋体"/>
                <w:highlight w:val="none"/>
              </w:rPr>
              <w:t>（本项最高得</w:t>
            </w:r>
            <w:r>
              <w:rPr>
                <w:rFonts w:ascii="宋体" w:hAnsi="宋体"/>
                <w:highlight w:val="none"/>
              </w:rPr>
              <w:t>10</w:t>
            </w:r>
            <w:r>
              <w:rPr>
                <w:rFonts w:hint="eastAsia" w:ascii="宋体" w:hAnsi="宋体"/>
                <w:highlight w:val="none"/>
              </w:rPr>
              <w:t>分）</w:t>
            </w:r>
          </w:p>
          <w:p>
            <w:pPr>
              <w:pStyle w:val="2"/>
              <w:ind w:firstLine="0"/>
              <w:rPr>
                <w:rFonts w:ascii="宋体"/>
                <w:highlight w:val="none"/>
              </w:rPr>
            </w:pPr>
            <w:r>
              <w:rPr>
                <w:highlight w:val="none"/>
              </w:rPr>
              <w:t>3</w:t>
            </w:r>
            <w:r>
              <w:rPr>
                <w:rFonts w:hint="eastAsia"/>
                <w:highlight w:val="none"/>
              </w:rPr>
              <w:t>、食堂文化建设方案</w:t>
            </w:r>
            <w:r>
              <w:rPr>
                <w:rFonts w:hint="eastAsia" w:ascii="宋体" w:hAnsi="宋体"/>
                <w:highlight w:val="none"/>
              </w:rPr>
              <w:t>（本项最高得</w:t>
            </w:r>
            <w:r>
              <w:rPr>
                <w:rFonts w:ascii="宋体" w:hAnsi="宋体"/>
                <w:highlight w:val="none"/>
              </w:rPr>
              <w:t>5</w:t>
            </w:r>
            <w:r>
              <w:rPr>
                <w:rFonts w:hint="eastAsia" w:ascii="宋体" w:hAnsi="宋体"/>
                <w:highlight w:val="none"/>
              </w:rPr>
              <w:t>分）</w:t>
            </w:r>
            <w:r>
              <w:rPr>
                <w:rFonts w:hint="eastAsia"/>
                <w:highlight w:val="none"/>
              </w:rPr>
              <w:t>。</w:t>
            </w:r>
            <w:r>
              <w:rPr>
                <w:rFonts w:hint="eastAsia" w:ascii="宋体" w:hAnsi="宋体"/>
                <w:highlight w:val="none"/>
              </w:rPr>
              <w:t>由评委酌情打分</w:t>
            </w:r>
            <w:r>
              <w:rPr>
                <w:rFonts w:hint="eastAsia" w:ascii="宋体" w:hAnsi="宋体"/>
                <w:highlight w:val="none"/>
                <w:lang w:eastAsia="zh-CN"/>
              </w:rPr>
              <w:t>，</w:t>
            </w:r>
            <w:r>
              <w:rPr>
                <w:rFonts w:hint="eastAsia" w:ascii="宋体" w:hAnsi="宋体"/>
                <w:highlight w:val="none"/>
              </w:rPr>
              <w:t>按优劣分为三档：</w:t>
            </w:r>
            <w:r>
              <w:rPr>
                <w:rFonts w:hint="eastAsia" w:ascii="宋体" w:hAnsi="宋体"/>
                <w:highlight w:val="none"/>
                <w:lang w:val="en-US" w:eastAsia="zh-CN"/>
              </w:rPr>
              <w:t>优秀（5分）、良好（4-3分）、一般（2-1分）。</w:t>
            </w:r>
          </w:p>
          <w:p>
            <w:pPr>
              <w:pStyle w:val="2"/>
              <w:ind w:firstLine="0"/>
            </w:pPr>
            <w:r>
              <w:t>4</w:t>
            </w:r>
            <w:r>
              <w:rPr>
                <w:rFonts w:hint="eastAsia"/>
              </w:rPr>
              <w:t>、提供的其它优惠条件（经评标委员会认可的切实可行的措施），</w:t>
            </w:r>
            <w:r>
              <w:rPr>
                <w:rFonts w:hint="eastAsia" w:ascii="宋体" w:hAnsi="宋体"/>
                <w:highlight w:val="none"/>
                <w:lang w:val="en-US" w:eastAsia="zh-CN"/>
              </w:rPr>
              <w:t>得2-0</w:t>
            </w:r>
            <w:r>
              <w:rPr>
                <w:rFonts w:hint="eastAsia"/>
              </w:rPr>
              <w:t>分。</w:t>
            </w:r>
            <w:r>
              <w:rPr>
                <w:rFonts w:hint="eastAsia" w:ascii="宋体" w:hAnsi="宋体"/>
              </w:rPr>
              <w:t>（本项最高得</w:t>
            </w:r>
            <w:r>
              <w:rPr>
                <w:rFonts w:ascii="宋体" w:hAnsi="宋体"/>
              </w:rPr>
              <w:t>2</w:t>
            </w:r>
            <w:r>
              <w:rPr>
                <w:rFonts w:hint="eastAsia" w:ascii="宋体" w:hAnsi="宋体"/>
              </w:rPr>
              <w:t>分）</w:t>
            </w:r>
          </w:p>
        </w:tc>
      </w:tr>
      <w:tr>
        <w:tblPrEx>
          <w:tblCellMar>
            <w:top w:w="0" w:type="dxa"/>
            <w:left w:w="0" w:type="dxa"/>
            <w:bottom w:w="0" w:type="dxa"/>
            <w:right w:w="0" w:type="dxa"/>
          </w:tblCellMar>
        </w:tblPrEx>
        <w:trPr>
          <w:trHeight w:val="90" w:hRule="atLeast"/>
          <w:jc w:val="center"/>
        </w:trPr>
        <w:tc>
          <w:tcPr>
            <w:tcW w:w="599" w:type="dxa"/>
            <w:tcBorders>
              <w:top w:val="single" w:color="auto" w:sz="8" w:space="0"/>
              <w:left w:val="single" w:color="auto" w:sz="8" w:space="0"/>
              <w:bottom w:val="single" w:color="auto" w:sz="8" w:space="0"/>
              <w:right w:val="single" w:color="auto" w:sz="8" w:space="0"/>
            </w:tcBorders>
            <w:vAlign w:val="center"/>
          </w:tcPr>
          <w:p>
            <w:pPr>
              <w:jc w:val="center"/>
            </w:pPr>
            <w:r>
              <w:rPr>
                <w:rFonts w:ascii="宋体" w:hAnsi="宋体"/>
              </w:rPr>
              <w:t>4</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提供服务人员</w:t>
            </w:r>
          </w:p>
          <w:p>
            <w:pPr>
              <w:jc w:val="center"/>
            </w:pPr>
            <w:r>
              <w:rPr>
                <w:rFonts w:hint="eastAsia"/>
              </w:rPr>
              <w:t>专业性</w:t>
            </w:r>
          </w:p>
        </w:tc>
        <w:tc>
          <w:tcPr>
            <w:tcW w:w="567" w:type="dxa"/>
            <w:tcBorders>
              <w:top w:val="single" w:color="auto" w:sz="8" w:space="0"/>
              <w:left w:val="single" w:color="auto" w:sz="8" w:space="0"/>
              <w:bottom w:val="single" w:color="auto" w:sz="8" w:space="0"/>
              <w:right w:val="single" w:color="auto" w:sz="8" w:space="0"/>
            </w:tcBorders>
            <w:vAlign w:val="center"/>
          </w:tcPr>
          <w:p>
            <w:pPr>
              <w:jc w:val="center"/>
            </w:pPr>
            <w:r>
              <w:rPr>
                <w:rFonts w:ascii="宋体" w:hAnsi="宋体"/>
              </w:rPr>
              <w:t>1</w:t>
            </w:r>
            <w:r>
              <w:rPr>
                <w:rFonts w:hint="eastAsia" w:ascii="宋体" w:hAnsi="宋体"/>
                <w:lang w:val="en-US" w:eastAsia="zh-CN"/>
              </w:rPr>
              <w:t>8</w:t>
            </w:r>
            <w:r>
              <w:rPr>
                <w:rFonts w:hint="eastAsia" w:ascii="宋体" w:hAnsi="宋体"/>
              </w:rPr>
              <w:t>分</w:t>
            </w:r>
          </w:p>
        </w:tc>
        <w:tc>
          <w:tcPr>
            <w:tcW w:w="6772" w:type="dxa"/>
            <w:tcBorders>
              <w:top w:val="single" w:color="auto" w:sz="8" w:space="0"/>
              <w:left w:val="single" w:color="auto" w:sz="8" w:space="0"/>
              <w:bottom w:val="single" w:color="auto" w:sz="8" w:space="0"/>
              <w:right w:val="single" w:color="auto" w:sz="8" w:space="0"/>
            </w:tcBorders>
            <w:vAlign w:val="center"/>
          </w:tcPr>
          <w:p>
            <w:pPr>
              <w:rPr>
                <w:rFonts w:hint="eastAsia" w:ascii="宋体" w:hAnsi="宋体" w:eastAsia="宋体"/>
                <w:highlight w:val="none"/>
                <w:lang w:eastAsia="zh-CN"/>
              </w:rPr>
            </w:pPr>
            <w:bookmarkStart w:id="24" w:name="OLE_LINK16"/>
            <w:bookmarkStart w:id="25" w:name="OLE_LINK17"/>
            <w:r>
              <w:rPr>
                <w:rFonts w:ascii="宋体" w:hAnsi="宋体"/>
              </w:rPr>
              <w:t>1</w:t>
            </w:r>
            <w:r>
              <w:rPr>
                <w:rFonts w:hint="eastAsia" w:ascii="宋体" w:hAnsi="宋体"/>
                <w:highlight w:val="none"/>
              </w:rPr>
              <w:t>、根据学校要求提供服务人员管理架构</w:t>
            </w:r>
            <w:r>
              <w:rPr>
                <w:rFonts w:hint="eastAsia" w:ascii="宋体" w:hAnsi="宋体"/>
                <w:highlight w:val="none"/>
                <w:lang w:eastAsia="zh-CN"/>
              </w:rPr>
              <w:t>，</w:t>
            </w:r>
            <w:r>
              <w:rPr>
                <w:rFonts w:hint="eastAsia" w:ascii="宋体" w:hAnsi="宋体"/>
                <w:highlight w:val="none"/>
              </w:rPr>
              <w:t>岗位人员配备</w:t>
            </w:r>
            <w:r>
              <w:rPr>
                <w:rFonts w:hint="eastAsia" w:ascii="宋体" w:hAnsi="宋体"/>
                <w:highlight w:val="none"/>
                <w:lang w:eastAsia="zh-CN"/>
              </w:rPr>
              <w:t>，</w:t>
            </w:r>
            <w:r>
              <w:rPr>
                <w:rFonts w:hint="eastAsia" w:ascii="宋体" w:hAnsi="宋体"/>
                <w:highlight w:val="none"/>
              </w:rPr>
              <w:t>持证上岗</w:t>
            </w:r>
            <w:r>
              <w:rPr>
                <w:rFonts w:hint="eastAsia" w:ascii="宋体" w:hAnsi="宋体"/>
                <w:highlight w:val="none"/>
                <w:lang w:eastAsia="zh-CN"/>
              </w:rPr>
              <w:t>，</w:t>
            </w:r>
            <w:r>
              <w:rPr>
                <w:rFonts w:hint="eastAsia" w:ascii="宋体" w:hAnsi="宋体"/>
                <w:highlight w:val="none"/>
              </w:rPr>
              <w:t>服务人员综合素质</w:t>
            </w:r>
            <w:r>
              <w:rPr>
                <w:rFonts w:hint="eastAsia" w:ascii="宋体" w:hAnsi="宋体"/>
                <w:highlight w:val="none"/>
                <w:lang w:eastAsia="zh-CN"/>
              </w:rPr>
              <w:t>，</w:t>
            </w:r>
            <w:r>
              <w:rPr>
                <w:rFonts w:hint="eastAsia" w:ascii="宋体" w:hAnsi="宋体"/>
                <w:highlight w:val="none"/>
              </w:rPr>
              <w:t>岗位制度</w:t>
            </w:r>
            <w:r>
              <w:rPr>
                <w:rFonts w:hint="eastAsia" w:ascii="宋体" w:hAnsi="宋体"/>
                <w:highlight w:val="none"/>
                <w:lang w:eastAsia="zh-CN"/>
              </w:rPr>
              <w:t>、</w:t>
            </w:r>
            <w:r>
              <w:rPr>
                <w:rFonts w:hint="eastAsia"/>
                <w:highlight w:val="none"/>
              </w:rPr>
              <w:t>奖惩机制、</w:t>
            </w:r>
            <w:r>
              <w:rPr>
                <w:rFonts w:hint="eastAsia" w:ascii="宋体" w:hAnsi="宋体"/>
                <w:highlight w:val="none"/>
              </w:rPr>
              <w:t>培训及考核方案等，由评委酌情打分，</w:t>
            </w:r>
            <w:r>
              <w:rPr>
                <w:rFonts w:hint="eastAsia" w:ascii="宋体" w:hAnsi="宋体"/>
                <w:highlight w:val="none"/>
                <w:lang w:val="en-US" w:eastAsia="zh-CN"/>
              </w:rPr>
              <w:t>优秀（14-10分）、良好（9-5分）、一般（4-0分）。</w:t>
            </w:r>
            <w:r>
              <w:rPr>
                <w:rFonts w:hint="eastAsia" w:ascii="宋体" w:hAnsi="宋体"/>
                <w:highlight w:val="none"/>
              </w:rPr>
              <w:t>（不按要求提供的不得分）</w:t>
            </w:r>
            <w:bookmarkEnd w:id="24"/>
            <w:bookmarkEnd w:id="25"/>
            <w:r>
              <w:rPr>
                <w:rFonts w:hint="eastAsia" w:ascii="宋体" w:hAnsi="宋体"/>
                <w:highlight w:val="none"/>
                <w:lang w:eastAsia="zh-CN"/>
              </w:rPr>
              <w:t>（</w:t>
            </w:r>
            <w:r>
              <w:rPr>
                <w:rFonts w:hint="eastAsia" w:ascii="宋体" w:hAnsi="宋体"/>
                <w:highlight w:val="none"/>
                <w:lang w:val="en-US" w:eastAsia="zh-CN"/>
              </w:rPr>
              <w:t>注：①</w:t>
            </w:r>
            <w:r>
              <w:rPr>
                <w:rFonts w:hint="eastAsia" w:ascii="宋体" w:hAnsi="宋体"/>
                <w:highlight w:val="none"/>
                <w:lang w:eastAsia="zh-CN"/>
              </w:rPr>
              <w:t>人员组成：工作人员不少于1</w:t>
            </w:r>
            <w:r>
              <w:rPr>
                <w:rFonts w:hint="eastAsia" w:ascii="宋体" w:hAnsi="宋体"/>
                <w:highlight w:val="none"/>
                <w:lang w:val="en-US" w:eastAsia="zh-CN"/>
              </w:rPr>
              <w:t>3</w:t>
            </w:r>
            <w:r>
              <w:rPr>
                <w:rFonts w:hint="eastAsia" w:ascii="宋体" w:hAnsi="宋体"/>
                <w:highlight w:val="none"/>
                <w:lang w:eastAsia="zh-CN"/>
              </w:rPr>
              <w:t>人，其中项目经理1人，营养师1人，三级以上厨师3-4人，中西点心师1人。男工作人员年龄不超过65周岁，女工作人员年龄不超过55周岁；</w:t>
            </w:r>
            <w:r>
              <w:rPr>
                <w:rFonts w:hint="eastAsia" w:ascii="宋体" w:hAnsi="宋体"/>
                <w:highlight w:val="none"/>
                <w:lang w:val="en-US" w:eastAsia="zh-CN"/>
              </w:rPr>
              <w:t>②</w:t>
            </w:r>
            <w:r>
              <w:rPr>
                <w:rFonts w:hint="eastAsia" w:ascii="宋体" w:hAnsi="宋体"/>
                <w:highlight w:val="none"/>
                <w:lang w:eastAsia="zh-CN"/>
              </w:rPr>
              <w:t>食堂现场管理人员和食品安全管理员必须具有高中（中专）及以上文化程度，具有食品安全管理员证，熟悉学校餐饮工作规律和特点。烹饪师具有初中及以上文化程度；</w:t>
            </w:r>
            <w:r>
              <w:rPr>
                <w:rFonts w:hint="eastAsia" w:ascii="宋体" w:hAnsi="宋体"/>
                <w:highlight w:val="none"/>
                <w:lang w:val="en-US" w:eastAsia="zh-CN"/>
              </w:rPr>
              <w:t>本项最高得14分。</w:t>
            </w:r>
            <w:r>
              <w:rPr>
                <w:rFonts w:hint="eastAsia" w:ascii="宋体" w:hAnsi="宋体"/>
                <w:highlight w:val="none"/>
                <w:lang w:eastAsia="zh-CN"/>
              </w:rPr>
              <w:t>）</w:t>
            </w:r>
          </w:p>
          <w:p>
            <w:pPr>
              <w:numPr>
                <w:ilvl w:val="0"/>
                <w:numId w:val="0"/>
              </w:numPr>
              <w:rPr>
                <w:rFonts w:ascii="宋体"/>
                <w:highlight w:val="none"/>
              </w:rPr>
            </w:pPr>
            <w:r>
              <w:rPr>
                <w:rFonts w:hint="eastAsia" w:ascii="宋体" w:hAnsi="宋体"/>
                <w:highlight w:val="none"/>
                <w:lang w:val="en-US" w:eastAsia="zh-CN"/>
              </w:rPr>
              <w:t>2、</w:t>
            </w:r>
            <w:r>
              <w:rPr>
                <w:rFonts w:hint="eastAsia" w:ascii="宋体" w:hAnsi="宋体"/>
                <w:highlight w:val="none"/>
              </w:rPr>
              <w:t>投标供应商拟定的项目负责人具有一级厨师证书和餐饮管理经验的得</w:t>
            </w:r>
            <w:r>
              <w:rPr>
                <w:rFonts w:hint="eastAsia" w:ascii="宋体" w:hAnsi="宋体"/>
                <w:highlight w:val="none"/>
                <w:lang w:val="en-US" w:eastAsia="zh-CN"/>
              </w:rPr>
              <w:t>4</w:t>
            </w:r>
            <w:r>
              <w:rPr>
                <w:rFonts w:hint="eastAsia" w:ascii="宋体" w:hAnsi="宋体"/>
                <w:highlight w:val="none"/>
              </w:rPr>
              <w:t>分（本项最高得</w:t>
            </w:r>
            <w:r>
              <w:rPr>
                <w:rFonts w:hint="eastAsia" w:ascii="宋体" w:hAnsi="宋体"/>
                <w:highlight w:val="none"/>
                <w:lang w:val="en-US" w:eastAsia="zh-CN"/>
              </w:rPr>
              <w:t>4</w:t>
            </w:r>
            <w:r>
              <w:rPr>
                <w:rFonts w:hint="eastAsia" w:ascii="宋体" w:hAnsi="宋体"/>
                <w:highlight w:val="none"/>
              </w:rPr>
              <w:t>分）。</w:t>
            </w:r>
            <w:r>
              <w:rPr>
                <w:rFonts w:hint="eastAsia" w:ascii="宋体" w:hAnsi="宋体"/>
                <w:highlight w:val="none"/>
                <w:lang w:val="en-US" w:eastAsia="zh-CN"/>
              </w:rPr>
              <w:t>须</w:t>
            </w:r>
            <w:r>
              <w:rPr>
                <w:rFonts w:hint="eastAsia" w:ascii="宋体" w:hAnsi="宋体"/>
                <w:highlight w:val="none"/>
              </w:rPr>
              <w:t>提供厨师证复印件加盖公章，并提供社保机构出具并盖章的投标供应商为其缴纳</w:t>
            </w:r>
            <w:r>
              <w:rPr>
                <w:rFonts w:ascii="宋体" w:hAnsi="宋体"/>
                <w:highlight w:val="none"/>
              </w:rPr>
              <w:t>2019</w:t>
            </w:r>
            <w:r>
              <w:rPr>
                <w:rFonts w:hint="eastAsia" w:ascii="宋体" w:hAnsi="宋体"/>
                <w:highlight w:val="none"/>
              </w:rPr>
              <w:t>年</w:t>
            </w:r>
            <w:r>
              <w:rPr>
                <w:rFonts w:hint="eastAsia" w:ascii="宋体" w:hAnsi="宋体"/>
                <w:highlight w:val="none"/>
                <w:lang w:val="en-US" w:eastAsia="zh-CN"/>
              </w:rPr>
              <w:t>7</w:t>
            </w:r>
            <w:r>
              <w:rPr>
                <w:rFonts w:hint="eastAsia" w:ascii="宋体" w:hAnsi="宋体"/>
                <w:highlight w:val="none"/>
              </w:rPr>
              <w:t>月至</w:t>
            </w:r>
            <w:r>
              <w:rPr>
                <w:rFonts w:ascii="宋体" w:hAnsi="宋体"/>
                <w:highlight w:val="none"/>
              </w:rPr>
              <w:t>2019</w:t>
            </w:r>
            <w:r>
              <w:rPr>
                <w:rFonts w:hint="eastAsia" w:ascii="宋体" w:hAnsi="宋体"/>
                <w:highlight w:val="none"/>
              </w:rPr>
              <w:t>年</w:t>
            </w:r>
            <w:r>
              <w:rPr>
                <w:rFonts w:ascii="宋体" w:hAnsi="宋体"/>
                <w:highlight w:val="none"/>
              </w:rPr>
              <w:t>1</w:t>
            </w:r>
            <w:r>
              <w:rPr>
                <w:rFonts w:hint="eastAsia" w:ascii="宋体" w:hAnsi="宋体"/>
                <w:highlight w:val="none"/>
                <w:lang w:val="en-US" w:eastAsia="zh-CN"/>
              </w:rPr>
              <w:t>2</w:t>
            </w:r>
            <w:r>
              <w:rPr>
                <w:rFonts w:hint="eastAsia" w:ascii="宋体" w:hAnsi="宋体"/>
                <w:highlight w:val="none"/>
              </w:rPr>
              <w:t>月连续</w:t>
            </w:r>
            <w:r>
              <w:rPr>
                <w:rFonts w:ascii="宋体" w:hAnsi="宋体"/>
                <w:highlight w:val="none"/>
              </w:rPr>
              <w:t>6</w:t>
            </w:r>
            <w:r>
              <w:rPr>
                <w:rFonts w:hint="eastAsia" w:ascii="宋体" w:hAnsi="宋体"/>
                <w:highlight w:val="none"/>
              </w:rPr>
              <w:t>个月的养老保险缴费清单复印件，原件备查。未提供的不得分。</w:t>
            </w:r>
          </w:p>
          <w:p>
            <w:pPr>
              <w:rPr>
                <w:color w:val="FF00FF"/>
              </w:rPr>
            </w:pPr>
            <w:r>
              <w:rPr>
                <w:rFonts w:hint="eastAsia" w:ascii="宋体" w:hAnsi="宋体"/>
              </w:rPr>
              <w:t>（</w:t>
            </w:r>
            <w:r>
              <w:rPr>
                <w:rFonts w:hint="eastAsia" w:ascii="宋体" w:hAnsi="宋体"/>
                <w:lang w:val="en-US" w:eastAsia="zh-CN"/>
              </w:rPr>
              <w:t>注：供应商所</w:t>
            </w:r>
            <w:r>
              <w:rPr>
                <w:rFonts w:hint="eastAsia" w:ascii="宋体" w:hAnsi="宋体"/>
                <w:highlight w:val="none"/>
              </w:rPr>
              <w:t>提供服务人员</w:t>
            </w:r>
            <w:r>
              <w:rPr>
                <w:rFonts w:hint="eastAsia" w:ascii="宋体" w:hAnsi="宋体"/>
              </w:rPr>
              <w:t>的证明材料须提供有效资格证明、健康证和卫生知识培训证上岗证复印件加盖公章。）</w:t>
            </w:r>
            <w:r>
              <w:rPr>
                <w:rFonts w:ascii="宋体" w:hAnsi="宋体"/>
              </w:rPr>
              <w:t xml:space="preserve">  </w:t>
            </w:r>
          </w:p>
        </w:tc>
      </w:tr>
      <w:tr>
        <w:tblPrEx>
          <w:tblCellMar>
            <w:top w:w="0" w:type="dxa"/>
            <w:left w:w="0" w:type="dxa"/>
            <w:bottom w:w="0" w:type="dxa"/>
            <w:right w:w="0" w:type="dxa"/>
          </w:tblCellMar>
        </w:tblPrEx>
        <w:trPr>
          <w:trHeight w:val="1112" w:hRule="atLeast"/>
          <w:jc w:val="center"/>
        </w:trPr>
        <w:tc>
          <w:tcPr>
            <w:tcW w:w="599"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ascii="宋体" w:hAnsi="宋体"/>
              </w:rPr>
              <w:t>5</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rPr>
              <w:t>食物安全</w:t>
            </w:r>
          </w:p>
          <w:p>
            <w:pPr>
              <w:jc w:val="center"/>
              <w:rPr>
                <w:rFonts w:ascii="宋体"/>
              </w:rPr>
            </w:pPr>
            <w:r>
              <w:rPr>
                <w:rFonts w:hint="eastAsia" w:ascii="宋体" w:hAnsi="宋体"/>
              </w:rPr>
              <w:t>控制措施</w:t>
            </w:r>
          </w:p>
        </w:tc>
        <w:tc>
          <w:tcPr>
            <w:tcW w:w="56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hAnsi="宋体"/>
                <w:lang w:val="en-US" w:eastAsia="zh-CN"/>
              </w:rPr>
              <w:t>5</w:t>
            </w:r>
            <w:r>
              <w:rPr>
                <w:rFonts w:hint="eastAsia" w:ascii="宋体" w:hAnsi="宋体"/>
              </w:rPr>
              <w:t>分</w:t>
            </w:r>
          </w:p>
        </w:tc>
        <w:tc>
          <w:tcPr>
            <w:tcW w:w="6772" w:type="dxa"/>
            <w:tcBorders>
              <w:top w:val="single" w:color="auto" w:sz="8" w:space="0"/>
              <w:left w:val="single" w:color="auto" w:sz="8" w:space="0"/>
              <w:bottom w:val="single" w:color="auto" w:sz="8" w:space="0"/>
              <w:right w:val="single" w:color="auto" w:sz="8" w:space="0"/>
            </w:tcBorders>
            <w:vAlign w:val="center"/>
          </w:tcPr>
          <w:p>
            <w:r>
              <w:rPr>
                <w:rFonts w:hint="eastAsia" w:ascii="宋体" w:hAnsi="宋体"/>
                <w:highlight w:val="none"/>
              </w:rPr>
              <w:t>根据供应商食物卫生、饭菜品种、价格，安全的标准、控制措施、质量保证措施等进行综合评价，由评委酌情打分</w:t>
            </w:r>
            <w:r>
              <w:rPr>
                <w:rFonts w:hint="eastAsia" w:ascii="宋体" w:hAnsi="宋体"/>
                <w:highlight w:val="none"/>
                <w:lang w:eastAsia="zh-CN"/>
              </w:rPr>
              <w:t>，</w:t>
            </w:r>
            <w:r>
              <w:rPr>
                <w:rFonts w:hint="eastAsia" w:ascii="宋体" w:hAnsi="宋体"/>
                <w:highlight w:val="none"/>
              </w:rPr>
              <w:t>按优劣分为三档：</w:t>
            </w:r>
            <w:r>
              <w:rPr>
                <w:rFonts w:hint="eastAsia" w:ascii="宋体" w:hAnsi="宋体"/>
                <w:highlight w:val="none"/>
                <w:lang w:val="en-US" w:eastAsia="zh-CN"/>
              </w:rPr>
              <w:t>优秀（5分）、良好（4-3分）、一般（2-1分）。</w:t>
            </w:r>
          </w:p>
        </w:tc>
      </w:tr>
      <w:tr>
        <w:tblPrEx>
          <w:tblCellMar>
            <w:top w:w="0" w:type="dxa"/>
            <w:left w:w="0" w:type="dxa"/>
            <w:bottom w:w="0" w:type="dxa"/>
            <w:right w:w="0" w:type="dxa"/>
          </w:tblCellMar>
        </w:tblPrEx>
        <w:trPr>
          <w:trHeight w:val="1112" w:hRule="atLeast"/>
          <w:jc w:val="center"/>
        </w:trPr>
        <w:tc>
          <w:tcPr>
            <w:tcW w:w="599"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ascii="宋体" w:hAnsi="宋体"/>
              </w:rPr>
              <w:t>6</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hAnsi="宋体"/>
              </w:rPr>
              <w:t>应急预案</w:t>
            </w:r>
          </w:p>
        </w:tc>
        <w:tc>
          <w:tcPr>
            <w:tcW w:w="56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hAnsi="宋体"/>
                <w:lang w:val="en-US" w:eastAsia="zh-CN"/>
              </w:rPr>
              <w:t>5</w:t>
            </w:r>
            <w:r>
              <w:rPr>
                <w:rFonts w:hint="eastAsia" w:ascii="宋体" w:hAnsi="宋体"/>
              </w:rPr>
              <w:t>分</w:t>
            </w:r>
          </w:p>
        </w:tc>
        <w:tc>
          <w:tcPr>
            <w:tcW w:w="6772" w:type="dxa"/>
            <w:tcBorders>
              <w:top w:val="single" w:color="auto" w:sz="8" w:space="0"/>
              <w:left w:val="single" w:color="auto" w:sz="8" w:space="0"/>
              <w:bottom w:val="single" w:color="auto" w:sz="8" w:space="0"/>
              <w:right w:val="single" w:color="auto" w:sz="8" w:space="0"/>
            </w:tcBorders>
            <w:vAlign w:val="center"/>
          </w:tcPr>
          <w:p>
            <w:pPr>
              <w:rPr>
                <w:rFonts w:ascii="宋体"/>
              </w:rPr>
            </w:pPr>
            <w:r>
              <w:rPr>
                <w:rFonts w:hint="eastAsia"/>
                <w:highlight w:val="none"/>
              </w:rPr>
              <w:t>具备详细的消防处置及应急管理方案、食品安全管理及应急管理预案、其他安全事故应急管理预案。</w:t>
            </w:r>
            <w:r>
              <w:rPr>
                <w:rFonts w:hint="eastAsia" w:ascii="宋体" w:hAnsi="宋体"/>
                <w:highlight w:val="none"/>
              </w:rPr>
              <w:t>由评委酌情打分，按优劣分为三档：</w:t>
            </w:r>
            <w:r>
              <w:rPr>
                <w:rFonts w:hint="eastAsia" w:ascii="宋体" w:hAnsi="宋体"/>
                <w:highlight w:val="none"/>
                <w:lang w:val="en-US" w:eastAsia="zh-CN"/>
              </w:rPr>
              <w:t>优秀（5分）、良好（4-3分）、一般（2-1分）。</w:t>
            </w: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sz w:val="24"/>
          <w:highlight w:val="none"/>
        </w:rPr>
        <w:t>六、变更为其他方式采购的情形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提交响应文件截止时间时参加磋商的供应商不足3家的，及磋商中出现符合专业条件的供应商或对磋商文件作实质响应的供应商不足3家，除采购任务取消外，磋商人报告</w:t>
      </w:r>
      <w:r>
        <w:rPr>
          <w:rFonts w:hint="eastAsia" w:asciiTheme="minorEastAsia" w:hAnsiTheme="minorEastAsia" w:eastAsiaTheme="minorEastAsia" w:cstheme="minorEastAsia"/>
          <w:sz w:val="24"/>
          <w:highlight w:val="none"/>
          <w:lang w:val="en-US" w:eastAsia="zh-CN"/>
        </w:rPr>
        <w:t>主管单位</w:t>
      </w:r>
      <w:r>
        <w:rPr>
          <w:rFonts w:hint="eastAsia" w:asciiTheme="minorEastAsia" w:hAnsiTheme="minorEastAsia" w:eastAsiaTheme="minorEastAsia" w:cstheme="minorEastAsia"/>
          <w:sz w:val="24"/>
          <w:highlight w:val="none"/>
        </w:rPr>
        <w:t>，视情采取其他方式采购。磋商文件中对供应商资质、技术等要求，将作为其他方式采购的基本要求和依据。原已经参加磋商并符合要求的供应商，根据自愿原则，参加其他方式采购。</w:t>
      </w:r>
    </w:p>
    <w:p>
      <w:pPr>
        <w:snapToGrid w:val="0"/>
        <w:spacing w:line="360" w:lineRule="auto"/>
        <w:outlineLvl w:val="1"/>
        <w:rPr>
          <w:rFonts w:hint="eastAsia"/>
          <w:b/>
          <w:color w:val="000000"/>
          <w:sz w:val="24"/>
          <w:szCs w:val="24"/>
        </w:rPr>
      </w:pPr>
      <w:r>
        <w:rPr>
          <w:rFonts w:hint="eastAsia"/>
          <w:b/>
          <w:color w:val="000000"/>
          <w:sz w:val="24"/>
          <w:szCs w:val="24"/>
          <w:lang w:val="en-US" w:eastAsia="zh-CN"/>
        </w:rPr>
        <w:t>七、</w:t>
      </w:r>
      <w:r>
        <w:rPr>
          <w:rFonts w:hint="eastAsia"/>
          <w:b/>
          <w:color w:val="000000"/>
          <w:sz w:val="24"/>
          <w:szCs w:val="24"/>
        </w:rPr>
        <w:t>出现下列情形之一的，作无效投标处理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未按时交纳磋商保证金或金额不足的；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磋商响应文件未按规定要求装订、密封、签署、盖章及主要资料不齐全的；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磋商响应文件的资料有虚报或者谎报的；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eastAsia="zh-CN"/>
        </w:rPr>
        <w:t>、</w:t>
      </w:r>
      <w:r>
        <w:rPr>
          <w:rFonts w:hint="eastAsia" w:ascii="宋体" w:hAnsi="宋体" w:cs="宋体"/>
          <w:color w:val="000000"/>
          <w:sz w:val="24"/>
          <w:szCs w:val="24"/>
        </w:rPr>
        <w:t>磋商响应文件技术部分出现招标响应商务报价的内容；</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eastAsia="zh-CN"/>
        </w:rPr>
        <w:t>、</w:t>
      </w:r>
      <w:r>
        <w:rPr>
          <w:rFonts w:hint="eastAsia" w:ascii="宋体" w:hAnsi="宋体" w:cs="宋体"/>
          <w:color w:val="000000"/>
          <w:sz w:val="24"/>
          <w:szCs w:val="24"/>
        </w:rPr>
        <w:t>不具备磋商文件规定的资格要求的；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6</w:t>
      </w:r>
      <w:r>
        <w:rPr>
          <w:rFonts w:hint="eastAsia" w:ascii="宋体" w:hAnsi="宋体" w:cs="宋体"/>
          <w:color w:val="000000"/>
          <w:sz w:val="24"/>
          <w:szCs w:val="24"/>
          <w:lang w:eastAsia="zh-CN"/>
        </w:rPr>
        <w:t>、</w:t>
      </w:r>
      <w:r>
        <w:rPr>
          <w:rFonts w:hint="eastAsia" w:ascii="宋体" w:hAnsi="宋体" w:cs="宋体"/>
          <w:color w:val="000000"/>
          <w:sz w:val="24"/>
          <w:szCs w:val="24"/>
        </w:rPr>
        <w:t>磋商响应文件有重大漏项或重大不合理的；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7</w:t>
      </w:r>
      <w:r>
        <w:rPr>
          <w:rFonts w:hint="eastAsia" w:ascii="宋体" w:hAnsi="宋体" w:cs="宋体"/>
          <w:color w:val="000000"/>
          <w:sz w:val="24"/>
          <w:szCs w:val="24"/>
          <w:lang w:eastAsia="zh-CN"/>
        </w:rPr>
        <w:t>、</w:t>
      </w:r>
      <w:r>
        <w:rPr>
          <w:rFonts w:hint="eastAsia" w:ascii="宋体" w:hAnsi="宋体" w:cs="宋体"/>
          <w:color w:val="000000"/>
          <w:sz w:val="24"/>
          <w:szCs w:val="24"/>
        </w:rPr>
        <w:t>项目技术、方案不满足项目需求中的要求，有重大偏离或保留的；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8、磋商响应报价超出项目最高限价的；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9</w:t>
      </w:r>
      <w:r>
        <w:rPr>
          <w:rFonts w:hint="eastAsia" w:ascii="宋体" w:hAnsi="宋体" w:cs="宋体"/>
          <w:color w:val="000000"/>
          <w:sz w:val="24"/>
          <w:szCs w:val="24"/>
          <w:lang w:eastAsia="zh-CN"/>
        </w:rPr>
        <w:t>、</w:t>
      </w:r>
      <w:r>
        <w:rPr>
          <w:rFonts w:hint="eastAsia" w:ascii="宋体" w:hAnsi="宋体" w:cs="宋体"/>
          <w:color w:val="000000"/>
          <w:sz w:val="24"/>
          <w:szCs w:val="24"/>
        </w:rPr>
        <w:t>被认定为低于成本报价竞标的；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10</w:t>
      </w:r>
      <w:r>
        <w:rPr>
          <w:rFonts w:hint="eastAsia" w:ascii="宋体" w:hAnsi="宋体" w:cs="宋体"/>
          <w:color w:val="000000"/>
          <w:sz w:val="24"/>
          <w:szCs w:val="24"/>
          <w:lang w:eastAsia="zh-CN"/>
        </w:rPr>
        <w:t>、</w:t>
      </w:r>
      <w:r>
        <w:rPr>
          <w:rFonts w:hint="eastAsia" w:ascii="宋体" w:hAnsi="宋体" w:cs="宋体"/>
          <w:color w:val="000000"/>
          <w:sz w:val="24"/>
          <w:szCs w:val="24"/>
        </w:rPr>
        <w:t>不符合法律、法规和磋商文件中规定的其他实质性响应要求的；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11</w:t>
      </w:r>
      <w:r>
        <w:rPr>
          <w:rFonts w:hint="eastAsia" w:ascii="宋体" w:hAnsi="宋体" w:cs="宋体"/>
          <w:color w:val="000000"/>
          <w:sz w:val="24"/>
          <w:szCs w:val="24"/>
          <w:lang w:eastAsia="zh-CN"/>
        </w:rPr>
        <w:t>、</w:t>
      </w:r>
      <w:r>
        <w:rPr>
          <w:rFonts w:hint="eastAsia" w:ascii="宋体" w:hAnsi="宋体" w:cs="宋体"/>
          <w:color w:val="000000"/>
          <w:sz w:val="24"/>
          <w:szCs w:val="24"/>
        </w:rPr>
        <w:t>招标审评小组认定为其他情况可确定为无效投标的。</w:t>
      </w:r>
    </w:p>
    <w:p>
      <w:pPr>
        <w:snapToGrid w:val="0"/>
        <w:spacing w:line="360" w:lineRule="auto"/>
        <w:outlineLvl w:val="1"/>
        <w:rPr>
          <w:rFonts w:hint="eastAsia"/>
          <w:b/>
          <w:color w:val="000000"/>
          <w:sz w:val="24"/>
          <w:szCs w:val="24"/>
        </w:rPr>
      </w:pPr>
      <w:r>
        <w:rPr>
          <w:rFonts w:hint="eastAsia"/>
          <w:b/>
          <w:color w:val="000000"/>
          <w:sz w:val="24"/>
          <w:szCs w:val="24"/>
          <w:lang w:val="en-US" w:eastAsia="zh-CN"/>
        </w:rPr>
        <w:t>八</w:t>
      </w:r>
      <w:r>
        <w:rPr>
          <w:rFonts w:hint="eastAsia"/>
          <w:b/>
          <w:color w:val="000000"/>
          <w:sz w:val="24"/>
          <w:szCs w:val="24"/>
        </w:rPr>
        <w:t>、出现下列情形之一的，作废标处理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符合资格条件或对竞争性磋商文件作实质性响应的投标单位不足3家的；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供应商的报价均超出了最高限价的；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因情况变化，不再符合规定的竞争性磋商采购方式所适用情形的；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eastAsia="zh-CN"/>
        </w:rPr>
        <w:t>、</w:t>
      </w:r>
      <w:r>
        <w:rPr>
          <w:rFonts w:hint="eastAsia" w:ascii="宋体" w:hAnsi="宋体" w:cs="宋体"/>
          <w:color w:val="000000"/>
          <w:sz w:val="24"/>
          <w:szCs w:val="24"/>
        </w:rPr>
        <w:t>出现影响采购公正的违法、违规行为的；</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eastAsia="zh-CN"/>
        </w:rPr>
        <w:t>、</w:t>
      </w:r>
      <w:r>
        <w:rPr>
          <w:rFonts w:hint="eastAsia" w:ascii="宋体" w:hAnsi="宋体" w:cs="宋体"/>
          <w:color w:val="000000"/>
          <w:sz w:val="24"/>
          <w:szCs w:val="24"/>
        </w:rPr>
        <w:t>因重大变故，采购任务取消的。</w:t>
      </w:r>
    </w:p>
    <w:p>
      <w:pPr>
        <w:snapToGrid w:val="0"/>
        <w:spacing w:line="360" w:lineRule="auto"/>
        <w:outlineLvl w:val="1"/>
        <w:rPr>
          <w:rFonts w:hint="eastAsia"/>
          <w:b/>
          <w:color w:val="000000"/>
          <w:sz w:val="24"/>
          <w:szCs w:val="24"/>
        </w:rPr>
      </w:pPr>
      <w:r>
        <w:rPr>
          <w:rFonts w:hint="eastAsia"/>
          <w:b/>
          <w:color w:val="000000"/>
          <w:sz w:val="24"/>
          <w:szCs w:val="24"/>
          <w:lang w:val="en-US" w:eastAsia="zh-CN"/>
        </w:rPr>
        <w:t>九</w:t>
      </w:r>
      <w:r>
        <w:rPr>
          <w:rFonts w:hint="eastAsia"/>
          <w:b/>
          <w:color w:val="000000"/>
          <w:sz w:val="24"/>
          <w:szCs w:val="24"/>
        </w:rPr>
        <w:t>、中标通知</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中标结果在南通市旅游中等专业学校官网公示</w:t>
      </w:r>
      <w:r>
        <w:rPr>
          <w:rFonts w:hint="eastAsia" w:ascii="宋体" w:hAnsi="宋体" w:cs="宋体"/>
          <w:color w:val="000000"/>
          <w:sz w:val="24"/>
          <w:szCs w:val="24"/>
          <w:lang w:val="en-US" w:eastAsia="zh-CN"/>
        </w:rPr>
        <w:t>1</w:t>
      </w:r>
      <w:r>
        <w:rPr>
          <w:rFonts w:hint="eastAsia" w:ascii="宋体" w:hAnsi="宋体" w:cs="宋体"/>
          <w:color w:val="000000"/>
          <w:sz w:val="24"/>
          <w:szCs w:val="24"/>
        </w:rPr>
        <w:t>个工作日。《中标通知书》一经发出，采购单位改变中标结果，或者中标供应商放弃中标的，各自承担相应的法律责任。《中标通知书》是采购合同的组成部分。</w:t>
      </w:r>
    </w:p>
    <w:p>
      <w:pPr>
        <w:adjustRightInd w:val="0"/>
        <w:snapToGrid w:val="0"/>
        <w:spacing w:line="360" w:lineRule="auto"/>
        <w:ind w:firstLine="480" w:firstLineChars="200"/>
        <w:rPr>
          <w:rFonts w:hint="eastAsia" w:ascii="宋体" w:hAnsi="宋体" w:cs="宋体"/>
          <w:color w:val="000000"/>
          <w:sz w:val="24"/>
          <w:szCs w:val="24"/>
          <w:lang w:val="zh-CN" w:eastAsia="zh-CN"/>
        </w:rPr>
      </w:pPr>
    </w:p>
    <w:p>
      <w:pPr>
        <w:pStyle w:val="3"/>
        <w:rPr>
          <w:rFonts w:hint="eastAsia"/>
        </w:rPr>
      </w:pPr>
      <w:bookmarkStart w:id="26" w:name="_Toc488504851"/>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bookmarkStart w:id="27" w:name="_Toc22555"/>
    </w:p>
    <w:p>
      <w:pPr>
        <w:pStyle w:val="3"/>
        <w:rPr>
          <w:rFonts w:hint="eastAsia"/>
        </w:rPr>
      </w:pPr>
    </w:p>
    <w:p>
      <w:pPr>
        <w:pStyle w:val="3"/>
        <w:rPr>
          <w:rFonts w:hint="eastAsia"/>
        </w:rPr>
      </w:pPr>
    </w:p>
    <w:p>
      <w:pPr>
        <w:pStyle w:val="3"/>
      </w:pPr>
      <w:r>
        <w:rPr>
          <w:rFonts w:hint="eastAsia"/>
        </w:rPr>
        <w:t>第五章</w:t>
      </w:r>
      <w:r>
        <w:t xml:space="preserve">  </w:t>
      </w:r>
      <w:r>
        <w:rPr>
          <w:rFonts w:hint="eastAsia"/>
        </w:rPr>
        <w:t>合同授予</w:t>
      </w:r>
      <w:bookmarkEnd w:id="26"/>
      <w:bookmarkEnd w:id="27"/>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一、中标人在接到《中标通知书》后30日内签订合同。合同签订后中标供应商方可履约，否则引起的一切后果由中标人自行承担。合同一式四份（采购单位、成交供应商各两份）。所签合同不得对磋商文件作实质性修改。采购单位不得向中标供应商提出不合理的要求作为签订合同的条件，不得与中标供应商私下订立背离采购文件实质性内容的协议。</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二、采购单位按合同约定积极配合中标供应商履约，进行食堂财产的盘点与交接。中标供应商必须无条件服从采购单位相关的管理制度。</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三、采购单位故意推迟项目验收时间的，与供应商串通或要求供应商通过降低服务费用标准的，在履行合同中采取更改配置、调换人员等手段的，要求供应商出具虚假发票或任意更改销售发票的，谋取不正当利益的，承担相应的法律责任。</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四、中标供应商出现违约情形，应当及时纠正或补偿；造成损失的，按合同约定追究违约责任。</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五、采购单位按照中标价按月向中标供应商支付相关服务费用（延迟1个月），如供应商在食堂食品加工过程中出现违规操作或违反相关管理制度的行为，必须无条件接受采购单位的处罚，相关费用在当月费用中扣除。</w:t>
      </w:r>
    </w:p>
    <w:p>
      <w:pPr>
        <w:jc w:val="left"/>
        <w:rPr>
          <w:rFonts w:hint="eastAsia" w:ascii="Times New Roman" w:hAnsi="Times New Roman" w:eastAsia="宋体" w:cs="Times New Roman"/>
          <w:b/>
          <w:w w:val="80"/>
          <w:kern w:val="0"/>
          <w:sz w:val="44"/>
          <w:szCs w:val="44"/>
          <w:lang w:val="zh-CN" w:eastAsia="zh-CN" w:bidi="ar-SA"/>
        </w:rPr>
      </w:pPr>
    </w:p>
    <w:p>
      <w:pPr>
        <w:pStyle w:val="3"/>
        <w:rPr>
          <w:rFonts w:hint="eastAsia"/>
        </w:rPr>
      </w:pPr>
      <w:bookmarkStart w:id="28" w:name="_Toc488504852"/>
    </w:p>
    <w:p>
      <w:pPr>
        <w:pStyle w:val="3"/>
        <w:rPr>
          <w:rFonts w:hint="eastAsia"/>
        </w:rPr>
      </w:pPr>
    </w:p>
    <w:p>
      <w:pPr>
        <w:pStyle w:val="3"/>
        <w:rPr>
          <w:rFonts w:hint="eastAsia"/>
        </w:rPr>
      </w:pPr>
    </w:p>
    <w:p>
      <w:pPr>
        <w:pStyle w:val="3"/>
        <w:rPr>
          <w:rFonts w:hint="eastAsia"/>
        </w:rPr>
      </w:pPr>
      <w:bookmarkStart w:id="29" w:name="_Toc25632"/>
    </w:p>
    <w:p>
      <w:pPr>
        <w:pStyle w:val="3"/>
        <w:rPr>
          <w:rFonts w:hint="eastAsia"/>
        </w:rPr>
      </w:pPr>
    </w:p>
    <w:p>
      <w:pPr>
        <w:pStyle w:val="3"/>
        <w:rPr>
          <w:color w:val="000000"/>
          <w:sz w:val="24"/>
          <w:szCs w:val="24"/>
        </w:rPr>
      </w:pPr>
      <w:bookmarkStart w:id="32" w:name="_GoBack"/>
      <w:bookmarkEnd w:id="32"/>
      <w:r>
        <w:rPr>
          <w:rFonts w:hint="eastAsia"/>
        </w:rPr>
        <w:t>第六章</w:t>
      </w:r>
      <w:r>
        <w:t xml:space="preserve">  </w:t>
      </w:r>
      <w:r>
        <w:rPr>
          <w:rFonts w:hint="eastAsia"/>
        </w:rPr>
        <w:t>质疑提出和处理</w:t>
      </w:r>
      <w:bookmarkEnd w:id="28"/>
      <w:bookmarkEnd w:id="29"/>
    </w:p>
    <w:p>
      <w:pPr>
        <w:snapToGrid w:val="0"/>
        <w:spacing w:line="360" w:lineRule="auto"/>
        <w:outlineLvl w:val="1"/>
        <w:rPr>
          <w:rFonts w:hint="eastAsia"/>
          <w:b/>
          <w:color w:val="000000"/>
          <w:sz w:val="24"/>
          <w:szCs w:val="24"/>
        </w:rPr>
      </w:pPr>
      <w:r>
        <w:rPr>
          <w:rFonts w:hint="eastAsia"/>
          <w:b/>
          <w:color w:val="000000"/>
          <w:sz w:val="24"/>
          <w:szCs w:val="24"/>
        </w:rPr>
        <w:t>一、质疑的提出</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质疑人必须是直接参加本次磋商活动的当事人。</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供应商应根据第二章“磋商供应商须知”中“第一条”“第4款”的约定提出；响应文件接收截止后，供应商未进行招标登记的，不能就响应文件接收截止后的招标过程、中标结果提出质疑；在招标评审过程中，磋商小组明确提出须由供应商确认的事项，供应商当场无异议的，事后不得提出质疑。</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eastAsia="zh-CN"/>
        </w:rPr>
        <w:t>、</w:t>
      </w:r>
      <w:r>
        <w:rPr>
          <w:rFonts w:hint="eastAsia" w:ascii="宋体" w:hAnsi="宋体" w:cs="宋体"/>
          <w:color w:val="000000"/>
          <w:sz w:val="24"/>
          <w:szCs w:val="24"/>
        </w:rPr>
        <w:t>对本磋商活动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对不能提供相关佐证材料的、涉及商业秘密的、非书面形式的、非送达的、匿名的《质疑函》将不予受理。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相关佐证材料要具备客观性、关联性、合法性，无法查实的（如宣传册、媒体报道、猜测、推理等）不能作为佐证材料。</w:t>
      </w:r>
    </w:p>
    <w:p>
      <w:pPr>
        <w:adjustRightInd w:val="0"/>
        <w:snapToGrid w:val="0"/>
        <w:spacing w:line="360" w:lineRule="auto"/>
        <w:ind w:firstLine="480" w:firstLineChars="200"/>
        <w:rPr>
          <w:color w:val="000000"/>
          <w:sz w:val="24"/>
          <w:szCs w:val="24"/>
        </w:rPr>
      </w:pPr>
      <w:r>
        <w:rPr>
          <w:rFonts w:hint="eastAsia" w:ascii="宋体" w:hAnsi="宋体" w:cs="宋体"/>
          <w:color w:val="000000"/>
          <w:sz w:val="24"/>
          <w:szCs w:val="24"/>
        </w:rPr>
        <w:t>采购单位不负责搜集相关佐证材料等工作。</w:t>
      </w:r>
    </w:p>
    <w:p>
      <w:pPr>
        <w:snapToGrid w:val="0"/>
        <w:spacing w:line="360" w:lineRule="auto"/>
        <w:outlineLvl w:val="1"/>
        <w:rPr>
          <w:rFonts w:hint="eastAsia"/>
          <w:b/>
          <w:color w:val="000000"/>
          <w:sz w:val="24"/>
          <w:szCs w:val="24"/>
        </w:rPr>
      </w:pPr>
      <w:r>
        <w:rPr>
          <w:rFonts w:hint="eastAsia"/>
          <w:b/>
          <w:color w:val="000000"/>
          <w:sz w:val="24"/>
          <w:szCs w:val="24"/>
        </w:rPr>
        <w:t>二、《质疑函》的受理和回复</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《质疑函》须由质疑人的法定代表人或参加本次投标授权人送达采购单位。</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color w:val="000000"/>
          <w:sz w:val="24"/>
          <w:szCs w:val="24"/>
          <w:lang w:eastAsia="zh-CN"/>
        </w:rPr>
        <w:t>、</w:t>
      </w:r>
      <w:r>
        <w:rPr>
          <w:rFonts w:hint="eastAsia" w:ascii="宋体" w:hAnsi="宋体" w:cs="宋体"/>
          <w:color w:val="000000"/>
          <w:sz w:val="24"/>
          <w:szCs w:val="24"/>
        </w:rPr>
        <w:t>对不符合提出质疑要求的，出具《质疑退回通知书》并提出相关补充材料要求，质疑人未在规定的时间内提供补充佐证材料的，视同放弃质疑。</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w:t>
      </w:r>
      <w:r>
        <w:rPr>
          <w:rFonts w:hint="eastAsia" w:ascii="宋体" w:hAnsi="宋体" w:cs="宋体"/>
          <w:color w:val="000000"/>
          <w:sz w:val="24"/>
          <w:szCs w:val="24"/>
          <w:lang w:eastAsia="zh-CN"/>
        </w:rPr>
        <w:t>、</w:t>
      </w:r>
      <w:r>
        <w:rPr>
          <w:rFonts w:hint="eastAsia" w:ascii="宋体" w:hAnsi="宋体" w:cs="宋体"/>
          <w:color w:val="000000"/>
          <w:sz w:val="24"/>
          <w:szCs w:val="24"/>
        </w:rPr>
        <w:t>采购单位负责将质疑人提出的质疑相关材料提供给相关专家或磋商小组审核，并将审核意见回复质疑人。</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eastAsia="zh-CN"/>
        </w:rPr>
        <w:t>、</w:t>
      </w:r>
      <w:r>
        <w:rPr>
          <w:rFonts w:hint="eastAsia" w:ascii="宋体" w:hAnsi="宋体" w:cs="宋体"/>
          <w:color w:val="000000"/>
          <w:sz w:val="24"/>
          <w:szCs w:val="24"/>
        </w:rPr>
        <w:t>因质疑情况复杂，组织论证或审查时间较长的，采购单位以书面形式通知质疑人，可适当延长质疑回复处理时间。</w:t>
      </w:r>
    </w:p>
    <w:p>
      <w:pPr>
        <w:snapToGrid w:val="0"/>
        <w:spacing w:line="360" w:lineRule="auto"/>
        <w:outlineLvl w:val="1"/>
        <w:rPr>
          <w:rFonts w:hint="eastAsia"/>
          <w:b/>
          <w:color w:val="000000"/>
          <w:sz w:val="24"/>
          <w:szCs w:val="24"/>
        </w:rPr>
      </w:pPr>
      <w:r>
        <w:rPr>
          <w:rFonts w:hint="eastAsia"/>
          <w:b/>
          <w:color w:val="000000"/>
          <w:sz w:val="24"/>
          <w:szCs w:val="24"/>
        </w:rPr>
        <w:t>三、质疑处理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eastAsia="zh-CN"/>
        </w:rPr>
        <w:t>、</w:t>
      </w:r>
      <w:r>
        <w:rPr>
          <w:rFonts w:hint="eastAsia" w:ascii="宋体" w:hAnsi="宋体" w:cs="宋体"/>
          <w:color w:val="000000"/>
          <w:sz w:val="24"/>
          <w:szCs w:val="24"/>
        </w:rPr>
        <w:t>质疑成立的处理。采购单位终止采购，并建议有关部门给相关当事人予以处理。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eastAsia="zh-CN"/>
        </w:rPr>
        <w:t>、</w:t>
      </w:r>
      <w:r>
        <w:rPr>
          <w:rFonts w:hint="eastAsia" w:ascii="宋体" w:hAnsi="宋体" w:cs="宋体"/>
          <w:color w:val="000000"/>
          <w:sz w:val="24"/>
          <w:szCs w:val="24"/>
        </w:rPr>
        <w:t>质疑不成立的处理。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（1）质疑人书面《申请撤回质疑函》的，不作违约处理。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（2）质疑人在规定的时间内不配合进行质疑调查处理的，按自动撤回《质疑函》处理。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（3）质疑人不按《质疑函》格式就提出质疑的，作违约处理。同时，视情列入不良供应商名单。</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（4）质疑人虽提供了相关佐证材料，但不能证明其质疑成立的，采购单位请质疑人补充相关佐证材料，仍不能证明其质疑成立的，作违约处理。并将其列入不良供应商名单。</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（5）质疑人不能提供相关佐证材料的，采购单位、采购代理机构已指出，质疑人仍然坚持提出质疑的，作违约处理。同时，列入不良供应商名单。</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（6）对明显有违事实的、经相关专家或磋商小组认定无依据的、经其他供应商举证无依据的质疑，作违约处理，列入不良供应商名单；</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（7）质疑人承担使用虚假材料或恶意方式质疑的法律责任。</w:t>
      </w:r>
    </w:p>
    <w:p>
      <w:pPr>
        <w:snapToGrid w:val="0"/>
        <w:spacing w:line="360" w:lineRule="auto"/>
        <w:outlineLvl w:val="1"/>
        <w:rPr>
          <w:rFonts w:hint="eastAsia"/>
          <w:b/>
          <w:color w:val="000000"/>
          <w:sz w:val="24"/>
          <w:szCs w:val="24"/>
        </w:rPr>
      </w:pPr>
      <w:r>
        <w:rPr>
          <w:rFonts w:hint="eastAsia"/>
          <w:b/>
          <w:color w:val="000000"/>
          <w:sz w:val="24"/>
          <w:szCs w:val="24"/>
        </w:rPr>
        <w:t>四、无佐证材料的举报作违约处理</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供应商不得进行不提供相关佐证材料（含无法查实的如宣传册、媒体报道、猜测、推理等）向有关部门的举报，否则作违约处理。</w:t>
      </w:r>
    </w:p>
    <w:p>
      <w:pPr>
        <w:snapToGrid w:val="0"/>
        <w:spacing w:line="360" w:lineRule="auto"/>
        <w:outlineLvl w:val="1"/>
        <w:rPr>
          <w:rFonts w:hint="eastAsia"/>
          <w:b/>
          <w:color w:val="000000"/>
          <w:sz w:val="24"/>
          <w:szCs w:val="24"/>
        </w:rPr>
      </w:pPr>
      <w:r>
        <w:rPr>
          <w:rFonts w:hint="eastAsia"/>
          <w:b/>
          <w:color w:val="000000"/>
          <w:sz w:val="24"/>
          <w:szCs w:val="24"/>
        </w:rPr>
        <w:t>五、投诉不成立的作违约处理。</w:t>
      </w:r>
    </w:p>
    <w:p>
      <w:pPr>
        <w:snapToGrid w:val="0"/>
        <w:spacing w:line="480" w:lineRule="exact"/>
        <w:ind w:firstLine="468" w:firstLineChars="195"/>
        <w:outlineLvl w:val="1"/>
        <w:rPr>
          <w:color w:val="000000"/>
          <w:sz w:val="24"/>
          <w:szCs w:val="24"/>
        </w:rPr>
      </w:pPr>
      <w:r>
        <w:rPr>
          <w:rFonts w:hint="eastAsia" w:ascii="宋体" w:hAnsi="宋体" w:cs="宋体"/>
          <w:color w:val="000000"/>
          <w:sz w:val="24"/>
          <w:szCs w:val="24"/>
          <w:lang w:val="en-US" w:eastAsia="zh-CN"/>
        </w:rPr>
        <w:t>1、</w:t>
      </w:r>
      <w:r>
        <w:rPr>
          <w:rFonts w:hint="eastAsia" w:ascii="宋体" w:hAnsi="宋体" w:cs="宋体"/>
          <w:color w:val="000000"/>
          <w:sz w:val="24"/>
          <w:szCs w:val="24"/>
        </w:rPr>
        <w:t>供应商进行质疑后，采购人回复质疑不成立，供应商仍进行投诉的，并最终投诉不成立的，作违约处理。</w:t>
      </w:r>
    </w:p>
    <w:p>
      <w:pPr>
        <w:pStyle w:val="23"/>
        <w:rPr>
          <w:rFonts w:hint="eastAsia" w:ascii="宋体" w:hAnsi="宋体" w:eastAsia="宋体" w:cs="宋体"/>
          <w:color w:val="000000"/>
          <w:kern w:val="0"/>
          <w:sz w:val="24"/>
          <w:szCs w:val="24"/>
          <w:lang w:val="zh-CN" w:eastAsia="zh-CN" w:bidi="ar-SA"/>
        </w:rPr>
      </w:pPr>
      <w:r>
        <w:rPr>
          <w:rFonts w:hint="eastAsia" w:ascii="宋体" w:hAnsi="宋体" w:cs="宋体"/>
          <w:color w:val="000000"/>
          <w:kern w:val="0"/>
          <w:sz w:val="24"/>
          <w:szCs w:val="24"/>
          <w:lang w:val="en-US" w:eastAsia="zh-CN" w:bidi="ar-SA"/>
        </w:rPr>
        <w:t>2、</w:t>
      </w:r>
      <w:r>
        <w:rPr>
          <w:rFonts w:hint="eastAsia" w:ascii="宋体" w:hAnsi="宋体" w:eastAsia="宋体" w:cs="宋体"/>
          <w:color w:val="000000"/>
          <w:kern w:val="0"/>
          <w:sz w:val="24"/>
          <w:szCs w:val="24"/>
          <w:lang w:val="en-US" w:eastAsia="zh-CN" w:bidi="ar-SA"/>
        </w:rPr>
        <w:t>《质疑函》、《质疑回复函》，质疑、举报、投诉不成立的等相关情况，视情</w:t>
      </w:r>
      <w:r>
        <w:rPr>
          <w:rFonts w:hint="eastAsia" w:ascii="宋体" w:hAnsi="宋体" w:cs="宋体"/>
          <w:color w:val="000000"/>
          <w:kern w:val="0"/>
          <w:sz w:val="24"/>
          <w:szCs w:val="24"/>
          <w:lang w:val="en-US" w:eastAsia="zh-CN" w:bidi="ar-SA"/>
        </w:rPr>
        <w:t>况</w:t>
      </w:r>
      <w:r>
        <w:rPr>
          <w:rFonts w:hint="eastAsia" w:ascii="宋体" w:hAnsi="宋体" w:eastAsia="宋体" w:cs="宋体"/>
          <w:color w:val="000000"/>
          <w:kern w:val="0"/>
          <w:sz w:val="24"/>
          <w:szCs w:val="24"/>
          <w:lang w:val="en-US" w:eastAsia="zh-CN" w:bidi="ar-SA"/>
        </w:rPr>
        <w:t>在南通市公共资源交易网、省、国家级等相关媒体予以披露。并建议相关政府采购机构对该供应商同步实施1至3年内禁入。</w:t>
      </w:r>
    </w:p>
    <w:p>
      <w:pPr>
        <w:pStyle w:val="3"/>
        <w:rPr>
          <w:rFonts w:hint="eastAsia"/>
        </w:rPr>
      </w:pPr>
      <w:bookmarkStart w:id="30" w:name="_Toc488504853"/>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jc w:val="center"/>
        <w:rPr>
          <w:rFonts w:hint="eastAsia"/>
        </w:rPr>
      </w:pPr>
      <w:bookmarkStart w:id="31" w:name="_Toc24592"/>
    </w:p>
    <w:p>
      <w:pPr>
        <w:pStyle w:val="3"/>
        <w:jc w:val="center"/>
      </w:pPr>
      <w:r>
        <w:rPr>
          <w:rFonts w:hint="eastAsia"/>
        </w:rPr>
        <w:t>第七章</w:t>
      </w:r>
      <w:r>
        <w:t xml:space="preserve">  </w:t>
      </w:r>
      <w:r>
        <w:rPr>
          <w:rFonts w:hint="eastAsia"/>
        </w:rPr>
        <w:t>磋商响应文件组成及格式</w:t>
      </w:r>
      <w:bookmarkEnd w:id="30"/>
      <w:bookmarkEnd w:id="31"/>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磋商响应文件由原件包、资格后审资料文件包、技术响应文件、商务报价响应文件四部分组成。本次磋商项目响应采用资格后审方式，供应商须将资格后审的材料作为响应文件组成部分，按磋商文件要求装订密封后一起递交。</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原件包、资格后审资料文件、技术磋商响应文件、商务报价磋商响应文件请分别装订、分别单独密封后一起递交</w:t>
      </w:r>
    </w:p>
    <w:p>
      <w:pPr>
        <w:snapToGrid w:val="0"/>
        <w:spacing w:line="360" w:lineRule="auto"/>
        <w:outlineLvl w:val="1"/>
        <w:rPr>
          <w:rFonts w:hint="eastAsia"/>
          <w:b/>
          <w:color w:val="000000"/>
          <w:sz w:val="24"/>
          <w:szCs w:val="24"/>
        </w:rPr>
      </w:pPr>
      <w:r>
        <w:rPr>
          <w:rFonts w:hint="eastAsia"/>
          <w:b/>
          <w:color w:val="000000"/>
          <w:sz w:val="24"/>
          <w:szCs w:val="24"/>
        </w:rPr>
        <w:t>一、投标书组成：</w:t>
      </w:r>
    </w:p>
    <w:p>
      <w:pPr>
        <w:tabs>
          <w:tab w:val="left" w:pos="0"/>
        </w:tabs>
        <w:snapToGrid w:val="0"/>
        <w:spacing w:line="360" w:lineRule="auto"/>
        <w:outlineLvl w:val="1"/>
        <w:rPr>
          <w:rFonts w:hint="eastAsia" w:ascii="宋体" w:hAnsi="宋体" w:cs="宋体"/>
          <w:b/>
          <w:sz w:val="24"/>
          <w:szCs w:val="24"/>
          <w:lang w:val="zh-CN"/>
        </w:rPr>
      </w:pPr>
      <w:r>
        <w:rPr>
          <w:rFonts w:hint="eastAsia" w:ascii="宋体" w:hAnsi="宋体" w:cs="宋体"/>
          <w:b/>
          <w:sz w:val="24"/>
          <w:szCs w:val="24"/>
          <w:lang w:val="zh-CN"/>
        </w:rPr>
        <w:t>A、原件包（核查）</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lang w:val="zh-CN"/>
        </w:rPr>
      </w:pPr>
      <w:r>
        <w:rPr>
          <w:rFonts w:hint="eastAsia"/>
          <w:sz w:val="24"/>
          <w:szCs w:val="24"/>
          <w:lang w:val="zh-CN"/>
        </w:rPr>
        <w:t>【特别提醒】未携带要求的原件或因携带原件不齐全而引起的后果，由供应商自负。（请将复印件加盖单位公章后编排目录页码装订密封、以便在开标前审查）</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000000"/>
          <w:sz w:val="24"/>
          <w:szCs w:val="24"/>
          <w:lang w:val="zh-CN"/>
        </w:rPr>
      </w:pPr>
      <w:r>
        <w:rPr>
          <w:rFonts w:hint="eastAsia" w:ascii="宋体" w:hAnsi="宋体" w:cs="宋体"/>
          <w:color w:val="000000"/>
          <w:sz w:val="24"/>
          <w:szCs w:val="24"/>
          <w:lang w:val="zh-CN"/>
        </w:rPr>
        <w:t>1</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营业执照副本</w:t>
      </w:r>
      <w:r>
        <w:rPr>
          <w:rFonts w:hint="eastAsia" w:ascii="宋体" w:hAnsi="宋体" w:cs="宋体"/>
          <w:color w:val="000000"/>
          <w:sz w:val="24"/>
          <w:szCs w:val="24"/>
          <w:lang w:val="en-US" w:eastAsia="zh-CN"/>
        </w:rPr>
        <w:t>原</w:t>
      </w:r>
      <w:r>
        <w:rPr>
          <w:rFonts w:hint="eastAsia" w:ascii="宋体" w:hAnsi="宋体" w:cs="宋体"/>
          <w:color w:val="000000"/>
          <w:sz w:val="24"/>
          <w:szCs w:val="24"/>
          <w:lang w:val="zh-CN"/>
        </w:rPr>
        <w:t>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color w:val="000000"/>
          <w:sz w:val="24"/>
          <w:szCs w:val="24"/>
          <w:lang w:val="zh-CN" w:eastAsia="zh-CN"/>
        </w:rPr>
      </w:pPr>
      <w:r>
        <w:rPr>
          <w:rFonts w:hint="eastAsia" w:ascii="宋体" w:hAnsi="宋体" w:cs="宋体"/>
          <w:color w:val="000000"/>
          <w:sz w:val="24"/>
          <w:szCs w:val="24"/>
          <w:lang w:val="zh-CN"/>
        </w:rPr>
        <w:t>2</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供应商餐饮服务许可证；</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3、技术响应文件中</w:t>
      </w:r>
      <w:r>
        <w:rPr>
          <w:rFonts w:hint="eastAsia"/>
          <w:sz w:val="24"/>
          <w:szCs w:val="24"/>
        </w:rPr>
        <w:t>所涉及的事项需提供的证明资料</w:t>
      </w:r>
      <w:r>
        <w:rPr>
          <w:rFonts w:hint="eastAsia"/>
          <w:sz w:val="24"/>
          <w:szCs w:val="24"/>
          <w:lang w:eastAsia="zh-CN"/>
        </w:rPr>
        <w:t>。</w:t>
      </w:r>
    </w:p>
    <w:p>
      <w:pPr>
        <w:snapToGrid w:val="0"/>
        <w:spacing w:line="360" w:lineRule="auto"/>
        <w:outlineLvl w:val="1"/>
        <w:rPr>
          <w:rFonts w:hint="eastAsia"/>
          <w:b/>
          <w:color w:val="000000"/>
          <w:sz w:val="24"/>
          <w:szCs w:val="24"/>
        </w:rPr>
      </w:pPr>
      <w:r>
        <w:rPr>
          <w:rFonts w:hint="eastAsia"/>
          <w:b/>
          <w:color w:val="000000"/>
          <w:sz w:val="24"/>
          <w:szCs w:val="24"/>
        </w:rPr>
        <w:t>B、资格后审资料文件包（格式参见第七章）</w:t>
      </w: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zh-CN"/>
        </w:rPr>
        <w:t>1</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营业执照副本复印件</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须加盖公章</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w:t>
      </w: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zh-CN"/>
        </w:rPr>
        <w:t>2</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供应商餐饮服务许可证复印件（原件备查</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须加盖公章）；</w:t>
      </w: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en-US" w:eastAsia="zh-CN"/>
        </w:rPr>
        <w:t>3、</w:t>
      </w:r>
      <w:r>
        <w:rPr>
          <w:rFonts w:hint="eastAsia" w:ascii="宋体" w:hAnsi="宋体" w:cs="宋体"/>
          <w:color w:val="000000"/>
          <w:sz w:val="24"/>
          <w:szCs w:val="24"/>
          <w:lang w:val="zh-CN"/>
        </w:rPr>
        <w:t>磋商公告供应商资格要求材料（磋商公告中第</w:t>
      </w:r>
      <w:r>
        <w:rPr>
          <w:rFonts w:hint="eastAsia" w:ascii="宋体" w:hAnsi="宋体" w:cs="宋体"/>
          <w:color w:val="000000"/>
          <w:sz w:val="24"/>
          <w:szCs w:val="24"/>
          <w:lang w:val="en-US" w:eastAsia="zh-CN"/>
        </w:rPr>
        <w:t>六</w:t>
      </w:r>
      <w:r>
        <w:rPr>
          <w:rFonts w:hint="eastAsia" w:ascii="宋体" w:hAnsi="宋体" w:cs="宋体"/>
          <w:color w:val="000000"/>
          <w:sz w:val="24"/>
          <w:szCs w:val="24"/>
          <w:lang w:val="zh-CN"/>
        </w:rPr>
        <w:t>条的相关要求</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须加盖公章）；</w:t>
      </w: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en-US" w:eastAsia="zh-CN"/>
        </w:rPr>
        <w:t>4、</w:t>
      </w:r>
      <w:r>
        <w:rPr>
          <w:rFonts w:hint="eastAsia" w:ascii="宋体" w:hAnsi="宋体" w:cs="宋体"/>
          <w:color w:val="000000"/>
          <w:sz w:val="24"/>
          <w:szCs w:val="24"/>
          <w:lang w:val="zh-CN"/>
        </w:rPr>
        <w:t>提供磋商文件第七章磋商响应文件格式中“三、B.B.2”中的“资格后审资料文件相关的格式文件及表格”中可能涉及到的相关内容，如：（1）法定代表人身份证明；（2）授权委托书；（3）关于资格文件的声明函；</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须加盖公章</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w:t>
      </w:r>
    </w:p>
    <w:p>
      <w:pPr>
        <w:snapToGrid w:val="0"/>
        <w:spacing w:line="360" w:lineRule="auto"/>
        <w:outlineLvl w:val="1"/>
        <w:rPr>
          <w:rFonts w:hint="eastAsia"/>
          <w:b/>
          <w:color w:val="000000"/>
          <w:sz w:val="24"/>
          <w:szCs w:val="24"/>
        </w:rPr>
      </w:pPr>
      <w:r>
        <w:rPr>
          <w:rFonts w:hint="eastAsia"/>
          <w:b/>
          <w:color w:val="000000"/>
          <w:sz w:val="24"/>
          <w:szCs w:val="24"/>
        </w:rPr>
        <w:t>C、技术磋商响应文件（不能出现报价，单独密封）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【特别提醒】以下技术标磋商响应文件的内容，不得有缺项或漏项。否则将有可能被视为未实质性响应磋商文件要求而作无效投标处理。</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1</w:t>
      </w:r>
      <w:r>
        <w:rPr>
          <w:rFonts w:hint="eastAsia"/>
          <w:sz w:val="24"/>
          <w:szCs w:val="24"/>
          <w:lang w:eastAsia="zh-CN"/>
        </w:rPr>
        <w:t>、</w:t>
      </w:r>
      <w:r>
        <w:rPr>
          <w:rFonts w:hint="eastAsia"/>
          <w:sz w:val="24"/>
          <w:szCs w:val="24"/>
        </w:rPr>
        <w:t>竞争性磋商响应函（格式参见第七章）；</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2</w:t>
      </w:r>
      <w:r>
        <w:rPr>
          <w:rFonts w:hint="eastAsia"/>
          <w:sz w:val="24"/>
          <w:szCs w:val="24"/>
          <w:lang w:eastAsia="zh-CN"/>
        </w:rPr>
        <w:t>、</w:t>
      </w:r>
      <w:r>
        <w:rPr>
          <w:rFonts w:hint="eastAsia"/>
          <w:sz w:val="24"/>
          <w:szCs w:val="24"/>
        </w:rPr>
        <w:t>公司规模、信誉与认证；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3</w:t>
      </w:r>
      <w:r>
        <w:rPr>
          <w:rFonts w:hint="eastAsia"/>
          <w:sz w:val="24"/>
          <w:szCs w:val="24"/>
          <w:lang w:eastAsia="zh-CN"/>
        </w:rPr>
        <w:t>、</w:t>
      </w:r>
      <w:r>
        <w:rPr>
          <w:rFonts w:hint="eastAsia"/>
          <w:sz w:val="24"/>
          <w:szCs w:val="24"/>
        </w:rPr>
        <w:t>公司业绩证明；</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4</w:t>
      </w:r>
      <w:r>
        <w:rPr>
          <w:rFonts w:hint="eastAsia"/>
          <w:sz w:val="24"/>
          <w:szCs w:val="24"/>
          <w:lang w:eastAsia="zh-CN"/>
        </w:rPr>
        <w:t>、</w:t>
      </w:r>
      <w:r>
        <w:rPr>
          <w:rFonts w:hint="eastAsia"/>
          <w:sz w:val="24"/>
          <w:szCs w:val="24"/>
        </w:rPr>
        <w:t>管理制度；</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5</w:t>
      </w:r>
      <w:r>
        <w:rPr>
          <w:rFonts w:hint="eastAsia"/>
          <w:sz w:val="24"/>
          <w:szCs w:val="24"/>
          <w:lang w:eastAsia="zh-CN"/>
        </w:rPr>
        <w:t>、</w:t>
      </w:r>
      <w:r>
        <w:rPr>
          <w:rFonts w:hint="eastAsia"/>
          <w:sz w:val="24"/>
          <w:szCs w:val="24"/>
        </w:rPr>
        <w:t>提供服务人员专业性；</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6</w:t>
      </w:r>
      <w:r>
        <w:rPr>
          <w:rFonts w:hint="eastAsia"/>
          <w:sz w:val="24"/>
          <w:szCs w:val="24"/>
          <w:lang w:eastAsia="zh-CN"/>
        </w:rPr>
        <w:t>、</w:t>
      </w:r>
      <w:r>
        <w:rPr>
          <w:rFonts w:hint="eastAsia"/>
          <w:sz w:val="24"/>
          <w:szCs w:val="24"/>
        </w:rPr>
        <w:t>食物安全控制措施；</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7</w:t>
      </w:r>
      <w:r>
        <w:rPr>
          <w:rFonts w:hint="eastAsia"/>
          <w:sz w:val="24"/>
          <w:szCs w:val="24"/>
          <w:lang w:eastAsia="zh-CN"/>
        </w:rPr>
        <w:t>、</w:t>
      </w:r>
      <w:r>
        <w:rPr>
          <w:rFonts w:hint="eastAsia"/>
          <w:sz w:val="24"/>
          <w:szCs w:val="24"/>
        </w:rPr>
        <w:t>食物安全应急预案；</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sz w:val="24"/>
          <w:szCs w:val="24"/>
        </w:rPr>
      </w:pPr>
      <w:r>
        <w:rPr>
          <w:rFonts w:hint="eastAsia"/>
          <w:sz w:val="24"/>
          <w:szCs w:val="24"/>
        </w:rPr>
        <w:t>8</w:t>
      </w:r>
      <w:r>
        <w:rPr>
          <w:rFonts w:hint="eastAsia"/>
          <w:sz w:val="24"/>
          <w:szCs w:val="24"/>
          <w:lang w:eastAsia="zh-CN"/>
        </w:rPr>
        <w:t>、</w:t>
      </w:r>
      <w:r>
        <w:rPr>
          <w:rFonts w:hint="eastAsia"/>
          <w:sz w:val="24"/>
          <w:szCs w:val="24"/>
        </w:rPr>
        <w:t>评标办法中所涉及的事项需提供的证明资料；</w:t>
      </w:r>
    </w:p>
    <w:p>
      <w:pPr>
        <w:snapToGrid w:val="0"/>
        <w:spacing w:line="360" w:lineRule="auto"/>
        <w:ind w:firstLine="468" w:firstLineChars="195"/>
        <w:outlineLvl w:val="1"/>
        <w:rPr>
          <w:rFonts w:hint="eastAsia"/>
          <w:sz w:val="24"/>
          <w:szCs w:val="24"/>
        </w:rPr>
      </w:pPr>
      <w:r>
        <w:rPr>
          <w:rFonts w:hint="eastAsia"/>
          <w:sz w:val="24"/>
          <w:szCs w:val="24"/>
        </w:rPr>
        <w:t>9</w:t>
      </w:r>
      <w:r>
        <w:rPr>
          <w:rFonts w:hint="eastAsia"/>
          <w:sz w:val="24"/>
          <w:szCs w:val="24"/>
          <w:lang w:eastAsia="zh-CN"/>
        </w:rPr>
        <w:t>、</w:t>
      </w:r>
      <w:r>
        <w:rPr>
          <w:rFonts w:hint="eastAsia"/>
          <w:sz w:val="24"/>
          <w:szCs w:val="24"/>
        </w:rPr>
        <w:t>评标办法中未涉及的事项，供应商认为需要提交的其他资料。</w:t>
      </w:r>
    </w:p>
    <w:p>
      <w:pPr>
        <w:snapToGrid w:val="0"/>
        <w:spacing w:line="360" w:lineRule="auto"/>
        <w:outlineLvl w:val="1"/>
        <w:rPr>
          <w:rFonts w:hint="eastAsia"/>
          <w:b/>
          <w:color w:val="000000"/>
          <w:sz w:val="24"/>
          <w:szCs w:val="24"/>
        </w:rPr>
      </w:pPr>
      <w:r>
        <w:rPr>
          <w:rFonts w:hint="eastAsia"/>
          <w:b/>
          <w:color w:val="000000"/>
          <w:sz w:val="24"/>
          <w:szCs w:val="24"/>
        </w:rPr>
        <w:t>D、商务报价磋商响应文件（格式参见第七章，不得出现在技术标部分）</w:t>
      </w: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zh-CN"/>
        </w:rPr>
        <w:t>1</w:t>
      </w:r>
      <w:r>
        <w:rPr>
          <w:rFonts w:hint="eastAsia" w:ascii="宋体" w:hAnsi="宋体" w:cs="宋体"/>
          <w:color w:val="000000"/>
          <w:sz w:val="24"/>
          <w:szCs w:val="24"/>
          <w:lang w:val="zh-CN" w:eastAsia="zh-CN"/>
        </w:rPr>
        <w:t>、</w:t>
      </w:r>
      <w:r>
        <w:rPr>
          <w:rFonts w:hint="eastAsia" w:ascii="宋体" w:hAnsi="宋体" w:cs="宋体"/>
          <w:color w:val="000000"/>
          <w:sz w:val="24"/>
          <w:szCs w:val="24"/>
          <w:lang w:val="zh-CN"/>
        </w:rPr>
        <w:t>磋商响应报价总表。</w:t>
      </w:r>
    </w:p>
    <w:p>
      <w:pPr>
        <w:adjustRightInd w:val="0"/>
        <w:snapToGrid w:val="0"/>
        <w:spacing w:line="360" w:lineRule="auto"/>
        <w:ind w:firstLine="480" w:firstLineChars="200"/>
        <w:rPr>
          <w:rFonts w:ascii="宋体" w:cs="宋体"/>
          <w:b/>
          <w:color w:val="000000"/>
          <w:sz w:val="28"/>
          <w:szCs w:val="28"/>
        </w:rPr>
      </w:pPr>
      <w:r>
        <w:rPr>
          <w:rFonts w:hint="eastAsia" w:ascii="宋体" w:hAnsi="宋体" w:cs="宋体"/>
          <w:color w:val="000000"/>
          <w:sz w:val="24"/>
          <w:szCs w:val="24"/>
          <w:lang w:val="zh-CN"/>
        </w:rPr>
        <w:br w:type="page"/>
      </w:r>
      <w:r>
        <w:rPr>
          <w:rFonts w:hint="eastAsia"/>
          <w:b/>
          <w:color w:val="000000"/>
          <w:sz w:val="24"/>
          <w:szCs w:val="24"/>
        </w:rPr>
        <w:t>二、磋商响应文件封面范例</w:t>
      </w:r>
    </w:p>
    <w:p>
      <w:pPr>
        <w:snapToGrid w:val="0"/>
        <w:spacing w:line="300" w:lineRule="auto"/>
        <w:jc w:val="center"/>
        <w:rPr>
          <w:b/>
          <w:sz w:val="36"/>
          <w:szCs w:val="36"/>
        </w:rPr>
      </w:pPr>
    </w:p>
    <w:p>
      <w:pPr>
        <w:snapToGrid w:val="0"/>
        <w:spacing w:line="300" w:lineRule="auto"/>
        <w:jc w:val="center"/>
        <w:rPr>
          <w:b/>
          <w:sz w:val="36"/>
          <w:szCs w:val="36"/>
        </w:rPr>
      </w:pPr>
      <w:r>
        <w:rPr>
          <w:rFonts w:hint="eastAsia"/>
          <w:b/>
          <w:sz w:val="36"/>
          <w:szCs w:val="36"/>
        </w:rPr>
        <w:t>南通市旅游中等专业学校食堂服务商资格准入项目项目</w:t>
      </w:r>
    </w:p>
    <w:p>
      <w:pPr>
        <w:snapToGrid w:val="0"/>
        <w:spacing w:line="300" w:lineRule="auto"/>
        <w:jc w:val="center"/>
        <w:rPr>
          <w:color w:val="000000"/>
          <w:w w:val="80"/>
          <w:sz w:val="36"/>
          <w:szCs w:val="36"/>
        </w:rPr>
      </w:pPr>
    </w:p>
    <w:p>
      <w:pPr>
        <w:tabs>
          <w:tab w:val="left" w:pos="6300"/>
        </w:tabs>
        <w:snapToGrid w:val="0"/>
        <w:spacing w:line="300" w:lineRule="auto"/>
        <w:jc w:val="center"/>
        <w:rPr>
          <w:rFonts w:ascii="宋体" w:cs="宋体"/>
          <w:b/>
          <w:w w:val="80"/>
          <w:sz w:val="72"/>
          <w:szCs w:val="72"/>
        </w:rPr>
      </w:pPr>
    </w:p>
    <w:p>
      <w:pPr>
        <w:tabs>
          <w:tab w:val="left" w:pos="6300"/>
        </w:tabs>
        <w:snapToGrid w:val="0"/>
        <w:spacing w:line="300" w:lineRule="auto"/>
        <w:jc w:val="center"/>
        <w:rPr>
          <w:rFonts w:ascii="宋体" w:cs="宋体"/>
          <w:b/>
          <w:w w:val="80"/>
          <w:sz w:val="72"/>
          <w:szCs w:val="72"/>
        </w:rPr>
      </w:pPr>
    </w:p>
    <w:p>
      <w:pPr>
        <w:tabs>
          <w:tab w:val="left" w:pos="6300"/>
        </w:tabs>
        <w:snapToGrid w:val="0"/>
        <w:spacing w:line="300" w:lineRule="auto"/>
        <w:jc w:val="center"/>
        <w:rPr>
          <w:rFonts w:ascii="宋体" w:cs="宋体"/>
          <w:b/>
          <w:w w:val="80"/>
          <w:sz w:val="72"/>
          <w:szCs w:val="72"/>
        </w:rPr>
      </w:pPr>
    </w:p>
    <w:p>
      <w:pPr>
        <w:tabs>
          <w:tab w:val="left" w:pos="6300"/>
        </w:tabs>
        <w:snapToGrid w:val="0"/>
        <w:spacing w:line="300" w:lineRule="auto"/>
        <w:jc w:val="center"/>
        <w:rPr>
          <w:rFonts w:ascii="宋体" w:cs="宋体"/>
          <w:b/>
          <w:w w:val="80"/>
          <w:sz w:val="72"/>
          <w:szCs w:val="72"/>
        </w:rPr>
      </w:pPr>
      <w:r>
        <w:rPr>
          <w:rFonts w:hint="eastAsia" w:ascii="宋体" w:hAnsi="宋体" w:cs="宋体"/>
          <w:b/>
          <w:w w:val="80"/>
          <w:sz w:val="72"/>
          <w:szCs w:val="72"/>
        </w:rPr>
        <w:t>磋商响应文件</w:t>
      </w:r>
    </w:p>
    <w:p>
      <w:pPr>
        <w:snapToGrid w:val="0"/>
        <w:spacing w:line="300" w:lineRule="auto"/>
        <w:jc w:val="center"/>
        <w:rPr>
          <w:b/>
          <w:color w:val="000000"/>
          <w:w w:val="80"/>
          <w:sz w:val="24"/>
          <w:szCs w:val="24"/>
        </w:rPr>
      </w:pPr>
    </w:p>
    <w:p>
      <w:pPr>
        <w:spacing w:line="520" w:lineRule="exact"/>
        <w:jc w:val="center"/>
        <w:rPr>
          <w:rFonts w:ascii="宋体" w:cs="宋体"/>
          <w:b/>
          <w:sz w:val="44"/>
          <w:szCs w:val="44"/>
        </w:rPr>
      </w:pPr>
    </w:p>
    <w:p>
      <w:pPr>
        <w:spacing w:line="520" w:lineRule="exact"/>
        <w:jc w:val="center"/>
        <w:rPr>
          <w:rFonts w:ascii="宋体" w:cs="宋体"/>
          <w:b/>
          <w:sz w:val="44"/>
          <w:szCs w:val="44"/>
        </w:rPr>
      </w:pPr>
    </w:p>
    <w:p>
      <w:pPr>
        <w:spacing w:line="520" w:lineRule="exact"/>
        <w:ind w:firstLine="800"/>
        <w:rPr>
          <w:rFonts w:ascii="宋体" w:cs="宋体"/>
          <w:sz w:val="28"/>
          <w:szCs w:val="28"/>
        </w:rPr>
      </w:pPr>
      <w:r>
        <w:rPr>
          <w:rFonts w:hint="eastAsia" w:ascii="宋体" w:hAnsi="宋体" w:cs="宋体"/>
          <w:sz w:val="28"/>
          <w:szCs w:val="28"/>
        </w:rPr>
        <w:t>分别对应填写：原件包</w:t>
      </w:r>
    </w:p>
    <w:p>
      <w:pPr>
        <w:spacing w:line="520" w:lineRule="exact"/>
        <w:ind w:firstLine="800"/>
        <w:rPr>
          <w:rFonts w:ascii="宋体" w:cs="宋体"/>
          <w:sz w:val="28"/>
          <w:szCs w:val="28"/>
        </w:rPr>
      </w:pPr>
      <w:r>
        <w:rPr>
          <w:rFonts w:hint="eastAsia" w:ascii="宋体" w:hAnsi="宋体" w:cs="宋体"/>
          <w:sz w:val="28"/>
          <w:szCs w:val="28"/>
        </w:rPr>
        <w:t>分别对应填写：资格后审资料文件包</w:t>
      </w:r>
    </w:p>
    <w:p>
      <w:pPr>
        <w:spacing w:line="520" w:lineRule="exact"/>
        <w:ind w:firstLine="800"/>
        <w:rPr>
          <w:rFonts w:ascii="宋体" w:cs="宋体"/>
          <w:sz w:val="28"/>
          <w:szCs w:val="28"/>
        </w:rPr>
      </w:pPr>
      <w:r>
        <w:rPr>
          <w:rFonts w:hint="eastAsia" w:ascii="宋体" w:hAnsi="宋体" w:cs="宋体"/>
          <w:sz w:val="28"/>
          <w:szCs w:val="28"/>
        </w:rPr>
        <w:t>分别对应填写：技术磋商响应文件</w:t>
      </w:r>
    </w:p>
    <w:p>
      <w:pPr>
        <w:spacing w:line="520" w:lineRule="exact"/>
        <w:ind w:firstLine="800"/>
        <w:rPr>
          <w:rFonts w:ascii="宋体" w:cs="宋体"/>
          <w:sz w:val="28"/>
          <w:szCs w:val="28"/>
        </w:rPr>
      </w:pPr>
      <w:r>
        <w:rPr>
          <w:rFonts w:hint="eastAsia" w:ascii="宋体" w:hAnsi="宋体" w:cs="宋体"/>
          <w:sz w:val="28"/>
          <w:szCs w:val="28"/>
        </w:rPr>
        <w:t>分别对应填写：商务报价磋商响应文件</w:t>
      </w:r>
    </w:p>
    <w:p>
      <w:pPr>
        <w:jc w:val="center"/>
        <w:rPr>
          <w:rFonts w:ascii="宋体" w:cs="宋体"/>
          <w:b/>
          <w:sz w:val="44"/>
          <w:szCs w:val="44"/>
        </w:rPr>
      </w:pPr>
    </w:p>
    <w:p>
      <w:pPr>
        <w:snapToGrid w:val="0"/>
        <w:spacing w:line="520" w:lineRule="exact"/>
        <w:jc w:val="center"/>
        <w:rPr>
          <w:rFonts w:ascii="宋体" w:cs="宋体"/>
          <w:b/>
          <w:spacing w:val="20"/>
          <w:sz w:val="44"/>
          <w:szCs w:val="44"/>
        </w:rPr>
      </w:pPr>
    </w:p>
    <w:p>
      <w:pPr>
        <w:snapToGrid w:val="0"/>
        <w:spacing w:line="520" w:lineRule="exact"/>
        <w:jc w:val="both"/>
        <w:rPr>
          <w:rFonts w:ascii="宋体" w:cs="宋体"/>
          <w:b/>
          <w:spacing w:val="20"/>
          <w:sz w:val="44"/>
          <w:szCs w:val="44"/>
        </w:rPr>
      </w:pPr>
    </w:p>
    <w:p>
      <w:pPr>
        <w:snapToGrid w:val="0"/>
        <w:spacing w:line="520" w:lineRule="exact"/>
        <w:jc w:val="center"/>
        <w:rPr>
          <w:rFonts w:ascii="宋体" w:cs="宋体"/>
          <w:sz w:val="32"/>
          <w:szCs w:val="32"/>
        </w:rPr>
      </w:pPr>
      <w:r>
        <w:rPr>
          <w:rFonts w:hint="eastAsia" w:ascii="宋体" w:hAnsi="宋体" w:cs="宋体"/>
          <w:sz w:val="32"/>
          <w:szCs w:val="32"/>
        </w:rPr>
        <w:t>供应商：参加招标单位全称</w:t>
      </w:r>
    </w:p>
    <w:p>
      <w:pPr>
        <w:snapToGrid w:val="0"/>
        <w:spacing w:line="520" w:lineRule="exact"/>
        <w:jc w:val="center"/>
        <w:rPr>
          <w:rFonts w:ascii="宋体" w:cs="宋体"/>
          <w:sz w:val="32"/>
          <w:szCs w:val="32"/>
        </w:rPr>
      </w:pPr>
      <w:r>
        <w:rPr>
          <w:rFonts w:hint="eastAsia" w:ascii="宋体" w:hAnsi="宋体" w:cs="宋体"/>
          <w:sz w:val="32"/>
          <w:szCs w:val="32"/>
        </w:rPr>
        <w:t>年</w:t>
      </w:r>
      <w:r>
        <w:rPr>
          <w:rFonts w:ascii="宋体" w:hAnsi="宋体" w:cs="宋体"/>
          <w:sz w:val="32"/>
          <w:szCs w:val="32"/>
        </w:rPr>
        <w:t xml:space="preserve">    </w:t>
      </w:r>
      <w:r>
        <w:rPr>
          <w:rFonts w:hint="eastAsia" w:ascii="宋体" w:hAnsi="宋体" w:cs="宋体"/>
          <w:sz w:val="32"/>
          <w:szCs w:val="32"/>
        </w:rPr>
        <w:t>月</w:t>
      </w:r>
      <w:r>
        <w:rPr>
          <w:rFonts w:ascii="宋体" w:hAnsi="宋体" w:cs="宋体"/>
          <w:sz w:val="32"/>
          <w:szCs w:val="32"/>
        </w:rPr>
        <w:t xml:space="preserve">    </w:t>
      </w:r>
      <w:r>
        <w:rPr>
          <w:rFonts w:hint="eastAsia" w:ascii="宋体" w:hAnsi="宋体" w:cs="宋体"/>
          <w:sz w:val="32"/>
          <w:szCs w:val="32"/>
        </w:rPr>
        <w:t>日</w:t>
      </w:r>
    </w:p>
    <w:p>
      <w:pPr>
        <w:snapToGrid w:val="0"/>
        <w:spacing w:line="360" w:lineRule="auto"/>
        <w:rPr>
          <w:rFonts w:ascii="宋体" w:cs="宋体"/>
          <w:b/>
          <w:sz w:val="24"/>
          <w:szCs w:val="24"/>
        </w:rPr>
      </w:pPr>
      <w:r>
        <w:br w:type="page"/>
      </w:r>
      <w:r>
        <w:rPr>
          <w:rFonts w:hint="eastAsia"/>
          <w:b/>
          <w:color w:val="000000"/>
          <w:sz w:val="24"/>
          <w:szCs w:val="24"/>
        </w:rPr>
        <w:t>三、磋商响应文件</w:t>
      </w:r>
    </w:p>
    <w:p>
      <w:pPr>
        <w:snapToGrid w:val="0"/>
        <w:spacing w:line="360" w:lineRule="auto"/>
        <w:rPr>
          <w:rFonts w:hint="eastAsia"/>
          <w:b/>
          <w:color w:val="000000"/>
          <w:sz w:val="24"/>
          <w:szCs w:val="24"/>
        </w:rPr>
      </w:pPr>
      <w:r>
        <w:rPr>
          <w:rFonts w:hint="eastAsia"/>
          <w:b/>
          <w:color w:val="000000"/>
          <w:sz w:val="24"/>
          <w:szCs w:val="24"/>
        </w:rPr>
        <w:t>A、原件包(单独密封)</w:t>
      </w:r>
    </w:p>
    <w:p>
      <w:pPr>
        <w:autoSpaceDE w:val="0"/>
        <w:autoSpaceDN w:val="0"/>
        <w:spacing w:line="360" w:lineRule="auto"/>
        <w:jc w:val="left"/>
        <w:rPr>
          <w:rFonts w:ascii="宋体" w:cs="宋体"/>
          <w:b/>
          <w:sz w:val="24"/>
          <w:szCs w:val="24"/>
        </w:rPr>
      </w:pPr>
      <w:r>
        <w:rPr>
          <w:rFonts w:ascii="宋体" w:hAnsi="宋体" w:cs="宋体"/>
          <w:b/>
          <w:sz w:val="24"/>
          <w:szCs w:val="24"/>
        </w:rPr>
        <w:t xml:space="preserve">A.1 </w:t>
      </w:r>
      <w:r>
        <w:rPr>
          <w:rFonts w:hint="eastAsia" w:ascii="宋体" w:hAnsi="宋体" w:cs="宋体"/>
          <w:b/>
          <w:sz w:val="24"/>
          <w:szCs w:val="24"/>
        </w:rPr>
        <w:t>目</w:t>
      </w:r>
      <w:r>
        <w:rPr>
          <w:rFonts w:ascii="宋体" w:hAnsi="宋体" w:cs="宋体"/>
          <w:b/>
          <w:sz w:val="24"/>
          <w:szCs w:val="24"/>
        </w:rPr>
        <w:t xml:space="preserve">  </w:t>
      </w:r>
      <w:r>
        <w:rPr>
          <w:rFonts w:hint="eastAsia" w:ascii="宋体" w:hAnsi="宋体" w:cs="宋体"/>
          <w:b/>
          <w:sz w:val="24"/>
          <w:szCs w:val="24"/>
        </w:rPr>
        <w:t>录</w:t>
      </w:r>
    </w:p>
    <w:tbl>
      <w:tblPr>
        <w:tblStyle w:val="12"/>
        <w:tblW w:w="83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612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817" w:type="dxa"/>
            <w:vAlign w:val="center"/>
          </w:tcPr>
          <w:p>
            <w:pPr>
              <w:spacing w:line="360" w:lineRule="auto"/>
              <w:jc w:val="center"/>
              <w:rPr>
                <w:rFonts w:ascii="宋体" w:cs="宋体"/>
                <w:b/>
                <w:sz w:val="24"/>
                <w:szCs w:val="24"/>
              </w:rPr>
            </w:pPr>
            <w:r>
              <w:rPr>
                <w:rFonts w:hint="eastAsia" w:ascii="宋体" w:hAnsi="宋体" w:cs="宋体"/>
                <w:b/>
                <w:sz w:val="24"/>
                <w:szCs w:val="24"/>
              </w:rPr>
              <w:t>序号</w:t>
            </w:r>
          </w:p>
        </w:tc>
        <w:tc>
          <w:tcPr>
            <w:tcW w:w="6124" w:type="dxa"/>
            <w:vAlign w:val="center"/>
          </w:tcPr>
          <w:p>
            <w:pPr>
              <w:spacing w:line="360" w:lineRule="auto"/>
              <w:jc w:val="center"/>
              <w:rPr>
                <w:rFonts w:ascii="宋体" w:cs="宋体"/>
                <w:b/>
                <w:sz w:val="24"/>
                <w:szCs w:val="24"/>
              </w:rPr>
            </w:pPr>
            <w:r>
              <w:rPr>
                <w:rFonts w:hint="eastAsia" w:ascii="宋体" w:hAnsi="宋体" w:cs="宋体"/>
                <w:b/>
                <w:sz w:val="24"/>
                <w:szCs w:val="24"/>
              </w:rPr>
              <w:t>原件包</w:t>
            </w:r>
            <w:r>
              <w:rPr>
                <w:rFonts w:ascii="宋体" w:hAnsi="宋体" w:cs="宋体"/>
                <w:b/>
                <w:sz w:val="24"/>
                <w:szCs w:val="24"/>
              </w:rPr>
              <w:t xml:space="preserve"> </w:t>
            </w:r>
            <w:r>
              <w:rPr>
                <w:rFonts w:hint="eastAsia" w:ascii="宋体" w:hAnsi="宋体" w:cs="宋体"/>
                <w:b/>
                <w:sz w:val="24"/>
                <w:szCs w:val="24"/>
              </w:rPr>
              <w:t>明细</w:t>
            </w:r>
          </w:p>
        </w:tc>
        <w:tc>
          <w:tcPr>
            <w:tcW w:w="1418" w:type="dxa"/>
          </w:tcPr>
          <w:p>
            <w:pPr>
              <w:spacing w:line="360" w:lineRule="auto"/>
              <w:jc w:val="center"/>
              <w:rPr>
                <w:rFonts w:ascii="宋体" w:cs="宋体"/>
                <w:b/>
                <w:sz w:val="24"/>
                <w:szCs w:val="24"/>
              </w:rPr>
            </w:pPr>
            <w:r>
              <w:rPr>
                <w:rFonts w:hint="eastAsia" w:ascii="宋体" w:hAnsi="宋体" w:cs="宋体"/>
                <w:b/>
                <w:sz w:val="24"/>
                <w:szCs w:val="24"/>
              </w:rPr>
              <w:t>是否符合（√）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sz w:val="24"/>
                <w:szCs w:val="24"/>
              </w:rPr>
            </w:pPr>
            <w:r>
              <w:rPr>
                <w:sz w:val="24"/>
                <w:szCs w:val="24"/>
              </w:rPr>
              <w:t>1</w:t>
            </w:r>
          </w:p>
        </w:tc>
        <w:tc>
          <w:tcPr>
            <w:tcW w:w="6124" w:type="dxa"/>
            <w:vAlign w:val="center"/>
          </w:tcPr>
          <w:p>
            <w:pPr>
              <w:spacing w:line="360" w:lineRule="auto"/>
              <w:jc w:val="both"/>
              <w:rPr>
                <w:sz w:val="24"/>
                <w:szCs w:val="24"/>
              </w:rPr>
            </w:pPr>
            <w:r>
              <w:rPr>
                <w:rFonts w:hint="eastAsia"/>
                <w:sz w:val="24"/>
                <w:szCs w:val="24"/>
              </w:rPr>
              <w:t>营业执照副本；</w:t>
            </w:r>
          </w:p>
        </w:tc>
        <w:tc>
          <w:tcPr>
            <w:tcW w:w="1418" w:type="dxa"/>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sz w:val="24"/>
                <w:szCs w:val="24"/>
              </w:rPr>
            </w:pPr>
            <w:r>
              <w:rPr>
                <w:sz w:val="24"/>
                <w:szCs w:val="24"/>
              </w:rPr>
              <w:t>2</w:t>
            </w:r>
          </w:p>
        </w:tc>
        <w:tc>
          <w:tcPr>
            <w:tcW w:w="6124" w:type="dxa"/>
            <w:vAlign w:val="center"/>
          </w:tcPr>
          <w:p>
            <w:pPr>
              <w:spacing w:line="360" w:lineRule="auto"/>
              <w:jc w:val="both"/>
              <w:rPr>
                <w:sz w:val="24"/>
                <w:szCs w:val="24"/>
              </w:rPr>
            </w:pPr>
            <w:r>
              <w:rPr>
                <w:rFonts w:hint="eastAsia"/>
                <w:sz w:val="24"/>
                <w:szCs w:val="24"/>
              </w:rPr>
              <w:t>供应商餐饮服务许可证；</w:t>
            </w:r>
          </w:p>
        </w:tc>
        <w:tc>
          <w:tcPr>
            <w:tcW w:w="1418" w:type="dxa"/>
            <w:vAlign w:val="center"/>
          </w:tcPr>
          <w:p>
            <w:pPr>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817" w:type="dxa"/>
            <w:vAlign w:val="center"/>
          </w:tcPr>
          <w:p>
            <w:pPr>
              <w:spacing w:line="360" w:lineRule="auto"/>
              <w:jc w:val="center"/>
              <w:rPr>
                <w:rFonts w:hint="eastAsia"/>
                <w:sz w:val="24"/>
                <w:szCs w:val="24"/>
                <w:lang w:val="en-US" w:eastAsia="zh-CN"/>
              </w:rPr>
            </w:pPr>
            <w:r>
              <w:rPr>
                <w:rFonts w:hint="eastAsia"/>
                <w:sz w:val="24"/>
                <w:szCs w:val="24"/>
                <w:lang w:val="en-US" w:eastAsia="zh-CN"/>
              </w:rPr>
              <w:t>3</w:t>
            </w:r>
          </w:p>
        </w:tc>
        <w:tc>
          <w:tcPr>
            <w:tcW w:w="612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sz w:val="24"/>
                <w:szCs w:val="24"/>
              </w:rPr>
            </w:pPr>
            <w:r>
              <w:rPr>
                <w:rFonts w:hint="eastAsia" w:ascii="宋体" w:hAnsi="宋体" w:cs="宋体"/>
                <w:color w:val="000000"/>
                <w:sz w:val="24"/>
                <w:szCs w:val="24"/>
                <w:lang w:val="en-US" w:eastAsia="zh-CN"/>
              </w:rPr>
              <w:t>技术响应文件中</w:t>
            </w:r>
            <w:r>
              <w:rPr>
                <w:rFonts w:hint="eastAsia"/>
                <w:sz w:val="24"/>
                <w:szCs w:val="24"/>
              </w:rPr>
              <w:t>所涉及的事项需提供的证明资料</w:t>
            </w:r>
            <w:r>
              <w:rPr>
                <w:rFonts w:hint="eastAsia"/>
                <w:sz w:val="24"/>
                <w:szCs w:val="24"/>
                <w:lang w:eastAsia="zh-CN"/>
              </w:rPr>
              <w:t>。</w:t>
            </w:r>
          </w:p>
        </w:tc>
        <w:tc>
          <w:tcPr>
            <w:tcW w:w="1418" w:type="dxa"/>
          </w:tcPr>
          <w:p>
            <w:pPr>
              <w:spacing w:line="360" w:lineRule="auto"/>
              <w:rPr>
                <w:sz w:val="24"/>
                <w:szCs w:val="24"/>
              </w:rPr>
            </w:pPr>
          </w:p>
        </w:tc>
      </w:tr>
    </w:tbl>
    <w:p>
      <w:pPr>
        <w:snapToGrid w:val="0"/>
        <w:spacing w:line="360" w:lineRule="auto"/>
        <w:rPr>
          <w:rFonts w:ascii="宋体" w:cs="宋体"/>
          <w:sz w:val="24"/>
          <w:szCs w:val="24"/>
        </w:rPr>
      </w:pPr>
    </w:p>
    <w:p>
      <w:pPr>
        <w:snapToGrid w:val="0"/>
        <w:spacing w:line="360" w:lineRule="auto"/>
        <w:rPr>
          <w:rFonts w:ascii="宋体" w:cs="宋体"/>
          <w:sz w:val="24"/>
          <w:szCs w:val="24"/>
        </w:rPr>
      </w:pPr>
    </w:p>
    <w:p>
      <w:pPr>
        <w:overflowPunct w:val="0"/>
        <w:spacing w:line="360" w:lineRule="auto"/>
        <w:ind w:firstLine="468" w:firstLineChars="195"/>
        <w:jc w:val="left"/>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sz w:val="24"/>
          <w:szCs w:val="24"/>
          <w:lang w:val="en-US" w:eastAsia="zh-CN"/>
        </w:rPr>
        <w:t xml:space="preserve">                               投标供应商单位公章</w:t>
      </w:r>
      <w:r>
        <w:rPr>
          <w:rFonts w:hint="eastAsia" w:ascii="宋体" w:hAnsi="宋体" w:cs="宋体"/>
          <w:sz w:val="24"/>
          <w:szCs w:val="24"/>
        </w:rPr>
        <w:t>：（盖章）</w:t>
      </w:r>
    </w:p>
    <w:p>
      <w:pPr>
        <w:kinsoku w:val="0"/>
        <w:snapToGrid w:val="0"/>
        <w:spacing w:line="360" w:lineRule="auto"/>
        <w:jc w:val="center"/>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法定代表人或受权人（签字）：</w:t>
      </w:r>
    </w:p>
    <w:p>
      <w:pPr>
        <w:kinsoku w:val="0"/>
        <w:snapToGrid w:val="0"/>
        <w:spacing w:line="360" w:lineRule="auto"/>
        <w:jc w:val="center"/>
        <w:rPr>
          <w:rFonts w:hint="eastAsia" w:ascii="宋体" w:hAnsi="宋体" w:cs="宋体"/>
          <w:sz w:val="24"/>
          <w:szCs w:val="24"/>
        </w:rPr>
      </w:pPr>
    </w:p>
    <w:p>
      <w:pPr>
        <w:kinsoku w:val="0"/>
        <w:snapToGrid w:val="0"/>
        <w:spacing w:line="360" w:lineRule="auto"/>
        <w:ind w:firstLine="4320" w:firstLineChars="1800"/>
        <w:jc w:val="both"/>
        <w:rPr>
          <w:rFonts w:asci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p>
    <w:p>
      <w:pPr>
        <w:snapToGrid w:val="0"/>
        <w:spacing w:line="360" w:lineRule="auto"/>
        <w:rPr>
          <w:rFonts w:ascii="宋体" w:cs="宋体"/>
          <w:b/>
          <w:sz w:val="24"/>
          <w:szCs w:val="24"/>
        </w:rPr>
      </w:pPr>
    </w:p>
    <w:p>
      <w:pPr>
        <w:snapToGrid w:val="0"/>
        <w:spacing w:line="360" w:lineRule="auto"/>
        <w:ind w:firstLine="200"/>
        <w:rPr>
          <w:rFonts w:ascii="宋体" w:cs="宋体"/>
          <w:b/>
          <w:sz w:val="24"/>
          <w:szCs w:val="24"/>
        </w:rPr>
      </w:pPr>
      <w:r>
        <w:rPr>
          <w:rFonts w:hint="eastAsia" w:ascii="宋体" w:hAnsi="宋体" w:cs="宋体"/>
          <w:b/>
          <w:sz w:val="24"/>
          <w:szCs w:val="24"/>
        </w:rPr>
        <w:t>注：以上由供应商填写，仅作为原件包内提供的各项原件材料（如资格证明原件及业绩证明合同原件等）的清单目录。</w:t>
      </w:r>
    </w:p>
    <w:p>
      <w:pPr>
        <w:jc w:val="left"/>
        <w:rPr>
          <w:rFonts w:ascii="宋体" w:cs="宋体"/>
          <w:b/>
          <w:sz w:val="24"/>
          <w:szCs w:val="24"/>
        </w:rPr>
      </w:pPr>
      <w:r>
        <w:br w:type="page"/>
      </w:r>
    </w:p>
    <w:p>
      <w:pPr>
        <w:snapToGrid w:val="0"/>
        <w:spacing w:line="360" w:lineRule="auto"/>
        <w:rPr>
          <w:rFonts w:hint="eastAsia"/>
          <w:b/>
          <w:color w:val="000000"/>
          <w:sz w:val="24"/>
          <w:szCs w:val="24"/>
        </w:rPr>
      </w:pPr>
      <w:r>
        <w:rPr>
          <w:rFonts w:hint="eastAsia"/>
          <w:b/>
          <w:color w:val="000000"/>
          <w:sz w:val="24"/>
          <w:szCs w:val="24"/>
        </w:rPr>
        <w:t>B、资格后审资料文件(单独密封)</w:t>
      </w:r>
    </w:p>
    <w:p>
      <w:pPr>
        <w:snapToGrid w:val="0"/>
        <w:spacing w:line="360" w:lineRule="auto"/>
        <w:jc w:val="left"/>
        <w:rPr>
          <w:rFonts w:ascii="宋体" w:cs="宋体"/>
          <w:b/>
          <w:sz w:val="24"/>
          <w:szCs w:val="24"/>
        </w:rPr>
      </w:pPr>
      <w:r>
        <w:rPr>
          <w:rFonts w:ascii="宋体" w:hAnsi="宋体" w:cs="宋体"/>
          <w:b/>
          <w:sz w:val="24"/>
          <w:szCs w:val="24"/>
        </w:rPr>
        <w:t>B.1</w:t>
      </w:r>
      <w:r>
        <w:rPr>
          <w:rFonts w:ascii="宋体" w:cs="宋体"/>
          <w:color w:val="000000"/>
          <w:sz w:val="24"/>
          <w:szCs w:val="24"/>
        </w:rPr>
        <w:t>.</w:t>
      </w:r>
      <w:r>
        <w:rPr>
          <w:rFonts w:hint="eastAsia" w:ascii="宋体" w:hAnsi="宋体" w:cs="宋体"/>
          <w:b/>
          <w:sz w:val="24"/>
          <w:szCs w:val="24"/>
        </w:rPr>
        <w:t>目录</w:t>
      </w:r>
    </w:p>
    <w:tbl>
      <w:tblPr>
        <w:tblStyle w:val="12"/>
        <w:tblW w:w="8438" w:type="dxa"/>
        <w:tblInd w:w="-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
        <w:gridCol w:w="627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 w:type="dxa"/>
            <w:vAlign w:val="center"/>
          </w:tcPr>
          <w:p>
            <w:pPr>
              <w:spacing w:line="360" w:lineRule="auto"/>
              <w:jc w:val="center"/>
              <w:rPr>
                <w:rFonts w:ascii="宋体" w:cs="宋体"/>
                <w:b/>
                <w:sz w:val="24"/>
                <w:szCs w:val="24"/>
              </w:rPr>
            </w:pPr>
            <w:r>
              <w:rPr>
                <w:rFonts w:hint="eastAsia" w:ascii="宋体" w:hAnsi="宋体" w:cs="宋体"/>
                <w:b/>
                <w:sz w:val="24"/>
                <w:szCs w:val="24"/>
              </w:rPr>
              <w:t>序号</w:t>
            </w:r>
          </w:p>
        </w:tc>
        <w:tc>
          <w:tcPr>
            <w:tcW w:w="6277" w:type="dxa"/>
            <w:vAlign w:val="center"/>
          </w:tcPr>
          <w:p>
            <w:pPr>
              <w:spacing w:line="360" w:lineRule="auto"/>
              <w:jc w:val="center"/>
              <w:rPr>
                <w:rFonts w:ascii="宋体" w:cs="宋体"/>
                <w:sz w:val="24"/>
                <w:szCs w:val="24"/>
              </w:rPr>
            </w:pPr>
            <w:r>
              <w:rPr>
                <w:rFonts w:hint="eastAsia" w:ascii="宋体" w:hAnsi="宋体" w:cs="宋体"/>
                <w:sz w:val="24"/>
                <w:szCs w:val="24"/>
              </w:rPr>
              <w:t>资格后审资料文件</w:t>
            </w:r>
            <w:r>
              <w:rPr>
                <w:rFonts w:ascii="宋体" w:hAnsi="宋体" w:cs="宋体"/>
                <w:sz w:val="24"/>
                <w:szCs w:val="24"/>
              </w:rPr>
              <w:t xml:space="preserve"> </w:t>
            </w:r>
            <w:r>
              <w:rPr>
                <w:rFonts w:hint="eastAsia" w:ascii="宋体" w:hAnsi="宋体" w:cs="宋体"/>
                <w:sz w:val="24"/>
                <w:szCs w:val="24"/>
              </w:rPr>
              <w:t>清单</w:t>
            </w:r>
          </w:p>
        </w:tc>
        <w:tc>
          <w:tcPr>
            <w:tcW w:w="1276" w:type="dxa"/>
            <w:vAlign w:val="center"/>
          </w:tcPr>
          <w:p>
            <w:pPr>
              <w:spacing w:line="360" w:lineRule="auto"/>
              <w:jc w:val="center"/>
              <w:rPr>
                <w:rFonts w:ascii="宋体" w:cs="宋体"/>
                <w:b/>
                <w:sz w:val="24"/>
                <w:szCs w:val="24"/>
              </w:rPr>
            </w:pPr>
            <w:r>
              <w:rPr>
                <w:rFonts w:hint="eastAsia" w:ascii="宋体" w:hAnsi="宋体" w:cs="宋体"/>
                <w:b/>
                <w:sz w:val="24"/>
                <w:szCs w:val="24"/>
              </w:rPr>
              <w:t>是否符合（√）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885" w:type="dxa"/>
            <w:vAlign w:val="center"/>
          </w:tcPr>
          <w:p>
            <w:pPr>
              <w:spacing w:line="360" w:lineRule="auto"/>
              <w:jc w:val="center"/>
              <w:rPr>
                <w:rFonts w:ascii="宋体" w:cs="宋体"/>
                <w:sz w:val="24"/>
                <w:szCs w:val="24"/>
              </w:rPr>
            </w:pPr>
            <w:r>
              <w:rPr>
                <w:rFonts w:ascii="宋体" w:hAnsi="宋体" w:cs="宋体"/>
                <w:sz w:val="24"/>
                <w:szCs w:val="24"/>
              </w:rPr>
              <w:t>1</w:t>
            </w:r>
          </w:p>
        </w:tc>
        <w:tc>
          <w:tcPr>
            <w:tcW w:w="6277" w:type="dxa"/>
            <w:vAlign w:val="center"/>
          </w:tcPr>
          <w:p>
            <w:pPr>
              <w:spacing w:line="360" w:lineRule="auto"/>
              <w:rPr>
                <w:sz w:val="24"/>
                <w:szCs w:val="24"/>
              </w:rPr>
            </w:pPr>
            <w:r>
              <w:rPr>
                <w:rFonts w:hint="eastAsia"/>
                <w:sz w:val="24"/>
                <w:szCs w:val="24"/>
              </w:rPr>
              <w:t>营业执照副本复印件</w:t>
            </w:r>
            <w:r>
              <w:rPr>
                <w:rFonts w:hint="eastAsia"/>
                <w:sz w:val="24"/>
                <w:szCs w:val="24"/>
                <w:lang w:eastAsia="zh-CN"/>
              </w:rPr>
              <w:t>（</w:t>
            </w:r>
            <w:r>
              <w:rPr>
                <w:rFonts w:hint="eastAsia" w:ascii="宋体" w:hAnsi="宋体" w:eastAsia="宋体"/>
                <w:sz w:val="24"/>
                <w:szCs w:val="24"/>
              </w:rPr>
              <w:t>须加盖公章</w:t>
            </w:r>
            <w:r>
              <w:rPr>
                <w:rFonts w:hint="eastAsia"/>
                <w:sz w:val="24"/>
                <w:szCs w:val="24"/>
                <w:lang w:eastAsia="zh-CN"/>
              </w:rPr>
              <w:t>）</w:t>
            </w:r>
            <w:r>
              <w:rPr>
                <w:rFonts w:hint="eastAsia"/>
                <w:sz w:val="24"/>
                <w:szCs w:val="24"/>
              </w:rPr>
              <w:t>；</w:t>
            </w:r>
          </w:p>
        </w:tc>
        <w:tc>
          <w:tcPr>
            <w:tcW w:w="1276" w:type="dxa"/>
            <w:vAlign w:val="center"/>
          </w:tcPr>
          <w:p>
            <w:pPr>
              <w:spacing w:line="360" w:lineRule="auto"/>
              <w:jc w:val="center"/>
              <w:rPr>
                <w:rFonts w:asci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885" w:type="dxa"/>
            <w:vAlign w:val="center"/>
          </w:tcPr>
          <w:p>
            <w:pPr>
              <w:spacing w:line="360" w:lineRule="auto"/>
              <w:jc w:val="center"/>
              <w:rPr>
                <w:rFonts w:ascii="宋体" w:cs="宋体"/>
                <w:sz w:val="24"/>
                <w:szCs w:val="24"/>
              </w:rPr>
            </w:pPr>
            <w:r>
              <w:rPr>
                <w:rFonts w:ascii="宋体" w:hAnsi="宋体" w:cs="宋体"/>
                <w:sz w:val="24"/>
                <w:szCs w:val="24"/>
              </w:rPr>
              <w:t>2</w:t>
            </w:r>
          </w:p>
        </w:tc>
        <w:tc>
          <w:tcPr>
            <w:tcW w:w="6277" w:type="dxa"/>
            <w:vAlign w:val="center"/>
          </w:tcPr>
          <w:p>
            <w:pPr>
              <w:spacing w:line="360" w:lineRule="auto"/>
              <w:rPr>
                <w:sz w:val="24"/>
                <w:szCs w:val="24"/>
              </w:rPr>
            </w:pPr>
            <w:r>
              <w:rPr>
                <w:rFonts w:hint="eastAsia"/>
                <w:sz w:val="24"/>
                <w:szCs w:val="24"/>
              </w:rPr>
              <w:t>供应商餐饮服务许可证复印件</w:t>
            </w:r>
            <w:r>
              <w:rPr>
                <w:rFonts w:hint="eastAsia"/>
                <w:sz w:val="24"/>
                <w:szCs w:val="24"/>
                <w:lang w:eastAsia="zh-CN"/>
              </w:rPr>
              <w:t>（</w:t>
            </w:r>
            <w:r>
              <w:rPr>
                <w:rFonts w:hint="eastAsia" w:ascii="宋体" w:hAnsi="宋体" w:eastAsia="宋体"/>
                <w:sz w:val="24"/>
                <w:szCs w:val="24"/>
              </w:rPr>
              <w:t>须加盖公章</w:t>
            </w:r>
            <w:r>
              <w:rPr>
                <w:rFonts w:hint="eastAsia"/>
                <w:sz w:val="24"/>
                <w:szCs w:val="24"/>
                <w:lang w:eastAsia="zh-CN"/>
              </w:rPr>
              <w:t>）</w:t>
            </w:r>
            <w:r>
              <w:rPr>
                <w:rFonts w:hint="eastAsia"/>
                <w:sz w:val="24"/>
                <w:szCs w:val="24"/>
              </w:rPr>
              <w:t>；</w:t>
            </w:r>
          </w:p>
        </w:tc>
        <w:tc>
          <w:tcPr>
            <w:tcW w:w="1276" w:type="dxa"/>
            <w:vAlign w:val="center"/>
          </w:tcPr>
          <w:p>
            <w:pPr>
              <w:spacing w:line="360" w:lineRule="auto"/>
              <w:jc w:val="center"/>
              <w:rPr>
                <w:rFonts w:asci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885" w:type="dxa"/>
            <w:vAlign w:val="center"/>
          </w:tcPr>
          <w:p>
            <w:pPr>
              <w:spacing w:line="360" w:lineRule="auto"/>
              <w:jc w:val="center"/>
              <w:rPr>
                <w:rFonts w:ascii="宋体" w:hAnsi="宋体" w:cs="宋体"/>
                <w:sz w:val="24"/>
                <w:szCs w:val="24"/>
              </w:rPr>
            </w:pPr>
            <w:r>
              <w:rPr>
                <w:rFonts w:hint="eastAsia" w:ascii="宋体" w:hAnsi="宋体" w:cs="宋体"/>
                <w:sz w:val="24"/>
                <w:szCs w:val="24"/>
                <w:lang w:val="en-US" w:eastAsia="zh-CN"/>
              </w:rPr>
              <w:t>3</w:t>
            </w:r>
          </w:p>
        </w:tc>
        <w:tc>
          <w:tcPr>
            <w:tcW w:w="6277" w:type="dxa"/>
            <w:vAlign w:val="center"/>
          </w:tcPr>
          <w:p>
            <w:pPr>
              <w:spacing w:line="360" w:lineRule="auto"/>
              <w:rPr>
                <w:rFonts w:hint="eastAsia"/>
                <w:sz w:val="24"/>
                <w:szCs w:val="24"/>
              </w:rPr>
            </w:pPr>
            <w:r>
              <w:rPr>
                <w:rFonts w:hint="eastAsia"/>
                <w:sz w:val="24"/>
                <w:szCs w:val="24"/>
              </w:rPr>
              <w:t>提供磋商文件第七章磋商响应文件格式中“三、</w:t>
            </w:r>
            <w:r>
              <w:rPr>
                <w:sz w:val="24"/>
                <w:szCs w:val="24"/>
              </w:rPr>
              <w:t>B</w:t>
            </w:r>
            <w:r>
              <w:rPr>
                <w:rFonts w:hint="eastAsia"/>
                <w:sz w:val="24"/>
                <w:szCs w:val="24"/>
              </w:rPr>
              <w:t>、</w:t>
            </w:r>
            <w:r>
              <w:rPr>
                <w:sz w:val="24"/>
                <w:szCs w:val="24"/>
              </w:rPr>
              <w:t>B.2</w:t>
            </w:r>
            <w:r>
              <w:rPr>
                <w:rFonts w:hint="eastAsia"/>
                <w:sz w:val="24"/>
                <w:szCs w:val="24"/>
              </w:rPr>
              <w:t>、”中的“资格后审资料文件相关的格式文件及表格”中可能涉及到的相关内容，如：（</w:t>
            </w:r>
            <w:r>
              <w:rPr>
                <w:sz w:val="24"/>
                <w:szCs w:val="24"/>
              </w:rPr>
              <w:t>1</w:t>
            </w:r>
            <w:r>
              <w:rPr>
                <w:rFonts w:hint="eastAsia"/>
                <w:sz w:val="24"/>
                <w:szCs w:val="24"/>
              </w:rPr>
              <w:t>）法定代表人身份证明；（</w:t>
            </w:r>
            <w:r>
              <w:rPr>
                <w:sz w:val="24"/>
                <w:szCs w:val="24"/>
              </w:rPr>
              <w:t>2</w:t>
            </w:r>
            <w:r>
              <w:rPr>
                <w:rFonts w:hint="eastAsia"/>
                <w:sz w:val="24"/>
                <w:szCs w:val="24"/>
              </w:rPr>
              <w:t>）授权委托书；（</w:t>
            </w:r>
            <w:r>
              <w:rPr>
                <w:sz w:val="24"/>
                <w:szCs w:val="24"/>
              </w:rPr>
              <w:t>3</w:t>
            </w:r>
            <w:r>
              <w:rPr>
                <w:rFonts w:hint="eastAsia"/>
                <w:sz w:val="24"/>
                <w:szCs w:val="24"/>
              </w:rPr>
              <w:t>）关于资格文件的声明函</w:t>
            </w:r>
            <w:r>
              <w:rPr>
                <w:rFonts w:hint="eastAsia"/>
                <w:sz w:val="24"/>
                <w:szCs w:val="24"/>
                <w:lang w:eastAsia="zh-CN"/>
              </w:rPr>
              <w:t>；（</w:t>
            </w:r>
            <w:r>
              <w:rPr>
                <w:rFonts w:hint="eastAsia" w:ascii="宋体" w:hAnsi="宋体" w:eastAsia="宋体"/>
                <w:sz w:val="24"/>
                <w:szCs w:val="24"/>
              </w:rPr>
              <w:t>须加盖公章</w:t>
            </w:r>
            <w:r>
              <w:rPr>
                <w:rFonts w:hint="eastAsia"/>
                <w:sz w:val="24"/>
                <w:szCs w:val="24"/>
                <w:lang w:eastAsia="zh-CN"/>
              </w:rPr>
              <w:t>）</w:t>
            </w:r>
          </w:p>
        </w:tc>
        <w:tc>
          <w:tcPr>
            <w:tcW w:w="1276" w:type="dxa"/>
            <w:vAlign w:val="center"/>
          </w:tcPr>
          <w:p>
            <w:pPr>
              <w:spacing w:line="360" w:lineRule="auto"/>
              <w:jc w:val="center"/>
              <w:rPr>
                <w:rFonts w:asci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 w:type="dxa"/>
            <w:vAlign w:val="center"/>
          </w:tcPr>
          <w:p>
            <w:pPr>
              <w:spacing w:line="360" w:lineRule="auto"/>
              <w:jc w:val="center"/>
              <w:rPr>
                <w:rFonts w:hint="eastAsia" w:ascii="宋体" w:eastAsia="宋体" w:cs="宋体"/>
                <w:sz w:val="24"/>
                <w:szCs w:val="24"/>
                <w:lang w:val="en-US" w:eastAsia="zh-CN"/>
              </w:rPr>
            </w:pPr>
            <w:r>
              <w:rPr>
                <w:rFonts w:hint="eastAsia" w:ascii="宋体" w:cs="宋体"/>
                <w:sz w:val="24"/>
                <w:szCs w:val="24"/>
                <w:lang w:val="en-US" w:eastAsia="zh-CN"/>
              </w:rPr>
              <w:t>4</w:t>
            </w:r>
          </w:p>
        </w:tc>
        <w:tc>
          <w:tcPr>
            <w:tcW w:w="6277" w:type="dxa"/>
            <w:vAlign w:val="center"/>
          </w:tcPr>
          <w:p>
            <w:pPr>
              <w:spacing w:line="360" w:lineRule="auto"/>
              <w:rPr>
                <w:rFonts w:hint="eastAsia" w:eastAsia="宋体"/>
                <w:sz w:val="24"/>
                <w:szCs w:val="24"/>
                <w:lang w:eastAsia="zh-CN"/>
              </w:rPr>
            </w:pPr>
            <w:r>
              <w:rPr>
                <w:rFonts w:hint="eastAsia"/>
                <w:sz w:val="24"/>
                <w:szCs w:val="24"/>
                <w:lang w:val="en-US" w:eastAsia="zh-CN"/>
              </w:rPr>
              <w:t>磋商</w:t>
            </w:r>
            <w:r>
              <w:rPr>
                <w:rFonts w:hint="eastAsia"/>
                <w:sz w:val="24"/>
                <w:szCs w:val="24"/>
              </w:rPr>
              <w:t>公告供应商资格条件要求材料（</w:t>
            </w:r>
            <w:r>
              <w:rPr>
                <w:rFonts w:hint="eastAsia" w:ascii="宋体" w:hAnsi="宋体" w:eastAsia="宋体"/>
                <w:sz w:val="24"/>
                <w:szCs w:val="24"/>
              </w:rPr>
              <w:t>须加盖公章</w:t>
            </w:r>
            <w:r>
              <w:rPr>
                <w:rFonts w:hint="eastAsia"/>
                <w:sz w:val="24"/>
                <w:szCs w:val="24"/>
              </w:rPr>
              <w:t>）</w:t>
            </w:r>
            <w:r>
              <w:rPr>
                <w:rFonts w:hint="eastAsia"/>
                <w:sz w:val="24"/>
                <w:szCs w:val="24"/>
                <w:lang w:eastAsia="zh-CN"/>
              </w:rPr>
              <w:t>。</w:t>
            </w:r>
          </w:p>
        </w:tc>
        <w:tc>
          <w:tcPr>
            <w:tcW w:w="1276" w:type="dxa"/>
            <w:vAlign w:val="center"/>
          </w:tcPr>
          <w:p>
            <w:pPr>
              <w:spacing w:line="360" w:lineRule="auto"/>
              <w:jc w:val="center"/>
              <w:rPr>
                <w:rFonts w:ascii="宋体" w:cs="宋体"/>
                <w:sz w:val="24"/>
                <w:szCs w:val="24"/>
              </w:rPr>
            </w:pPr>
          </w:p>
        </w:tc>
      </w:tr>
    </w:tbl>
    <w:p>
      <w:pPr>
        <w:overflowPunct w:val="0"/>
        <w:spacing w:line="360" w:lineRule="auto"/>
        <w:jc w:val="left"/>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sz w:val="24"/>
          <w:szCs w:val="24"/>
          <w:lang w:val="en-US" w:eastAsia="zh-CN"/>
        </w:rPr>
        <w:t xml:space="preserve">                               投标供应商单位公章</w:t>
      </w:r>
      <w:r>
        <w:rPr>
          <w:rFonts w:hint="eastAsia" w:ascii="宋体" w:hAnsi="宋体" w:cs="宋体"/>
          <w:sz w:val="24"/>
          <w:szCs w:val="24"/>
        </w:rPr>
        <w:t>：（盖章）</w:t>
      </w:r>
    </w:p>
    <w:p>
      <w:pPr>
        <w:kinsoku w:val="0"/>
        <w:snapToGrid w:val="0"/>
        <w:spacing w:line="360" w:lineRule="auto"/>
        <w:jc w:val="center"/>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法定代表人或受权人（签字）：</w:t>
      </w:r>
    </w:p>
    <w:p>
      <w:pPr>
        <w:kinsoku w:val="0"/>
        <w:snapToGrid w:val="0"/>
        <w:spacing w:line="360" w:lineRule="auto"/>
        <w:ind w:firstLine="4320" w:firstLineChars="1800"/>
        <w:jc w:val="both"/>
        <w:rPr>
          <w:rFonts w:asci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p>
    <w:p>
      <w:pPr>
        <w:snapToGrid w:val="0"/>
        <w:spacing w:line="360" w:lineRule="auto"/>
        <w:ind w:firstLine="200"/>
        <w:rPr>
          <w:rFonts w:ascii="宋体" w:cs="宋体"/>
          <w:b/>
          <w:sz w:val="24"/>
          <w:szCs w:val="24"/>
        </w:rPr>
      </w:pPr>
      <w:r>
        <w:rPr>
          <w:rFonts w:hint="eastAsia" w:ascii="宋体" w:hAnsi="宋体" w:cs="宋体"/>
          <w:b/>
          <w:sz w:val="24"/>
          <w:szCs w:val="24"/>
        </w:rPr>
        <w:t>备注：</w:t>
      </w:r>
    </w:p>
    <w:p>
      <w:pPr>
        <w:snapToGrid w:val="0"/>
        <w:spacing w:line="360" w:lineRule="auto"/>
        <w:ind w:firstLine="200"/>
        <w:rPr>
          <w:rFonts w:ascii="宋体" w:cs="宋体"/>
          <w:b/>
          <w:sz w:val="24"/>
          <w:szCs w:val="24"/>
        </w:rPr>
      </w:pPr>
      <w:r>
        <w:rPr>
          <w:rFonts w:ascii="宋体" w:hAnsi="宋体" w:cs="宋体"/>
          <w:b/>
          <w:sz w:val="24"/>
          <w:szCs w:val="24"/>
        </w:rPr>
        <w:t>1</w:t>
      </w:r>
      <w:r>
        <w:rPr>
          <w:rFonts w:hint="eastAsia" w:ascii="宋体" w:cs="宋体"/>
          <w:color w:val="000000"/>
          <w:sz w:val="24"/>
          <w:szCs w:val="24"/>
          <w:lang w:eastAsia="zh-CN"/>
        </w:rPr>
        <w:t>、</w:t>
      </w:r>
      <w:r>
        <w:rPr>
          <w:rFonts w:hint="eastAsia" w:ascii="宋体" w:hAnsi="宋体" w:cs="宋体"/>
          <w:b/>
          <w:sz w:val="24"/>
          <w:szCs w:val="24"/>
        </w:rPr>
        <w:t>以上由供应商填写，仅作为提供的资格后审资料文件内的资料首页清单目录。</w:t>
      </w:r>
    </w:p>
    <w:p>
      <w:pPr>
        <w:snapToGrid w:val="0"/>
        <w:spacing w:line="360" w:lineRule="auto"/>
        <w:ind w:left="1" w:firstLine="199"/>
        <w:rPr>
          <w:rFonts w:ascii="宋体" w:cs="宋体"/>
          <w:b/>
          <w:sz w:val="24"/>
          <w:szCs w:val="24"/>
        </w:rPr>
      </w:pPr>
      <w:r>
        <w:rPr>
          <w:rFonts w:ascii="宋体" w:hAnsi="宋体" w:cs="宋体"/>
          <w:b/>
          <w:sz w:val="24"/>
          <w:szCs w:val="24"/>
        </w:rPr>
        <w:t>2</w:t>
      </w:r>
      <w:r>
        <w:rPr>
          <w:rFonts w:hint="eastAsia" w:ascii="宋体" w:cs="宋体"/>
          <w:color w:val="000000"/>
          <w:sz w:val="24"/>
          <w:szCs w:val="24"/>
          <w:lang w:eastAsia="zh-CN"/>
        </w:rPr>
        <w:t>、</w:t>
      </w:r>
      <w:r>
        <w:rPr>
          <w:rFonts w:hint="eastAsia" w:ascii="宋体" w:hAnsi="宋体" w:cs="宋体"/>
          <w:b/>
          <w:sz w:val="24"/>
          <w:szCs w:val="24"/>
        </w:rPr>
        <w:t>所有资格证明复印件、相关的格式文件、表格及业绩证明合同的复印件，须加盖公章装订成册，正本</w:t>
      </w:r>
      <w:r>
        <w:rPr>
          <w:rFonts w:ascii="宋体" w:hAnsi="宋体" w:cs="宋体"/>
          <w:b/>
          <w:sz w:val="24"/>
          <w:szCs w:val="24"/>
        </w:rPr>
        <w:t>1</w:t>
      </w:r>
      <w:r>
        <w:rPr>
          <w:rFonts w:hint="eastAsia" w:ascii="宋体" w:hAnsi="宋体" w:cs="宋体"/>
          <w:b/>
          <w:sz w:val="24"/>
          <w:szCs w:val="24"/>
        </w:rPr>
        <w:t>份，副本</w:t>
      </w:r>
      <w:r>
        <w:rPr>
          <w:rFonts w:ascii="宋体" w:hAnsi="宋体" w:cs="宋体"/>
          <w:b/>
          <w:sz w:val="24"/>
          <w:szCs w:val="24"/>
        </w:rPr>
        <w:t>2</w:t>
      </w:r>
      <w:r>
        <w:rPr>
          <w:rFonts w:hint="eastAsia" w:ascii="宋体" w:hAnsi="宋体" w:cs="宋体"/>
          <w:b/>
          <w:sz w:val="24"/>
          <w:szCs w:val="24"/>
        </w:rPr>
        <w:t>份，供审查及留存！</w:t>
      </w:r>
    </w:p>
    <w:p>
      <w:pPr>
        <w:snapToGrid w:val="0"/>
        <w:spacing w:line="360" w:lineRule="auto"/>
        <w:rPr>
          <w:rFonts w:hint="eastAsia"/>
          <w:b/>
          <w:color w:val="000000"/>
          <w:sz w:val="24"/>
          <w:szCs w:val="24"/>
        </w:rPr>
      </w:pPr>
      <w:r>
        <w:rPr>
          <w:rFonts w:ascii="宋体" w:hAnsi="宋体" w:cs="宋体"/>
          <w:b/>
          <w:sz w:val="24"/>
          <w:szCs w:val="24"/>
        </w:rPr>
        <w:br w:type="page"/>
      </w:r>
      <w:r>
        <w:rPr>
          <w:rFonts w:ascii="宋体" w:hAnsi="宋体" w:cs="宋体"/>
          <w:b/>
          <w:sz w:val="24"/>
          <w:szCs w:val="24"/>
        </w:rPr>
        <w:t>B.2</w:t>
      </w:r>
      <w:r>
        <w:rPr>
          <w:rFonts w:hint="eastAsia" w:ascii="宋体" w:cs="宋体"/>
          <w:color w:val="000000"/>
          <w:sz w:val="24"/>
          <w:szCs w:val="24"/>
          <w:lang w:eastAsia="zh-CN"/>
        </w:rPr>
        <w:t>、</w:t>
      </w:r>
      <w:r>
        <w:rPr>
          <w:rFonts w:hint="eastAsia" w:ascii="宋体" w:hAnsi="宋体" w:cs="宋体"/>
          <w:b/>
          <w:sz w:val="24"/>
          <w:szCs w:val="24"/>
        </w:rPr>
        <w:t>资格后审资料文件相关的格式文件及表格</w:t>
      </w:r>
    </w:p>
    <w:p>
      <w:pPr>
        <w:snapToGrid w:val="0"/>
        <w:spacing w:line="360" w:lineRule="auto"/>
        <w:jc w:val="both"/>
        <w:rPr>
          <w:rFonts w:ascii="宋体" w:cs="宋体"/>
          <w:b/>
          <w:sz w:val="24"/>
          <w:szCs w:val="24"/>
        </w:rPr>
      </w:pPr>
    </w:p>
    <w:p>
      <w:pPr>
        <w:snapToGrid w:val="0"/>
        <w:spacing w:line="360" w:lineRule="auto"/>
        <w:jc w:val="center"/>
        <w:outlineLvl w:val="3"/>
        <w:rPr>
          <w:rFonts w:ascii="宋体" w:cs="宋体"/>
          <w:b/>
          <w:sz w:val="24"/>
          <w:szCs w:val="24"/>
        </w:rPr>
      </w:pPr>
      <w:r>
        <w:rPr>
          <w:rFonts w:ascii="宋体" w:hAnsi="宋体" w:cs="宋体"/>
          <w:b/>
          <w:sz w:val="24"/>
          <w:szCs w:val="24"/>
        </w:rPr>
        <w:t>1</w:t>
      </w:r>
      <w:r>
        <w:rPr>
          <w:rFonts w:hint="eastAsia" w:ascii="宋体" w:cs="宋体"/>
          <w:color w:val="000000"/>
          <w:sz w:val="24"/>
          <w:szCs w:val="24"/>
          <w:lang w:eastAsia="zh-CN"/>
        </w:rPr>
        <w:t>、</w:t>
      </w:r>
      <w:r>
        <w:rPr>
          <w:rFonts w:hint="eastAsia" w:ascii="宋体" w:hAnsi="宋体" w:cs="宋体"/>
          <w:b/>
          <w:sz w:val="24"/>
          <w:szCs w:val="24"/>
        </w:rPr>
        <w:t>法定代表人身份证明</w:t>
      </w:r>
    </w:p>
    <w:p>
      <w:pPr>
        <w:snapToGrid w:val="0"/>
        <w:spacing w:line="360" w:lineRule="auto"/>
        <w:jc w:val="center"/>
        <w:rPr>
          <w:rFonts w:ascii="宋体" w:cs="宋体"/>
          <w:sz w:val="24"/>
          <w:szCs w:val="24"/>
        </w:rPr>
      </w:pPr>
      <w:r>
        <w:rPr>
          <w:rFonts w:hint="eastAsia" w:ascii="宋体" w:hAnsi="宋体" w:cs="宋体"/>
          <w:sz w:val="24"/>
          <w:szCs w:val="24"/>
        </w:rPr>
        <w:t>（如法定代表人参加招标，须出示此证明）</w:t>
      </w:r>
    </w:p>
    <w:p>
      <w:pPr>
        <w:snapToGrid w:val="0"/>
        <w:spacing w:line="360" w:lineRule="auto"/>
        <w:jc w:val="center"/>
        <w:rPr>
          <w:rFonts w:ascii="宋体" w:cs="宋体"/>
          <w:sz w:val="24"/>
          <w:szCs w:val="24"/>
        </w:rPr>
      </w:pPr>
    </w:p>
    <w:p>
      <w:pPr>
        <w:snapToGrid w:val="0"/>
        <w:spacing w:line="360" w:lineRule="auto"/>
        <w:jc w:val="left"/>
        <w:rPr>
          <w:rFonts w:ascii="宋体" w:cs="宋体"/>
          <w:b/>
          <w:sz w:val="24"/>
          <w:szCs w:val="24"/>
          <w:u w:val="single"/>
        </w:rPr>
      </w:pPr>
      <w:r>
        <w:rPr>
          <w:rFonts w:hint="eastAsia" w:ascii="宋体" w:hAnsi="宋体" w:cs="宋体"/>
          <w:b/>
          <w:sz w:val="24"/>
          <w:szCs w:val="24"/>
          <w:u w:val="single"/>
        </w:rPr>
        <w:t>南通市旅游中等专业学校：</w:t>
      </w:r>
    </w:p>
    <w:p>
      <w:pPr>
        <w:snapToGrid w:val="0"/>
        <w:spacing w:line="360" w:lineRule="auto"/>
        <w:ind w:firstLine="468" w:firstLineChars="195"/>
        <w:rPr>
          <w:rFonts w:ascii="宋体" w:cs="宋体"/>
          <w:sz w:val="24"/>
          <w:szCs w:val="24"/>
        </w:rPr>
      </w:pPr>
      <w:r>
        <w:rPr>
          <w:rFonts w:hint="eastAsia" w:ascii="宋体" w:hAnsi="宋体" w:cs="宋体"/>
          <w:color w:val="000000"/>
          <w:sz w:val="24"/>
          <w:szCs w:val="24"/>
          <w:lang w:val="zh-CN"/>
        </w:rPr>
        <w:t>我公司法定代表人</w:t>
      </w:r>
      <w:r>
        <w:rPr>
          <w:rFonts w:hint="eastAsia" w:ascii="宋体" w:hAnsi="宋体" w:cs="宋体"/>
          <w:color w:val="000000"/>
          <w:sz w:val="24"/>
          <w:szCs w:val="24"/>
          <w:u w:val="single"/>
          <w:lang w:val="zh-CN"/>
        </w:rPr>
        <w:t xml:space="preserve">     　　　   </w:t>
      </w:r>
      <w:r>
        <w:rPr>
          <w:rFonts w:hint="eastAsia" w:ascii="宋体" w:hAnsi="宋体" w:cs="宋体"/>
          <w:color w:val="000000"/>
          <w:sz w:val="24"/>
          <w:szCs w:val="24"/>
          <w:lang w:val="zh-CN"/>
        </w:rPr>
        <w:t>参加贵单位组织的南通市旅游中等专业学校食堂服务商资格准入项目采购的竞争性磋商活动，全权代表我公司处理磋商活动的有关事宜。</w:t>
      </w:r>
    </w:p>
    <w:p>
      <w:pPr>
        <w:snapToGrid w:val="0"/>
        <w:spacing w:line="360" w:lineRule="auto"/>
        <w:rPr>
          <w:rFonts w:ascii="宋体" w:cs="宋体"/>
          <w:sz w:val="24"/>
          <w:szCs w:val="24"/>
        </w:rPr>
      </w:pPr>
    </w:p>
    <w:p>
      <w:pPr>
        <w:snapToGrid w:val="0"/>
        <w:spacing w:line="360" w:lineRule="auto"/>
        <w:rPr>
          <w:rFonts w:ascii="宋体" w:cs="宋体"/>
          <w:sz w:val="24"/>
          <w:szCs w:val="24"/>
        </w:rPr>
      </w:pPr>
      <w:r>
        <w:rPr>
          <w:rFonts w:hint="eastAsia" w:ascii="宋体" w:hAnsi="宋体" w:cs="宋体"/>
          <w:sz w:val="24"/>
          <w:szCs w:val="24"/>
        </w:rPr>
        <w:t>附：法定代表人情况：</w:t>
      </w:r>
    </w:p>
    <w:p>
      <w:pPr>
        <w:snapToGrid w:val="0"/>
        <w:spacing w:line="360" w:lineRule="auto"/>
        <w:rPr>
          <w:rFonts w:ascii="宋体" w:cs="宋体"/>
          <w:sz w:val="24"/>
          <w:szCs w:val="24"/>
          <w:u w:val="single"/>
        </w:rPr>
      </w:pPr>
      <w:r>
        <w:rPr>
          <w:rFonts w:hint="eastAsia" w:ascii="宋体" w:hAnsi="宋体" w:cs="宋体"/>
          <w:sz w:val="24"/>
          <w:szCs w:val="24"/>
        </w:rPr>
        <w:t>姓名：性别：年龄：职务：</w:t>
      </w:r>
    </w:p>
    <w:p>
      <w:pPr>
        <w:snapToGrid w:val="0"/>
        <w:spacing w:line="360" w:lineRule="auto"/>
        <w:rPr>
          <w:rFonts w:ascii="宋体" w:cs="宋体"/>
          <w:sz w:val="24"/>
          <w:szCs w:val="24"/>
        </w:rPr>
      </w:pPr>
      <w:r>
        <w:rPr>
          <w:rFonts w:hint="eastAsia" w:ascii="宋体" w:hAnsi="宋体" w:cs="宋体"/>
          <w:sz w:val="24"/>
          <w:szCs w:val="24"/>
        </w:rPr>
        <w:t>身份证号码：</w:t>
      </w:r>
    </w:p>
    <w:p>
      <w:pPr>
        <w:snapToGrid w:val="0"/>
        <w:spacing w:line="360" w:lineRule="auto"/>
        <w:rPr>
          <w:rFonts w:ascii="宋体" w:cs="宋体"/>
          <w:sz w:val="24"/>
          <w:szCs w:val="24"/>
        </w:rPr>
      </w:pPr>
      <w:r>
        <w:rPr>
          <w:rFonts w:hint="eastAsia" w:ascii="宋体" w:hAnsi="宋体" w:cs="宋体"/>
          <w:sz w:val="24"/>
          <w:szCs w:val="24"/>
        </w:rPr>
        <w:t>手机：传真：</w:t>
      </w:r>
    </w:p>
    <w:p>
      <w:pPr>
        <w:overflowPunct w:val="0"/>
        <w:spacing w:line="360" w:lineRule="auto"/>
        <w:ind w:firstLine="468" w:firstLineChars="195"/>
        <w:jc w:val="left"/>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sz w:val="24"/>
          <w:szCs w:val="24"/>
          <w:lang w:val="en-US" w:eastAsia="zh-CN"/>
        </w:rPr>
        <w:t xml:space="preserve">                               投标供应商单位公章</w:t>
      </w:r>
      <w:r>
        <w:rPr>
          <w:rFonts w:hint="eastAsia" w:ascii="宋体" w:hAnsi="宋体" w:cs="宋体"/>
          <w:sz w:val="24"/>
          <w:szCs w:val="24"/>
        </w:rPr>
        <w:t>：（盖章）</w:t>
      </w:r>
    </w:p>
    <w:p>
      <w:pPr>
        <w:kinsoku w:val="0"/>
        <w:snapToGrid w:val="0"/>
        <w:spacing w:line="360" w:lineRule="auto"/>
        <w:jc w:val="center"/>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法定代表人（签字）：</w:t>
      </w:r>
    </w:p>
    <w:p>
      <w:pPr>
        <w:kinsoku w:val="0"/>
        <w:snapToGrid w:val="0"/>
        <w:spacing w:line="360" w:lineRule="auto"/>
        <w:jc w:val="center"/>
        <w:rPr>
          <w:rFonts w:hint="eastAsia" w:ascii="宋体" w:hAnsi="宋体" w:cs="宋体"/>
          <w:sz w:val="24"/>
          <w:szCs w:val="24"/>
        </w:rPr>
      </w:pPr>
    </w:p>
    <w:p>
      <w:pPr>
        <w:kinsoku w:val="0"/>
        <w:snapToGrid w:val="0"/>
        <w:spacing w:line="360" w:lineRule="auto"/>
        <w:ind w:firstLine="4320" w:firstLineChars="1800"/>
        <w:jc w:val="both"/>
        <w:rPr>
          <w:rFonts w:asci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r>
        <w:rPr>
          <w:rFonts w:ascii="宋体" w:hAnsi="宋体" w:cs="宋体"/>
          <w:sz w:val="24"/>
          <w:szCs w:val="24"/>
        </w:rPr>
        <w:t xml:space="preserve">  </w:t>
      </w:r>
    </w:p>
    <w:p>
      <w:pPr>
        <w:snapToGrid w:val="0"/>
        <w:spacing w:line="360" w:lineRule="auto"/>
        <w:rPr>
          <w:rFonts w:ascii="宋体" w:cs="宋体"/>
          <w:sz w:val="24"/>
          <w:szCs w:val="24"/>
        </w:rPr>
      </w:pPr>
    </w:p>
    <w:p>
      <w:pPr>
        <w:snapToGrid w:val="0"/>
        <w:spacing w:line="360" w:lineRule="auto"/>
        <w:rPr>
          <w:rFonts w:ascii="宋体" w:cs="宋体"/>
          <w:sz w:val="24"/>
          <w:szCs w:val="24"/>
        </w:rPr>
      </w:pPr>
      <w:r>
        <w:rPr>
          <w:rFonts w:hint="eastAsia" w:ascii="宋体" w:hAnsi="宋体" w:cs="宋体"/>
          <w:sz w:val="24"/>
          <w:szCs w:val="24"/>
        </w:rPr>
        <w:t>法定代表人身份证复印件</w:t>
      </w:r>
    </w:p>
    <w:p>
      <w:pPr>
        <w:snapToGrid w:val="0"/>
        <w:spacing w:line="360" w:lineRule="auto"/>
        <w:rPr>
          <w:rFonts w:ascii="宋体" w:cs="宋体"/>
          <w:sz w:val="24"/>
          <w:szCs w:val="24"/>
        </w:rPr>
      </w:pPr>
    </w:p>
    <w:p>
      <w:pPr>
        <w:snapToGrid w:val="0"/>
        <w:spacing w:line="360" w:lineRule="auto"/>
        <w:ind w:firstLine="950"/>
        <w:rPr>
          <w:rFonts w:ascii="宋体" w:cs="宋体"/>
          <w:sz w:val="24"/>
          <w:szCs w:val="24"/>
        </w:rPr>
      </w:pPr>
      <w:r>
        <w:rPr>
          <w:rFonts w:hint="eastAsia" w:ascii="宋体" w:hAnsi="宋体" w:cs="宋体"/>
          <w:sz w:val="24"/>
          <w:szCs w:val="24"/>
        </w:rPr>
        <w:t>（粘贴此处）</w:t>
      </w:r>
    </w:p>
    <w:p>
      <w:pPr>
        <w:snapToGrid w:val="0"/>
        <w:spacing w:line="360" w:lineRule="auto"/>
        <w:ind w:firstLine="200"/>
        <w:rPr>
          <w:rFonts w:ascii="宋体" w:cs="宋体"/>
          <w:b/>
          <w:sz w:val="24"/>
          <w:szCs w:val="24"/>
        </w:rPr>
      </w:pPr>
    </w:p>
    <w:p>
      <w:pPr>
        <w:snapToGrid w:val="0"/>
        <w:spacing w:line="360" w:lineRule="auto"/>
        <w:ind w:firstLine="200"/>
        <w:rPr>
          <w:rFonts w:ascii="宋体" w:cs="宋体"/>
          <w:b/>
          <w:sz w:val="24"/>
          <w:szCs w:val="24"/>
        </w:rPr>
      </w:pPr>
    </w:p>
    <w:p>
      <w:pPr>
        <w:snapToGrid w:val="0"/>
        <w:spacing w:line="360" w:lineRule="auto"/>
        <w:ind w:firstLine="200"/>
        <w:rPr>
          <w:rFonts w:ascii="宋体" w:cs="宋体"/>
          <w:b/>
          <w:sz w:val="24"/>
          <w:szCs w:val="24"/>
        </w:rPr>
      </w:pPr>
    </w:p>
    <w:p>
      <w:pPr>
        <w:snapToGrid w:val="0"/>
        <w:spacing w:line="360" w:lineRule="auto"/>
        <w:ind w:firstLine="200"/>
        <w:rPr>
          <w:rFonts w:ascii="宋体" w:cs="宋体"/>
          <w:b/>
          <w:sz w:val="24"/>
          <w:szCs w:val="24"/>
        </w:rPr>
      </w:pPr>
    </w:p>
    <w:p>
      <w:pPr>
        <w:snapToGrid w:val="0"/>
        <w:spacing w:line="360" w:lineRule="auto"/>
        <w:ind w:firstLine="200"/>
        <w:rPr>
          <w:rFonts w:ascii="宋体" w:cs="宋体"/>
          <w:b/>
          <w:sz w:val="24"/>
          <w:szCs w:val="24"/>
        </w:rPr>
      </w:pPr>
    </w:p>
    <w:p>
      <w:pPr>
        <w:snapToGrid w:val="0"/>
        <w:spacing w:line="360" w:lineRule="auto"/>
        <w:ind w:firstLine="200"/>
        <w:rPr>
          <w:rFonts w:ascii="宋体" w:cs="宋体"/>
          <w:b/>
          <w:sz w:val="24"/>
          <w:szCs w:val="24"/>
        </w:rPr>
      </w:pPr>
      <w:r>
        <w:rPr>
          <w:rFonts w:hint="eastAsia" w:ascii="宋体" w:hAnsi="宋体" w:cs="宋体"/>
          <w:b/>
          <w:sz w:val="24"/>
          <w:szCs w:val="24"/>
        </w:rPr>
        <w:t>注</w:t>
      </w:r>
      <w:r>
        <w:rPr>
          <w:rFonts w:ascii="宋体" w:hAnsi="宋体" w:cs="宋体"/>
          <w:b/>
          <w:sz w:val="24"/>
          <w:szCs w:val="24"/>
        </w:rPr>
        <w:t>:</w:t>
      </w:r>
      <w:r>
        <w:rPr>
          <w:rFonts w:hint="eastAsia" w:ascii="宋体" w:hAnsi="宋体" w:cs="宋体"/>
          <w:b/>
          <w:sz w:val="24"/>
          <w:szCs w:val="24"/>
        </w:rPr>
        <w:t>参加开标时法定代表人将身份证原件带至开标现场备查</w:t>
      </w:r>
    </w:p>
    <w:p>
      <w:pPr>
        <w:snapToGrid w:val="0"/>
        <w:spacing w:line="360" w:lineRule="auto"/>
        <w:jc w:val="center"/>
        <w:outlineLvl w:val="3"/>
        <w:rPr>
          <w:rFonts w:ascii="宋体" w:cs="宋体"/>
          <w:b/>
          <w:sz w:val="24"/>
          <w:szCs w:val="24"/>
        </w:rPr>
      </w:pPr>
      <w:r>
        <w:rPr>
          <w:rFonts w:ascii="宋体" w:hAnsi="宋体" w:cs="宋体"/>
          <w:b/>
          <w:sz w:val="24"/>
          <w:szCs w:val="24"/>
        </w:rPr>
        <w:t>2</w:t>
      </w:r>
      <w:r>
        <w:rPr>
          <w:rFonts w:hint="eastAsia" w:ascii="宋体" w:hAnsi="宋体" w:cs="宋体"/>
          <w:b/>
          <w:sz w:val="24"/>
          <w:szCs w:val="24"/>
          <w:lang w:eastAsia="zh-CN"/>
        </w:rPr>
        <w:t>、</w:t>
      </w:r>
      <w:r>
        <w:rPr>
          <w:rFonts w:hint="eastAsia" w:ascii="宋体" w:hAnsi="宋体" w:cs="宋体"/>
          <w:b/>
          <w:sz w:val="24"/>
          <w:szCs w:val="24"/>
        </w:rPr>
        <w:t>授权委托书</w:t>
      </w:r>
    </w:p>
    <w:p>
      <w:pPr>
        <w:snapToGrid w:val="0"/>
        <w:spacing w:line="360" w:lineRule="auto"/>
        <w:jc w:val="center"/>
        <w:rPr>
          <w:rFonts w:ascii="宋体" w:cs="宋体"/>
          <w:sz w:val="24"/>
          <w:szCs w:val="24"/>
        </w:rPr>
      </w:pPr>
      <w:r>
        <w:rPr>
          <w:rFonts w:hint="eastAsia" w:ascii="宋体" w:hAnsi="宋体" w:cs="宋体"/>
          <w:sz w:val="24"/>
          <w:szCs w:val="24"/>
        </w:rPr>
        <w:t>（如受权人参加投标，须出示此证明）</w:t>
      </w:r>
    </w:p>
    <w:p>
      <w:pPr>
        <w:snapToGrid w:val="0"/>
        <w:spacing w:line="360" w:lineRule="auto"/>
        <w:jc w:val="center"/>
        <w:rPr>
          <w:rFonts w:ascii="宋体" w:cs="宋体"/>
          <w:sz w:val="24"/>
          <w:szCs w:val="24"/>
        </w:rPr>
      </w:pPr>
    </w:p>
    <w:p>
      <w:pPr>
        <w:snapToGrid w:val="0"/>
        <w:spacing w:line="360" w:lineRule="auto"/>
        <w:jc w:val="left"/>
        <w:rPr>
          <w:rFonts w:ascii="宋体" w:cs="宋体"/>
          <w:b/>
          <w:sz w:val="24"/>
          <w:szCs w:val="24"/>
          <w:u w:val="single"/>
        </w:rPr>
      </w:pPr>
    </w:p>
    <w:p>
      <w:pPr>
        <w:snapToGrid w:val="0"/>
        <w:spacing w:line="360" w:lineRule="auto"/>
        <w:jc w:val="left"/>
        <w:rPr>
          <w:rFonts w:ascii="宋体" w:cs="宋体"/>
          <w:b/>
          <w:sz w:val="24"/>
          <w:szCs w:val="24"/>
          <w:u w:val="single"/>
        </w:rPr>
      </w:pPr>
      <w:r>
        <w:rPr>
          <w:rFonts w:hint="eastAsia" w:ascii="宋体" w:hAnsi="宋体" w:cs="宋体"/>
          <w:b/>
          <w:sz w:val="24"/>
          <w:szCs w:val="24"/>
          <w:u w:val="single"/>
        </w:rPr>
        <w:t>南通市旅游中等专业学校：</w:t>
      </w:r>
    </w:p>
    <w:p>
      <w:pPr>
        <w:adjustRightInd w:val="0"/>
        <w:snapToGrid w:val="0"/>
        <w:spacing w:line="360" w:lineRule="auto"/>
        <w:ind w:firstLine="480" w:firstLineChars="200"/>
        <w:rPr>
          <w:rFonts w:hint="eastAsia" w:ascii="宋体" w:hAnsi="宋体" w:cs="宋体"/>
          <w:color w:val="000000"/>
          <w:sz w:val="24"/>
          <w:szCs w:val="24"/>
          <w:lang w:val="zh-CN"/>
        </w:rPr>
      </w:pPr>
    </w:p>
    <w:p>
      <w:pPr>
        <w:adjustRightInd w:val="0"/>
        <w:snapToGrid w:val="0"/>
        <w:spacing w:line="360" w:lineRule="auto"/>
        <w:ind w:firstLine="480" w:firstLineChars="200"/>
        <w:rPr>
          <w:rFonts w:hint="eastAsia" w:ascii="宋体" w:hAnsi="宋体" w:cs="宋体"/>
          <w:color w:val="000000"/>
          <w:sz w:val="24"/>
          <w:szCs w:val="24"/>
          <w:lang w:val="zh-CN"/>
        </w:rPr>
      </w:pPr>
      <w:r>
        <w:rPr>
          <w:rFonts w:hint="eastAsia" w:ascii="宋体" w:hAnsi="宋体" w:cs="宋体"/>
          <w:color w:val="000000"/>
          <w:sz w:val="24"/>
          <w:szCs w:val="24"/>
          <w:lang w:val="zh-CN"/>
        </w:rPr>
        <w:t>兹授权</w:t>
      </w:r>
      <w:r>
        <w:rPr>
          <w:rFonts w:hint="eastAsia" w:ascii="宋体" w:hAnsi="宋体" w:cs="宋体"/>
          <w:color w:val="000000"/>
          <w:sz w:val="24"/>
          <w:szCs w:val="24"/>
          <w:u w:val="single"/>
          <w:lang w:val="zh-CN"/>
        </w:rPr>
        <w:t>（受权人的姓名）</w:t>
      </w:r>
      <w:r>
        <w:rPr>
          <w:rFonts w:hint="eastAsia" w:ascii="宋体" w:hAnsi="宋体" w:cs="宋体"/>
          <w:color w:val="000000"/>
          <w:sz w:val="24"/>
          <w:szCs w:val="24"/>
          <w:lang w:val="zh-CN"/>
        </w:rPr>
        <w:t>代表我公司参加</w:t>
      </w:r>
      <w:r>
        <w:rPr>
          <w:rFonts w:hint="eastAsia" w:ascii="宋体" w:hAnsi="宋体" w:cs="宋体"/>
          <w:b/>
          <w:bCs/>
          <w:color w:val="000000"/>
          <w:sz w:val="24"/>
          <w:szCs w:val="24"/>
          <w:u w:val="single"/>
          <w:lang w:val="zh-CN"/>
        </w:rPr>
        <w:t>南通市旅游中等专业学校食堂服务商资格准入项目</w:t>
      </w:r>
      <w:r>
        <w:rPr>
          <w:rFonts w:hint="eastAsia" w:ascii="宋体" w:hAnsi="宋体" w:cs="宋体"/>
          <w:color w:val="000000"/>
          <w:sz w:val="24"/>
          <w:szCs w:val="24"/>
          <w:lang w:val="zh-CN"/>
        </w:rPr>
        <w:t>采购的竞争性磋商活动，全权处理一切与该项目磋商有关的事务。其在办理上述事宜过程中所签署的所有文件我公司均予以承认。</w:t>
      </w:r>
    </w:p>
    <w:p>
      <w:pPr>
        <w:snapToGrid w:val="0"/>
        <w:spacing w:line="360" w:lineRule="auto"/>
        <w:rPr>
          <w:rFonts w:ascii="宋体" w:cs="宋体"/>
          <w:sz w:val="24"/>
          <w:szCs w:val="24"/>
        </w:rPr>
      </w:pPr>
    </w:p>
    <w:p>
      <w:pPr>
        <w:snapToGrid w:val="0"/>
        <w:spacing w:line="360" w:lineRule="auto"/>
        <w:rPr>
          <w:rFonts w:ascii="宋体" w:cs="宋体"/>
          <w:sz w:val="24"/>
          <w:szCs w:val="24"/>
        </w:rPr>
      </w:pPr>
      <w:r>
        <w:rPr>
          <w:rFonts w:hint="eastAsia" w:ascii="宋体" w:hAnsi="宋体" w:cs="宋体"/>
          <w:sz w:val="24"/>
          <w:szCs w:val="24"/>
        </w:rPr>
        <w:t>附：受权人情况：</w:t>
      </w:r>
    </w:p>
    <w:p>
      <w:pPr>
        <w:snapToGrid w:val="0"/>
        <w:spacing w:line="360" w:lineRule="auto"/>
        <w:rPr>
          <w:rFonts w:ascii="宋体" w:cs="宋体"/>
          <w:sz w:val="24"/>
          <w:szCs w:val="24"/>
          <w:u w:val="single"/>
        </w:rPr>
      </w:pPr>
      <w:r>
        <w:rPr>
          <w:rFonts w:hint="eastAsia" w:ascii="宋体" w:hAnsi="宋体" w:cs="宋体"/>
          <w:sz w:val="24"/>
          <w:szCs w:val="24"/>
        </w:rPr>
        <w:t>姓名：性别：年龄：职务：</w:t>
      </w:r>
    </w:p>
    <w:p>
      <w:pPr>
        <w:snapToGrid w:val="0"/>
        <w:spacing w:line="360" w:lineRule="auto"/>
        <w:rPr>
          <w:rFonts w:ascii="宋体" w:cs="宋体"/>
          <w:sz w:val="24"/>
          <w:szCs w:val="24"/>
        </w:rPr>
      </w:pPr>
      <w:r>
        <w:rPr>
          <w:rFonts w:hint="eastAsia" w:ascii="宋体" w:hAnsi="宋体" w:cs="宋体"/>
          <w:sz w:val="24"/>
          <w:szCs w:val="24"/>
        </w:rPr>
        <w:t>身份证号码：</w:t>
      </w:r>
    </w:p>
    <w:p>
      <w:pPr>
        <w:snapToGrid w:val="0"/>
        <w:spacing w:line="360" w:lineRule="auto"/>
        <w:rPr>
          <w:rFonts w:ascii="宋体" w:cs="宋体"/>
          <w:sz w:val="24"/>
          <w:szCs w:val="24"/>
        </w:rPr>
      </w:pPr>
      <w:r>
        <w:rPr>
          <w:rFonts w:hint="eastAsia" w:ascii="宋体" w:hAnsi="宋体" w:cs="宋体"/>
          <w:sz w:val="24"/>
          <w:szCs w:val="24"/>
        </w:rPr>
        <w:t>手机：传真：</w:t>
      </w:r>
    </w:p>
    <w:p>
      <w:pPr>
        <w:snapToGrid w:val="0"/>
        <w:spacing w:line="360" w:lineRule="auto"/>
        <w:rPr>
          <w:rFonts w:ascii="宋体" w:cs="宋体"/>
          <w:sz w:val="24"/>
          <w:szCs w:val="24"/>
        </w:rPr>
      </w:pPr>
    </w:p>
    <w:p>
      <w:pPr>
        <w:overflowPunct w:val="0"/>
        <w:spacing w:line="360" w:lineRule="auto"/>
        <w:ind w:firstLine="468" w:firstLineChars="195"/>
        <w:jc w:val="left"/>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sz w:val="24"/>
          <w:szCs w:val="24"/>
          <w:lang w:val="en-US" w:eastAsia="zh-CN"/>
        </w:rPr>
        <w:t xml:space="preserve">                               投标供应商单位公章</w:t>
      </w:r>
      <w:r>
        <w:rPr>
          <w:rFonts w:hint="eastAsia" w:ascii="宋体" w:hAnsi="宋体" w:cs="宋体"/>
          <w:sz w:val="24"/>
          <w:szCs w:val="24"/>
        </w:rPr>
        <w:t>：（盖章）</w:t>
      </w:r>
    </w:p>
    <w:p>
      <w:pPr>
        <w:kinsoku w:val="0"/>
        <w:snapToGrid w:val="0"/>
        <w:spacing w:line="360" w:lineRule="auto"/>
        <w:jc w:val="center"/>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法定代表人（签字）：</w:t>
      </w:r>
    </w:p>
    <w:p>
      <w:pPr>
        <w:kinsoku w:val="0"/>
        <w:snapToGrid w:val="0"/>
        <w:spacing w:line="360" w:lineRule="auto"/>
        <w:jc w:val="center"/>
        <w:rPr>
          <w:rFonts w:hint="eastAsia" w:ascii="宋体" w:hAnsi="宋体" w:cs="宋体"/>
          <w:sz w:val="24"/>
          <w:szCs w:val="24"/>
        </w:rPr>
      </w:pPr>
    </w:p>
    <w:p>
      <w:pPr>
        <w:kinsoku w:val="0"/>
        <w:snapToGrid w:val="0"/>
        <w:spacing w:line="360" w:lineRule="auto"/>
        <w:ind w:firstLine="4320" w:firstLineChars="1800"/>
        <w:jc w:val="both"/>
        <w:rPr>
          <w:rFonts w:asci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p>
    <w:p>
      <w:pPr>
        <w:snapToGrid w:val="0"/>
        <w:spacing w:line="360" w:lineRule="auto"/>
        <w:rPr>
          <w:rFonts w:ascii="宋体" w:cs="宋体"/>
          <w:sz w:val="24"/>
          <w:szCs w:val="24"/>
        </w:rPr>
      </w:pPr>
    </w:p>
    <w:p>
      <w:pPr>
        <w:snapToGrid w:val="0"/>
        <w:spacing w:line="360" w:lineRule="auto"/>
        <w:rPr>
          <w:rFonts w:ascii="宋体" w:cs="宋体"/>
          <w:sz w:val="24"/>
          <w:szCs w:val="24"/>
        </w:rPr>
      </w:pPr>
      <w:r>
        <w:rPr>
          <w:rFonts w:hint="eastAsia" w:ascii="宋体" w:hAnsi="宋体" w:cs="宋体"/>
          <w:sz w:val="24"/>
          <w:szCs w:val="24"/>
        </w:rPr>
        <w:t>受权人身份证复印件</w:t>
      </w:r>
    </w:p>
    <w:p>
      <w:pPr>
        <w:snapToGrid w:val="0"/>
        <w:spacing w:line="360" w:lineRule="auto"/>
        <w:rPr>
          <w:rFonts w:ascii="宋体" w:cs="宋体"/>
          <w:sz w:val="24"/>
          <w:szCs w:val="24"/>
        </w:rPr>
      </w:pPr>
    </w:p>
    <w:p>
      <w:pPr>
        <w:snapToGrid w:val="0"/>
        <w:spacing w:line="360" w:lineRule="auto"/>
        <w:rPr>
          <w:rFonts w:ascii="宋体" w:cs="宋体"/>
          <w:sz w:val="24"/>
          <w:szCs w:val="24"/>
        </w:rPr>
      </w:pPr>
    </w:p>
    <w:p>
      <w:pPr>
        <w:snapToGrid w:val="0"/>
        <w:spacing w:line="360" w:lineRule="auto"/>
        <w:rPr>
          <w:rFonts w:ascii="宋体" w:cs="宋体"/>
          <w:sz w:val="24"/>
          <w:szCs w:val="24"/>
        </w:rPr>
      </w:pPr>
    </w:p>
    <w:p>
      <w:pPr>
        <w:snapToGrid w:val="0"/>
        <w:spacing w:line="360" w:lineRule="auto"/>
        <w:jc w:val="center"/>
        <w:rPr>
          <w:rFonts w:ascii="宋体" w:cs="宋体"/>
          <w:sz w:val="24"/>
          <w:szCs w:val="24"/>
        </w:rPr>
      </w:pPr>
    </w:p>
    <w:p>
      <w:pPr>
        <w:snapToGrid w:val="0"/>
        <w:spacing w:line="360" w:lineRule="auto"/>
        <w:jc w:val="center"/>
        <w:rPr>
          <w:rFonts w:ascii="宋体" w:cs="宋体"/>
          <w:b/>
          <w:sz w:val="24"/>
          <w:szCs w:val="24"/>
        </w:rPr>
      </w:pPr>
      <w:r>
        <w:rPr>
          <w:rFonts w:hint="eastAsia" w:ascii="宋体" w:hAnsi="宋体" w:cs="宋体"/>
          <w:sz w:val="24"/>
          <w:szCs w:val="24"/>
        </w:rPr>
        <w:t>（粘贴此处）</w:t>
      </w:r>
    </w:p>
    <w:p>
      <w:pPr>
        <w:snapToGrid w:val="0"/>
        <w:spacing w:line="360" w:lineRule="auto"/>
        <w:ind w:firstLine="200"/>
        <w:rPr>
          <w:rFonts w:ascii="宋体" w:cs="宋体"/>
          <w:b/>
          <w:sz w:val="24"/>
          <w:szCs w:val="24"/>
        </w:rPr>
      </w:pPr>
      <w:r>
        <w:rPr>
          <w:rFonts w:hint="eastAsia" w:ascii="宋体" w:hAnsi="宋体" w:cs="宋体"/>
          <w:b/>
          <w:sz w:val="24"/>
          <w:szCs w:val="24"/>
        </w:rPr>
        <w:t>注</w:t>
      </w:r>
      <w:r>
        <w:rPr>
          <w:rFonts w:ascii="宋体" w:hAnsi="宋体" w:cs="宋体"/>
          <w:b/>
          <w:sz w:val="24"/>
          <w:szCs w:val="24"/>
        </w:rPr>
        <w:t>:</w:t>
      </w:r>
      <w:r>
        <w:rPr>
          <w:rFonts w:hint="eastAsia" w:ascii="宋体" w:hAnsi="宋体" w:cs="宋体"/>
          <w:b/>
          <w:sz w:val="24"/>
          <w:szCs w:val="24"/>
        </w:rPr>
        <w:t>参加开标时受权人将身份证原件带至开标现场备查。</w:t>
      </w:r>
    </w:p>
    <w:p>
      <w:pPr>
        <w:snapToGrid w:val="0"/>
        <w:spacing w:line="360" w:lineRule="auto"/>
        <w:jc w:val="both"/>
        <w:outlineLvl w:val="3"/>
        <w:rPr>
          <w:rFonts w:ascii="宋体" w:cs="宋体"/>
          <w:b/>
          <w:sz w:val="24"/>
          <w:szCs w:val="24"/>
        </w:rPr>
      </w:pPr>
      <w:r>
        <w:rPr>
          <w:rFonts w:ascii="宋体" w:hAnsi="宋体" w:cs="宋体"/>
          <w:b/>
          <w:sz w:val="24"/>
          <w:szCs w:val="24"/>
        </w:rPr>
        <w:br w:type="page"/>
      </w:r>
      <w:r>
        <w:rPr>
          <w:rFonts w:ascii="宋体" w:hAnsi="宋体" w:cs="宋体"/>
          <w:b/>
          <w:sz w:val="24"/>
          <w:szCs w:val="24"/>
        </w:rPr>
        <w:t>3</w:t>
      </w:r>
      <w:r>
        <w:rPr>
          <w:rFonts w:hint="eastAsia" w:ascii="宋体" w:cs="宋体"/>
          <w:color w:val="000000"/>
          <w:sz w:val="24"/>
          <w:szCs w:val="24"/>
          <w:lang w:eastAsia="zh-CN"/>
        </w:rPr>
        <w:t>、</w:t>
      </w:r>
      <w:r>
        <w:rPr>
          <w:rFonts w:hint="eastAsia" w:ascii="宋体" w:hAnsi="宋体" w:cs="宋体"/>
          <w:b/>
          <w:sz w:val="24"/>
          <w:szCs w:val="24"/>
        </w:rPr>
        <w:t>关于资格文件的声明函</w:t>
      </w:r>
    </w:p>
    <w:p>
      <w:pPr>
        <w:overflowPunct w:val="0"/>
        <w:spacing w:line="360" w:lineRule="auto"/>
        <w:ind w:firstLine="420"/>
        <w:jc w:val="center"/>
        <w:rPr>
          <w:rFonts w:ascii="宋体" w:cs="宋体"/>
          <w:sz w:val="24"/>
          <w:szCs w:val="24"/>
        </w:rPr>
      </w:pPr>
    </w:p>
    <w:p>
      <w:pPr>
        <w:overflowPunct w:val="0"/>
        <w:spacing w:line="360" w:lineRule="auto"/>
        <w:jc w:val="left"/>
        <w:rPr>
          <w:rFonts w:ascii="宋体" w:cs="宋体"/>
          <w:sz w:val="24"/>
          <w:szCs w:val="24"/>
        </w:rPr>
      </w:pPr>
      <w:r>
        <w:rPr>
          <w:rFonts w:hint="eastAsia" w:ascii="宋体" w:hAnsi="宋体" w:cs="宋体"/>
          <w:b/>
          <w:sz w:val="24"/>
          <w:szCs w:val="24"/>
          <w:u w:val="single"/>
        </w:rPr>
        <w:t>南通市旅游中等专业学校：</w:t>
      </w:r>
    </w:p>
    <w:p>
      <w:pPr>
        <w:overflowPunct w:val="0"/>
        <w:spacing w:line="360" w:lineRule="auto"/>
        <w:ind w:firstLine="200"/>
        <w:jc w:val="left"/>
        <w:rPr>
          <w:rFonts w:ascii="宋体" w:cs="宋体"/>
          <w:sz w:val="24"/>
          <w:szCs w:val="24"/>
        </w:rPr>
      </w:pPr>
    </w:p>
    <w:p>
      <w:pPr>
        <w:overflowPunct w:val="0"/>
        <w:spacing w:line="360" w:lineRule="auto"/>
        <w:ind w:firstLine="468" w:firstLineChars="195"/>
        <w:jc w:val="left"/>
        <w:rPr>
          <w:rFonts w:ascii="宋体" w:cs="宋体"/>
          <w:sz w:val="24"/>
          <w:szCs w:val="24"/>
        </w:rPr>
      </w:pPr>
      <w:r>
        <w:rPr>
          <w:rFonts w:hint="eastAsia" w:ascii="宋体" w:hAnsi="宋体" w:cs="宋体"/>
          <w:sz w:val="24"/>
          <w:szCs w:val="24"/>
        </w:rPr>
        <w:t>本公司愿就由贵校组织实施的南通市旅游中等专业学校食堂</w:t>
      </w:r>
      <w:r>
        <w:rPr>
          <w:rFonts w:hint="eastAsia"/>
          <w:sz w:val="24"/>
          <w:szCs w:val="24"/>
        </w:rPr>
        <w:t>服务商资格准入</w:t>
      </w:r>
      <w:r>
        <w:rPr>
          <w:rFonts w:hint="eastAsia" w:ascii="宋体" w:hAnsi="宋体" w:cs="宋体"/>
          <w:sz w:val="24"/>
          <w:szCs w:val="24"/>
        </w:rPr>
        <w:t>项目的竞争性磋商活动进行响应。本公司所提交的磋商响应文件中所有关于响应磋商资格的文件、证明和陈述均是真实的、准确的。若与真实情况不符，本公司愿意承担由此而产生的一切后果。</w:t>
      </w:r>
    </w:p>
    <w:p>
      <w:pPr>
        <w:overflowPunct w:val="0"/>
        <w:spacing w:line="360" w:lineRule="auto"/>
        <w:ind w:firstLine="420"/>
        <w:jc w:val="left"/>
        <w:rPr>
          <w:rFonts w:ascii="宋体" w:cs="宋体"/>
          <w:sz w:val="24"/>
          <w:szCs w:val="24"/>
        </w:rPr>
      </w:pPr>
    </w:p>
    <w:p>
      <w:pPr>
        <w:overflowPunct w:val="0"/>
        <w:spacing w:line="360" w:lineRule="auto"/>
        <w:ind w:firstLine="420"/>
        <w:jc w:val="left"/>
        <w:rPr>
          <w:rFonts w:ascii="宋体" w:cs="宋体"/>
          <w:sz w:val="24"/>
          <w:szCs w:val="24"/>
        </w:rPr>
      </w:pPr>
    </w:p>
    <w:p>
      <w:pPr>
        <w:overflowPunct w:val="0"/>
        <w:spacing w:line="360" w:lineRule="auto"/>
        <w:ind w:firstLine="420"/>
        <w:jc w:val="left"/>
        <w:rPr>
          <w:rFonts w:ascii="宋体" w:cs="宋体"/>
          <w:sz w:val="24"/>
          <w:szCs w:val="24"/>
        </w:rPr>
      </w:pPr>
    </w:p>
    <w:p>
      <w:pPr>
        <w:overflowPunct w:val="0"/>
        <w:spacing w:line="360" w:lineRule="auto"/>
        <w:ind w:firstLine="420"/>
        <w:jc w:val="left"/>
        <w:rPr>
          <w:rFonts w:ascii="宋体" w:cs="宋体"/>
          <w:sz w:val="24"/>
          <w:szCs w:val="24"/>
        </w:rPr>
      </w:pPr>
    </w:p>
    <w:p>
      <w:pPr>
        <w:overflowPunct w:val="0"/>
        <w:spacing w:line="360" w:lineRule="auto"/>
        <w:ind w:firstLine="420"/>
        <w:jc w:val="left"/>
        <w:rPr>
          <w:rFonts w:ascii="宋体" w:cs="宋体"/>
          <w:sz w:val="24"/>
          <w:szCs w:val="24"/>
        </w:rPr>
      </w:pPr>
    </w:p>
    <w:p>
      <w:pPr>
        <w:overflowPunct w:val="0"/>
        <w:spacing w:line="360" w:lineRule="auto"/>
        <w:ind w:firstLine="420"/>
        <w:jc w:val="left"/>
        <w:rPr>
          <w:rFonts w:ascii="宋体" w:cs="宋体"/>
          <w:sz w:val="24"/>
          <w:szCs w:val="24"/>
        </w:rPr>
      </w:pPr>
    </w:p>
    <w:p>
      <w:pPr>
        <w:overflowPunct w:val="0"/>
        <w:spacing w:line="360" w:lineRule="auto"/>
        <w:ind w:firstLine="420"/>
        <w:jc w:val="left"/>
        <w:rPr>
          <w:rFonts w:ascii="宋体" w:cs="宋体"/>
          <w:sz w:val="24"/>
          <w:szCs w:val="24"/>
        </w:rPr>
      </w:pPr>
    </w:p>
    <w:p>
      <w:pPr>
        <w:overflowPunct w:val="0"/>
        <w:spacing w:line="360" w:lineRule="auto"/>
        <w:ind w:firstLine="420"/>
        <w:jc w:val="left"/>
        <w:rPr>
          <w:rFonts w:ascii="宋体" w:cs="宋体"/>
          <w:sz w:val="24"/>
          <w:szCs w:val="24"/>
        </w:rPr>
      </w:pPr>
    </w:p>
    <w:p>
      <w:pPr>
        <w:overflowPunct w:val="0"/>
        <w:spacing w:line="360" w:lineRule="auto"/>
        <w:ind w:firstLine="420"/>
        <w:jc w:val="left"/>
        <w:rPr>
          <w:rFonts w:ascii="宋体" w:cs="宋体"/>
          <w:sz w:val="24"/>
          <w:szCs w:val="24"/>
        </w:rPr>
      </w:pPr>
    </w:p>
    <w:p>
      <w:pPr>
        <w:overflowPunct w:val="0"/>
        <w:spacing w:line="360" w:lineRule="auto"/>
        <w:ind w:firstLine="420"/>
        <w:jc w:val="left"/>
        <w:rPr>
          <w:rFonts w:ascii="宋体" w:cs="宋体"/>
          <w:sz w:val="24"/>
          <w:szCs w:val="24"/>
        </w:rPr>
      </w:pPr>
    </w:p>
    <w:p>
      <w:pPr>
        <w:overflowPunct w:val="0"/>
        <w:spacing w:line="360" w:lineRule="auto"/>
        <w:ind w:firstLine="468" w:firstLineChars="195"/>
        <w:jc w:val="left"/>
        <w:rPr>
          <w:rFonts w:hint="eastAsia" w:ascii="宋体" w:hAnsi="宋体" w:cs="宋体"/>
          <w:sz w:val="24"/>
          <w:szCs w:val="24"/>
        </w:rPr>
      </w:pPr>
      <w:r>
        <w:rPr>
          <w:rFonts w:ascii="宋体" w:cs="宋体"/>
          <w:sz w:val="24"/>
          <w:szCs w:val="24"/>
        </w:rPr>
        <w:tab/>
      </w:r>
      <w:r>
        <w:rPr>
          <w:rFonts w:ascii="宋体" w:cs="宋体"/>
          <w:sz w:val="24"/>
          <w:szCs w:val="24"/>
        </w:rPr>
        <w:tab/>
      </w:r>
      <w:r>
        <w:rPr>
          <w:rFonts w:ascii="宋体" w:cs="宋体"/>
          <w:sz w:val="24"/>
          <w:szCs w:val="24"/>
        </w:rPr>
        <w:tab/>
      </w:r>
      <w:r>
        <w:rPr>
          <w:rFonts w:ascii="宋体" w:cs="宋体"/>
          <w:sz w:val="24"/>
          <w:szCs w:val="24"/>
        </w:rPr>
        <w:tab/>
      </w:r>
      <w:r>
        <w:rPr>
          <w:rFonts w:ascii="宋体" w:hAnsi="宋体" w:cs="宋体"/>
          <w:sz w:val="24"/>
          <w:szCs w:val="24"/>
        </w:rPr>
        <w:t xml:space="preserve">        </w:t>
      </w:r>
    </w:p>
    <w:p>
      <w:pPr>
        <w:kinsoku w:val="0"/>
        <w:snapToGrid w:val="0"/>
        <w:spacing w:line="360" w:lineRule="auto"/>
        <w:jc w:val="center"/>
        <w:rPr>
          <w:rFonts w:hint="eastAsia" w:ascii="宋体" w:hAnsi="宋体" w:cs="宋体"/>
          <w:sz w:val="24"/>
          <w:szCs w:val="24"/>
        </w:rPr>
      </w:pPr>
      <w:r>
        <w:rPr>
          <w:rFonts w:hint="eastAsia" w:ascii="宋体" w:hAnsi="宋体"/>
          <w:sz w:val="24"/>
          <w:szCs w:val="24"/>
          <w:lang w:val="en-US" w:eastAsia="zh-CN"/>
        </w:rPr>
        <w:t xml:space="preserve">                               投标供应商单位公章</w:t>
      </w:r>
      <w:r>
        <w:rPr>
          <w:rFonts w:hint="eastAsia" w:ascii="宋体" w:hAnsi="宋体" w:cs="宋体"/>
          <w:sz w:val="24"/>
          <w:szCs w:val="24"/>
        </w:rPr>
        <w:t>：（盖章）</w:t>
      </w:r>
    </w:p>
    <w:p>
      <w:pPr>
        <w:kinsoku w:val="0"/>
        <w:snapToGrid w:val="0"/>
        <w:spacing w:line="360" w:lineRule="auto"/>
        <w:jc w:val="center"/>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法定代表人或受权人（签字）：</w:t>
      </w:r>
    </w:p>
    <w:p>
      <w:pPr>
        <w:kinsoku w:val="0"/>
        <w:snapToGrid w:val="0"/>
        <w:spacing w:line="360" w:lineRule="auto"/>
        <w:jc w:val="center"/>
        <w:rPr>
          <w:rFonts w:hint="eastAsia" w:ascii="宋体" w:hAnsi="宋体" w:cs="宋体"/>
          <w:sz w:val="24"/>
          <w:szCs w:val="24"/>
        </w:rPr>
      </w:pPr>
    </w:p>
    <w:p>
      <w:pPr>
        <w:kinsoku w:val="0"/>
        <w:snapToGrid w:val="0"/>
        <w:spacing w:line="360" w:lineRule="auto"/>
        <w:ind w:firstLine="4320" w:firstLineChars="1800"/>
        <w:jc w:val="both"/>
        <w:rPr>
          <w:rFonts w:asci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p>
    <w:p>
      <w:pPr>
        <w:snapToGrid w:val="0"/>
        <w:spacing w:line="360" w:lineRule="auto"/>
        <w:outlineLvl w:val="2"/>
        <w:rPr>
          <w:rFonts w:ascii="宋体" w:cs="宋体"/>
          <w:b/>
          <w:sz w:val="24"/>
          <w:szCs w:val="24"/>
        </w:rPr>
      </w:pPr>
      <w:r>
        <w:rPr>
          <w:rFonts w:ascii="宋体" w:hAnsi="宋体" w:cs="宋体"/>
          <w:b/>
          <w:sz w:val="24"/>
          <w:szCs w:val="24"/>
        </w:rPr>
        <w:br w:type="page"/>
      </w:r>
      <w:r>
        <w:rPr>
          <w:rFonts w:ascii="宋体" w:hAnsi="宋体" w:cs="宋体"/>
          <w:b/>
          <w:sz w:val="24"/>
          <w:szCs w:val="24"/>
        </w:rPr>
        <w:t>C</w:t>
      </w:r>
      <w:r>
        <w:rPr>
          <w:rFonts w:hint="eastAsia" w:ascii="宋体" w:hAnsi="宋体" w:cs="宋体"/>
          <w:b/>
          <w:sz w:val="24"/>
          <w:szCs w:val="24"/>
        </w:rPr>
        <w:t>、技术磋商响应文件（单独密封）</w:t>
      </w:r>
    </w:p>
    <w:p>
      <w:pPr>
        <w:snapToGrid w:val="0"/>
        <w:spacing w:line="360" w:lineRule="auto"/>
        <w:jc w:val="center"/>
        <w:outlineLvl w:val="3"/>
        <w:rPr>
          <w:rFonts w:ascii="宋体" w:cs="宋体"/>
          <w:b/>
          <w:sz w:val="24"/>
          <w:szCs w:val="24"/>
        </w:rPr>
      </w:pPr>
      <w:r>
        <w:rPr>
          <w:rFonts w:ascii="宋体" w:hAnsi="宋体" w:cs="宋体"/>
          <w:b/>
          <w:sz w:val="24"/>
          <w:szCs w:val="24"/>
        </w:rPr>
        <w:t>1</w:t>
      </w:r>
      <w:r>
        <w:rPr>
          <w:rFonts w:hint="eastAsia" w:ascii="宋体" w:cs="宋体"/>
          <w:color w:val="000000"/>
          <w:sz w:val="24"/>
          <w:szCs w:val="24"/>
          <w:lang w:eastAsia="zh-CN"/>
        </w:rPr>
        <w:t>、</w:t>
      </w:r>
      <w:r>
        <w:rPr>
          <w:rFonts w:hint="eastAsia" w:ascii="宋体" w:hAnsi="宋体" w:cs="宋体"/>
          <w:b/>
          <w:sz w:val="24"/>
          <w:szCs w:val="24"/>
        </w:rPr>
        <w:t>竞争性磋商响应函</w:t>
      </w:r>
      <w:r>
        <w:rPr>
          <w:rFonts w:hint="eastAsia" w:ascii="宋体" w:hAnsi="宋体" w:cs="宋体"/>
          <w:sz w:val="24"/>
          <w:szCs w:val="24"/>
        </w:rPr>
        <w:t>（</w:t>
      </w:r>
      <w:r>
        <w:rPr>
          <w:rFonts w:hint="eastAsia" w:ascii="宋体" w:hAnsi="宋体" w:cs="宋体"/>
          <w:sz w:val="24"/>
          <w:szCs w:val="24"/>
          <w:u w:val="single"/>
        </w:rPr>
        <w:t>格式不得变动</w:t>
      </w:r>
      <w:r>
        <w:rPr>
          <w:rFonts w:hint="eastAsia" w:ascii="宋体" w:hAnsi="宋体" w:cs="宋体"/>
          <w:sz w:val="24"/>
          <w:szCs w:val="24"/>
        </w:rPr>
        <w:t>）</w:t>
      </w:r>
    </w:p>
    <w:p>
      <w:pPr>
        <w:overflowPunct w:val="0"/>
        <w:spacing w:line="360" w:lineRule="auto"/>
        <w:jc w:val="left"/>
        <w:rPr>
          <w:rFonts w:ascii="宋体" w:cs="宋体"/>
          <w:sz w:val="24"/>
          <w:szCs w:val="24"/>
        </w:rPr>
      </w:pPr>
      <w:r>
        <w:rPr>
          <w:rFonts w:hint="eastAsia" w:ascii="宋体" w:hAnsi="宋体" w:cs="宋体"/>
          <w:b/>
          <w:sz w:val="24"/>
          <w:szCs w:val="24"/>
          <w:u w:val="single"/>
        </w:rPr>
        <w:t>南通市旅游中等专业学校：</w:t>
      </w:r>
    </w:p>
    <w:p>
      <w:pPr>
        <w:overflowPunct w:val="0"/>
        <w:spacing w:line="360" w:lineRule="auto"/>
        <w:ind w:firstLine="468" w:firstLineChars="195"/>
        <w:jc w:val="left"/>
        <w:rPr>
          <w:rFonts w:hint="eastAsia" w:ascii="宋体" w:hAnsi="宋体" w:cs="宋体"/>
          <w:sz w:val="24"/>
          <w:szCs w:val="24"/>
        </w:rPr>
      </w:pPr>
      <w:r>
        <w:rPr>
          <w:rFonts w:hint="eastAsia" w:ascii="宋体" w:hAnsi="宋体" w:cs="宋体"/>
          <w:sz w:val="24"/>
          <w:szCs w:val="24"/>
        </w:rPr>
        <w:t>在考察了投标项目现场并仔细研究了《南通市旅游中等专业学校食堂服务商资格准入项目采购磋商文件》的各项条款后，同意按上述文件提出的全部条件和规定参加投标。我方受权（姓名）（职务）为全权代表参加该项目的投标工作，全权处理本次投标的有关事宜。同时，我公司声明如下：</w:t>
      </w:r>
    </w:p>
    <w:p>
      <w:pPr>
        <w:overflowPunct w:val="0"/>
        <w:spacing w:line="360" w:lineRule="auto"/>
        <w:ind w:firstLine="468" w:firstLineChars="195"/>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同意并接受磋商文件的各项要求，遵守磋商文件中的各项规定，按磋商文件的要求提供报价。</w:t>
      </w:r>
    </w:p>
    <w:p>
      <w:pPr>
        <w:overflowPunct w:val="0"/>
        <w:spacing w:line="360" w:lineRule="auto"/>
        <w:ind w:firstLine="468" w:firstLineChars="195"/>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我公司已经详细阅读了磋商文件的全部内容，我方已完全清晰理解磋商文件的要求，不存在任何含糊不清和误解之处，同意放弃对磋商文件所表述的内容提出异议和质疑的权利。</w:t>
      </w:r>
    </w:p>
    <w:p>
      <w:pPr>
        <w:overflowPunct w:val="0"/>
        <w:spacing w:line="360" w:lineRule="auto"/>
        <w:ind w:firstLine="468" w:firstLineChars="195"/>
        <w:jc w:val="lef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我公司已毫无保留地向贵方提供一切所需的证明材料。</w:t>
      </w:r>
    </w:p>
    <w:p>
      <w:pPr>
        <w:overflowPunct w:val="0"/>
        <w:spacing w:line="360" w:lineRule="auto"/>
        <w:ind w:firstLine="468" w:firstLineChars="195"/>
        <w:jc w:val="left"/>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我公司承诺在本次磋商响应中提供的一切文件，无论是原件还是复印件均真实有效，绝无任何虚假、伪造和夸大的成份。否则，愿承担相应的后果和法律责任。</w:t>
      </w:r>
    </w:p>
    <w:p>
      <w:pPr>
        <w:overflowPunct w:val="0"/>
        <w:spacing w:line="360" w:lineRule="auto"/>
        <w:ind w:firstLine="468" w:firstLineChars="195"/>
        <w:jc w:val="left"/>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eastAsia="zh-CN"/>
        </w:rPr>
        <w:t>、</w:t>
      </w:r>
      <w:r>
        <w:rPr>
          <w:rFonts w:hint="eastAsia" w:ascii="宋体" w:hAnsi="宋体" w:cs="宋体"/>
          <w:sz w:val="24"/>
          <w:szCs w:val="24"/>
        </w:rPr>
        <w:t>我公司尊重磋商小组所作的评定结果，同时清楚理解到报价最低并非意味着必定获得中标资格。</w:t>
      </w:r>
    </w:p>
    <w:p>
      <w:pPr>
        <w:overflowPunct w:val="0"/>
        <w:spacing w:line="360" w:lineRule="auto"/>
        <w:ind w:firstLine="468" w:firstLineChars="195"/>
        <w:jc w:val="left"/>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eastAsia="zh-CN"/>
        </w:rPr>
        <w:t>、</w:t>
      </w:r>
      <w:r>
        <w:rPr>
          <w:rFonts w:hint="eastAsia" w:ascii="宋体" w:hAnsi="宋体" w:cs="宋体"/>
          <w:sz w:val="24"/>
          <w:szCs w:val="24"/>
        </w:rPr>
        <w:t>一旦中标，我方承诺无正当理由拒绝签订合同，将被贵方取消中标资格，同意贵方将投标保证金作为违约金全额不予退还的处理。</w:t>
      </w:r>
    </w:p>
    <w:p>
      <w:pPr>
        <w:overflowPunct w:val="0"/>
        <w:spacing w:line="360" w:lineRule="auto"/>
        <w:ind w:firstLine="468" w:firstLineChars="195"/>
        <w:jc w:val="left"/>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eastAsia="zh-CN"/>
        </w:rPr>
        <w:t>、</w:t>
      </w:r>
      <w:r>
        <w:rPr>
          <w:rFonts w:hint="eastAsia" w:ascii="宋体" w:hAnsi="宋体" w:cs="宋体"/>
          <w:sz w:val="24"/>
          <w:szCs w:val="24"/>
        </w:rPr>
        <w:t>一旦中标，我方将根据磋商文件的规定，严格履行合同规定的责任和义务，并保证在磋商文件中规定的时间期限内完成合同项目。</w:t>
      </w:r>
    </w:p>
    <w:p>
      <w:pPr>
        <w:overflowPunct w:val="0"/>
        <w:spacing w:line="360" w:lineRule="auto"/>
        <w:ind w:firstLine="468" w:firstLineChars="195"/>
        <w:jc w:val="left"/>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sz w:val="24"/>
          <w:szCs w:val="24"/>
          <w:lang w:val="en-US" w:eastAsia="zh-CN"/>
        </w:rPr>
        <w:t xml:space="preserve">                               投标供应商单位公章</w:t>
      </w:r>
      <w:r>
        <w:rPr>
          <w:rFonts w:hint="eastAsia" w:ascii="宋体" w:hAnsi="宋体" w:cs="宋体"/>
          <w:sz w:val="24"/>
          <w:szCs w:val="24"/>
        </w:rPr>
        <w:t>：（盖章）</w:t>
      </w:r>
    </w:p>
    <w:p>
      <w:pPr>
        <w:kinsoku w:val="0"/>
        <w:snapToGrid w:val="0"/>
        <w:spacing w:line="360" w:lineRule="auto"/>
        <w:jc w:val="center"/>
        <w:rPr>
          <w:rFonts w:hint="eastAsia" w:ascii="宋体" w:hAnsi="宋体" w:cs="宋体"/>
          <w:sz w:val="24"/>
          <w:szCs w:val="24"/>
        </w:rPr>
      </w:pPr>
    </w:p>
    <w:p>
      <w:pPr>
        <w:kinsoku w:val="0"/>
        <w:snapToGrid w:val="0"/>
        <w:spacing w:line="360" w:lineRule="auto"/>
        <w:jc w:val="center"/>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法定代表人或受权人（签字）：</w:t>
      </w:r>
    </w:p>
    <w:p>
      <w:pPr>
        <w:kinsoku w:val="0"/>
        <w:snapToGrid w:val="0"/>
        <w:spacing w:line="360" w:lineRule="auto"/>
        <w:jc w:val="center"/>
        <w:rPr>
          <w:rFonts w:hint="eastAsia" w:ascii="宋体" w:hAnsi="宋体" w:cs="宋体"/>
          <w:sz w:val="24"/>
          <w:szCs w:val="24"/>
        </w:rPr>
      </w:pPr>
    </w:p>
    <w:p>
      <w:pPr>
        <w:kinsoku w:val="0"/>
        <w:snapToGrid w:val="0"/>
        <w:spacing w:line="360" w:lineRule="auto"/>
        <w:ind w:firstLine="4320" w:firstLineChars="1800"/>
        <w:jc w:val="both"/>
        <w:rPr>
          <w:rFonts w:asci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p>
    <w:p>
      <w:pPr>
        <w:jc w:val="left"/>
        <w:rPr>
          <w:rFonts w:ascii="宋体" w:cs="宋体"/>
          <w:sz w:val="24"/>
          <w:szCs w:val="24"/>
        </w:rPr>
      </w:pPr>
    </w:p>
    <w:p>
      <w:pPr>
        <w:jc w:val="left"/>
        <w:rPr>
          <w:rFonts w:ascii="宋体" w:cs="宋体"/>
          <w:sz w:val="24"/>
          <w:szCs w:val="24"/>
        </w:rPr>
      </w:pPr>
    </w:p>
    <w:p>
      <w:pPr>
        <w:spacing w:line="360" w:lineRule="auto"/>
        <w:ind w:firstLine="3204" w:firstLineChars="1140"/>
        <w:rPr>
          <w:rFonts w:ascii="宋体" w:cs="宋体"/>
          <w:b/>
          <w:color w:val="000000"/>
          <w:sz w:val="28"/>
          <w:szCs w:val="28"/>
        </w:rPr>
      </w:pPr>
      <w:r>
        <w:rPr>
          <w:rFonts w:hint="eastAsia" w:ascii="宋体" w:hAnsi="宋体" w:cs="宋体"/>
          <w:b/>
          <w:color w:val="000000"/>
          <w:sz w:val="28"/>
          <w:szCs w:val="28"/>
        </w:rPr>
        <w:t>拟派食堂管理人员简历表</w:t>
      </w:r>
    </w:p>
    <w:tbl>
      <w:tblPr>
        <w:tblStyle w:val="12"/>
        <w:tblW w:w="8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1719"/>
        <w:gridCol w:w="833"/>
        <w:gridCol w:w="2010"/>
        <w:gridCol w:w="54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1271" w:type="dxa"/>
            <w:vAlign w:val="center"/>
          </w:tcPr>
          <w:p>
            <w:pPr>
              <w:jc w:val="center"/>
              <w:rPr>
                <w:rFonts w:ascii="宋体"/>
                <w:sz w:val="24"/>
                <w:szCs w:val="24"/>
              </w:rPr>
            </w:pPr>
            <w:r>
              <w:rPr>
                <w:rFonts w:hint="eastAsia" w:ascii="宋体" w:hAnsi="宋体"/>
                <w:sz w:val="24"/>
                <w:szCs w:val="24"/>
              </w:rPr>
              <w:t>姓</w:t>
            </w:r>
            <w:r>
              <w:rPr>
                <w:rFonts w:ascii="宋体" w:hAnsi="宋体"/>
                <w:sz w:val="24"/>
                <w:szCs w:val="24"/>
              </w:rPr>
              <w:t xml:space="preserve">  </w:t>
            </w:r>
            <w:r>
              <w:rPr>
                <w:rFonts w:hint="eastAsia" w:ascii="宋体" w:hAnsi="宋体"/>
                <w:sz w:val="24"/>
                <w:szCs w:val="24"/>
              </w:rPr>
              <w:t>名</w:t>
            </w:r>
          </w:p>
        </w:tc>
        <w:tc>
          <w:tcPr>
            <w:tcW w:w="1719" w:type="dxa"/>
            <w:vAlign w:val="center"/>
          </w:tcPr>
          <w:p>
            <w:pPr>
              <w:jc w:val="center"/>
              <w:rPr>
                <w:rFonts w:ascii="宋体"/>
                <w:sz w:val="24"/>
                <w:szCs w:val="24"/>
              </w:rPr>
            </w:pPr>
          </w:p>
        </w:tc>
        <w:tc>
          <w:tcPr>
            <w:tcW w:w="833" w:type="dxa"/>
            <w:vAlign w:val="center"/>
          </w:tcPr>
          <w:p>
            <w:pPr>
              <w:jc w:val="center"/>
              <w:rPr>
                <w:rFonts w:ascii="宋体"/>
                <w:sz w:val="24"/>
                <w:szCs w:val="24"/>
              </w:rPr>
            </w:pPr>
            <w:r>
              <w:rPr>
                <w:rFonts w:hint="eastAsia" w:ascii="宋体" w:hAnsi="宋体"/>
                <w:sz w:val="24"/>
                <w:szCs w:val="24"/>
              </w:rPr>
              <w:t>性别</w:t>
            </w:r>
          </w:p>
        </w:tc>
        <w:tc>
          <w:tcPr>
            <w:tcW w:w="2551" w:type="dxa"/>
            <w:gridSpan w:val="2"/>
            <w:vAlign w:val="center"/>
          </w:tcPr>
          <w:p>
            <w:pPr>
              <w:jc w:val="center"/>
              <w:rPr>
                <w:rFonts w:ascii="宋体"/>
                <w:sz w:val="24"/>
                <w:szCs w:val="24"/>
              </w:rPr>
            </w:pPr>
          </w:p>
        </w:tc>
        <w:tc>
          <w:tcPr>
            <w:tcW w:w="2131" w:type="dxa"/>
            <w:vMerge w:val="restart"/>
            <w:vAlign w:val="center"/>
          </w:tcPr>
          <w:p>
            <w:pPr>
              <w:jc w:val="center"/>
              <w:rPr>
                <w:rFonts w:ascii="宋体"/>
                <w:sz w:val="24"/>
                <w:szCs w:val="24"/>
              </w:rPr>
            </w:pPr>
            <w:r>
              <w:rPr>
                <w:rFonts w:hint="eastAsia" w:ascii="宋体" w:hAnsi="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1271" w:type="dxa"/>
            <w:vAlign w:val="center"/>
          </w:tcPr>
          <w:p>
            <w:pPr>
              <w:jc w:val="center"/>
              <w:rPr>
                <w:rFonts w:ascii="宋体"/>
                <w:sz w:val="24"/>
                <w:szCs w:val="24"/>
              </w:rPr>
            </w:pPr>
            <w:r>
              <w:rPr>
                <w:rFonts w:hint="eastAsia" w:ascii="宋体" w:hAnsi="宋体"/>
                <w:sz w:val="24"/>
                <w:szCs w:val="24"/>
              </w:rPr>
              <w:t>出生日期</w:t>
            </w:r>
          </w:p>
        </w:tc>
        <w:tc>
          <w:tcPr>
            <w:tcW w:w="5103" w:type="dxa"/>
            <w:gridSpan w:val="4"/>
            <w:vAlign w:val="center"/>
          </w:tcPr>
          <w:p>
            <w:pPr>
              <w:jc w:val="center"/>
              <w:rPr>
                <w:rFonts w:ascii="宋体"/>
                <w:sz w:val="24"/>
                <w:szCs w:val="24"/>
              </w:rPr>
            </w:pP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c>
          <w:tcPr>
            <w:tcW w:w="2131"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1271" w:type="dxa"/>
            <w:vAlign w:val="center"/>
          </w:tcPr>
          <w:p>
            <w:pPr>
              <w:jc w:val="center"/>
              <w:rPr>
                <w:rFonts w:ascii="宋体"/>
                <w:sz w:val="24"/>
                <w:szCs w:val="24"/>
              </w:rPr>
            </w:pPr>
            <w:r>
              <w:rPr>
                <w:rFonts w:hint="eastAsia" w:ascii="宋体" w:hAnsi="宋体"/>
                <w:sz w:val="24"/>
                <w:szCs w:val="24"/>
              </w:rPr>
              <w:t>毕业院校专业</w:t>
            </w:r>
          </w:p>
        </w:tc>
        <w:tc>
          <w:tcPr>
            <w:tcW w:w="5103" w:type="dxa"/>
            <w:gridSpan w:val="4"/>
            <w:vAlign w:val="center"/>
          </w:tcPr>
          <w:p>
            <w:pPr>
              <w:jc w:val="center"/>
              <w:rPr>
                <w:rFonts w:ascii="宋体"/>
                <w:sz w:val="24"/>
                <w:szCs w:val="24"/>
              </w:rPr>
            </w:pPr>
          </w:p>
        </w:tc>
        <w:tc>
          <w:tcPr>
            <w:tcW w:w="2131"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1271" w:type="dxa"/>
            <w:vAlign w:val="center"/>
          </w:tcPr>
          <w:p>
            <w:pPr>
              <w:jc w:val="center"/>
              <w:rPr>
                <w:rFonts w:ascii="宋体"/>
                <w:sz w:val="24"/>
                <w:szCs w:val="24"/>
              </w:rPr>
            </w:pPr>
            <w:r>
              <w:rPr>
                <w:rFonts w:hint="eastAsia" w:ascii="宋体" w:hAnsi="宋体"/>
                <w:sz w:val="24"/>
                <w:szCs w:val="24"/>
              </w:rPr>
              <w:t>毕业时间</w:t>
            </w:r>
          </w:p>
        </w:tc>
        <w:tc>
          <w:tcPr>
            <w:tcW w:w="5103" w:type="dxa"/>
            <w:gridSpan w:val="4"/>
            <w:vAlign w:val="center"/>
          </w:tcPr>
          <w:p>
            <w:pPr>
              <w:jc w:val="center"/>
              <w:rPr>
                <w:rFonts w:ascii="宋体"/>
                <w:sz w:val="24"/>
                <w:szCs w:val="24"/>
              </w:rPr>
            </w:pP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c>
          <w:tcPr>
            <w:tcW w:w="2131"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1271" w:type="dxa"/>
            <w:vAlign w:val="center"/>
          </w:tcPr>
          <w:p>
            <w:pPr>
              <w:jc w:val="center"/>
              <w:rPr>
                <w:rFonts w:ascii="宋体"/>
                <w:sz w:val="24"/>
                <w:szCs w:val="24"/>
              </w:rPr>
            </w:pPr>
            <w:r>
              <w:rPr>
                <w:rFonts w:hint="eastAsia" w:ascii="宋体" w:hAnsi="宋体"/>
                <w:sz w:val="24"/>
                <w:szCs w:val="24"/>
              </w:rPr>
              <w:t>从事本专业时间</w:t>
            </w:r>
          </w:p>
        </w:tc>
        <w:tc>
          <w:tcPr>
            <w:tcW w:w="2552" w:type="dxa"/>
            <w:gridSpan w:val="2"/>
            <w:vAlign w:val="center"/>
          </w:tcPr>
          <w:p>
            <w:pPr>
              <w:jc w:val="center"/>
              <w:rPr>
                <w:rFonts w:ascii="宋体"/>
                <w:sz w:val="24"/>
                <w:szCs w:val="24"/>
              </w:rPr>
            </w:pPr>
          </w:p>
        </w:tc>
        <w:tc>
          <w:tcPr>
            <w:tcW w:w="2551" w:type="dxa"/>
            <w:gridSpan w:val="2"/>
            <w:vAlign w:val="center"/>
          </w:tcPr>
          <w:p>
            <w:pPr>
              <w:jc w:val="center"/>
              <w:rPr>
                <w:rFonts w:ascii="宋体"/>
                <w:sz w:val="24"/>
                <w:szCs w:val="24"/>
              </w:rPr>
            </w:pPr>
            <w:r>
              <w:rPr>
                <w:rFonts w:hint="eastAsia" w:ascii="宋体" w:hAnsi="宋体"/>
                <w:sz w:val="24"/>
                <w:szCs w:val="24"/>
              </w:rPr>
              <w:t>为申请人</w:t>
            </w:r>
          </w:p>
          <w:p>
            <w:pPr>
              <w:jc w:val="center"/>
              <w:rPr>
                <w:rFonts w:ascii="宋体"/>
                <w:sz w:val="24"/>
                <w:szCs w:val="24"/>
              </w:rPr>
            </w:pPr>
            <w:r>
              <w:rPr>
                <w:rFonts w:hint="eastAsia" w:ascii="宋体" w:hAnsi="宋体"/>
                <w:sz w:val="24"/>
                <w:szCs w:val="24"/>
              </w:rPr>
              <w:t>服务时间</w:t>
            </w:r>
          </w:p>
        </w:tc>
        <w:tc>
          <w:tcPr>
            <w:tcW w:w="2131" w:type="dxa"/>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3823" w:type="dxa"/>
            <w:gridSpan w:val="3"/>
            <w:vAlign w:val="center"/>
          </w:tcPr>
          <w:p>
            <w:pPr>
              <w:jc w:val="center"/>
              <w:rPr>
                <w:rFonts w:ascii="宋体"/>
                <w:sz w:val="24"/>
                <w:szCs w:val="24"/>
              </w:rPr>
            </w:pPr>
            <w:r>
              <w:rPr>
                <w:rFonts w:hint="eastAsia" w:ascii="宋体" w:hAnsi="宋体"/>
                <w:sz w:val="24"/>
                <w:szCs w:val="24"/>
              </w:rPr>
              <w:t>在本项目拟任职务</w:t>
            </w:r>
          </w:p>
        </w:tc>
        <w:tc>
          <w:tcPr>
            <w:tcW w:w="4682" w:type="dxa"/>
            <w:gridSpan w:val="3"/>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8505" w:type="dxa"/>
            <w:gridSpan w:val="6"/>
            <w:vAlign w:val="center"/>
          </w:tcPr>
          <w:p>
            <w:pPr>
              <w:jc w:val="center"/>
              <w:rPr>
                <w:rFonts w:ascii="宋体"/>
                <w:sz w:val="24"/>
                <w:szCs w:val="24"/>
              </w:rPr>
            </w:pPr>
            <w:r>
              <w:rPr>
                <w:rFonts w:hint="eastAsia" w:ascii="宋体" w:hAnsi="宋体"/>
                <w:sz w:val="24"/>
                <w:szCs w:val="24"/>
              </w:rPr>
              <w:t>主</w:t>
            </w:r>
            <w:r>
              <w:rPr>
                <w:rFonts w:ascii="宋体" w:hAnsi="宋体"/>
                <w:sz w:val="24"/>
                <w:szCs w:val="24"/>
              </w:rPr>
              <w:t xml:space="preserve">  </w:t>
            </w:r>
            <w:r>
              <w:rPr>
                <w:rFonts w:hint="eastAsia" w:ascii="宋体" w:hAnsi="宋体"/>
                <w:sz w:val="24"/>
                <w:szCs w:val="24"/>
              </w:rPr>
              <w:t>要</w:t>
            </w:r>
            <w:r>
              <w:rPr>
                <w:rFonts w:ascii="宋体" w:hAnsi="宋体"/>
                <w:sz w:val="24"/>
                <w:szCs w:val="24"/>
              </w:rPr>
              <w:t xml:space="preserve">  </w:t>
            </w:r>
            <w:r>
              <w:rPr>
                <w:rFonts w:hint="eastAsia" w:ascii="宋体" w:hAnsi="宋体"/>
                <w:sz w:val="24"/>
                <w:szCs w:val="24"/>
              </w:rPr>
              <w:t>经</w:t>
            </w:r>
            <w:r>
              <w:rPr>
                <w:rFonts w:ascii="宋体" w:hAnsi="宋体"/>
                <w:sz w:val="24"/>
                <w:szCs w:val="24"/>
              </w:rPr>
              <w:t xml:space="preserve">  </w:t>
            </w:r>
            <w:r>
              <w:rPr>
                <w:rFonts w:hint="eastAsia" w:ascii="宋体" w:hAnsi="宋体"/>
                <w:sz w:val="24"/>
                <w:szCs w:val="24"/>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1271" w:type="dxa"/>
            <w:vAlign w:val="center"/>
          </w:tcPr>
          <w:p>
            <w:pPr>
              <w:jc w:val="center"/>
              <w:rPr>
                <w:rFonts w:ascii="宋体"/>
                <w:sz w:val="24"/>
                <w:szCs w:val="24"/>
              </w:rPr>
            </w:pPr>
            <w:r>
              <w:rPr>
                <w:rFonts w:hint="eastAsia" w:ascii="宋体" w:hAnsi="宋体"/>
                <w:sz w:val="24"/>
                <w:szCs w:val="24"/>
              </w:rPr>
              <w:t>时间</w:t>
            </w:r>
          </w:p>
        </w:tc>
        <w:tc>
          <w:tcPr>
            <w:tcW w:w="4562" w:type="dxa"/>
            <w:gridSpan w:val="3"/>
            <w:vAlign w:val="center"/>
          </w:tcPr>
          <w:p>
            <w:pPr>
              <w:jc w:val="center"/>
              <w:rPr>
                <w:rFonts w:ascii="宋体"/>
                <w:sz w:val="24"/>
                <w:szCs w:val="24"/>
              </w:rPr>
            </w:pPr>
            <w:r>
              <w:rPr>
                <w:rFonts w:hint="eastAsia" w:ascii="宋体" w:hAnsi="宋体"/>
                <w:sz w:val="24"/>
                <w:szCs w:val="24"/>
              </w:rPr>
              <w:t>参加过的物业管理项目名称及规模</w:t>
            </w:r>
          </w:p>
        </w:tc>
        <w:tc>
          <w:tcPr>
            <w:tcW w:w="2672" w:type="dxa"/>
            <w:gridSpan w:val="2"/>
            <w:vAlign w:val="center"/>
          </w:tcPr>
          <w:p>
            <w:pPr>
              <w:jc w:val="center"/>
              <w:rPr>
                <w:rFonts w:ascii="宋体"/>
                <w:sz w:val="24"/>
                <w:szCs w:val="24"/>
              </w:rPr>
            </w:pPr>
            <w:r>
              <w:rPr>
                <w:rFonts w:hint="eastAsia" w:ascii="宋体" w:hAnsi="宋体"/>
                <w:sz w:val="24"/>
                <w:szCs w:val="24"/>
              </w:rPr>
              <w:t>该项目中担任职务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271" w:type="dxa"/>
            <w:vAlign w:val="center"/>
          </w:tcPr>
          <w:p>
            <w:pPr>
              <w:jc w:val="center"/>
              <w:rPr>
                <w:rFonts w:ascii="宋体"/>
                <w:sz w:val="24"/>
                <w:szCs w:val="24"/>
              </w:rPr>
            </w:pPr>
          </w:p>
        </w:tc>
        <w:tc>
          <w:tcPr>
            <w:tcW w:w="4562" w:type="dxa"/>
            <w:gridSpan w:val="3"/>
            <w:vAlign w:val="center"/>
          </w:tcPr>
          <w:p>
            <w:pPr>
              <w:jc w:val="center"/>
              <w:rPr>
                <w:rFonts w:ascii="宋体"/>
                <w:sz w:val="24"/>
                <w:szCs w:val="24"/>
              </w:rPr>
            </w:pPr>
          </w:p>
        </w:tc>
        <w:tc>
          <w:tcPr>
            <w:tcW w:w="2672" w:type="dxa"/>
            <w:gridSpan w:val="2"/>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271" w:type="dxa"/>
            <w:vAlign w:val="center"/>
          </w:tcPr>
          <w:p>
            <w:pPr>
              <w:jc w:val="center"/>
              <w:rPr>
                <w:rFonts w:ascii="宋体"/>
                <w:sz w:val="24"/>
                <w:szCs w:val="24"/>
              </w:rPr>
            </w:pPr>
          </w:p>
        </w:tc>
        <w:tc>
          <w:tcPr>
            <w:tcW w:w="4562" w:type="dxa"/>
            <w:gridSpan w:val="3"/>
            <w:vAlign w:val="center"/>
          </w:tcPr>
          <w:p>
            <w:pPr>
              <w:jc w:val="center"/>
              <w:rPr>
                <w:rFonts w:ascii="宋体"/>
                <w:sz w:val="24"/>
                <w:szCs w:val="24"/>
              </w:rPr>
            </w:pPr>
          </w:p>
        </w:tc>
        <w:tc>
          <w:tcPr>
            <w:tcW w:w="2672" w:type="dxa"/>
            <w:gridSpan w:val="2"/>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271" w:type="dxa"/>
            <w:vAlign w:val="center"/>
          </w:tcPr>
          <w:p>
            <w:pPr>
              <w:jc w:val="center"/>
              <w:rPr>
                <w:rFonts w:ascii="宋体"/>
                <w:sz w:val="24"/>
                <w:szCs w:val="24"/>
              </w:rPr>
            </w:pPr>
          </w:p>
        </w:tc>
        <w:tc>
          <w:tcPr>
            <w:tcW w:w="4562" w:type="dxa"/>
            <w:gridSpan w:val="3"/>
            <w:vAlign w:val="center"/>
          </w:tcPr>
          <w:p>
            <w:pPr>
              <w:jc w:val="center"/>
              <w:rPr>
                <w:rFonts w:ascii="宋体"/>
                <w:sz w:val="24"/>
                <w:szCs w:val="24"/>
              </w:rPr>
            </w:pPr>
          </w:p>
        </w:tc>
        <w:tc>
          <w:tcPr>
            <w:tcW w:w="2672" w:type="dxa"/>
            <w:gridSpan w:val="2"/>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271" w:type="dxa"/>
            <w:vAlign w:val="center"/>
          </w:tcPr>
          <w:p>
            <w:pPr>
              <w:jc w:val="center"/>
              <w:rPr>
                <w:rFonts w:ascii="宋体"/>
                <w:sz w:val="24"/>
                <w:szCs w:val="24"/>
              </w:rPr>
            </w:pPr>
          </w:p>
        </w:tc>
        <w:tc>
          <w:tcPr>
            <w:tcW w:w="4562" w:type="dxa"/>
            <w:gridSpan w:val="3"/>
            <w:vAlign w:val="center"/>
          </w:tcPr>
          <w:p>
            <w:pPr>
              <w:jc w:val="center"/>
              <w:rPr>
                <w:rFonts w:ascii="宋体"/>
                <w:sz w:val="24"/>
                <w:szCs w:val="24"/>
              </w:rPr>
            </w:pPr>
          </w:p>
        </w:tc>
        <w:tc>
          <w:tcPr>
            <w:tcW w:w="2672" w:type="dxa"/>
            <w:gridSpan w:val="2"/>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271" w:type="dxa"/>
            <w:vAlign w:val="center"/>
          </w:tcPr>
          <w:p>
            <w:pPr>
              <w:jc w:val="center"/>
              <w:rPr>
                <w:rFonts w:ascii="宋体"/>
                <w:sz w:val="24"/>
                <w:szCs w:val="24"/>
              </w:rPr>
            </w:pPr>
          </w:p>
        </w:tc>
        <w:tc>
          <w:tcPr>
            <w:tcW w:w="4562" w:type="dxa"/>
            <w:gridSpan w:val="3"/>
            <w:vAlign w:val="center"/>
          </w:tcPr>
          <w:p>
            <w:pPr>
              <w:jc w:val="center"/>
              <w:rPr>
                <w:rFonts w:ascii="宋体"/>
                <w:sz w:val="24"/>
                <w:szCs w:val="24"/>
              </w:rPr>
            </w:pPr>
          </w:p>
        </w:tc>
        <w:tc>
          <w:tcPr>
            <w:tcW w:w="2672" w:type="dxa"/>
            <w:gridSpan w:val="2"/>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271" w:type="dxa"/>
            <w:vAlign w:val="center"/>
          </w:tcPr>
          <w:p>
            <w:pPr>
              <w:jc w:val="center"/>
              <w:rPr>
                <w:rFonts w:ascii="宋体"/>
                <w:sz w:val="24"/>
                <w:szCs w:val="24"/>
              </w:rPr>
            </w:pPr>
          </w:p>
        </w:tc>
        <w:tc>
          <w:tcPr>
            <w:tcW w:w="4562" w:type="dxa"/>
            <w:gridSpan w:val="3"/>
            <w:vAlign w:val="center"/>
          </w:tcPr>
          <w:p>
            <w:pPr>
              <w:jc w:val="center"/>
              <w:rPr>
                <w:rFonts w:ascii="宋体"/>
                <w:sz w:val="24"/>
                <w:szCs w:val="24"/>
              </w:rPr>
            </w:pPr>
          </w:p>
        </w:tc>
        <w:tc>
          <w:tcPr>
            <w:tcW w:w="2672" w:type="dxa"/>
            <w:gridSpan w:val="2"/>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271" w:type="dxa"/>
            <w:vAlign w:val="center"/>
          </w:tcPr>
          <w:p>
            <w:pPr>
              <w:jc w:val="center"/>
              <w:rPr>
                <w:rFonts w:ascii="宋体"/>
                <w:sz w:val="24"/>
                <w:szCs w:val="24"/>
              </w:rPr>
            </w:pPr>
          </w:p>
        </w:tc>
        <w:tc>
          <w:tcPr>
            <w:tcW w:w="4562" w:type="dxa"/>
            <w:gridSpan w:val="3"/>
            <w:vAlign w:val="center"/>
          </w:tcPr>
          <w:p>
            <w:pPr>
              <w:jc w:val="center"/>
              <w:rPr>
                <w:rFonts w:ascii="宋体"/>
                <w:sz w:val="24"/>
                <w:szCs w:val="24"/>
              </w:rPr>
            </w:pPr>
          </w:p>
        </w:tc>
        <w:tc>
          <w:tcPr>
            <w:tcW w:w="2672" w:type="dxa"/>
            <w:gridSpan w:val="2"/>
            <w:vAlign w:val="center"/>
          </w:tcPr>
          <w:p>
            <w:pPr>
              <w:jc w:val="center"/>
              <w:rPr>
                <w:rFonts w:ascii="宋体"/>
                <w:sz w:val="24"/>
                <w:szCs w:val="24"/>
              </w:rPr>
            </w:pPr>
          </w:p>
        </w:tc>
      </w:tr>
    </w:tbl>
    <w:p>
      <w:pPr>
        <w:kinsoku w:val="0"/>
        <w:snapToGrid w:val="0"/>
        <w:spacing w:line="360" w:lineRule="auto"/>
        <w:rPr>
          <w:rFonts w:ascii="宋体" w:cs="宋体"/>
          <w:sz w:val="24"/>
          <w:szCs w:val="24"/>
        </w:rPr>
      </w:pPr>
    </w:p>
    <w:p>
      <w:pPr>
        <w:kinsoku w:val="0"/>
        <w:snapToGrid w:val="0"/>
        <w:spacing w:line="360" w:lineRule="auto"/>
        <w:jc w:val="center"/>
        <w:rPr>
          <w:rFonts w:ascii="宋体" w:cs="宋体"/>
          <w:sz w:val="24"/>
          <w:szCs w:val="24"/>
        </w:rPr>
      </w:pPr>
      <w:r>
        <w:rPr>
          <w:rFonts w:hint="eastAsia" w:ascii="宋体" w:hAnsi="宋体"/>
          <w:sz w:val="24"/>
          <w:szCs w:val="24"/>
          <w:lang w:val="en-US" w:eastAsia="zh-CN"/>
        </w:rPr>
        <w:t xml:space="preserve">                               投标供应商单位公章</w:t>
      </w:r>
      <w:r>
        <w:rPr>
          <w:rFonts w:hint="eastAsia" w:ascii="宋体" w:hAnsi="宋体" w:cs="宋体"/>
          <w:sz w:val="24"/>
          <w:szCs w:val="24"/>
        </w:rPr>
        <w:t>：（盖章）</w:t>
      </w:r>
    </w:p>
    <w:p>
      <w:pPr>
        <w:kinsoku w:val="0"/>
        <w:snapToGrid w:val="0"/>
        <w:spacing w:line="360" w:lineRule="auto"/>
        <w:jc w:val="center"/>
        <w:rPr>
          <w:rFonts w:asci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法定代表人或受权人（签字）：</w:t>
      </w:r>
    </w:p>
    <w:p>
      <w:pPr>
        <w:kinsoku w:val="0"/>
        <w:snapToGrid w:val="0"/>
        <w:spacing w:line="360" w:lineRule="auto"/>
        <w:ind w:firstLine="4320" w:firstLineChars="1800"/>
        <w:jc w:val="both"/>
        <w:rPr>
          <w:rFonts w:asci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p>
    <w:p>
      <w:pPr>
        <w:tabs>
          <w:tab w:val="left" w:pos="1000"/>
        </w:tabs>
        <w:spacing w:line="360" w:lineRule="auto"/>
        <w:rPr>
          <w:rFonts w:ascii="宋体"/>
          <w:sz w:val="24"/>
          <w:szCs w:val="24"/>
          <w:lang w:val="zh-CN"/>
        </w:rPr>
      </w:pPr>
    </w:p>
    <w:p>
      <w:pPr>
        <w:spacing w:line="360" w:lineRule="auto"/>
        <w:jc w:val="center"/>
        <w:rPr>
          <w:rFonts w:ascii="宋体" w:cs="宋体"/>
          <w:b/>
          <w:color w:val="000000"/>
          <w:sz w:val="28"/>
          <w:szCs w:val="28"/>
        </w:rPr>
      </w:pPr>
      <w:r>
        <w:rPr>
          <w:rFonts w:ascii="宋体" w:hAnsi="宋体" w:cs="宋体"/>
          <w:b/>
          <w:color w:val="000000"/>
          <w:sz w:val="28"/>
          <w:szCs w:val="28"/>
        </w:rPr>
        <w:t xml:space="preserve"> </w:t>
      </w:r>
      <w:r>
        <w:rPr>
          <w:rFonts w:hint="eastAsia" w:ascii="宋体" w:hAnsi="宋体" w:cs="宋体"/>
          <w:b/>
          <w:color w:val="000000"/>
          <w:sz w:val="28"/>
          <w:szCs w:val="28"/>
        </w:rPr>
        <w:t>拟派项目组人员一览表</w:t>
      </w:r>
    </w:p>
    <w:tbl>
      <w:tblPr>
        <w:tblStyle w:val="12"/>
        <w:tblW w:w="8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3"/>
        <w:gridCol w:w="917"/>
        <w:gridCol w:w="973"/>
        <w:gridCol w:w="1095"/>
        <w:gridCol w:w="2501"/>
        <w:gridCol w:w="134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33" w:type="dxa"/>
            <w:vAlign w:val="center"/>
          </w:tcPr>
          <w:p>
            <w:pPr>
              <w:tabs>
                <w:tab w:val="left" w:pos="1000"/>
              </w:tabs>
              <w:jc w:val="center"/>
              <w:rPr>
                <w:rFonts w:ascii="宋体"/>
                <w:b/>
                <w:sz w:val="24"/>
                <w:szCs w:val="24"/>
              </w:rPr>
            </w:pPr>
            <w:r>
              <w:rPr>
                <w:rFonts w:hint="eastAsia" w:ascii="宋体" w:hAnsi="宋体"/>
                <w:b/>
                <w:sz w:val="24"/>
                <w:szCs w:val="24"/>
              </w:rPr>
              <w:t>序号</w:t>
            </w:r>
          </w:p>
        </w:tc>
        <w:tc>
          <w:tcPr>
            <w:tcW w:w="917" w:type="dxa"/>
            <w:vAlign w:val="center"/>
          </w:tcPr>
          <w:p>
            <w:pPr>
              <w:tabs>
                <w:tab w:val="left" w:pos="1000"/>
              </w:tabs>
              <w:jc w:val="center"/>
              <w:rPr>
                <w:rFonts w:ascii="宋体"/>
                <w:b/>
                <w:sz w:val="24"/>
                <w:szCs w:val="24"/>
              </w:rPr>
            </w:pPr>
            <w:r>
              <w:rPr>
                <w:rFonts w:hint="eastAsia" w:ascii="宋体" w:hAnsi="宋体"/>
                <w:b/>
                <w:sz w:val="24"/>
                <w:szCs w:val="24"/>
              </w:rPr>
              <w:t>姓名</w:t>
            </w:r>
          </w:p>
        </w:tc>
        <w:tc>
          <w:tcPr>
            <w:tcW w:w="973" w:type="dxa"/>
            <w:vAlign w:val="center"/>
          </w:tcPr>
          <w:p>
            <w:pPr>
              <w:tabs>
                <w:tab w:val="left" w:pos="1000"/>
              </w:tabs>
              <w:jc w:val="center"/>
              <w:rPr>
                <w:rFonts w:ascii="宋体"/>
                <w:b/>
                <w:sz w:val="24"/>
                <w:szCs w:val="24"/>
              </w:rPr>
            </w:pPr>
            <w:r>
              <w:rPr>
                <w:rFonts w:hint="eastAsia" w:ascii="宋体" w:hAnsi="宋体"/>
                <w:b/>
                <w:sz w:val="24"/>
                <w:szCs w:val="24"/>
              </w:rPr>
              <w:t>性别</w:t>
            </w:r>
          </w:p>
        </w:tc>
        <w:tc>
          <w:tcPr>
            <w:tcW w:w="1095" w:type="dxa"/>
            <w:vAlign w:val="center"/>
          </w:tcPr>
          <w:p>
            <w:pPr>
              <w:tabs>
                <w:tab w:val="left" w:pos="1000"/>
              </w:tabs>
              <w:jc w:val="center"/>
              <w:rPr>
                <w:rFonts w:hint="eastAsia" w:ascii="宋体" w:hAnsi="宋体" w:eastAsia="宋体"/>
                <w:b/>
                <w:sz w:val="24"/>
                <w:szCs w:val="24"/>
                <w:lang w:eastAsia="zh-CN"/>
              </w:rPr>
            </w:pPr>
            <w:r>
              <w:rPr>
                <w:rFonts w:hint="eastAsia" w:ascii="宋体" w:hAnsi="宋体"/>
                <w:b/>
                <w:sz w:val="24"/>
                <w:szCs w:val="24"/>
                <w:lang w:val="en-US" w:eastAsia="zh-CN"/>
              </w:rPr>
              <w:t>年龄</w:t>
            </w:r>
          </w:p>
        </w:tc>
        <w:tc>
          <w:tcPr>
            <w:tcW w:w="2501" w:type="dxa"/>
            <w:vAlign w:val="center"/>
          </w:tcPr>
          <w:p>
            <w:pPr>
              <w:tabs>
                <w:tab w:val="left" w:pos="1000"/>
              </w:tabs>
              <w:jc w:val="center"/>
              <w:rPr>
                <w:rFonts w:ascii="宋体"/>
                <w:b/>
                <w:sz w:val="24"/>
                <w:szCs w:val="24"/>
              </w:rPr>
            </w:pPr>
            <w:r>
              <w:rPr>
                <w:rFonts w:hint="eastAsia" w:ascii="宋体" w:hAnsi="宋体"/>
                <w:b/>
                <w:sz w:val="24"/>
                <w:szCs w:val="24"/>
              </w:rPr>
              <w:t>身份证号码</w:t>
            </w:r>
          </w:p>
        </w:tc>
        <w:tc>
          <w:tcPr>
            <w:tcW w:w="1349" w:type="dxa"/>
            <w:vAlign w:val="center"/>
          </w:tcPr>
          <w:p>
            <w:pPr>
              <w:tabs>
                <w:tab w:val="left" w:pos="1000"/>
              </w:tabs>
              <w:jc w:val="center"/>
              <w:rPr>
                <w:rFonts w:ascii="宋体"/>
                <w:b/>
                <w:sz w:val="24"/>
                <w:szCs w:val="24"/>
              </w:rPr>
            </w:pPr>
            <w:r>
              <w:rPr>
                <w:rFonts w:hint="eastAsia" w:ascii="宋体" w:hAnsi="宋体"/>
                <w:b/>
                <w:sz w:val="24"/>
                <w:szCs w:val="24"/>
              </w:rPr>
              <w:t>职务</w:t>
            </w:r>
          </w:p>
        </w:tc>
        <w:tc>
          <w:tcPr>
            <w:tcW w:w="852" w:type="dxa"/>
            <w:vAlign w:val="center"/>
          </w:tcPr>
          <w:p>
            <w:pPr>
              <w:tabs>
                <w:tab w:val="left" w:pos="1000"/>
              </w:tabs>
              <w:jc w:val="center"/>
              <w:rPr>
                <w:rFonts w:ascii="宋体"/>
                <w:b/>
                <w:sz w:val="24"/>
                <w:szCs w:val="24"/>
              </w:rPr>
            </w:pPr>
            <w:r>
              <w:rPr>
                <w:rFonts w:hint="eastAsia" w:ascii="宋体" w:hAnsi="宋体"/>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33" w:type="dxa"/>
            <w:vAlign w:val="center"/>
          </w:tcPr>
          <w:p>
            <w:pPr>
              <w:tabs>
                <w:tab w:val="left" w:pos="1000"/>
              </w:tabs>
              <w:jc w:val="center"/>
            </w:pPr>
            <w:r>
              <w:t>1</w:t>
            </w:r>
          </w:p>
        </w:tc>
        <w:tc>
          <w:tcPr>
            <w:tcW w:w="917" w:type="dxa"/>
            <w:vAlign w:val="center"/>
          </w:tcPr>
          <w:p>
            <w:pPr>
              <w:tabs>
                <w:tab w:val="left" w:pos="1000"/>
              </w:tabs>
              <w:jc w:val="center"/>
              <w:rPr>
                <w:rFonts w:ascii="宋体"/>
              </w:rPr>
            </w:pPr>
          </w:p>
        </w:tc>
        <w:tc>
          <w:tcPr>
            <w:tcW w:w="973" w:type="dxa"/>
            <w:vAlign w:val="center"/>
          </w:tcPr>
          <w:p>
            <w:pPr>
              <w:tabs>
                <w:tab w:val="left" w:pos="1000"/>
              </w:tabs>
              <w:jc w:val="center"/>
              <w:rPr>
                <w:rFonts w:ascii="宋体"/>
              </w:rPr>
            </w:pPr>
          </w:p>
        </w:tc>
        <w:tc>
          <w:tcPr>
            <w:tcW w:w="1095" w:type="dxa"/>
            <w:vAlign w:val="center"/>
          </w:tcPr>
          <w:p>
            <w:pPr>
              <w:tabs>
                <w:tab w:val="left" w:pos="1000"/>
              </w:tabs>
              <w:jc w:val="center"/>
              <w:rPr>
                <w:rFonts w:ascii="宋体"/>
              </w:rPr>
            </w:pPr>
          </w:p>
        </w:tc>
        <w:tc>
          <w:tcPr>
            <w:tcW w:w="2501" w:type="dxa"/>
            <w:vAlign w:val="center"/>
          </w:tcPr>
          <w:p>
            <w:pPr>
              <w:tabs>
                <w:tab w:val="left" w:pos="1000"/>
              </w:tabs>
              <w:jc w:val="center"/>
              <w:rPr>
                <w:rFonts w:ascii="宋体"/>
              </w:rPr>
            </w:pPr>
          </w:p>
        </w:tc>
        <w:tc>
          <w:tcPr>
            <w:tcW w:w="1349" w:type="dxa"/>
            <w:vAlign w:val="center"/>
          </w:tcPr>
          <w:p>
            <w:pPr>
              <w:tabs>
                <w:tab w:val="left" w:pos="1000"/>
              </w:tabs>
              <w:jc w:val="center"/>
              <w:rPr>
                <w:rFonts w:ascii="宋体"/>
              </w:rPr>
            </w:pPr>
          </w:p>
        </w:tc>
        <w:tc>
          <w:tcPr>
            <w:tcW w:w="852" w:type="dxa"/>
            <w:vAlign w:val="center"/>
          </w:tcPr>
          <w:p>
            <w:pPr>
              <w:tabs>
                <w:tab w:val="left" w:pos="1000"/>
              </w:tabs>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33" w:type="dxa"/>
            <w:vAlign w:val="center"/>
          </w:tcPr>
          <w:p>
            <w:pPr>
              <w:tabs>
                <w:tab w:val="left" w:pos="1000"/>
              </w:tabs>
              <w:jc w:val="center"/>
            </w:pPr>
            <w:r>
              <w:t>2</w:t>
            </w:r>
          </w:p>
        </w:tc>
        <w:tc>
          <w:tcPr>
            <w:tcW w:w="917" w:type="dxa"/>
            <w:vAlign w:val="center"/>
          </w:tcPr>
          <w:p>
            <w:pPr>
              <w:tabs>
                <w:tab w:val="left" w:pos="1000"/>
              </w:tabs>
              <w:jc w:val="center"/>
              <w:rPr>
                <w:rFonts w:ascii="宋体"/>
              </w:rPr>
            </w:pPr>
          </w:p>
        </w:tc>
        <w:tc>
          <w:tcPr>
            <w:tcW w:w="973" w:type="dxa"/>
            <w:vAlign w:val="center"/>
          </w:tcPr>
          <w:p>
            <w:pPr>
              <w:tabs>
                <w:tab w:val="left" w:pos="1000"/>
              </w:tabs>
              <w:jc w:val="center"/>
              <w:rPr>
                <w:rFonts w:ascii="宋体"/>
              </w:rPr>
            </w:pPr>
          </w:p>
        </w:tc>
        <w:tc>
          <w:tcPr>
            <w:tcW w:w="1095" w:type="dxa"/>
            <w:vAlign w:val="center"/>
          </w:tcPr>
          <w:p>
            <w:pPr>
              <w:tabs>
                <w:tab w:val="left" w:pos="1000"/>
              </w:tabs>
              <w:jc w:val="center"/>
              <w:rPr>
                <w:rFonts w:ascii="宋体"/>
              </w:rPr>
            </w:pPr>
          </w:p>
        </w:tc>
        <w:tc>
          <w:tcPr>
            <w:tcW w:w="2501" w:type="dxa"/>
            <w:vAlign w:val="center"/>
          </w:tcPr>
          <w:p>
            <w:pPr>
              <w:tabs>
                <w:tab w:val="left" w:pos="1000"/>
              </w:tabs>
              <w:jc w:val="center"/>
              <w:rPr>
                <w:rFonts w:ascii="宋体"/>
              </w:rPr>
            </w:pPr>
          </w:p>
        </w:tc>
        <w:tc>
          <w:tcPr>
            <w:tcW w:w="1349" w:type="dxa"/>
            <w:vAlign w:val="center"/>
          </w:tcPr>
          <w:p>
            <w:pPr>
              <w:tabs>
                <w:tab w:val="left" w:pos="1000"/>
              </w:tabs>
              <w:jc w:val="center"/>
              <w:rPr>
                <w:rFonts w:ascii="宋体"/>
              </w:rPr>
            </w:pPr>
          </w:p>
        </w:tc>
        <w:tc>
          <w:tcPr>
            <w:tcW w:w="852" w:type="dxa"/>
            <w:vAlign w:val="center"/>
          </w:tcPr>
          <w:p>
            <w:pPr>
              <w:tabs>
                <w:tab w:val="left" w:pos="1000"/>
              </w:tabs>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33" w:type="dxa"/>
            <w:vAlign w:val="center"/>
          </w:tcPr>
          <w:p>
            <w:pPr>
              <w:tabs>
                <w:tab w:val="left" w:pos="1000"/>
              </w:tabs>
              <w:jc w:val="center"/>
            </w:pPr>
            <w:r>
              <w:t>3</w:t>
            </w:r>
          </w:p>
        </w:tc>
        <w:tc>
          <w:tcPr>
            <w:tcW w:w="917" w:type="dxa"/>
            <w:vAlign w:val="center"/>
          </w:tcPr>
          <w:p>
            <w:pPr>
              <w:tabs>
                <w:tab w:val="left" w:pos="1000"/>
              </w:tabs>
              <w:jc w:val="center"/>
              <w:rPr>
                <w:rFonts w:ascii="宋体"/>
              </w:rPr>
            </w:pPr>
          </w:p>
        </w:tc>
        <w:tc>
          <w:tcPr>
            <w:tcW w:w="973" w:type="dxa"/>
            <w:vAlign w:val="center"/>
          </w:tcPr>
          <w:p>
            <w:pPr>
              <w:tabs>
                <w:tab w:val="left" w:pos="1000"/>
              </w:tabs>
              <w:jc w:val="center"/>
              <w:rPr>
                <w:rFonts w:ascii="宋体"/>
              </w:rPr>
            </w:pPr>
          </w:p>
        </w:tc>
        <w:tc>
          <w:tcPr>
            <w:tcW w:w="1095" w:type="dxa"/>
            <w:vAlign w:val="center"/>
          </w:tcPr>
          <w:p>
            <w:pPr>
              <w:tabs>
                <w:tab w:val="left" w:pos="1000"/>
              </w:tabs>
              <w:jc w:val="center"/>
              <w:rPr>
                <w:rFonts w:ascii="宋体"/>
              </w:rPr>
            </w:pPr>
          </w:p>
        </w:tc>
        <w:tc>
          <w:tcPr>
            <w:tcW w:w="2501" w:type="dxa"/>
            <w:vAlign w:val="center"/>
          </w:tcPr>
          <w:p>
            <w:pPr>
              <w:tabs>
                <w:tab w:val="left" w:pos="1000"/>
              </w:tabs>
              <w:jc w:val="center"/>
              <w:rPr>
                <w:rFonts w:ascii="宋体"/>
              </w:rPr>
            </w:pPr>
          </w:p>
        </w:tc>
        <w:tc>
          <w:tcPr>
            <w:tcW w:w="1349" w:type="dxa"/>
            <w:vAlign w:val="center"/>
          </w:tcPr>
          <w:p>
            <w:pPr>
              <w:tabs>
                <w:tab w:val="left" w:pos="1000"/>
              </w:tabs>
              <w:jc w:val="center"/>
              <w:rPr>
                <w:rFonts w:ascii="宋体"/>
              </w:rPr>
            </w:pPr>
          </w:p>
        </w:tc>
        <w:tc>
          <w:tcPr>
            <w:tcW w:w="852" w:type="dxa"/>
            <w:vAlign w:val="center"/>
          </w:tcPr>
          <w:p>
            <w:pPr>
              <w:tabs>
                <w:tab w:val="left" w:pos="1000"/>
              </w:tabs>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33" w:type="dxa"/>
            <w:vAlign w:val="center"/>
          </w:tcPr>
          <w:p>
            <w:pPr>
              <w:tabs>
                <w:tab w:val="left" w:pos="1000"/>
              </w:tabs>
              <w:jc w:val="center"/>
              <w:rPr>
                <w:rFonts w:hint="eastAsia" w:eastAsia="宋体"/>
                <w:lang w:eastAsia="zh-CN"/>
              </w:rPr>
            </w:pPr>
            <w:r>
              <w:rPr>
                <w:rFonts w:hint="eastAsia"/>
                <w:lang w:val="en-US" w:eastAsia="zh-CN"/>
              </w:rPr>
              <w:t>4</w:t>
            </w:r>
          </w:p>
        </w:tc>
        <w:tc>
          <w:tcPr>
            <w:tcW w:w="917" w:type="dxa"/>
            <w:vAlign w:val="center"/>
          </w:tcPr>
          <w:p>
            <w:pPr>
              <w:tabs>
                <w:tab w:val="left" w:pos="1000"/>
              </w:tabs>
              <w:jc w:val="center"/>
              <w:rPr>
                <w:rFonts w:ascii="宋体"/>
              </w:rPr>
            </w:pPr>
          </w:p>
        </w:tc>
        <w:tc>
          <w:tcPr>
            <w:tcW w:w="973" w:type="dxa"/>
            <w:vAlign w:val="center"/>
          </w:tcPr>
          <w:p>
            <w:pPr>
              <w:tabs>
                <w:tab w:val="left" w:pos="1000"/>
              </w:tabs>
              <w:jc w:val="center"/>
              <w:rPr>
                <w:rFonts w:ascii="宋体"/>
              </w:rPr>
            </w:pPr>
          </w:p>
        </w:tc>
        <w:tc>
          <w:tcPr>
            <w:tcW w:w="1095" w:type="dxa"/>
            <w:vAlign w:val="center"/>
          </w:tcPr>
          <w:p>
            <w:pPr>
              <w:tabs>
                <w:tab w:val="left" w:pos="1000"/>
              </w:tabs>
              <w:jc w:val="center"/>
              <w:rPr>
                <w:rFonts w:ascii="宋体"/>
              </w:rPr>
            </w:pPr>
          </w:p>
        </w:tc>
        <w:tc>
          <w:tcPr>
            <w:tcW w:w="2501" w:type="dxa"/>
            <w:vAlign w:val="center"/>
          </w:tcPr>
          <w:p>
            <w:pPr>
              <w:tabs>
                <w:tab w:val="left" w:pos="1000"/>
              </w:tabs>
              <w:jc w:val="center"/>
              <w:rPr>
                <w:rFonts w:ascii="宋体"/>
              </w:rPr>
            </w:pPr>
          </w:p>
        </w:tc>
        <w:tc>
          <w:tcPr>
            <w:tcW w:w="1349" w:type="dxa"/>
            <w:vAlign w:val="center"/>
          </w:tcPr>
          <w:p>
            <w:pPr>
              <w:tabs>
                <w:tab w:val="left" w:pos="1000"/>
              </w:tabs>
              <w:jc w:val="center"/>
              <w:rPr>
                <w:rFonts w:ascii="宋体"/>
              </w:rPr>
            </w:pPr>
          </w:p>
        </w:tc>
        <w:tc>
          <w:tcPr>
            <w:tcW w:w="852" w:type="dxa"/>
            <w:vAlign w:val="center"/>
          </w:tcPr>
          <w:p>
            <w:pPr>
              <w:tabs>
                <w:tab w:val="left" w:pos="1000"/>
              </w:tabs>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33" w:type="dxa"/>
            <w:vAlign w:val="center"/>
          </w:tcPr>
          <w:p>
            <w:pPr>
              <w:tabs>
                <w:tab w:val="left" w:pos="1000"/>
              </w:tabs>
              <w:jc w:val="center"/>
              <w:rPr>
                <w:rFonts w:hint="eastAsia" w:eastAsia="宋体"/>
                <w:lang w:eastAsia="zh-CN"/>
              </w:rPr>
            </w:pPr>
            <w:r>
              <w:rPr>
                <w:rFonts w:hint="eastAsia"/>
                <w:lang w:val="en-US" w:eastAsia="zh-CN"/>
              </w:rPr>
              <w:t>5</w:t>
            </w:r>
          </w:p>
        </w:tc>
        <w:tc>
          <w:tcPr>
            <w:tcW w:w="917" w:type="dxa"/>
            <w:vAlign w:val="center"/>
          </w:tcPr>
          <w:p>
            <w:pPr>
              <w:tabs>
                <w:tab w:val="left" w:pos="1000"/>
              </w:tabs>
              <w:jc w:val="center"/>
              <w:rPr>
                <w:rFonts w:ascii="宋体"/>
              </w:rPr>
            </w:pPr>
          </w:p>
        </w:tc>
        <w:tc>
          <w:tcPr>
            <w:tcW w:w="973" w:type="dxa"/>
            <w:vAlign w:val="center"/>
          </w:tcPr>
          <w:p>
            <w:pPr>
              <w:tabs>
                <w:tab w:val="left" w:pos="1000"/>
              </w:tabs>
              <w:jc w:val="center"/>
              <w:rPr>
                <w:rFonts w:ascii="宋体"/>
              </w:rPr>
            </w:pPr>
          </w:p>
        </w:tc>
        <w:tc>
          <w:tcPr>
            <w:tcW w:w="1095" w:type="dxa"/>
            <w:vAlign w:val="center"/>
          </w:tcPr>
          <w:p>
            <w:pPr>
              <w:tabs>
                <w:tab w:val="left" w:pos="1000"/>
              </w:tabs>
              <w:jc w:val="center"/>
              <w:rPr>
                <w:rFonts w:ascii="宋体"/>
              </w:rPr>
            </w:pPr>
          </w:p>
        </w:tc>
        <w:tc>
          <w:tcPr>
            <w:tcW w:w="2501" w:type="dxa"/>
            <w:vAlign w:val="center"/>
          </w:tcPr>
          <w:p>
            <w:pPr>
              <w:tabs>
                <w:tab w:val="left" w:pos="1000"/>
              </w:tabs>
              <w:jc w:val="center"/>
              <w:rPr>
                <w:rFonts w:ascii="宋体"/>
              </w:rPr>
            </w:pPr>
          </w:p>
        </w:tc>
        <w:tc>
          <w:tcPr>
            <w:tcW w:w="1349" w:type="dxa"/>
            <w:vAlign w:val="center"/>
          </w:tcPr>
          <w:p>
            <w:pPr>
              <w:tabs>
                <w:tab w:val="left" w:pos="1000"/>
              </w:tabs>
              <w:jc w:val="center"/>
              <w:rPr>
                <w:rFonts w:ascii="宋体"/>
              </w:rPr>
            </w:pPr>
          </w:p>
        </w:tc>
        <w:tc>
          <w:tcPr>
            <w:tcW w:w="852" w:type="dxa"/>
            <w:vAlign w:val="center"/>
          </w:tcPr>
          <w:p>
            <w:pPr>
              <w:tabs>
                <w:tab w:val="left" w:pos="1000"/>
              </w:tabs>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33" w:type="dxa"/>
            <w:vAlign w:val="center"/>
          </w:tcPr>
          <w:p>
            <w:pPr>
              <w:tabs>
                <w:tab w:val="left" w:pos="1000"/>
              </w:tabs>
              <w:jc w:val="center"/>
              <w:rPr>
                <w:rFonts w:hint="eastAsia" w:eastAsia="宋体"/>
                <w:lang w:eastAsia="zh-CN"/>
              </w:rPr>
            </w:pPr>
            <w:r>
              <w:rPr>
                <w:rFonts w:hint="eastAsia"/>
                <w:lang w:eastAsia="zh-CN"/>
              </w:rPr>
              <w:t>……</w:t>
            </w:r>
          </w:p>
        </w:tc>
        <w:tc>
          <w:tcPr>
            <w:tcW w:w="917" w:type="dxa"/>
            <w:vAlign w:val="center"/>
          </w:tcPr>
          <w:p>
            <w:pPr>
              <w:tabs>
                <w:tab w:val="left" w:pos="1000"/>
              </w:tabs>
              <w:jc w:val="center"/>
              <w:rPr>
                <w:rFonts w:ascii="宋体"/>
              </w:rPr>
            </w:pPr>
          </w:p>
        </w:tc>
        <w:tc>
          <w:tcPr>
            <w:tcW w:w="973" w:type="dxa"/>
            <w:vAlign w:val="center"/>
          </w:tcPr>
          <w:p>
            <w:pPr>
              <w:tabs>
                <w:tab w:val="left" w:pos="1000"/>
              </w:tabs>
              <w:jc w:val="center"/>
              <w:rPr>
                <w:rFonts w:ascii="宋体"/>
              </w:rPr>
            </w:pPr>
          </w:p>
        </w:tc>
        <w:tc>
          <w:tcPr>
            <w:tcW w:w="1095" w:type="dxa"/>
            <w:vAlign w:val="center"/>
          </w:tcPr>
          <w:p>
            <w:pPr>
              <w:tabs>
                <w:tab w:val="left" w:pos="1000"/>
              </w:tabs>
              <w:jc w:val="center"/>
              <w:rPr>
                <w:rFonts w:ascii="宋体"/>
              </w:rPr>
            </w:pPr>
          </w:p>
        </w:tc>
        <w:tc>
          <w:tcPr>
            <w:tcW w:w="2501" w:type="dxa"/>
            <w:vAlign w:val="center"/>
          </w:tcPr>
          <w:p>
            <w:pPr>
              <w:tabs>
                <w:tab w:val="left" w:pos="1000"/>
              </w:tabs>
              <w:jc w:val="center"/>
              <w:rPr>
                <w:rFonts w:ascii="宋体"/>
              </w:rPr>
            </w:pPr>
          </w:p>
        </w:tc>
        <w:tc>
          <w:tcPr>
            <w:tcW w:w="1349" w:type="dxa"/>
            <w:vAlign w:val="center"/>
          </w:tcPr>
          <w:p>
            <w:pPr>
              <w:tabs>
                <w:tab w:val="left" w:pos="1000"/>
              </w:tabs>
              <w:jc w:val="center"/>
              <w:rPr>
                <w:rFonts w:ascii="宋体"/>
              </w:rPr>
            </w:pPr>
          </w:p>
        </w:tc>
        <w:tc>
          <w:tcPr>
            <w:tcW w:w="852" w:type="dxa"/>
            <w:vAlign w:val="center"/>
          </w:tcPr>
          <w:p>
            <w:pPr>
              <w:tabs>
                <w:tab w:val="left" w:pos="1000"/>
              </w:tabs>
              <w:jc w:val="center"/>
              <w:rPr>
                <w:rFonts w:ascii="宋体"/>
              </w:rPr>
            </w:pPr>
          </w:p>
        </w:tc>
      </w:tr>
    </w:tbl>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9"/>
        <w:rPr>
          <w:rFonts w:hint="eastAsia"/>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240" w:lineRule="auto"/>
        <w:jc w:val="left"/>
        <w:textAlignment w:val="auto"/>
        <w:outlineLvl w:val="9"/>
        <w:rPr>
          <w:rFonts w:hint="eastAsia"/>
          <w:sz w:val="24"/>
          <w:szCs w:val="24"/>
          <w:lang w:val="en-US" w:eastAsia="zh-CN"/>
        </w:rPr>
      </w:pPr>
      <w:r>
        <w:rPr>
          <w:rFonts w:hint="eastAsia"/>
          <w:sz w:val="24"/>
          <w:szCs w:val="24"/>
          <w:lang w:val="en-US" w:eastAsia="zh-CN"/>
        </w:rPr>
        <w:t>注：1、本表格式可自行拓展；</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outlineLvl w:val="9"/>
        <w:rPr>
          <w:sz w:val="24"/>
          <w:szCs w:val="24"/>
        </w:rPr>
      </w:pPr>
      <w:r>
        <w:rPr>
          <w:rFonts w:hint="eastAsia"/>
          <w:sz w:val="24"/>
          <w:szCs w:val="24"/>
          <w:lang w:val="en-US" w:eastAsia="zh-CN"/>
        </w:rPr>
        <w:t>2、本项目</w:t>
      </w:r>
      <w:r>
        <w:rPr>
          <w:rFonts w:hint="eastAsia"/>
          <w:sz w:val="24"/>
          <w:szCs w:val="24"/>
        </w:rPr>
        <w:t>工作人员</w:t>
      </w:r>
      <w:r>
        <w:rPr>
          <w:rFonts w:hint="eastAsia"/>
          <w:sz w:val="24"/>
          <w:szCs w:val="24"/>
          <w:lang w:val="en-US" w:eastAsia="zh-CN"/>
        </w:rPr>
        <w:t>配备应</w:t>
      </w:r>
      <w:r>
        <w:rPr>
          <w:rFonts w:hint="eastAsia"/>
          <w:sz w:val="24"/>
          <w:szCs w:val="24"/>
        </w:rPr>
        <w:t>不少于</w:t>
      </w:r>
      <w:r>
        <w:rPr>
          <w:sz w:val="24"/>
          <w:szCs w:val="24"/>
        </w:rPr>
        <w:t>1</w:t>
      </w:r>
      <w:r>
        <w:rPr>
          <w:rFonts w:hint="eastAsia"/>
          <w:sz w:val="24"/>
          <w:szCs w:val="24"/>
          <w:lang w:val="en-US" w:eastAsia="zh-CN"/>
        </w:rPr>
        <w:t>3</w:t>
      </w:r>
      <w:r>
        <w:rPr>
          <w:rFonts w:hint="eastAsia"/>
          <w:sz w:val="24"/>
          <w:szCs w:val="24"/>
        </w:rPr>
        <w:t>人，其中项目经理</w:t>
      </w:r>
      <w:r>
        <w:rPr>
          <w:sz w:val="24"/>
          <w:szCs w:val="24"/>
        </w:rPr>
        <w:t>1</w:t>
      </w:r>
      <w:r>
        <w:rPr>
          <w:rFonts w:hint="eastAsia"/>
          <w:sz w:val="24"/>
          <w:szCs w:val="24"/>
        </w:rPr>
        <w:t>人，营养师</w:t>
      </w:r>
      <w:r>
        <w:rPr>
          <w:sz w:val="24"/>
          <w:szCs w:val="24"/>
        </w:rPr>
        <w:t>1</w:t>
      </w:r>
      <w:r>
        <w:rPr>
          <w:rFonts w:hint="eastAsia"/>
          <w:sz w:val="24"/>
          <w:szCs w:val="24"/>
        </w:rPr>
        <w:t>人，三级以上厨师</w:t>
      </w:r>
      <w:r>
        <w:rPr>
          <w:sz w:val="24"/>
          <w:szCs w:val="24"/>
        </w:rPr>
        <w:t>3-4</w:t>
      </w:r>
      <w:r>
        <w:rPr>
          <w:rFonts w:hint="eastAsia"/>
          <w:sz w:val="24"/>
          <w:szCs w:val="24"/>
        </w:rPr>
        <w:t>人，中西点心师</w:t>
      </w:r>
      <w:r>
        <w:rPr>
          <w:sz w:val="24"/>
          <w:szCs w:val="24"/>
        </w:rPr>
        <w:t>1</w:t>
      </w:r>
      <w:r>
        <w:rPr>
          <w:rFonts w:hint="eastAsia"/>
          <w:sz w:val="24"/>
          <w:szCs w:val="24"/>
        </w:rPr>
        <w:t>人。男工作人员年龄不超过</w:t>
      </w:r>
      <w:r>
        <w:rPr>
          <w:sz w:val="24"/>
          <w:szCs w:val="24"/>
        </w:rPr>
        <w:t>65</w:t>
      </w:r>
      <w:r>
        <w:rPr>
          <w:rFonts w:hint="eastAsia"/>
          <w:sz w:val="24"/>
          <w:szCs w:val="24"/>
        </w:rPr>
        <w:t>周岁，女工作人员年龄不超过</w:t>
      </w:r>
      <w:r>
        <w:rPr>
          <w:sz w:val="24"/>
          <w:szCs w:val="24"/>
        </w:rPr>
        <w:t>55</w:t>
      </w:r>
      <w:r>
        <w:rPr>
          <w:rFonts w:hint="eastAsia"/>
          <w:sz w:val="24"/>
          <w:szCs w:val="24"/>
        </w:rPr>
        <w:t>周岁。</w:t>
      </w:r>
    </w:p>
    <w:p>
      <w:pPr>
        <w:kinsoku w:val="0"/>
        <w:snapToGrid w:val="0"/>
        <w:spacing w:line="360" w:lineRule="auto"/>
        <w:rPr>
          <w:rFonts w:ascii="宋体" w:cs="宋体"/>
          <w:sz w:val="24"/>
          <w:szCs w:val="24"/>
        </w:rPr>
      </w:pPr>
    </w:p>
    <w:p>
      <w:pPr>
        <w:kinsoku w:val="0"/>
        <w:snapToGrid w:val="0"/>
        <w:spacing w:line="360" w:lineRule="auto"/>
        <w:jc w:val="center"/>
        <w:rPr>
          <w:rFonts w:ascii="宋体" w:cs="宋体"/>
          <w:sz w:val="24"/>
          <w:szCs w:val="24"/>
        </w:rPr>
      </w:pPr>
      <w:r>
        <w:rPr>
          <w:rFonts w:hint="eastAsia" w:ascii="宋体" w:hAnsi="宋体"/>
          <w:sz w:val="24"/>
          <w:szCs w:val="24"/>
          <w:lang w:val="en-US" w:eastAsia="zh-CN"/>
        </w:rPr>
        <w:t xml:space="preserve">                              投标供应商单位公章</w:t>
      </w:r>
      <w:r>
        <w:rPr>
          <w:rFonts w:hint="eastAsia" w:ascii="宋体" w:hAnsi="宋体" w:cs="宋体"/>
          <w:sz w:val="24"/>
          <w:szCs w:val="24"/>
        </w:rPr>
        <w:t>：（盖章）</w:t>
      </w:r>
    </w:p>
    <w:p>
      <w:pPr>
        <w:kinsoku w:val="0"/>
        <w:snapToGrid w:val="0"/>
        <w:spacing w:line="360" w:lineRule="auto"/>
        <w:jc w:val="center"/>
        <w:rPr>
          <w:rFonts w:ascii="宋体" w:cs="宋体"/>
          <w:sz w:val="24"/>
          <w:szCs w:val="24"/>
        </w:rPr>
      </w:pPr>
    </w:p>
    <w:p>
      <w:pPr>
        <w:kinsoku w:val="0"/>
        <w:snapToGrid w:val="0"/>
        <w:spacing w:line="360" w:lineRule="auto"/>
        <w:jc w:val="center"/>
        <w:rPr>
          <w:rFonts w:asci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法定代表人或受权人（签字）：</w:t>
      </w:r>
    </w:p>
    <w:p>
      <w:pPr>
        <w:kinsoku w:val="0"/>
        <w:snapToGrid w:val="0"/>
        <w:spacing w:line="360" w:lineRule="auto"/>
        <w:jc w:val="center"/>
        <w:rPr>
          <w:rFonts w:ascii="宋体" w:cs="宋体"/>
          <w:sz w:val="24"/>
          <w:szCs w:val="24"/>
        </w:rPr>
      </w:pPr>
    </w:p>
    <w:p>
      <w:pPr>
        <w:kinsoku w:val="0"/>
        <w:snapToGrid w:val="0"/>
        <w:spacing w:line="360" w:lineRule="auto"/>
        <w:ind w:firstLine="4320" w:firstLineChars="1800"/>
        <w:jc w:val="both"/>
        <w:rPr>
          <w:rFonts w:asci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p>
    <w:p>
      <w:pPr>
        <w:snapToGrid w:val="0"/>
        <w:spacing w:line="360" w:lineRule="auto"/>
        <w:outlineLvl w:val="2"/>
        <w:rPr>
          <w:rFonts w:ascii="宋体" w:hAnsi="宋体" w:cs="宋体"/>
          <w:b/>
          <w:sz w:val="24"/>
          <w:szCs w:val="24"/>
        </w:rPr>
      </w:pPr>
      <w:r>
        <w:rPr>
          <w:rFonts w:ascii="宋体" w:hAnsi="宋体" w:cs="宋体"/>
          <w:b/>
          <w:sz w:val="24"/>
          <w:szCs w:val="24"/>
        </w:rPr>
        <w:br w:type="page"/>
      </w:r>
      <w:r>
        <w:rPr>
          <w:rFonts w:ascii="宋体" w:hAnsi="宋体" w:cs="宋体"/>
          <w:b/>
          <w:sz w:val="24"/>
          <w:szCs w:val="24"/>
        </w:rPr>
        <w:t>D</w:t>
      </w:r>
      <w:r>
        <w:rPr>
          <w:rFonts w:hint="eastAsia" w:ascii="宋体" w:hAnsi="宋体" w:cs="宋体"/>
          <w:b/>
          <w:sz w:val="24"/>
          <w:szCs w:val="24"/>
        </w:rPr>
        <w:t>、商务报价磋商响应文件（单独密封）</w:t>
      </w:r>
    </w:p>
    <w:p>
      <w:pPr>
        <w:spacing w:line="380" w:lineRule="exact"/>
        <w:jc w:val="center"/>
        <w:rPr>
          <w:rStyle w:val="16"/>
          <w:rFonts w:ascii="宋体" w:hAnsi="Times New Roman"/>
          <w:b w:val="0"/>
          <w:sz w:val="28"/>
          <w:szCs w:val="28"/>
        </w:rPr>
      </w:pPr>
      <w:r>
        <w:rPr>
          <w:rFonts w:hint="eastAsia" w:ascii="宋体" w:hAnsi="宋体" w:cs="宋体"/>
          <w:b/>
          <w:sz w:val="28"/>
          <w:szCs w:val="28"/>
        </w:rPr>
        <w:t>磋商响应报价总表</w:t>
      </w:r>
    </w:p>
    <w:p>
      <w:pPr>
        <w:pStyle w:val="27"/>
        <w:spacing w:line="360" w:lineRule="auto"/>
        <w:rPr>
          <w:rFonts w:hAnsi="宋体" w:cs="宋体"/>
          <w:color w:val="000000"/>
          <w:sz w:val="24"/>
          <w:szCs w:val="24"/>
        </w:rPr>
      </w:pPr>
    </w:p>
    <w:p>
      <w:pPr>
        <w:spacing w:line="360" w:lineRule="auto"/>
        <w:rPr>
          <w:rFonts w:ascii="宋体" w:cs="宋体"/>
          <w:color w:val="FF00FF"/>
          <w:sz w:val="24"/>
          <w:szCs w:val="24"/>
        </w:rPr>
      </w:pPr>
      <w:r>
        <w:rPr>
          <w:rFonts w:ascii="宋体" w:hAnsi="宋体"/>
          <w:color w:val="000000"/>
          <w:sz w:val="24"/>
          <w:szCs w:val="24"/>
        </w:rPr>
        <w:t>1</w:t>
      </w:r>
      <w:r>
        <w:rPr>
          <w:rFonts w:hint="eastAsia" w:ascii="宋体" w:hAnsi="宋体"/>
          <w:color w:val="000000"/>
          <w:sz w:val="24"/>
          <w:szCs w:val="24"/>
          <w:lang w:eastAsia="zh-CN"/>
        </w:rPr>
        <w:t>、</w:t>
      </w:r>
      <w:r>
        <w:rPr>
          <w:rFonts w:hint="eastAsia" w:ascii="宋体" w:hAnsi="宋体"/>
          <w:color w:val="000000"/>
          <w:sz w:val="24"/>
          <w:szCs w:val="24"/>
        </w:rPr>
        <w:t>我方已仔细研究了项目的</w:t>
      </w:r>
      <w:r>
        <w:rPr>
          <w:rFonts w:hint="eastAsia" w:ascii="宋体" w:hAnsi="宋体" w:cs="宋体"/>
          <w:color w:val="000000"/>
          <w:sz w:val="24"/>
          <w:szCs w:val="24"/>
        </w:rPr>
        <w:t>竞争性磋商文件</w:t>
      </w:r>
      <w:r>
        <w:rPr>
          <w:rFonts w:hint="eastAsia" w:ascii="宋体" w:hAnsi="宋体"/>
          <w:color w:val="000000"/>
          <w:sz w:val="24"/>
          <w:szCs w:val="24"/>
        </w:rPr>
        <w:t>的全部内容，愿意就该项目给出如下报价：</w:t>
      </w:r>
    </w:p>
    <w:p>
      <w:pPr>
        <w:spacing w:line="360" w:lineRule="auto"/>
        <w:jc w:val="left"/>
        <w:rPr>
          <w:rFonts w:hint="eastAsia" w:ascii="宋体" w:eastAsia="宋体" w:cs="宋体"/>
          <w:sz w:val="24"/>
          <w:szCs w:val="24"/>
          <w:lang w:val="en-US" w:eastAsia="zh-CN"/>
        </w:rPr>
      </w:pPr>
      <w:r>
        <w:rPr>
          <w:rFonts w:hint="eastAsia" w:ascii="宋体" w:hAnsi="宋体"/>
          <w:sz w:val="24"/>
          <w:szCs w:val="24"/>
        </w:rPr>
        <w:t>磋商报价（首次）：大写</w:t>
      </w:r>
      <w:r>
        <w:rPr>
          <w:rFonts w:hint="eastAsia" w:cs="宋体"/>
          <w:sz w:val="24"/>
          <w:szCs w:val="24"/>
        </w:rPr>
        <w:t>为</w:t>
      </w:r>
      <w:r>
        <w:rPr>
          <w:rFonts w:hint="eastAsia" w:cs="宋体"/>
          <w:sz w:val="24"/>
          <w:szCs w:val="24"/>
          <w:u w:val="single"/>
          <w:lang w:val="en-US" w:eastAsia="zh-CN"/>
        </w:rPr>
        <w:t xml:space="preserve">               </w:t>
      </w:r>
      <w:r>
        <w:rPr>
          <w:rFonts w:ascii="宋体" w:cs="宋体"/>
          <w:sz w:val="24"/>
          <w:szCs w:val="24"/>
          <w:u w:val="single"/>
        </w:rPr>
        <w:t> </w:t>
      </w:r>
      <w:r>
        <w:rPr>
          <w:rFonts w:hint="eastAsia" w:ascii="宋体" w:cs="宋体"/>
          <w:sz w:val="24"/>
          <w:szCs w:val="24"/>
          <w:u w:val="single"/>
          <w:lang w:val="en-US" w:eastAsia="zh-CN"/>
        </w:rPr>
        <w:t xml:space="preserve">  元</w:t>
      </w:r>
      <w:r>
        <w:rPr>
          <w:rFonts w:hint="eastAsia" w:ascii="宋体" w:hAnsi="宋体" w:cs="宋体"/>
          <w:sz w:val="24"/>
          <w:szCs w:val="24"/>
          <w:u w:val="single"/>
        </w:rPr>
        <w:t>；</w:t>
      </w:r>
    </w:p>
    <w:p>
      <w:pPr>
        <w:spacing w:line="360" w:lineRule="auto"/>
        <w:ind w:firstLine="2160" w:firstLineChars="900"/>
        <w:jc w:val="left"/>
        <w:rPr>
          <w:rFonts w:ascii="宋体"/>
          <w:sz w:val="24"/>
          <w:szCs w:val="24"/>
        </w:rPr>
      </w:pPr>
      <w:r>
        <w:rPr>
          <w:rFonts w:hint="eastAsia" w:ascii="宋体" w:hAnsi="宋体" w:cs="宋体"/>
          <w:sz w:val="24"/>
          <w:szCs w:val="24"/>
        </w:rPr>
        <w:t>小写为</w:t>
      </w:r>
      <w:r>
        <w:rPr>
          <w:rFonts w:hint="eastAsia" w:ascii="宋体" w:hAnsi="宋体" w:cs="宋体"/>
          <w:sz w:val="24"/>
          <w:szCs w:val="24"/>
          <w:lang w:val="en-US" w:eastAsia="zh-CN"/>
        </w:rPr>
        <w:t>¥</w:t>
      </w:r>
      <w:r>
        <w:rPr>
          <w:rFonts w:ascii="宋体" w:cs="宋体"/>
          <w:sz w:val="24"/>
          <w:szCs w:val="24"/>
          <w:u w:val="single"/>
        </w:rPr>
        <w:t> </w:t>
      </w:r>
      <w:r>
        <w:rPr>
          <w:rFonts w:hint="eastAsia" w:ascii="宋体" w:cs="宋体"/>
          <w:sz w:val="24"/>
          <w:szCs w:val="24"/>
          <w:u w:val="single"/>
          <w:lang w:val="en-US" w:eastAsia="zh-CN"/>
        </w:rPr>
        <w:t xml:space="preserve">                 </w:t>
      </w:r>
      <w:r>
        <w:rPr>
          <w:rFonts w:ascii="宋体" w:cs="宋体"/>
          <w:sz w:val="24"/>
          <w:szCs w:val="24"/>
          <w:u w:val="single"/>
        </w:rPr>
        <w:t> </w:t>
      </w:r>
      <w:r>
        <w:rPr>
          <w:rFonts w:hint="eastAsia" w:ascii="宋体" w:cs="宋体"/>
          <w:sz w:val="24"/>
          <w:szCs w:val="24"/>
          <w:u w:val="single"/>
          <w:lang w:val="en-US" w:eastAsia="zh-CN"/>
        </w:rPr>
        <w:t xml:space="preserve"> </w:t>
      </w:r>
      <w:r>
        <w:rPr>
          <w:rFonts w:hint="eastAsia" w:ascii="宋体" w:hAnsi="宋体" w:cs="宋体"/>
          <w:sz w:val="24"/>
          <w:szCs w:val="24"/>
          <w:u w:val="single"/>
        </w:rPr>
        <w:t>；</w:t>
      </w:r>
    </w:p>
    <w:p>
      <w:pPr>
        <w:snapToGrid w:val="0"/>
        <w:spacing w:line="520" w:lineRule="exact"/>
        <w:ind w:firstLine="206"/>
        <w:rPr>
          <w:rFonts w:ascii="宋体" w:cs="宋体"/>
          <w:b/>
          <w:sz w:val="24"/>
          <w:szCs w:val="24"/>
        </w:rPr>
      </w:pPr>
      <w:r>
        <w:rPr>
          <w:rFonts w:hint="eastAsia" w:ascii="宋体" w:hAnsi="宋体" w:cs="宋体"/>
          <w:b/>
          <w:sz w:val="24"/>
          <w:szCs w:val="24"/>
        </w:rPr>
        <w:t>注：第二次报价将在开标现场填写，且不得超过首次报价，否则作无效标处理。响应文件密封提交时只需填写磋商报价（首次）。</w:t>
      </w:r>
      <w:r>
        <w:rPr>
          <w:rFonts w:ascii="宋体" w:hAnsi="宋体" w:cs="宋体"/>
          <w:b/>
          <w:sz w:val="24"/>
          <w:szCs w:val="24"/>
        </w:rPr>
        <w:t xml:space="preserve"> </w:t>
      </w:r>
    </w:p>
    <w:p>
      <w:pPr>
        <w:spacing w:line="360" w:lineRule="auto"/>
        <w:ind w:left="600"/>
        <w:jc w:val="left"/>
        <w:rPr>
          <w:rFonts w:ascii="宋体"/>
          <w:color w:val="000000"/>
          <w:sz w:val="10"/>
          <w:szCs w:val="10"/>
        </w:rPr>
      </w:pPr>
    </w:p>
    <w:p>
      <w:pPr>
        <w:spacing w:line="360" w:lineRule="auto"/>
        <w:ind w:firstLine="50"/>
        <w:jc w:val="left"/>
        <w:rPr>
          <w:rFonts w:ascii="宋体"/>
          <w:color w:val="000000"/>
          <w:sz w:val="24"/>
          <w:szCs w:val="24"/>
        </w:rPr>
      </w:pPr>
      <w:r>
        <w:rPr>
          <w:rFonts w:ascii="宋体" w:hAnsi="宋体"/>
          <w:color w:val="000000"/>
          <w:sz w:val="24"/>
          <w:szCs w:val="24"/>
        </w:rPr>
        <w:t>2</w:t>
      </w:r>
      <w:r>
        <w:rPr>
          <w:rFonts w:hint="eastAsia" w:ascii="宋体" w:hAnsi="宋体"/>
          <w:color w:val="000000"/>
          <w:sz w:val="24"/>
          <w:szCs w:val="24"/>
          <w:lang w:eastAsia="zh-CN"/>
        </w:rPr>
        <w:t>、</w:t>
      </w:r>
      <w:r>
        <w:rPr>
          <w:rFonts w:hint="eastAsia" w:ascii="宋体" w:hAnsi="宋体"/>
          <w:color w:val="000000"/>
          <w:sz w:val="24"/>
          <w:szCs w:val="24"/>
        </w:rPr>
        <w:t>我方承诺在服务期限内，按竞</w:t>
      </w:r>
      <w:r>
        <w:rPr>
          <w:rFonts w:hint="eastAsia" w:ascii="宋体" w:hAnsi="宋体" w:cs="宋体"/>
          <w:color w:val="000000"/>
          <w:sz w:val="24"/>
          <w:szCs w:val="24"/>
        </w:rPr>
        <w:t>争性磋商文件的规定履行合同责任和义务</w:t>
      </w:r>
      <w:r>
        <w:rPr>
          <w:rFonts w:hint="eastAsia" w:ascii="宋体" w:hAnsi="宋体"/>
          <w:color w:val="000000"/>
          <w:sz w:val="24"/>
          <w:szCs w:val="24"/>
        </w:rPr>
        <w:t>。</w:t>
      </w:r>
    </w:p>
    <w:p>
      <w:pPr>
        <w:spacing w:line="360" w:lineRule="auto"/>
        <w:ind w:firstLine="50"/>
        <w:rPr>
          <w:rFonts w:ascii="宋体"/>
          <w:color w:val="000000"/>
          <w:sz w:val="24"/>
          <w:szCs w:val="24"/>
        </w:rPr>
      </w:pPr>
      <w:r>
        <w:rPr>
          <w:rFonts w:ascii="宋体" w:hAnsi="宋体"/>
          <w:color w:val="000000"/>
          <w:sz w:val="24"/>
          <w:szCs w:val="24"/>
        </w:rPr>
        <w:t>3</w:t>
      </w:r>
      <w:r>
        <w:rPr>
          <w:rFonts w:hint="eastAsia" w:ascii="宋体" w:hAnsi="宋体"/>
          <w:color w:val="000000"/>
          <w:sz w:val="24"/>
          <w:szCs w:val="24"/>
          <w:lang w:eastAsia="zh-CN"/>
        </w:rPr>
        <w:t>、</w:t>
      </w:r>
      <w:r>
        <w:rPr>
          <w:rFonts w:hint="eastAsia" w:ascii="宋体" w:hAnsi="宋体"/>
          <w:color w:val="000000"/>
          <w:sz w:val="24"/>
          <w:szCs w:val="24"/>
        </w:rPr>
        <w:t>我方承诺在竞争性磋商文件规定的投标有效期内不修改、撤销响应文件。</w:t>
      </w:r>
    </w:p>
    <w:p>
      <w:pPr>
        <w:spacing w:line="360" w:lineRule="auto"/>
        <w:ind w:firstLine="50"/>
        <w:rPr>
          <w:rFonts w:ascii="宋体"/>
          <w:color w:val="000000"/>
          <w:sz w:val="24"/>
          <w:szCs w:val="24"/>
        </w:rPr>
      </w:pPr>
      <w:r>
        <w:rPr>
          <w:rFonts w:ascii="宋体" w:hAnsi="宋体"/>
          <w:color w:val="000000"/>
          <w:sz w:val="24"/>
          <w:szCs w:val="24"/>
        </w:rPr>
        <w:t>4</w:t>
      </w:r>
      <w:r>
        <w:rPr>
          <w:rFonts w:hint="eastAsia" w:ascii="宋体" w:hAnsi="宋体"/>
          <w:color w:val="000000"/>
          <w:sz w:val="24"/>
          <w:szCs w:val="24"/>
          <w:lang w:eastAsia="zh-CN"/>
        </w:rPr>
        <w:t>、</w:t>
      </w:r>
      <w:r>
        <w:rPr>
          <w:rFonts w:hint="eastAsia" w:ascii="宋体" w:hAnsi="宋体"/>
          <w:color w:val="000000"/>
          <w:sz w:val="24"/>
          <w:szCs w:val="24"/>
        </w:rPr>
        <w:t>我方中标：</w:t>
      </w:r>
    </w:p>
    <w:p>
      <w:pPr>
        <w:spacing w:line="360" w:lineRule="auto"/>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）我方承诺在收到中标通知书后，在中标通知书规定的期限内与你方签订合同。</w:t>
      </w:r>
    </w:p>
    <w:p>
      <w:pPr>
        <w:spacing w:line="360" w:lineRule="auto"/>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）我方承诺按照竞争性磋商文件规定向你方递交履约保证金。</w:t>
      </w:r>
    </w:p>
    <w:p>
      <w:pPr>
        <w:spacing w:line="360" w:lineRule="auto"/>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）我方将严格履行本响应文件中的全部承诺和责任，并遵守竞争性磋商文件中对投标单位的所有规定。</w:t>
      </w:r>
    </w:p>
    <w:p>
      <w:pPr>
        <w:spacing w:line="360" w:lineRule="auto"/>
        <w:ind w:firstLine="50"/>
        <w:rPr>
          <w:rFonts w:ascii="宋体"/>
          <w:color w:val="000000"/>
          <w:sz w:val="24"/>
          <w:szCs w:val="24"/>
        </w:rPr>
      </w:pPr>
      <w:r>
        <w:rPr>
          <w:rFonts w:ascii="宋体" w:hAnsi="宋体"/>
          <w:color w:val="000000"/>
          <w:sz w:val="24"/>
          <w:szCs w:val="24"/>
        </w:rPr>
        <w:t>5</w:t>
      </w:r>
      <w:r>
        <w:rPr>
          <w:rFonts w:hint="eastAsia" w:ascii="宋体" w:hAnsi="宋体"/>
          <w:color w:val="000000"/>
          <w:sz w:val="24"/>
          <w:szCs w:val="24"/>
          <w:lang w:eastAsia="zh-CN"/>
        </w:rPr>
        <w:t>、</w:t>
      </w:r>
      <w:r>
        <w:rPr>
          <w:rFonts w:hint="eastAsia" w:ascii="宋体" w:hAnsi="宋体"/>
          <w:color w:val="000000"/>
          <w:sz w:val="24"/>
          <w:szCs w:val="24"/>
        </w:rPr>
        <w:t>我方在此声明，所递交的响应文件及有关资料内容完整、真实和准确，且不存在第二章</w:t>
      </w:r>
      <w:r>
        <w:rPr>
          <w:rFonts w:hint="eastAsia" w:ascii="宋体" w:hAnsi="宋体" w:cs="宋体"/>
          <w:sz w:val="24"/>
          <w:szCs w:val="24"/>
        </w:rPr>
        <w:t>磋商</w:t>
      </w:r>
      <w:r>
        <w:rPr>
          <w:rFonts w:hint="eastAsia" w:ascii="宋体" w:hAnsi="宋体"/>
          <w:color w:val="000000"/>
          <w:sz w:val="24"/>
          <w:szCs w:val="24"/>
        </w:rPr>
        <w:t>供应商须知第九项第二条规定的任何一种情形。</w:t>
      </w:r>
      <w:r>
        <w:rPr>
          <w:rFonts w:ascii="宋体" w:hAnsi="宋体"/>
          <w:color w:val="000000"/>
          <w:sz w:val="24"/>
          <w:szCs w:val="24"/>
        </w:rPr>
        <w:t xml:space="preserve"> </w:t>
      </w:r>
    </w:p>
    <w:p>
      <w:pPr>
        <w:spacing w:line="360" w:lineRule="auto"/>
        <w:ind w:firstLine="100"/>
        <w:rPr>
          <w:rFonts w:ascii="宋体"/>
          <w:color w:val="000000"/>
          <w:sz w:val="24"/>
          <w:szCs w:val="24"/>
        </w:rPr>
      </w:pPr>
      <w:r>
        <w:rPr>
          <w:rFonts w:ascii="宋体" w:hAnsi="宋体"/>
          <w:color w:val="000000"/>
          <w:sz w:val="24"/>
          <w:szCs w:val="24"/>
        </w:rPr>
        <w:t>6</w:t>
      </w:r>
      <w:r>
        <w:rPr>
          <w:rFonts w:hint="eastAsia" w:ascii="宋体" w:hAnsi="宋体"/>
          <w:color w:val="000000"/>
          <w:sz w:val="24"/>
          <w:szCs w:val="24"/>
          <w:lang w:eastAsia="zh-CN"/>
        </w:rPr>
        <w:t>、</w:t>
      </w:r>
      <w:r>
        <w:rPr>
          <w:rFonts w:hint="eastAsia" w:ascii="宋体" w:hAnsi="宋体"/>
          <w:color w:val="000000"/>
          <w:sz w:val="24"/>
          <w:szCs w:val="24"/>
        </w:rPr>
        <w:t>（其他补充说明）。</w:t>
      </w:r>
    </w:p>
    <w:p>
      <w:pPr>
        <w:pStyle w:val="27"/>
        <w:tabs>
          <w:tab w:val="left" w:pos="5665"/>
          <w:tab w:val="right" w:pos="8360"/>
        </w:tabs>
        <w:spacing w:line="360" w:lineRule="auto"/>
        <w:ind w:right="42" w:firstLine="650"/>
        <w:jc w:val="center"/>
        <w:rPr>
          <w:rFonts w:hAnsi="宋体" w:cs="宋体"/>
          <w:color w:val="000000"/>
          <w:sz w:val="24"/>
          <w:szCs w:val="24"/>
        </w:rPr>
      </w:pPr>
    </w:p>
    <w:p>
      <w:pPr>
        <w:kinsoku w:val="0"/>
        <w:snapToGrid w:val="0"/>
        <w:spacing w:line="360" w:lineRule="auto"/>
        <w:jc w:val="center"/>
        <w:rPr>
          <w:rFonts w:hint="eastAsia" w:ascii="宋体" w:hAnsi="宋体"/>
          <w:sz w:val="24"/>
          <w:szCs w:val="24"/>
          <w:lang w:val="en-US" w:eastAsia="zh-CN"/>
        </w:rPr>
      </w:pPr>
      <w:r>
        <w:rPr>
          <w:rFonts w:hint="eastAsia" w:ascii="宋体" w:hAnsi="宋体"/>
          <w:sz w:val="24"/>
          <w:szCs w:val="24"/>
          <w:lang w:val="en-US" w:eastAsia="zh-CN"/>
        </w:rPr>
        <w:t xml:space="preserve">                             </w:t>
      </w:r>
    </w:p>
    <w:p>
      <w:pPr>
        <w:kinsoku w:val="0"/>
        <w:snapToGrid w:val="0"/>
        <w:spacing w:line="360" w:lineRule="auto"/>
        <w:jc w:val="center"/>
        <w:rPr>
          <w:rFonts w:ascii="宋体" w:cs="宋体"/>
          <w:sz w:val="24"/>
          <w:szCs w:val="24"/>
        </w:rPr>
      </w:pPr>
      <w:r>
        <w:rPr>
          <w:rFonts w:hint="eastAsia" w:ascii="宋体" w:hAnsi="宋体"/>
          <w:sz w:val="24"/>
          <w:szCs w:val="24"/>
          <w:lang w:val="en-US" w:eastAsia="zh-CN"/>
        </w:rPr>
        <w:t xml:space="preserve">                               投标供应商单位公章</w:t>
      </w:r>
      <w:r>
        <w:rPr>
          <w:rFonts w:hint="eastAsia" w:ascii="宋体" w:hAnsi="宋体" w:cs="宋体"/>
          <w:sz w:val="24"/>
          <w:szCs w:val="24"/>
        </w:rPr>
        <w:t>：（盖章）</w:t>
      </w:r>
    </w:p>
    <w:p>
      <w:pPr>
        <w:kinsoku w:val="0"/>
        <w:snapToGrid w:val="0"/>
        <w:spacing w:line="360" w:lineRule="auto"/>
        <w:jc w:val="center"/>
        <w:rPr>
          <w:rFonts w:ascii="宋体" w:cs="宋体"/>
          <w:sz w:val="24"/>
          <w:szCs w:val="24"/>
        </w:rPr>
      </w:pPr>
    </w:p>
    <w:p>
      <w:pPr>
        <w:kinsoku w:val="0"/>
        <w:snapToGrid w:val="0"/>
        <w:spacing w:line="360" w:lineRule="auto"/>
        <w:jc w:val="center"/>
        <w:rPr>
          <w:rFonts w:asci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法定代表人或受权人（签字）：</w:t>
      </w:r>
    </w:p>
    <w:p>
      <w:pPr>
        <w:kinsoku w:val="0"/>
        <w:snapToGrid w:val="0"/>
        <w:spacing w:line="360" w:lineRule="auto"/>
        <w:jc w:val="center"/>
        <w:rPr>
          <w:rFonts w:ascii="宋体" w:cs="宋体"/>
          <w:sz w:val="24"/>
          <w:szCs w:val="24"/>
        </w:rPr>
      </w:pPr>
    </w:p>
    <w:p>
      <w:pPr>
        <w:kinsoku w:val="0"/>
        <w:snapToGrid w:val="0"/>
        <w:spacing w:line="360" w:lineRule="auto"/>
        <w:ind w:firstLine="4320" w:firstLineChars="1800"/>
        <w:jc w:val="both"/>
        <w:rPr>
          <w:rFonts w:ascii="宋体" w:cs="宋体"/>
          <w:sz w:val="24"/>
          <w:szCs w:val="24"/>
        </w:rPr>
      </w:pPr>
      <w:r>
        <w:rPr>
          <w:rFonts w:hint="eastAsia" w:ascii="宋体" w:hAnsi="宋体" w:cs="宋体"/>
          <w:sz w:val="24"/>
          <w:szCs w:val="24"/>
        </w:rPr>
        <w:t>日</w:t>
      </w:r>
      <w:r>
        <w:rPr>
          <w:rFonts w:hint="eastAsia" w:ascii="宋体" w:hAnsi="宋体" w:cs="宋体"/>
          <w:sz w:val="24"/>
          <w:szCs w:val="24"/>
          <w:lang w:val="en-US" w:eastAsia="zh-CN"/>
        </w:rPr>
        <w:t xml:space="preserve"> </w:t>
      </w:r>
      <w:r>
        <w:rPr>
          <w:rFonts w:hint="eastAsia" w:ascii="宋体" w:hAnsi="宋体" w:cs="宋体"/>
          <w:sz w:val="24"/>
          <w:szCs w:val="24"/>
        </w:rPr>
        <w:t>期：</w:t>
      </w:r>
    </w:p>
    <w:p>
      <w:pPr>
        <w:spacing w:line="240" w:lineRule="auto"/>
        <w:rPr>
          <w:rFonts w:ascii="宋体"/>
          <w:sz w:val="24"/>
          <w:szCs w:val="24"/>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34"/>
    <w:family w:val="auto"/>
    <w:pitch w:val="default"/>
    <w:sig w:usb0="A00002BF" w:usb1="38CF7CFA" w:usb2="00000016" w:usb3="00000000" w:csb0="0004000F" w:csb1="00000000"/>
  </w:font>
  <w:font w:name="等线">
    <w:panose1 w:val="02010600030101010101"/>
    <w:charset w:val="34"/>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1"/>
    <w:multiLevelType w:val="multilevel"/>
    <w:tmpl w:val="2F000001"/>
    <w:lvl w:ilvl="0" w:tentative="0">
      <w:start w:val="1"/>
      <w:numFmt w:val="decimal"/>
      <w:suff w:val="nothing"/>
      <w:lvlText w:val="%1、"/>
      <w:lvlJc w:val="left"/>
      <w:rPr>
        <w:rFonts w:cs="Times New Roman"/>
      </w:rPr>
    </w:lvl>
    <w:lvl w:ilvl="1" w:tentative="0">
      <w:start w:val="1"/>
      <w:numFmt w:val="decimal"/>
      <w:suff w:val="nothing"/>
      <w:lvlText w:val="%1、"/>
      <w:lvlJc w:val="left"/>
      <w:rPr>
        <w:rFonts w:cs="Times New Roman"/>
      </w:rPr>
    </w:lvl>
    <w:lvl w:ilvl="2" w:tentative="0">
      <w:start w:val="1"/>
      <w:numFmt w:val="decimal"/>
      <w:suff w:val="nothing"/>
      <w:lvlText w:val="%1、"/>
      <w:lvlJc w:val="left"/>
      <w:rPr>
        <w:rFonts w:cs="Times New Roman"/>
      </w:rPr>
    </w:lvl>
    <w:lvl w:ilvl="3" w:tentative="0">
      <w:start w:val="1"/>
      <w:numFmt w:val="decimal"/>
      <w:suff w:val="nothing"/>
      <w:lvlText w:val="%1、"/>
      <w:lvlJc w:val="left"/>
      <w:rPr>
        <w:rFonts w:cs="Times New Roman"/>
      </w:rPr>
    </w:lvl>
    <w:lvl w:ilvl="4" w:tentative="0">
      <w:start w:val="1"/>
      <w:numFmt w:val="decimal"/>
      <w:suff w:val="nothing"/>
      <w:lvlText w:val="%1、"/>
      <w:lvlJc w:val="left"/>
      <w:rPr>
        <w:rFonts w:cs="Times New Roman"/>
      </w:rPr>
    </w:lvl>
    <w:lvl w:ilvl="5" w:tentative="0">
      <w:start w:val="1"/>
      <w:numFmt w:val="decimal"/>
      <w:suff w:val="nothing"/>
      <w:lvlText w:val="%1、"/>
      <w:lvlJc w:val="left"/>
      <w:rPr>
        <w:rFonts w:cs="Times New Roman"/>
      </w:rPr>
    </w:lvl>
    <w:lvl w:ilvl="6" w:tentative="0">
      <w:start w:val="1"/>
      <w:numFmt w:val="decimal"/>
      <w:suff w:val="nothing"/>
      <w:lvlText w:val="%1、"/>
      <w:lvlJc w:val="left"/>
      <w:rPr>
        <w:rFonts w:cs="Times New Roman"/>
      </w:rPr>
    </w:lvl>
    <w:lvl w:ilvl="7" w:tentative="0">
      <w:start w:val="1"/>
      <w:numFmt w:val="decimal"/>
      <w:suff w:val="nothing"/>
      <w:lvlText w:val="%1、"/>
      <w:lvlJc w:val="left"/>
      <w:rPr>
        <w:rFonts w:cs="Times New Roman"/>
      </w:rPr>
    </w:lvl>
    <w:lvl w:ilvl="8"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0E3"/>
    <w:rsid w:val="000C03B7"/>
    <w:rsid w:val="00222CBF"/>
    <w:rsid w:val="005414D9"/>
    <w:rsid w:val="005D5DD0"/>
    <w:rsid w:val="005E3F7E"/>
    <w:rsid w:val="006F22E9"/>
    <w:rsid w:val="00744E27"/>
    <w:rsid w:val="007D6874"/>
    <w:rsid w:val="008010E3"/>
    <w:rsid w:val="008A770A"/>
    <w:rsid w:val="009625C7"/>
    <w:rsid w:val="00993B78"/>
    <w:rsid w:val="009E64FC"/>
    <w:rsid w:val="00A416B1"/>
    <w:rsid w:val="00B06315"/>
    <w:rsid w:val="00C327C3"/>
    <w:rsid w:val="00D11C2F"/>
    <w:rsid w:val="00DB3991"/>
    <w:rsid w:val="00DD4E7A"/>
    <w:rsid w:val="00DE4BF9"/>
    <w:rsid w:val="00F649B2"/>
    <w:rsid w:val="00F925AD"/>
    <w:rsid w:val="00FC5727"/>
    <w:rsid w:val="00FE1B14"/>
    <w:rsid w:val="0904058F"/>
    <w:rsid w:val="0A845D8E"/>
    <w:rsid w:val="0EB13931"/>
    <w:rsid w:val="0F0130AE"/>
    <w:rsid w:val="11E56DAE"/>
    <w:rsid w:val="125355A2"/>
    <w:rsid w:val="144A10CA"/>
    <w:rsid w:val="14AB6263"/>
    <w:rsid w:val="16662BD6"/>
    <w:rsid w:val="17797E39"/>
    <w:rsid w:val="181A6F06"/>
    <w:rsid w:val="1969370C"/>
    <w:rsid w:val="1BEC1D81"/>
    <w:rsid w:val="28D8690A"/>
    <w:rsid w:val="2ADE4B2B"/>
    <w:rsid w:val="2B777561"/>
    <w:rsid w:val="2DFF16F4"/>
    <w:rsid w:val="2E657E59"/>
    <w:rsid w:val="38B84BA1"/>
    <w:rsid w:val="3A444043"/>
    <w:rsid w:val="3B7D5C74"/>
    <w:rsid w:val="3C400A3B"/>
    <w:rsid w:val="3D5F733A"/>
    <w:rsid w:val="3FE5286C"/>
    <w:rsid w:val="443C729E"/>
    <w:rsid w:val="45900BEB"/>
    <w:rsid w:val="45E26A01"/>
    <w:rsid w:val="48832D77"/>
    <w:rsid w:val="4C8C17E6"/>
    <w:rsid w:val="50286EAA"/>
    <w:rsid w:val="502F2833"/>
    <w:rsid w:val="52FF3062"/>
    <w:rsid w:val="54A76F7C"/>
    <w:rsid w:val="54F00439"/>
    <w:rsid w:val="58B31808"/>
    <w:rsid w:val="59565DB1"/>
    <w:rsid w:val="5B624D50"/>
    <w:rsid w:val="5D915149"/>
    <w:rsid w:val="5FF1235F"/>
    <w:rsid w:val="654B7D9F"/>
    <w:rsid w:val="69495DAE"/>
    <w:rsid w:val="6C585BAB"/>
    <w:rsid w:val="6E632BA2"/>
    <w:rsid w:val="6FF06310"/>
    <w:rsid w:val="71AC2A50"/>
    <w:rsid w:val="7353648E"/>
    <w:rsid w:val="77E175B1"/>
    <w:rsid w:val="799A5F6F"/>
    <w:rsid w:val="79EF6241"/>
    <w:rsid w:val="7E2851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0"/>
      <w:sz w:val="21"/>
      <w:szCs w:val="21"/>
      <w:lang w:val="en-US" w:eastAsia="zh-CN" w:bidi="ar-SA"/>
    </w:rPr>
  </w:style>
  <w:style w:type="paragraph" w:styleId="3">
    <w:name w:val="heading 1"/>
    <w:basedOn w:val="1"/>
    <w:next w:val="1"/>
    <w:link w:val="15"/>
    <w:qFormat/>
    <w:uiPriority w:val="99"/>
    <w:pPr>
      <w:spacing w:before="340" w:after="330" w:line="578" w:lineRule="atLeast"/>
      <w:jc w:val="center"/>
      <w:outlineLvl w:val="0"/>
    </w:pPr>
    <w:rPr>
      <w:b/>
      <w:w w:val="80"/>
      <w:sz w:val="44"/>
      <w:szCs w:val="44"/>
      <w:lang w:val="zh-CN"/>
    </w:rPr>
  </w:style>
  <w:style w:type="paragraph" w:styleId="4">
    <w:name w:val="heading 2"/>
    <w:basedOn w:val="1"/>
    <w:next w:val="1"/>
    <w:link w:val="16"/>
    <w:qFormat/>
    <w:uiPriority w:val="99"/>
    <w:pPr>
      <w:spacing w:before="260" w:after="260" w:line="415" w:lineRule="auto"/>
      <w:outlineLvl w:val="1"/>
    </w:pPr>
    <w:rPr>
      <w:rFonts w:ascii="等线 Light" w:hAnsi="等线 Light" w:cs="宋体"/>
      <w:b/>
      <w:sz w:val="32"/>
      <w:szCs w:val="3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5">
    <w:name w:val="annotation text"/>
    <w:basedOn w:val="1"/>
    <w:link w:val="18"/>
    <w:qFormat/>
    <w:uiPriority w:val="99"/>
    <w:pPr>
      <w:jc w:val="left"/>
    </w:pPr>
    <w:rPr>
      <w:rFonts w:ascii="等线" w:hAnsi="等线" w:cs="宋体"/>
    </w:rPr>
  </w:style>
  <w:style w:type="paragraph" w:styleId="6">
    <w:name w:val="toc 3"/>
    <w:basedOn w:val="1"/>
    <w:next w:val="1"/>
    <w:qFormat/>
    <w:uiPriority w:val="99"/>
    <w:pPr>
      <w:ind w:left="420"/>
      <w:jc w:val="left"/>
    </w:pPr>
    <w:rPr>
      <w:i/>
      <w:sz w:val="20"/>
      <w:szCs w:val="20"/>
    </w:rPr>
  </w:style>
  <w:style w:type="paragraph" w:styleId="7">
    <w:name w:val="Balloon Text"/>
    <w:basedOn w:val="1"/>
    <w:link w:val="19"/>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000000" w:sz="6" w:space="1"/>
      </w:pBdr>
      <w:tabs>
        <w:tab w:val="center" w:pos="4153"/>
        <w:tab w:val="right" w:pos="8306"/>
      </w:tabs>
      <w:snapToGrid w:val="0"/>
      <w:jc w:val="center"/>
    </w:pPr>
    <w:rPr>
      <w:sz w:val="18"/>
      <w:szCs w:val="18"/>
    </w:rPr>
  </w:style>
  <w:style w:type="paragraph" w:styleId="10">
    <w:name w:val="toc 1"/>
    <w:basedOn w:val="1"/>
    <w:next w:val="1"/>
    <w:qFormat/>
    <w:uiPriority w:val="99"/>
    <w:pPr>
      <w:spacing w:after="100" w:line="259" w:lineRule="auto"/>
      <w:jc w:val="left"/>
    </w:pPr>
    <w:rPr>
      <w:rFonts w:ascii="等线" w:hAnsi="等线"/>
      <w:sz w:val="22"/>
      <w:szCs w:val="22"/>
    </w:rPr>
  </w:style>
  <w:style w:type="paragraph" w:styleId="11">
    <w:name w:val="toc 2"/>
    <w:basedOn w:val="1"/>
    <w:next w:val="1"/>
    <w:qFormat/>
    <w:uiPriority w:val="99"/>
    <w:pPr>
      <w:spacing w:after="100" w:line="259" w:lineRule="auto"/>
      <w:ind w:left="220"/>
      <w:jc w:val="left"/>
    </w:pPr>
    <w:rPr>
      <w:rFonts w:ascii="等线" w:hAnsi="等线"/>
      <w:sz w:val="22"/>
      <w:szCs w:val="22"/>
    </w:rPr>
  </w:style>
  <w:style w:type="character" w:styleId="14">
    <w:name w:val="Hyperlink"/>
    <w:basedOn w:val="13"/>
    <w:qFormat/>
    <w:uiPriority w:val="99"/>
    <w:rPr>
      <w:rFonts w:cs="Times New Roman"/>
      <w:color w:val="0563C1"/>
      <w:u w:val="single"/>
    </w:rPr>
  </w:style>
  <w:style w:type="character" w:customStyle="1" w:styleId="15">
    <w:name w:val="Heading 1 Char"/>
    <w:basedOn w:val="13"/>
    <w:link w:val="3"/>
    <w:qFormat/>
    <w:locked/>
    <w:uiPriority w:val="99"/>
    <w:rPr>
      <w:rFonts w:ascii="Times New Roman" w:hAnsi="Times New Roman" w:cs="Times New Roman"/>
      <w:b/>
      <w:w w:val="80"/>
      <w:sz w:val="44"/>
      <w:lang w:val="zh-CN" w:eastAsia="zh-CN"/>
    </w:rPr>
  </w:style>
  <w:style w:type="character" w:customStyle="1" w:styleId="16">
    <w:name w:val="Heading 2 Char"/>
    <w:basedOn w:val="13"/>
    <w:link w:val="4"/>
    <w:qFormat/>
    <w:locked/>
    <w:uiPriority w:val="99"/>
    <w:rPr>
      <w:rFonts w:ascii="等线 Light" w:hAnsi="等线 Light" w:cs="宋体"/>
      <w:b/>
      <w:sz w:val="32"/>
      <w:szCs w:val="32"/>
    </w:rPr>
  </w:style>
  <w:style w:type="paragraph" w:styleId="17">
    <w:name w:val="List Paragraph"/>
    <w:basedOn w:val="1"/>
    <w:qFormat/>
    <w:uiPriority w:val="99"/>
    <w:pPr>
      <w:ind w:firstLine="200"/>
    </w:pPr>
  </w:style>
  <w:style w:type="character" w:customStyle="1" w:styleId="18">
    <w:name w:val="Comment Text Char"/>
    <w:basedOn w:val="13"/>
    <w:link w:val="5"/>
    <w:qFormat/>
    <w:locked/>
    <w:uiPriority w:val="99"/>
    <w:rPr>
      <w:rFonts w:cs="Times New Roman"/>
    </w:rPr>
  </w:style>
  <w:style w:type="character" w:customStyle="1" w:styleId="19">
    <w:name w:val="Balloon Text Char"/>
    <w:basedOn w:val="13"/>
    <w:link w:val="7"/>
    <w:qFormat/>
    <w:locked/>
    <w:uiPriority w:val="99"/>
    <w:rPr>
      <w:rFonts w:ascii="Times New Roman" w:hAnsi="Times New Roman" w:eastAsia="宋体" w:cs="Times New Roman"/>
      <w:sz w:val="18"/>
      <w:szCs w:val="18"/>
    </w:rPr>
  </w:style>
  <w:style w:type="character" w:customStyle="1" w:styleId="20">
    <w:name w:val="Footer Char"/>
    <w:basedOn w:val="13"/>
    <w:link w:val="8"/>
    <w:qFormat/>
    <w:locked/>
    <w:uiPriority w:val="99"/>
    <w:rPr>
      <w:rFonts w:ascii="Times New Roman" w:hAnsi="Times New Roman" w:eastAsia="宋体" w:cs="Times New Roman"/>
      <w:sz w:val="18"/>
      <w:szCs w:val="18"/>
    </w:rPr>
  </w:style>
  <w:style w:type="character" w:customStyle="1" w:styleId="21">
    <w:name w:val="Header Char"/>
    <w:basedOn w:val="13"/>
    <w:link w:val="9"/>
    <w:qFormat/>
    <w:locked/>
    <w:uiPriority w:val="99"/>
    <w:rPr>
      <w:rFonts w:ascii="Times New Roman" w:hAnsi="Times New Roman" w:eastAsia="宋体" w:cs="Times New Roman"/>
      <w:sz w:val="18"/>
      <w:szCs w:val="18"/>
    </w:rPr>
  </w:style>
  <w:style w:type="paragraph" w:customStyle="1" w:styleId="22">
    <w:name w:val="无间隔1"/>
    <w:qFormat/>
    <w:uiPriority w:val="99"/>
    <w:rPr>
      <w:rFonts w:ascii="Times New Roman" w:hAnsi="Times New Roman" w:eastAsia="宋体" w:cs="Times New Roman"/>
      <w:kern w:val="0"/>
      <w:sz w:val="22"/>
      <w:szCs w:val="22"/>
      <w:lang w:val="en-US" w:eastAsia="en-US" w:bidi="ar-SA"/>
    </w:rPr>
  </w:style>
  <w:style w:type="paragraph" w:customStyle="1" w:styleId="23">
    <w:name w:val="章正文"/>
    <w:basedOn w:val="1"/>
    <w:qFormat/>
    <w:uiPriority w:val="99"/>
    <w:pPr>
      <w:spacing w:before="120" w:after="120" w:line="300" w:lineRule="auto"/>
      <w:ind w:firstLine="480"/>
    </w:pPr>
    <w:rPr>
      <w:rFonts w:ascii="Helvetica" w:hAnsi="Helvetica"/>
      <w:sz w:val="24"/>
      <w:szCs w:val="24"/>
    </w:rPr>
  </w:style>
  <w:style w:type="character" w:customStyle="1" w:styleId="24">
    <w:name w:val="标题 1 字符"/>
    <w:basedOn w:val="13"/>
    <w:qFormat/>
    <w:uiPriority w:val="99"/>
    <w:rPr>
      <w:rFonts w:ascii="Times New Roman" w:hAnsi="Times New Roman" w:eastAsia="宋体" w:cs="Times New Roman"/>
      <w:b/>
      <w:sz w:val="44"/>
      <w:szCs w:val="44"/>
    </w:rPr>
  </w:style>
  <w:style w:type="character" w:customStyle="1" w:styleId="25">
    <w:name w:val="批注文字 字符"/>
    <w:basedOn w:val="13"/>
    <w:qFormat/>
    <w:uiPriority w:val="99"/>
    <w:rPr>
      <w:rFonts w:ascii="Times New Roman" w:hAnsi="Times New Roman" w:eastAsia="宋体" w:cs="Times New Roman"/>
    </w:rPr>
  </w:style>
  <w:style w:type="paragraph" w:customStyle="1" w:styleId="26">
    <w:name w:val="TOC Heading_856ab6af-ad62-4c4d-b035-b1a9b0e74bd0"/>
    <w:basedOn w:val="3"/>
    <w:next w:val="1"/>
    <w:qFormat/>
    <w:uiPriority w:val="99"/>
    <w:pPr>
      <w:spacing w:before="240" w:after="0" w:line="259" w:lineRule="auto"/>
      <w:jc w:val="left"/>
      <w:outlineLvl w:val="9"/>
    </w:pPr>
    <w:rPr>
      <w:rFonts w:ascii="等线 Light" w:hAnsi="等线 Light" w:cs="宋体"/>
      <w:b w:val="0"/>
      <w:color w:val="2E75B6"/>
      <w:sz w:val="32"/>
      <w:szCs w:val="32"/>
      <w:lang w:val="en-US"/>
    </w:rPr>
  </w:style>
  <w:style w:type="paragraph" w:customStyle="1" w:styleId="27">
    <w:name w:val="纯文本2"/>
    <w:basedOn w:val="1"/>
    <w:qFormat/>
    <w:uiPriority w:val="99"/>
    <w:rPr>
      <w:rFonts w:ascii="宋体" w:hAnsi="Courier New"/>
      <w:sz w:val="28"/>
      <w:szCs w:val="28"/>
    </w:rPr>
  </w:style>
  <w:style w:type="paragraph" w:customStyle="1" w:styleId="28">
    <w:name w:val="正文缩进2格"/>
    <w:basedOn w:val="1"/>
    <w:qFormat/>
    <w:uiPriority w:val="99"/>
    <w:pPr>
      <w:spacing w:line="600" w:lineRule="exact"/>
      <w:ind w:firstLine="206"/>
    </w:pPr>
    <w:rPr>
      <w:rFonts w:ascii="仿宋_GB2312" w:hAnsi="宋体" w:eastAsia="仿宋_GB2312"/>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37</Pages>
  <Words>3235</Words>
  <Characters>18446</Characters>
  <Lines>0</Lines>
  <Paragraphs>0</Paragraphs>
  <TotalTime>3</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2019-12-12T08:23:00Z</dcterms:created>
  <dc:creator>ma xiaobin</dc:creator>
  <cp:lastModifiedBy>深森笙森</cp:lastModifiedBy>
  <dcterms:modified xsi:type="dcterms:W3CDTF">2020-01-10T07:09:22Z</dcterms:modified>
  <dc:title>南通市旅游中等专业学校食堂服务商资格准入项目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