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6300"/>
        </w:tabs>
        <w:snapToGrid w:val="0"/>
        <w:spacing w:before="120" w:beforeLines="50" w:after="120" w:afterLines="50" w:line="300" w:lineRule="auto"/>
        <w:jc w:val="center"/>
        <w:rPr>
          <w:rFonts w:ascii="宋体" w:hAnsi="宋体" w:cs="宋体"/>
          <w:b/>
          <w:sz w:val="48"/>
          <w:szCs w:val="48"/>
        </w:rPr>
      </w:pPr>
    </w:p>
    <w:p>
      <w:pPr>
        <w:tabs>
          <w:tab w:val="left" w:pos="6300"/>
        </w:tabs>
        <w:snapToGrid w:val="0"/>
        <w:spacing w:before="120" w:beforeLines="50" w:after="120" w:afterLines="50" w:line="300" w:lineRule="auto"/>
        <w:jc w:val="center"/>
        <w:rPr>
          <w:rFonts w:ascii="黑体" w:hAnsi="黑体" w:eastAsia="黑体" w:cs="宋体"/>
          <w:b/>
          <w:sz w:val="40"/>
          <w:szCs w:val="40"/>
        </w:rPr>
      </w:pPr>
      <w:r>
        <w:rPr>
          <w:rFonts w:hint="eastAsia" w:ascii="黑体" w:hAnsi="黑体" w:eastAsia="黑体" w:cs="宋体"/>
          <w:b/>
          <w:sz w:val="40"/>
          <w:szCs w:val="40"/>
        </w:rPr>
        <w:t>南通市启秀中学食堂食品原材料</w:t>
      </w:r>
    </w:p>
    <w:p>
      <w:pPr>
        <w:tabs>
          <w:tab w:val="left" w:pos="6300"/>
        </w:tabs>
        <w:snapToGrid w:val="0"/>
        <w:spacing w:before="120" w:beforeLines="50" w:after="120" w:afterLines="50" w:line="300" w:lineRule="auto"/>
        <w:jc w:val="center"/>
        <w:rPr>
          <w:rFonts w:ascii="黑体" w:hAnsi="黑体" w:eastAsia="黑体" w:cs="宋体"/>
          <w:b/>
          <w:color w:val="000000"/>
          <w:w w:val="80"/>
          <w:sz w:val="40"/>
          <w:szCs w:val="40"/>
        </w:rPr>
      </w:pPr>
      <w:r>
        <w:rPr>
          <w:rFonts w:hint="eastAsia" w:ascii="黑体" w:hAnsi="黑体" w:eastAsia="黑体" w:cs="宋体"/>
          <w:b/>
          <w:sz w:val="40"/>
          <w:szCs w:val="40"/>
        </w:rPr>
        <w:t>供应商资格准入项目</w:t>
      </w:r>
    </w:p>
    <w:p>
      <w:pPr>
        <w:snapToGrid w:val="0"/>
        <w:spacing w:before="120" w:beforeLines="50" w:after="120" w:afterLines="50" w:line="300" w:lineRule="auto"/>
        <w:jc w:val="center"/>
        <w:rPr>
          <w:rFonts w:ascii="宋体" w:hAnsi="宋体" w:cs="宋体"/>
          <w:b/>
          <w:color w:val="000000"/>
          <w:w w:val="80"/>
          <w:sz w:val="96"/>
          <w:szCs w:val="96"/>
        </w:rPr>
      </w:pPr>
    </w:p>
    <w:p>
      <w:pPr>
        <w:snapToGrid w:val="0"/>
        <w:spacing w:before="120" w:beforeLines="50" w:after="120" w:afterLines="50" w:line="300" w:lineRule="auto"/>
        <w:jc w:val="center"/>
        <w:rPr>
          <w:rFonts w:ascii="宋体" w:hAnsi="宋体" w:cs="宋体"/>
          <w:b/>
          <w:color w:val="000000"/>
          <w:w w:val="80"/>
          <w:sz w:val="96"/>
          <w:szCs w:val="96"/>
        </w:rPr>
      </w:pPr>
    </w:p>
    <w:p>
      <w:pPr>
        <w:tabs>
          <w:tab w:val="left" w:pos="6300"/>
        </w:tabs>
        <w:snapToGrid w:val="0"/>
        <w:spacing w:before="120" w:beforeLines="50" w:after="120" w:afterLines="50" w:line="300" w:lineRule="auto"/>
        <w:jc w:val="center"/>
        <w:rPr>
          <w:rFonts w:hint="eastAsia" w:ascii="宋体" w:hAnsi="宋体" w:eastAsia="宋体" w:cs="宋体"/>
          <w:b/>
          <w:color w:val="000000"/>
          <w:w w:val="80"/>
          <w:sz w:val="56"/>
          <w:szCs w:val="56"/>
          <w:highlight w:val="none"/>
          <w:lang w:eastAsia="zh-CN"/>
        </w:rPr>
      </w:pPr>
      <w:r>
        <w:rPr>
          <w:rFonts w:hint="eastAsia" w:ascii="宋体" w:hAnsi="宋体" w:cs="宋体"/>
          <w:b/>
          <w:color w:val="000000"/>
          <w:w w:val="80"/>
          <w:sz w:val="56"/>
          <w:szCs w:val="56"/>
          <w:highlight w:val="none"/>
        </w:rPr>
        <w:t>竞争性磋商文件</w:t>
      </w:r>
      <w:r>
        <w:rPr>
          <w:rFonts w:hint="eastAsia" w:ascii="宋体" w:hAnsi="宋体" w:cs="宋体"/>
          <w:b/>
          <w:color w:val="000000"/>
          <w:w w:val="80"/>
          <w:sz w:val="56"/>
          <w:szCs w:val="56"/>
          <w:highlight w:val="none"/>
          <w:lang w:eastAsia="zh-CN"/>
        </w:rPr>
        <w:t>（</w:t>
      </w:r>
      <w:r>
        <w:rPr>
          <w:rFonts w:hint="eastAsia" w:ascii="宋体" w:hAnsi="宋体" w:cs="宋体"/>
          <w:b/>
          <w:color w:val="000000"/>
          <w:w w:val="80"/>
          <w:sz w:val="56"/>
          <w:szCs w:val="56"/>
          <w:highlight w:val="none"/>
          <w:lang w:val="en-US" w:eastAsia="zh-CN"/>
        </w:rPr>
        <w:t>二次</w:t>
      </w:r>
      <w:r>
        <w:rPr>
          <w:rFonts w:hint="eastAsia" w:ascii="宋体" w:hAnsi="宋体" w:cs="宋体"/>
          <w:b/>
          <w:color w:val="000000"/>
          <w:w w:val="80"/>
          <w:sz w:val="56"/>
          <w:szCs w:val="56"/>
          <w:highlight w:val="none"/>
          <w:lang w:eastAsia="zh-CN"/>
        </w:rPr>
        <w:t>）</w:t>
      </w:r>
    </w:p>
    <w:p>
      <w:pPr>
        <w:spacing w:before="120" w:beforeLines="50" w:after="120" w:afterLines="50" w:line="300" w:lineRule="auto"/>
        <w:jc w:val="center"/>
        <w:rPr>
          <w:rFonts w:hint="eastAsia" w:ascii="宋体" w:hAnsi="宋体" w:eastAsia="宋体" w:cs="宋体"/>
          <w:b/>
          <w:color w:val="000000"/>
          <w:sz w:val="28"/>
          <w:szCs w:val="28"/>
          <w:highlight w:val="none"/>
          <w:lang w:eastAsia="zh-CN"/>
        </w:rPr>
      </w:pPr>
      <w:r>
        <w:rPr>
          <w:rFonts w:hint="eastAsia" w:ascii="宋体" w:hAnsi="宋体" w:cs="宋体"/>
          <w:b/>
          <w:color w:val="000000"/>
          <w:sz w:val="28"/>
          <w:szCs w:val="28"/>
          <w:highlight w:val="none"/>
        </w:rPr>
        <w:t>项目编号：</w:t>
      </w:r>
      <w:r>
        <w:rPr>
          <w:rFonts w:hint="eastAsia" w:ascii="宋体" w:hAnsi="宋体" w:cs="宋体"/>
          <w:b/>
          <w:color w:val="000000"/>
          <w:sz w:val="28"/>
          <w:szCs w:val="28"/>
          <w:highlight w:val="none"/>
          <w:lang w:eastAsia="zh-CN"/>
        </w:rPr>
        <w:t>M3206010318001373</w:t>
      </w:r>
    </w:p>
    <w:p>
      <w:pPr>
        <w:snapToGrid w:val="0"/>
        <w:spacing w:before="120" w:beforeLines="50" w:after="120" w:afterLines="50" w:line="300" w:lineRule="auto"/>
        <w:rPr>
          <w:rFonts w:ascii="宋体" w:hAnsi="宋体" w:cs="宋体"/>
          <w:b/>
          <w:color w:val="000000"/>
          <w:sz w:val="36"/>
        </w:rPr>
      </w:pPr>
    </w:p>
    <w:p>
      <w:pPr>
        <w:snapToGrid w:val="0"/>
        <w:spacing w:before="120" w:beforeLines="50" w:after="120" w:afterLines="50" w:line="300" w:lineRule="auto"/>
        <w:rPr>
          <w:rFonts w:ascii="宋体" w:hAnsi="宋体" w:cs="宋体"/>
          <w:b/>
          <w:color w:val="000000"/>
          <w:sz w:val="36"/>
        </w:rPr>
      </w:pPr>
    </w:p>
    <w:p>
      <w:pPr>
        <w:snapToGrid w:val="0"/>
        <w:spacing w:before="120" w:beforeLines="50" w:after="120" w:afterLines="50" w:line="300" w:lineRule="auto"/>
        <w:rPr>
          <w:rFonts w:ascii="宋体" w:hAnsi="宋体" w:cs="宋体"/>
          <w:b/>
          <w:color w:val="000000"/>
          <w:sz w:val="36"/>
        </w:rPr>
      </w:pPr>
    </w:p>
    <w:p>
      <w:pPr>
        <w:pStyle w:val="2"/>
      </w:pPr>
    </w:p>
    <w:p>
      <w:pPr>
        <w:snapToGrid w:val="0"/>
        <w:spacing w:before="120" w:beforeLines="50" w:after="120" w:afterLines="50" w:line="300" w:lineRule="auto"/>
        <w:rPr>
          <w:rFonts w:ascii="宋体" w:hAnsi="宋体" w:cs="宋体"/>
          <w:b/>
          <w:color w:val="000000"/>
          <w:sz w:val="36"/>
        </w:rPr>
      </w:pPr>
    </w:p>
    <w:p>
      <w:pPr>
        <w:adjustRightInd w:val="0"/>
        <w:snapToGrid w:val="0"/>
        <w:spacing w:before="120" w:beforeLines="50" w:after="120" w:afterLines="50" w:line="300" w:lineRule="auto"/>
        <w:jc w:val="center"/>
        <w:rPr>
          <w:rFonts w:ascii="宋体" w:hAnsi="宋体" w:cs="宋体"/>
          <w:b/>
          <w:sz w:val="30"/>
          <w:szCs w:val="30"/>
        </w:rPr>
      </w:pPr>
      <w:bookmarkStart w:id="0" w:name="_Toc11554638"/>
      <w:bookmarkStart w:id="1" w:name="_Toc11499583"/>
      <w:bookmarkStart w:id="2" w:name="_Toc8895738"/>
      <w:bookmarkStart w:id="3" w:name="_Toc94544743"/>
      <w:bookmarkStart w:id="4" w:name="_Toc11500279"/>
      <w:bookmarkStart w:id="5" w:name="_Toc94544827"/>
      <w:bookmarkStart w:id="6" w:name="_Toc521203417"/>
      <w:bookmarkStart w:id="7" w:name="_Toc521201596"/>
      <w:bookmarkStart w:id="8" w:name="_Toc94585339"/>
      <w:bookmarkStart w:id="9" w:name="_Toc12670502"/>
      <w:r>
        <w:rPr>
          <w:rFonts w:hint="eastAsia" w:ascii="宋体" w:hAnsi="宋体" w:cs="宋体"/>
          <w:b/>
          <w:sz w:val="30"/>
          <w:szCs w:val="30"/>
        </w:rPr>
        <w:t>采购单位：南通市启秀中学</w:t>
      </w:r>
    </w:p>
    <w:p>
      <w:pPr>
        <w:adjustRightInd w:val="0"/>
        <w:snapToGrid w:val="0"/>
        <w:spacing w:before="120" w:beforeLines="50" w:after="120" w:afterLines="50" w:line="300" w:lineRule="auto"/>
        <w:jc w:val="center"/>
        <w:rPr>
          <w:rFonts w:ascii="宋体" w:hAnsi="宋体" w:cs="宋体"/>
          <w:b/>
          <w:sz w:val="30"/>
          <w:szCs w:val="30"/>
        </w:rPr>
      </w:pPr>
      <w:r>
        <w:rPr>
          <w:rFonts w:hint="eastAsia" w:ascii="宋体" w:hAnsi="宋体" w:cs="宋体"/>
          <w:b/>
          <w:sz w:val="30"/>
          <w:szCs w:val="30"/>
        </w:rPr>
        <w:t>二〇二〇年</w:t>
      </w:r>
      <w:r>
        <w:rPr>
          <w:rFonts w:hint="eastAsia" w:ascii="宋体" w:hAnsi="宋体" w:cs="宋体"/>
          <w:b/>
          <w:sz w:val="30"/>
          <w:szCs w:val="30"/>
          <w:lang w:val="en-US" w:eastAsia="zh-CN"/>
        </w:rPr>
        <w:t>九</w:t>
      </w:r>
      <w:r>
        <w:rPr>
          <w:rFonts w:hint="eastAsia" w:ascii="宋体" w:hAnsi="宋体" w:cs="宋体"/>
          <w:b/>
          <w:sz w:val="30"/>
          <w:szCs w:val="30"/>
        </w:rPr>
        <w:t>月</w:t>
      </w:r>
      <w:r>
        <w:rPr>
          <w:rFonts w:hint="eastAsia" w:ascii="宋体" w:hAnsi="宋体" w:cs="宋体"/>
          <w:b/>
          <w:sz w:val="30"/>
          <w:szCs w:val="30"/>
          <w:lang w:val="en-US" w:eastAsia="zh-CN"/>
        </w:rPr>
        <w:t>九</w:t>
      </w:r>
      <w:r>
        <w:rPr>
          <w:rFonts w:hint="eastAsia" w:ascii="宋体" w:hAnsi="宋体" w:cs="宋体"/>
          <w:b/>
          <w:sz w:val="30"/>
          <w:szCs w:val="30"/>
        </w:rPr>
        <w:t>日</w:t>
      </w:r>
    </w:p>
    <w:p>
      <w:pPr>
        <w:widowControl/>
        <w:jc w:val="left"/>
        <w:rPr>
          <w:rFonts w:ascii="宋体" w:hAnsi="宋体" w:cs="宋体"/>
          <w:b/>
          <w:sz w:val="30"/>
          <w:szCs w:val="30"/>
        </w:rPr>
      </w:pPr>
      <w:r>
        <w:rPr>
          <w:rFonts w:ascii="宋体" w:hAnsi="宋体" w:cs="宋体"/>
          <w:b/>
          <w:sz w:val="30"/>
          <w:szCs w:val="30"/>
        </w:rPr>
        <w:br w:type="page"/>
      </w:r>
    </w:p>
    <w:p>
      <w:pPr>
        <w:jc w:val="center"/>
        <w:rPr>
          <w:rFonts w:ascii="仿宋" w:hAnsi="仿宋" w:eastAsia="仿宋"/>
          <w:b/>
          <w:sz w:val="44"/>
          <w:szCs w:val="44"/>
        </w:rPr>
      </w:pPr>
      <w:bookmarkStart w:id="10" w:name="_Toc489878349"/>
      <w:r>
        <w:rPr>
          <w:rFonts w:hint="eastAsia" w:ascii="仿宋" w:hAnsi="仿宋" w:eastAsia="仿宋"/>
          <w:b/>
          <w:sz w:val="44"/>
          <w:szCs w:val="44"/>
        </w:rPr>
        <w:t>目  录</w:t>
      </w:r>
      <w:bookmarkEnd w:id="10"/>
    </w:p>
    <w:p>
      <w:pPr>
        <w:jc w:val="center"/>
        <w:rPr>
          <w:rFonts w:ascii="仿宋" w:hAnsi="仿宋" w:eastAsia="仿宋"/>
          <w:b/>
          <w:sz w:val="44"/>
          <w:szCs w:val="44"/>
        </w:rPr>
      </w:pPr>
    </w:p>
    <w:p>
      <w:pPr>
        <w:jc w:val="center"/>
        <w:rPr>
          <w:rFonts w:ascii="仿宋" w:hAnsi="仿宋" w:eastAsia="仿宋"/>
          <w:b/>
          <w:sz w:val="44"/>
          <w:szCs w:val="44"/>
        </w:rPr>
      </w:pPr>
    </w:p>
    <w:p>
      <w:pPr>
        <w:pStyle w:val="31"/>
        <w:tabs>
          <w:tab w:val="right" w:leader="dot" w:pos="8296"/>
        </w:tabs>
        <w:rPr>
          <w:rFonts w:hAnsiTheme="minorHAnsi" w:eastAsiaTheme="minorEastAsia" w:cstheme="minorBidi"/>
          <w:b w:val="0"/>
          <w:bCs w:val="0"/>
          <w:caps w:val="0"/>
          <w:sz w:val="24"/>
          <w:szCs w:val="24"/>
        </w:rPr>
      </w:pPr>
      <w:r>
        <w:rPr>
          <w:rFonts w:ascii="Times New Roman"/>
          <w:b w:val="0"/>
          <w:color w:val="000000"/>
          <w:sz w:val="24"/>
          <w:szCs w:val="24"/>
        </w:rPr>
        <w:fldChar w:fldCharType="begin"/>
      </w:r>
      <w:r>
        <w:rPr>
          <w:rFonts w:ascii="Times New Roman"/>
          <w:b w:val="0"/>
          <w:color w:val="000000"/>
          <w:sz w:val="24"/>
          <w:szCs w:val="24"/>
        </w:rPr>
        <w:instrText xml:space="preserve"> TOC \o "1-1" \h \z \u </w:instrText>
      </w:r>
      <w:r>
        <w:rPr>
          <w:rFonts w:ascii="Times New Roman"/>
          <w:b w:val="0"/>
          <w:color w:val="000000"/>
          <w:sz w:val="24"/>
          <w:szCs w:val="24"/>
        </w:rPr>
        <w:fldChar w:fldCharType="separate"/>
      </w:r>
      <w:r>
        <w:fldChar w:fldCharType="begin"/>
      </w:r>
      <w:r>
        <w:instrText xml:space="preserve"> HYPERLINK \l "_Toc47957219" </w:instrText>
      </w:r>
      <w:r>
        <w:fldChar w:fldCharType="separate"/>
      </w:r>
      <w:r>
        <w:rPr>
          <w:rStyle w:val="54"/>
          <w:sz w:val="24"/>
          <w:szCs w:val="24"/>
        </w:rPr>
        <w:t>第一章  竞争性磋商公告</w:t>
      </w:r>
      <w:r>
        <w:rPr>
          <w:sz w:val="24"/>
          <w:szCs w:val="24"/>
        </w:rPr>
        <w:tab/>
      </w:r>
      <w:r>
        <w:rPr>
          <w:sz w:val="24"/>
          <w:szCs w:val="24"/>
        </w:rPr>
        <w:fldChar w:fldCharType="begin"/>
      </w:r>
      <w:r>
        <w:rPr>
          <w:sz w:val="24"/>
          <w:szCs w:val="24"/>
        </w:rPr>
        <w:instrText xml:space="preserve"> PAGEREF _Toc47957219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31"/>
        <w:tabs>
          <w:tab w:val="right" w:leader="dot" w:pos="8296"/>
        </w:tabs>
        <w:rPr>
          <w:rFonts w:hAnsiTheme="minorHAnsi" w:eastAsiaTheme="minorEastAsia" w:cstheme="minorBidi"/>
          <w:b w:val="0"/>
          <w:bCs w:val="0"/>
          <w:caps w:val="0"/>
          <w:sz w:val="24"/>
          <w:szCs w:val="24"/>
        </w:rPr>
      </w:pPr>
      <w:r>
        <w:fldChar w:fldCharType="begin"/>
      </w:r>
      <w:r>
        <w:instrText xml:space="preserve"> HYPERLINK \l "_Toc47957220" </w:instrText>
      </w:r>
      <w:r>
        <w:fldChar w:fldCharType="separate"/>
      </w:r>
      <w:r>
        <w:rPr>
          <w:rStyle w:val="54"/>
          <w:sz w:val="24"/>
          <w:szCs w:val="24"/>
        </w:rPr>
        <w:t>第二章  磋商供应商须知</w:t>
      </w:r>
      <w:r>
        <w:rPr>
          <w:sz w:val="24"/>
          <w:szCs w:val="24"/>
        </w:rPr>
        <w:tab/>
      </w:r>
      <w:r>
        <w:rPr>
          <w:sz w:val="24"/>
          <w:szCs w:val="24"/>
        </w:rPr>
        <w:fldChar w:fldCharType="begin"/>
      </w:r>
      <w:r>
        <w:rPr>
          <w:sz w:val="24"/>
          <w:szCs w:val="24"/>
        </w:rPr>
        <w:instrText xml:space="preserve"> PAGEREF _Toc47957220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31"/>
        <w:tabs>
          <w:tab w:val="right" w:leader="dot" w:pos="8296"/>
        </w:tabs>
        <w:rPr>
          <w:rFonts w:hAnsiTheme="minorHAnsi" w:eastAsiaTheme="minorEastAsia" w:cstheme="minorBidi"/>
          <w:b w:val="0"/>
          <w:bCs w:val="0"/>
          <w:caps w:val="0"/>
          <w:sz w:val="24"/>
          <w:szCs w:val="24"/>
        </w:rPr>
      </w:pPr>
      <w:r>
        <w:fldChar w:fldCharType="begin"/>
      </w:r>
      <w:r>
        <w:instrText xml:space="preserve"> HYPERLINK \l "_Toc47957221" </w:instrText>
      </w:r>
      <w:r>
        <w:fldChar w:fldCharType="separate"/>
      </w:r>
      <w:r>
        <w:rPr>
          <w:rStyle w:val="54"/>
          <w:sz w:val="24"/>
          <w:szCs w:val="24"/>
        </w:rPr>
        <w:t>第三章  项目需求</w:t>
      </w:r>
      <w:r>
        <w:rPr>
          <w:sz w:val="24"/>
          <w:szCs w:val="24"/>
        </w:rPr>
        <w:tab/>
      </w:r>
      <w:r>
        <w:rPr>
          <w:sz w:val="24"/>
          <w:szCs w:val="24"/>
        </w:rPr>
        <w:fldChar w:fldCharType="begin"/>
      </w:r>
      <w:r>
        <w:rPr>
          <w:sz w:val="24"/>
          <w:szCs w:val="24"/>
        </w:rPr>
        <w:instrText xml:space="preserve"> PAGEREF _Toc47957221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31"/>
        <w:tabs>
          <w:tab w:val="right" w:leader="dot" w:pos="8296"/>
        </w:tabs>
        <w:rPr>
          <w:rFonts w:hAnsiTheme="minorHAnsi" w:eastAsiaTheme="minorEastAsia" w:cstheme="minorBidi"/>
          <w:b w:val="0"/>
          <w:bCs w:val="0"/>
          <w:caps w:val="0"/>
          <w:sz w:val="24"/>
          <w:szCs w:val="24"/>
        </w:rPr>
      </w:pPr>
      <w:r>
        <w:fldChar w:fldCharType="begin"/>
      </w:r>
      <w:r>
        <w:instrText xml:space="preserve"> HYPERLINK \l "_Toc47957222" </w:instrText>
      </w:r>
      <w:r>
        <w:fldChar w:fldCharType="separate"/>
      </w:r>
      <w:r>
        <w:rPr>
          <w:rStyle w:val="54"/>
          <w:sz w:val="24"/>
          <w:szCs w:val="24"/>
        </w:rPr>
        <w:t>第四章  磋商程序和内容</w:t>
      </w:r>
      <w:r>
        <w:rPr>
          <w:sz w:val="24"/>
          <w:szCs w:val="24"/>
        </w:rPr>
        <w:tab/>
      </w:r>
      <w:r>
        <w:rPr>
          <w:sz w:val="24"/>
          <w:szCs w:val="24"/>
        </w:rPr>
        <w:fldChar w:fldCharType="begin"/>
      </w:r>
      <w:r>
        <w:rPr>
          <w:sz w:val="24"/>
          <w:szCs w:val="24"/>
        </w:rPr>
        <w:instrText xml:space="preserve"> PAGEREF _Toc47957222 \h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31"/>
        <w:tabs>
          <w:tab w:val="right" w:leader="dot" w:pos="8296"/>
        </w:tabs>
        <w:rPr>
          <w:rFonts w:hAnsiTheme="minorHAnsi" w:eastAsiaTheme="minorEastAsia" w:cstheme="minorBidi"/>
          <w:b w:val="0"/>
          <w:bCs w:val="0"/>
          <w:caps w:val="0"/>
          <w:sz w:val="24"/>
          <w:szCs w:val="24"/>
        </w:rPr>
      </w:pPr>
      <w:r>
        <w:fldChar w:fldCharType="begin"/>
      </w:r>
      <w:r>
        <w:instrText xml:space="preserve"> HYPERLINK \l "_Toc47957223" </w:instrText>
      </w:r>
      <w:r>
        <w:fldChar w:fldCharType="separate"/>
      </w:r>
      <w:r>
        <w:rPr>
          <w:rStyle w:val="54"/>
          <w:sz w:val="24"/>
          <w:szCs w:val="24"/>
        </w:rPr>
        <w:t>第五章  合同主要条款</w:t>
      </w:r>
      <w:r>
        <w:rPr>
          <w:sz w:val="24"/>
          <w:szCs w:val="24"/>
        </w:rPr>
        <w:tab/>
      </w:r>
      <w:r>
        <w:rPr>
          <w:sz w:val="24"/>
          <w:szCs w:val="24"/>
        </w:rPr>
        <w:fldChar w:fldCharType="begin"/>
      </w:r>
      <w:r>
        <w:rPr>
          <w:sz w:val="24"/>
          <w:szCs w:val="24"/>
        </w:rPr>
        <w:instrText xml:space="preserve"> PAGEREF _Toc47957223 \h </w:instrText>
      </w:r>
      <w:r>
        <w:rPr>
          <w:sz w:val="24"/>
          <w:szCs w:val="24"/>
        </w:rPr>
        <w:fldChar w:fldCharType="separate"/>
      </w:r>
      <w:r>
        <w:rPr>
          <w:sz w:val="24"/>
          <w:szCs w:val="24"/>
        </w:rPr>
        <w:t>20</w:t>
      </w:r>
      <w:r>
        <w:rPr>
          <w:sz w:val="24"/>
          <w:szCs w:val="24"/>
        </w:rPr>
        <w:fldChar w:fldCharType="end"/>
      </w:r>
      <w:r>
        <w:rPr>
          <w:sz w:val="24"/>
          <w:szCs w:val="24"/>
        </w:rPr>
        <w:fldChar w:fldCharType="end"/>
      </w:r>
    </w:p>
    <w:p>
      <w:pPr>
        <w:pStyle w:val="31"/>
        <w:tabs>
          <w:tab w:val="right" w:leader="dot" w:pos="8296"/>
        </w:tabs>
        <w:rPr>
          <w:rFonts w:hAnsiTheme="minorHAnsi" w:eastAsiaTheme="minorEastAsia" w:cstheme="minorBidi"/>
          <w:b w:val="0"/>
          <w:bCs w:val="0"/>
          <w:caps w:val="0"/>
          <w:sz w:val="24"/>
          <w:szCs w:val="24"/>
        </w:rPr>
      </w:pPr>
      <w:r>
        <w:fldChar w:fldCharType="begin"/>
      </w:r>
      <w:r>
        <w:instrText xml:space="preserve"> HYPERLINK \l "_Toc47957224" </w:instrText>
      </w:r>
      <w:r>
        <w:fldChar w:fldCharType="separate"/>
      </w:r>
      <w:r>
        <w:rPr>
          <w:rStyle w:val="54"/>
          <w:sz w:val="24"/>
          <w:szCs w:val="24"/>
        </w:rPr>
        <w:t>第六章  合同授予</w:t>
      </w:r>
      <w:r>
        <w:rPr>
          <w:sz w:val="24"/>
          <w:szCs w:val="24"/>
        </w:rPr>
        <w:tab/>
      </w:r>
      <w:r>
        <w:rPr>
          <w:sz w:val="24"/>
          <w:szCs w:val="24"/>
        </w:rPr>
        <w:fldChar w:fldCharType="begin"/>
      </w:r>
      <w:r>
        <w:rPr>
          <w:sz w:val="24"/>
          <w:szCs w:val="24"/>
        </w:rPr>
        <w:instrText xml:space="preserve"> PAGEREF _Toc47957224 \h </w:instrText>
      </w:r>
      <w:r>
        <w:rPr>
          <w:sz w:val="24"/>
          <w:szCs w:val="24"/>
        </w:rPr>
        <w:fldChar w:fldCharType="separate"/>
      </w:r>
      <w:r>
        <w:rPr>
          <w:sz w:val="24"/>
          <w:szCs w:val="24"/>
        </w:rPr>
        <w:t>22</w:t>
      </w:r>
      <w:r>
        <w:rPr>
          <w:sz w:val="24"/>
          <w:szCs w:val="24"/>
        </w:rPr>
        <w:fldChar w:fldCharType="end"/>
      </w:r>
      <w:r>
        <w:rPr>
          <w:sz w:val="24"/>
          <w:szCs w:val="24"/>
        </w:rPr>
        <w:fldChar w:fldCharType="end"/>
      </w:r>
    </w:p>
    <w:p>
      <w:pPr>
        <w:pStyle w:val="31"/>
        <w:tabs>
          <w:tab w:val="right" w:leader="dot" w:pos="8296"/>
        </w:tabs>
        <w:rPr>
          <w:rFonts w:hAnsiTheme="minorHAnsi" w:eastAsiaTheme="minorEastAsia" w:cstheme="minorBidi"/>
          <w:b w:val="0"/>
          <w:bCs w:val="0"/>
          <w:caps w:val="0"/>
          <w:sz w:val="24"/>
          <w:szCs w:val="24"/>
        </w:rPr>
      </w:pPr>
      <w:r>
        <w:fldChar w:fldCharType="begin"/>
      </w:r>
      <w:r>
        <w:instrText xml:space="preserve"> HYPERLINK \l "_Toc47957225" </w:instrText>
      </w:r>
      <w:r>
        <w:fldChar w:fldCharType="separate"/>
      </w:r>
      <w:r>
        <w:rPr>
          <w:rStyle w:val="54"/>
          <w:sz w:val="24"/>
          <w:szCs w:val="24"/>
        </w:rPr>
        <w:t>第七章  质疑提出和处理</w:t>
      </w:r>
      <w:r>
        <w:rPr>
          <w:sz w:val="24"/>
          <w:szCs w:val="24"/>
        </w:rPr>
        <w:tab/>
      </w:r>
      <w:r>
        <w:rPr>
          <w:sz w:val="24"/>
          <w:szCs w:val="24"/>
        </w:rPr>
        <w:fldChar w:fldCharType="begin"/>
      </w:r>
      <w:r>
        <w:rPr>
          <w:sz w:val="24"/>
          <w:szCs w:val="24"/>
        </w:rPr>
        <w:instrText xml:space="preserve"> PAGEREF _Toc47957225 \h </w:instrText>
      </w:r>
      <w:r>
        <w:rPr>
          <w:sz w:val="24"/>
          <w:szCs w:val="24"/>
        </w:rPr>
        <w:fldChar w:fldCharType="separate"/>
      </w:r>
      <w:r>
        <w:rPr>
          <w:sz w:val="24"/>
          <w:szCs w:val="24"/>
        </w:rPr>
        <w:t>23</w:t>
      </w:r>
      <w:r>
        <w:rPr>
          <w:sz w:val="24"/>
          <w:szCs w:val="24"/>
        </w:rPr>
        <w:fldChar w:fldCharType="end"/>
      </w:r>
      <w:r>
        <w:rPr>
          <w:sz w:val="24"/>
          <w:szCs w:val="24"/>
        </w:rPr>
        <w:fldChar w:fldCharType="end"/>
      </w:r>
    </w:p>
    <w:p>
      <w:pPr>
        <w:pStyle w:val="31"/>
        <w:tabs>
          <w:tab w:val="right" w:leader="dot" w:pos="8296"/>
        </w:tabs>
        <w:rPr>
          <w:rFonts w:hAnsiTheme="minorHAnsi" w:eastAsiaTheme="minorEastAsia" w:cstheme="minorBidi"/>
          <w:b w:val="0"/>
          <w:bCs w:val="0"/>
          <w:caps w:val="0"/>
          <w:sz w:val="24"/>
          <w:szCs w:val="24"/>
        </w:rPr>
      </w:pPr>
      <w:r>
        <w:fldChar w:fldCharType="begin"/>
      </w:r>
      <w:r>
        <w:instrText xml:space="preserve"> HYPERLINK \l "_Toc47957226" </w:instrText>
      </w:r>
      <w:r>
        <w:fldChar w:fldCharType="separate"/>
      </w:r>
      <w:r>
        <w:rPr>
          <w:rStyle w:val="54"/>
          <w:sz w:val="24"/>
          <w:szCs w:val="24"/>
        </w:rPr>
        <w:t>第八章  响应文件组成及格式</w:t>
      </w:r>
      <w:r>
        <w:rPr>
          <w:sz w:val="24"/>
          <w:szCs w:val="24"/>
        </w:rPr>
        <w:tab/>
      </w:r>
      <w:r>
        <w:rPr>
          <w:sz w:val="24"/>
          <w:szCs w:val="24"/>
        </w:rPr>
        <w:fldChar w:fldCharType="begin"/>
      </w:r>
      <w:r>
        <w:rPr>
          <w:sz w:val="24"/>
          <w:szCs w:val="24"/>
        </w:rPr>
        <w:instrText xml:space="preserve"> PAGEREF _Toc47957226 \h </w:instrText>
      </w:r>
      <w:r>
        <w:rPr>
          <w:sz w:val="24"/>
          <w:szCs w:val="24"/>
        </w:rPr>
        <w:fldChar w:fldCharType="separate"/>
      </w:r>
      <w:r>
        <w:rPr>
          <w:sz w:val="24"/>
          <w:szCs w:val="24"/>
        </w:rPr>
        <w:t>26</w:t>
      </w:r>
      <w:r>
        <w:rPr>
          <w:sz w:val="24"/>
          <w:szCs w:val="24"/>
        </w:rPr>
        <w:fldChar w:fldCharType="end"/>
      </w:r>
      <w:r>
        <w:rPr>
          <w:sz w:val="24"/>
          <w:szCs w:val="24"/>
        </w:rPr>
        <w:fldChar w:fldCharType="end"/>
      </w:r>
    </w:p>
    <w:p>
      <w:pPr>
        <w:snapToGrid w:val="0"/>
        <w:spacing w:line="480" w:lineRule="auto"/>
        <w:rPr>
          <w:b/>
          <w:color w:val="000000"/>
          <w:szCs w:val="21"/>
        </w:rPr>
      </w:pPr>
      <w:r>
        <w:rPr>
          <w:b/>
          <w:color w:val="000000"/>
          <w:sz w:val="24"/>
          <w:szCs w:val="24"/>
        </w:rPr>
        <w:fldChar w:fldCharType="end"/>
      </w:r>
    </w:p>
    <w:p>
      <w:pPr>
        <w:widowControl/>
        <w:jc w:val="left"/>
        <w:rPr>
          <w:rFonts w:ascii="宋体" w:hAnsi="宋体" w:cs="宋体"/>
          <w:b/>
          <w:color w:val="000000"/>
          <w:szCs w:val="21"/>
        </w:rPr>
      </w:pPr>
      <w:r>
        <w:rPr>
          <w:rFonts w:ascii="宋体" w:hAnsi="宋体" w:cs="宋体"/>
          <w:b/>
          <w:color w:val="000000"/>
          <w:szCs w:val="21"/>
        </w:rPr>
        <w:br w:type="page"/>
      </w:r>
    </w:p>
    <w:p>
      <w:pPr>
        <w:snapToGrid w:val="0"/>
        <w:spacing w:before="120" w:beforeLines="50" w:after="120" w:afterLines="50" w:line="300" w:lineRule="auto"/>
        <w:rPr>
          <w:rFonts w:ascii="宋体" w:hAnsi="宋体" w:cs="宋体"/>
          <w:b/>
          <w:color w:val="000000"/>
          <w:szCs w:val="21"/>
        </w:rPr>
      </w:pPr>
      <w:r>
        <w:rPr>
          <w:rFonts w:hint="eastAsia" w:ascii="宋体" w:hAnsi="宋体" w:cs="宋体"/>
          <w:b/>
          <w:color w:val="000000"/>
          <w:szCs w:val="21"/>
        </w:rPr>
        <w:t>尊敬的磋商供应商：</w:t>
      </w:r>
    </w:p>
    <w:p>
      <w:pPr>
        <w:snapToGrid w:val="0"/>
        <w:spacing w:before="120" w:beforeLines="50" w:after="120" w:afterLines="50" w:line="300" w:lineRule="auto"/>
        <w:ind w:firstLine="422" w:firstLineChars="200"/>
        <w:rPr>
          <w:rFonts w:ascii="宋体" w:hAnsi="宋体" w:cs="宋体"/>
          <w:b/>
          <w:color w:val="000000"/>
          <w:szCs w:val="21"/>
        </w:rPr>
      </w:pPr>
      <w:r>
        <w:rPr>
          <w:rFonts w:hint="eastAsia" w:ascii="宋体" w:hAnsi="宋体" w:cs="宋体"/>
          <w:b/>
          <w:color w:val="000000"/>
          <w:szCs w:val="21"/>
        </w:rPr>
        <w:t>欢迎参加本采购项目的竞争性磋商。为了保证本次磋商项目顺利进行，请在制作响应文件之前，仔细阅读本竞争性磋商文件的各项条款，并按要求制作和递交响应文件。谢谢合作！</w:t>
      </w:r>
    </w:p>
    <w:p>
      <w:pPr>
        <w:snapToGrid w:val="0"/>
        <w:spacing w:before="120" w:beforeLines="50" w:after="120" w:afterLines="50" w:line="300" w:lineRule="auto"/>
        <w:ind w:firstLine="422" w:firstLineChars="200"/>
        <w:rPr>
          <w:rFonts w:ascii="宋体" w:hAnsi="宋体" w:cs="宋体"/>
          <w:b/>
          <w:color w:val="000000"/>
          <w:szCs w:val="21"/>
        </w:rPr>
      </w:pPr>
    </w:p>
    <w:p>
      <w:pPr>
        <w:pStyle w:val="3"/>
      </w:pPr>
      <w:bookmarkStart w:id="11" w:name="_Toc47957219"/>
      <w:bookmarkStart w:id="12" w:name="_Toc363573853"/>
      <w:r>
        <w:rPr>
          <w:rFonts w:hint="eastAsia"/>
        </w:rPr>
        <w:t>第一章  竞争性磋商公</w:t>
      </w:r>
      <w:bookmarkEnd w:id="0"/>
      <w:bookmarkEnd w:id="1"/>
      <w:bookmarkEnd w:id="2"/>
      <w:bookmarkEnd w:id="3"/>
      <w:bookmarkEnd w:id="4"/>
      <w:bookmarkEnd w:id="5"/>
      <w:bookmarkEnd w:id="6"/>
      <w:bookmarkEnd w:id="7"/>
      <w:bookmarkEnd w:id="8"/>
      <w:bookmarkEnd w:id="9"/>
      <w:r>
        <w:rPr>
          <w:rFonts w:hint="eastAsia"/>
        </w:rPr>
        <w:t>告</w:t>
      </w:r>
      <w:bookmarkEnd w:id="11"/>
      <w:bookmarkEnd w:id="12"/>
      <w:bookmarkStart w:id="78" w:name="_GoBack"/>
      <w:bookmarkEnd w:id="78"/>
    </w:p>
    <w:p>
      <w:pPr>
        <w:widowControl/>
        <w:snapToGrid w:val="0"/>
        <w:spacing w:before="120" w:beforeLines="50" w:after="120" w:afterLines="50" w:line="300" w:lineRule="auto"/>
        <w:ind w:firstLine="470" w:firstLineChars="196"/>
        <w:jc w:val="left"/>
        <w:rPr>
          <w:rFonts w:ascii="宋体" w:hAnsi="宋体" w:cs="宋体"/>
          <w:color w:val="000000"/>
          <w:sz w:val="24"/>
          <w:szCs w:val="24"/>
        </w:rPr>
      </w:pPr>
      <w:r>
        <w:rPr>
          <w:rFonts w:hint="eastAsia" w:ascii="宋体" w:hAnsi="宋体" w:cs="宋体"/>
          <w:color w:val="000000"/>
          <w:sz w:val="24"/>
          <w:szCs w:val="24"/>
        </w:rPr>
        <w:t>根据《中华人民共和国政府采购法》、《中华人民共和国政府采购法实施条例》、《南通市教育局直属学校（单位）采购暂行管理办法》的规定，本着客观、公正、审慎的原则，南通市启秀中学拟采用竞争磋商采购的方式对以下项目组织采购，诚邀符合条件的潜在供应商参加该项目的竞争性磋商。现公告如下：</w:t>
      </w:r>
    </w:p>
    <w:p>
      <w:pPr>
        <w:widowControl/>
        <w:snapToGrid w:val="0"/>
        <w:spacing w:before="120" w:beforeLines="50" w:after="120" w:afterLines="50" w:line="300" w:lineRule="auto"/>
        <w:ind w:firstLine="472" w:firstLineChars="196"/>
        <w:jc w:val="left"/>
        <w:rPr>
          <w:rFonts w:ascii="宋体" w:hAnsi="宋体" w:cs="宋体"/>
          <w:b/>
          <w:bCs/>
          <w:color w:val="000000"/>
          <w:sz w:val="24"/>
          <w:szCs w:val="24"/>
        </w:rPr>
      </w:pPr>
      <w:r>
        <w:rPr>
          <w:rFonts w:hint="eastAsia" w:ascii="宋体" w:hAnsi="宋体" w:cs="宋体"/>
          <w:b/>
          <w:bCs/>
          <w:color w:val="000000"/>
          <w:sz w:val="24"/>
          <w:szCs w:val="24"/>
        </w:rPr>
        <w:t>一、项目名称</w:t>
      </w:r>
    </w:p>
    <w:p>
      <w:pPr>
        <w:widowControl/>
        <w:snapToGrid w:val="0"/>
        <w:spacing w:before="120" w:beforeLines="50" w:after="120" w:afterLines="50" w:line="300" w:lineRule="auto"/>
        <w:ind w:firstLine="950" w:firstLineChars="396"/>
        <w:jc w:val="left"/>
        <w:rPr>
          <w:rFonts w:hint="eastAsia" w:ascii="宋体" w:hAnsi="宋体" w:eastAsia="宋体" w:cs="宋体"/>
          <w:color w:val="000000"/>
          <w:sz w:val="24"/>
          <w:szCs w:val="24"/>
          <w:lang w:eastAsia="zh-CN"/>
        </w:rPr>
      </w:pPr>
      <w:r>
        <w:rPr>
          <w:rFonts w:hint="eastAsia" w:ascii="宋体" w:hAnsi="宋体" w:cs="宋体"/>
          <w:color w:val="000000"/>
          <w:sz w:val="24"/>
          <w:szCs w:val="24"/>
        </w:rPr>
        <w:t>南通市启秀中学食堂食品原材料供应商资格准入项目</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二次</w:t>
      </w:r>
      <w:r>
        <w:rPr>
          <w:rFonts w:hint="eastAsia" w:ascii="宋体" w:hAnsi="宋体" w:cs="宋体"/>
          <w:color w:val="000000"/>
          <w:sz w:val="24"/>
          <w:szCs w:val="24"/>
          <w:lang w:eastAsia="zh-CN"/>
        </w:rPr>
        <w:t>）</w:t>
      </w:r>
    </w:p>
    <w:p>
      <w:pPr>
        <w:widowControl/>
        <w:snapToGrid w:val="0"/>
        <w:spacing w:before="120" w:beforeLines="50" w:after="120" w:afterLines="50" w:line="300" w:lineRule="auto"/>
        <w:ind w:firstLine="472" w:firstLineChars="196"/>
        <w:jc w:val="left"/>
        <w:rPr>
          <w:rFonts w:ascii="宋体" w:hAnsi="宋体" w:cs="宋体"/>
          <w:b/>
          <w:bCs/>
          <w:color w:val="000000"/>
          <w:sz w:val="24"/>
          <w:szCs w:val="24"/>
        </w:rPr>
      </w:pPr>
      <w:r>
        <w:rPr>
          <w:rFonts w:hint="eastAsia" w:ascii="宋体" w:hAnsi="宋体" w:cs="宋体"/>
          <w:b/>
          <w:bCs/>
          <w:color w:val="000000"/>
          <w:sz w:val="24"/>
          <w:szCs w:val="24"/>
        </w:rPr>
        <w:t>二、项目编号</w:t>
      </w:r>
    </w:p>
    <w:p>
      <w:pPr>
        <w:widowControl/>
        <w:snapToGrid w:val="0"/>
        <w:spacing w:before="120" w:beforeLines="50" w:after="120" w:afterLines="50" w:line="300" w:lineRule="auto"/>
        <w:ind w:firstLine="950" w:firstLineChars="396"/>
        <w:jc w:val="left"/>
        <w:rPr>
          <w:rFonts w:hint="eastAsia" w:eastAsia="宋体"/>
          <w:color w:val="000000"/>
          <w:sz w:val="24"/>
          <w:szCs w:val="24"/>
          <w:highlight w:val="none"/>
          <w:lang w:eastAsia="zh-CN"/>
        </w:rPr>
      </w:pPr>
      <w:r>
        <w:rPr>
          <w:rFonts w:hint="eastAsia"/>
          <w:color w:val="000000"/>
          <w:sz w:val="24"/>
          <w:szCs w:val="24"/>
          <w:highlight w:val="none"/>
          <w:lang w:eastAsia="zh-CN"/>
        </w:rPr>
        <w:t>M3206010318001373</w:t>
      </w:r>
    </w:p>
    <w:p>
      <w:pPr>
        <w:snapToGrid w:val="0"/>
        <w:spacing w:before="120" w:beforeLines="50" w:after="120" w:afterLines="50" w:line="300" w:lineRule="auto"/>
        <w:ind w:firstLine="496" w:firstLineChars="206"/>
        <w:outlineLvl w:val="1"/>
        <w:rPr>
          <w:rFonts w:ascii="宋体" w:hAnsi="宋体" w:cs="宋体"/>
          <w:b/>
          <w:bCs/>
          <w:color w:val="000000"/>
          <w:sz w:val="24"/>
          <w:szCs w:val="24"/>
        </w:rPr>
      </w:pPr>
      <w:r>
        <w:rPr>
          <w:rFonts w:hint="eastAsia" w:ascii="宋体" w:hAnsi="宋体" w:cs="宋体"/>
          <w:b/>
          <w:bCs/>
          <w:color w:val="000000"/>
          <w:sz w:val="24"/>
          <w:szCs w:val="24"/>
        </w:rPr>
        <w:t>三、项目需求：</w:t>
      </w:r>
    </w:p>
    <w:p>
      <w:pPr>
        <w:widowControl/>
        <w:snapToGrid w:val="0"/>
        <w:spacing w:before="120" w:beforeLines="50" w:after="120" w:afterLines="50" w:line="300" w:lineRule="auto"/>
        <w:ind w:firstLine="470" w:firstLineChars="196"/>
        <w:jc w:val="left"/>
        <w:rPr>
          <w:rFonts w:ascii="宋体" w:hAnsi="宋体" w:cs="宋体"/>
          <w:sz w:val="24"/>
          <w:szCs w:val="24"/>
        </w:rPr>
      </w:pPr>
      <w:r>
        <w:rPr>
          <w:rFonts w:hint="eastAsia" w:ascii="宋体" w:hAnsi="宋体" w:cs="宋体"/>
          <w:color w:val="000000"/>
          <w:sz w:val="24"/>
          <w:szCs w:val="24"/>
        </w:rPr>
        <w:t>1、标的物</w:t>
      </w:r>
      <w:r>
        <w:rPr>
          <w:rFonts w:hint="eastAsia" w:ascii="宋体" w:hAnsi="宋体" w:cs="宋体"/>
          <w:sz w:val="24"/>
          <w:szCs w:val="24"/>
        </w:rPr>
        <w:t>：本项目</w:t>
      </w:r>
      <w:r>
        <w:rPr>
          <w:rFonts w:hint="eastAsia" w:ascii="宋体" w:hAnsi="宋体" w:cs="宋体"/>
          <w:sz w:val="24"/>
          <w:szCs w:val="24"/>
          <w:lang w:val="en-US" w:eastAsia="zh-CN"/>
        </w:rPr>
        <w:t>二次招标</w:t>
      </w:r>
      <w:r>
        <w:rPr>
          <w:rFonts w:hint="eastAsia" w:ascii="宋体" w:hAnsi="宋体" w:cs="宋体"/>
          <w:sz w:val="24"/>
          <w:szCs w:val="24"/>
        </w:rPr>
        <w:t>共</w:t>
      </w:r>
      <w:r>
        <w:rPr>
          <w:rFonts w:hint="eastAsia" w:ascii="宋体" w:hAnsi="宋体" w:cs="宋体"/>
          <w:sz w:val="24"/>
          <w:szCs w:val="24"/>
          <w:lang w:val="en-US" w:eastAsia="zh-CN"/>
        </w:rPr>
        <w:t>有5</w:t>
      </w:r>
      <w:r>
        <w:rPr>
          <w:rFonts w:hint="eastAsia" w:ascii="宋体" w:hAnsi="宋体" w:cs="宋体"/>
          <w:sz w:val="24"/>
          <w:szCs w:val="24"/>
        </w:rPr>
        <w:t>个标段：</w:t>
      </w:r>
    </w:p>
    <w:p>
      <w:pPr>
        <w:widowControl/>
        <w:snapToGrid w:val="0"/>
        <w:spacing w:before="120" w:beforeLines="50" w:after="120" w:afterLines="50" w:line="300" w:lineRule="auto"/>
        <w:ind w:firstLine="851" w:firstLineChars="353"/>
        <w:jc w:val="left"/>
        <w:rPr>
          <w:rFonts w:ascii="宋体" w:hAnsi="宋体" w:cs="宋体"/>
          <w:b/>
          <w:sz w:val="24"/>
          <w:szCs w:val="24"/>
        </w:rPr>
      </w:pPr>
      <w:r>
        <w:rPr>
          <w:rFonts w:hint="eastAsia" w:ascii="宋体" w:hAnsi="宋体" w:cs="宋体"/>
          <w:b/>
          <w:sz w:val="24"/>
          <w:szCs w:val="24"/>
        </w:rPr>
        <w:t>标段一：米、面；</w:t>
      </w:r>
    </w:p>
    <w:p>
      <w:pPr>
        <w:widowControl/>
        <w:snapToGrid w:val="0"/>
        <w:spacing w:before="120" w:beforeLines="50" w:after="120" w:afterLines="50" w:line="300" w:lineRule="auto"/>
        <w:ind w:firstLine="851" w:firstLineChars="353"/>
        <w:jc w:val="left"/>
        <w:rPr>
          <w:rFonts w:ascii="宋体" w:hAnsi="宋体" w:cs="宋体"/>
          <w:b/>
          <w:sz w:val="24"/>
          <w:szCs w:val="24"/>
        </w:rPr>
      </w:pPr>
      <w:r>
        <w:rPr>
          <w:rFonts w:hint="eastAsia" w:ascii="宋体" w:hAnsi="宋体" w:cs="宋体"/>
          <w:b/>
          <w:sz w:val="24"/>
          <w:szCs w:val="24"/>
        </w:rPr>
        <w:t>标段六：水产品（鲜、冻）；</w:t>
      </w:r>
    </w:p>
    <w:p>
      <w:pPr>
        <w:widowControl/>
        <w:snapToGrid w:val="0"/>
        <w:spacing w:before="120" w:beforeLines="50" w:after="120" w:afterLines="50" w:line="300" w:lineRule="auto"/>
        <w:ind w:firstLine="851" w:firstLineChars="353"/>
        <w:jc w:val="left"/>
        <w:rPr>
          <w:rFonts w:ascii="宋体" w:hAnsi="宋体" w:cs="宋体"/>
          <w:b/>
          <w:sz w:val="24"/>
          <w:szCs w:val="24"/>
        </w:rPr>
      </w:pPr>
      <w:r>
        <w:rPr>
          <w:rFonts w:hint="eastAsia" w:ascii="宋体" w:hAnsi="宋体" w:cs="宋体"/>
          <w:b/>
          <w:sz w:val="24"/>
          <w:szCs w:val="24"/>
        </w:rPr>
        <w:t>标段八：调味品、干货类；</w:t>
      </w:r>
    </w:p>
    <w:p>
      <w:pPr>
        <w:widowControl/>
        <w:snapToGrid w:val="0"/>
        <w:spacing w:before="120" w:beforeLines="50" w:after="120" w:afterLines="50" w:line="300" w:lineRule="auto"/>
        <w:ind w:firstLine="851" w:firstLineChars="353"/>
        <w:jc w:val="left"/>
        <w:rPr>
          <w:rFonts w:ascii="宋体" w:hAnsi="宋体" w:cs="宋体"/>
          <w:b/>
          <w:sz w:val="24"/>
          <w:szCs w:val="24"/>
        </w:rPr>
      </w:pPr>
      <w:r>
        <w:rPr>
          <w:rFonts w:hint="eastAsia" w:ascii="宋体" w:hAnsi="宋体" w:cs="宋体"/>
          <w:b/>
          <w:sz w:val="24"/>
          <w:szCs w:val="24"/>
        </w:rPr>
        <w:t>标段九：豆制品类；</w:t>
      </w:r>
    </w:p>
    <w:p>
      <w:pPr>
        <w:widowControl/>
        <w:snapToGrid w:val="0"/>
        <w:spacing w:before="120" w:beforeLines="50" w:after="120" w:afterLines="50" w:line="300" w:lineRule="auto"/>
        <w:ind w:firstLine="851" w:firstLineChars="353"/>
        <w:jc w:val="left"/>
      </w:pPr>
      <w:r>
        <w:rPr>
          <w:rFonts w:hint="eastAsia" w:ascii="宋体" w:hAnsi="宋体" w:cs="宋体"/>
          <w:b/>
          <w:sz w:val="24"/>
          <w:szCs w:val="24"/>
        </w:rPr>
        <w:t>标段十一：饮品、点心类。</w:t>
      </w:r>
    </w:p>
    <w:p>
      <w:pPr>
        <w:widowControl/>
        <w:snapToGrid w:val="0"/>
        <w:spacing w:before="120" w:beforeLines="50" w:after="120" w:afterLines="50" w:line="300" w:lineRule="auto"/>
        <w:ind w:firstLine="470" w:firstLineChars="196"/>
        <w:jc w:val="left"/>
        <w:rPr>
          <w:rFonts w:ascii="宋体" w:hAnsi="宋体" w:cs="宋体"/>
          <w:sz w:val="24"/>
          <w:szCs w:val="24"/>
        </w:rPr>
      </w:pPr>
      <w:r>
        <w:rPr>
          <w:rFonts w:hint="eastAsia" w:ascii="宋体" w:hAnsi="宋体" w:cs="宋体"/>
          <w:sz w:val="24"/>
          <w:szCs w:val="24"/>
        </w:rPr>
        <w:t>有能力参加多个标段投标的供应商请分别按标段投标。投标供应商投标时根据自己的经营项目投标，不得对非经营项目投标。每个投标供应商可申请参与上述壹个或多个标段投标，可同时中多个标段；同时参加多个标段投标的供应商请分别按标段投标。参与多个标段投标的供应商，资格后审原件包、资格后审材料资料文件包不必分标段提交，但技术磋商响文件、商务报价磋商响应文件均需按所投标段分别制作和提交。</w:t>
      </w:r>
    </w:p>
    <w:p>
      <w:pPr>
        <w:widowControl/>
        <w:snapToGrid w:val="0"/>
        <w:spacing w:before="120" w:beforeLines="50" w:after="120" w:afterLines="50" w:line="300" w:lineRule="auto"/>
        <w:ind w:firstLine="472" w:firstLineChars="196"/>
        <w:jc w:val="left"/>
        <w:rPr>
          <w:rFonts w:ascii="宋体" w:hAnsi="宋体" w:cs="宋体"/>
          <w:sz w:val="24"/>
          <w:szCs w:val="24"/>
        </w:rPr>
      </w:pPr>
      <w:r>
        <w:rPr>
          <w:rFonts w:hint="eastAsia" w:ascii="宋体" w:hAnsi="宋体" w:cs="宋体"/>
          <w:b/>
          <w:bCs/>
          <w:sz w:val="24"/>
          <w:szCs w:val="24"/>
        </w:rPr>
        <w:t>2</w:t>
      </w:r>
      <w:r>
        <w:rPr>
          <w:rFonts w:hint="eastAsia" w:ascii="宋体" w:hAnsi="宋体" w:cs="宋体"/>
          <w:sz w:val="24"/>
          <w:szCs w:val="24"/>
        </w:rPr>
        <w:t>、供应量：</w:t>
      </w:r>
      <w:r>
        <w:rPr>
          <w:rFonts w:hint="eastAsia" w:ascii="宋体" w:hAnsi="宋体" w:cs="宋体"/>
          <w:color w:val="000000"/>
          <w:sz w:val="24"/>
          <w:szCs w:val="24"/>
        </w:rPr>
        <w:t>约3500名师生。学校南区新建食堂投入使用前，学校师生午餐为统一的快餐。待南区新建食堂使用后，学生提供饮品、点心等特色食品，特色食品实行点餐制。</w:t>
      </w:r>
    </w:p>
    <w:p>
      <w:pPr>
        <w:widowControl/>
        <w:snapToGrid w:val="0"/>
        <w:spacing w:before="120" w:beforeLines="50" w:after="120" w:afterLines="50" w:line="300" w:lineRule="auto"/>
        <w:ind w:firstLine="470" w:firstLineChars="196"/>
        <w:jc w:val="left"/>
        <w:rPr>
          <w:rFonts w:ascii="宋体" w:hAnsi="宋体" w:cs="宋体"/>
          <w:color w:val="000000"/>
          <w:sz w:val="24"/>
          <w:szCs w:val="24"/>
        </w:rPr>
      </w:pPr>
      <w:r>
        <w:rPr>
          <w:rFonts w:hint="eastAsia" w:ascii="宋体" w:hAnsi="宋体" w:cs="宋体"/>
          <w:sz w:val="24"/>
          <w:szCs w:val="24"/>
        </w:rPr>
        <w:t>3、送货地点：</w:t>
      </w:r>
      <w:r>
        <w:rPr>
          <w:rFonts w:hint="eastAsia" w:ascii="宋体" w:hAnsi="宋体" w:cs="宋体"/>
          <w:color w:val="000000"/>
          <w:sz w:val="24"/>
          <w:szCs w:val="24"/>
        </w:rPr>
        <w:t>南通市启秀中学食堂指定地点</w:t>
      </w:r>
    </w:p>
    <w:p>
      <w:pPr>
        <w:widowControl/>
        <w:snapToGrid w:val="0"/>
        <w:spacing w:before="120" w:beforeLines="50" w:after="120" w:afterLines="50" w:line="300" w:lineRule="auto"/>
        <w:ind w:firstLine="470" w:firstLineChars="196"/>
        <w:jc w:val="left"/>
        <w:rPr>
          <w:color w:val="000000"/>
          <w:sz w:val="24"/>
          <w:szCs w:val="24"/>
        </w:rPr>
      </w:pPr>
      <w:r>
        <w:rPr>
          <w:color w:val="000000"/>
          <w:sz w:val="24"/>
          <w:szCs w:val="24"/>
        </w:rPr>
        <w:t>4、资格准入期</w:t>
      </w:r>
      <w:r>
        <w:rPr>
          <w:sz w:val="24"/>
          <w:szCs w:val="24"/>
        </w:rPr>
        <w:t>限：合同签订之日起一年（参照南</w:t>
      </w:r>
      <w:r>
        <w:rPr>
          <w:color w:val="000000"/>
          <w:sz w:val="24"/>
          <w:szCs w:val="24"/>
        </w:rPr>
        <w:t>通市政务中心服务类招标文件精神，</w:t>
      </w:r>
      <w:r>
        <w:rPr>
          <w:sz w:val="24"/>
          <w:szCs w:val="24"/>
        </w:rPr>
        <w:t>合同先签订一年，如中标单位服务质量高，业主满意程度高，可以采取1+N年［N≤3］</w:t>
      </w:r>
      <w:r>
        <w:rPr>
          <w:color w:val="000000"/>
          <w:sz w:val="24"/>
          <w:szCs w:val="24"/>
        </w:rPr>
        <w:t>方式续签合同）。</w:t>
      </w:r>
    </w:p>
    <w:p>
      <w:pPr>
        <w:snapToGrid w:val="0"/>
        <w:spacing w:before="120" w:beforeLines="50" w:after="120" w:afterLines="50" w:line="300" w:lineRule="auto"/>
        <w:ind w:firstLine="496" w:firstLineChars="206"/>
        <w:outlineLvl w:val="1"/>
        <w:rPr>
          <w:rFonts w:ascii="宋体" w:hAnsi="宋体" w:cs="宋体"/>
          <w:b/>
          <w:bCs/>
          <w:color w:val="000000"/>
          <w:sz w:val="24"/>
          <w:szCs w:val="24"/>
        </w:rPr>
      </w:pPr>
      <w:r>
        <w:rPr>
          <w:rFonts w:hint="eastAsia" w:ascii="宋体" w:hAnsi="宋体" w:cs="宋体"/>
          <w:b/>
          <w:bCs/>
          <w:color w:val="000000"/>
          <w:sz w:val="24"/>
          <w:szCs w:val="24"/>
        </w:rPr>
        <w:t>四、供应商资格要求</w:t>
      </w:r>
    </w:p>
    <w:p>
      <w:pPr>
        <w:widowControl/>
        <w:snapToGrid w:val="0"/>
        <w:spacing w:before="120" w:beforeLines="50" w:after="120" w:afterLines="50" w:line="300" w:lineRule="auto"/>
        <w:ind w:firstLine="472" w:firstLineChars="196"/>
        <w:jc w:val="left"/>
        <w:rPr>
          <w:rFonts w:ascii="宋体" w:hAnsi="宋体" w:cs="宋体"/>
          <w:b/>
          <w:bCs/>
          <w:sz w:val="24"/>
          <w:szCs w:val="24"/>
        </w:rPr>
      </w:pPr>
      <w:r>
        <w:rPr>
          <w:rFonts w:ascii="宋体" w:hAnsi="宋体" w:cs="宋体"/>
          <w:b/>
          <w:bCs/>
          <w:sz w:val="24"/>
          <w:szCs w:val="24"/>
        </w:rPr>
        <w:t>（一）符合政府采购法第二十二条第一款规定的条件，并提供下列材料：</w:t>
      </w:r>
    </w:p>
    <w:p>
      <w:pPr>
        <w:widowControl/>
        <w:snapToGrid w:val="0"/>
        <w:spacing w:before="120" w:beforeLines="50" w:after="120" w:afterLines="50" w:line="300" w:lineRule="auto"/>
        <w:ind w:firstLine="470" w:firstLineChars="196"/>
        <w:jc w:val="left"/>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法人或者其他组织的营业执照等证明文件，自然人的身份证明（营业执照经营范围必需包含所投标段产品）</w:t>
      </w:r>
      <w:r>
        <w:rPr>
          <w:rFonts w:hint="eastAsia" w:ascii="宋体" w:hAnsi="宋体" w:cs="宋体"/>
          <w:sz w:val="24"/>
          <w:szCs w:val="24"/>
        </w:rPr>
        <w:t>；</w:t>
      </w:r>
    </w:p>
    <w:p>
      <w:pPr>
        <w:widowControl/>
        <w:snapToGrid w:val="0"/>
        <w:spacing w:before="120" w:beforeLines="50" w:after="120" w:afterLines="50" w:line="300" w:lineRule="auto"/>
        <w:ind w:firstLine="470" w:firstLineChars="196"/>
        <w:jc w:val="left"/>
        <w:rPr>
          <w:rFonts w:ascii="宋体" w:hAnsi="宋体" w:cs="宋体"/>
          <w:sz w:val="24"/>
          <w:szCs w:val="24"/>
        </w:rPr>
      </w:pPr>
      <w:r>
        <w:rPr>
          <w:rFonts w:ascii="宋体" w:hAnsi="宋体" w:cs="宋体"/>
          <w:sz w:val="24"/>
          <w:szCs w:val="24"/>
        </w:rPr>
        <w:t>2、上一年度的财务状况报告（</w:t>
      </w:r>
      <w:r>
        <w:rPr>
          <w:rFonts w:hint="eastAsia" w:ascii="宋体" w:hAnsi="宋体" w:cs="宋体"/>
          <w:sz w:val="24"/>
          <w:szCs w:val="24"/>
        </w:rPr>
        <w:t>需提供上一年度财务审计报告，</w:t>
      </w:r>
      <w:r>
        <w:rPr>
          <w:rFonts w:ascii="宋体" w:hAnsi="宋体" w:cs="宋体"/>
          <w:sz w:val="24"/>
          <w:szCs w:val="24"/>
        </w:rPr>
        <w:t>成立不满一年</w:t>
      </w:r>
      <w:r>
        <w:rPr>
          <w:rFonts w:hint="eastAsia" w:ascii="宋体" w:hAnsi="宋体" w:cs="宋体"/>
          <w:sz w:val="24"/>
          <w:szCs w:val="24"/>
        </w:rPr>
        <w:t>的</w:t>
      </w:r>
      <w:r>
        <w:rPr>
          <w:rFonts w:ascii="宋体" w:hAnsi="宋体" w:cs="宋体"/>
          <w:sz w:val="24"/>
          <w:szCs w:val="24"/>
        </w:rPr>
        <w:t>不需提供）；</w:t>
      </w:r>
    </w:p>
    <w:p>
      <w:pPr>
        <w:widowControl/>
        <w:snapToGrid w:val="0"/>
        <w:spacing w:before="120" w:beforeLines="50" w:after="120" w:afterLines="50" w:line="300" w:lineRule="auto"/>
        <w:ind w:firstLine="470" w:firstLineChars="196"/>
        <w:jc w:val="left"/>
        <w:rPr>
          <w:rFonts w:ascii="宋体" w:hAnsi="宋体" w:cs="宋体"/>
          <w:sz w:val="24"/>
          <w:szCs w:val="24"/>
        </w:rPr>
      </w:pPr>
      <w:r>
        <w:rPr>
          <w:rFonts w:ascii="宋体" w:hAnsi="宋体" w:cs="宋体"/>
          <w:sz w:val="24"/>
          <w:szCs w:val="24"/>
        </w:rPr>
        <w:t>3、依法缴纳税收和社会保障资金的相关材料</w:t>
      </w:r>
      <w:r>
        <w:rPr>
          <w:rFonts w:hint="eastAsia" w:ascii="宋体" w:hAnsi="宋体" w:cs="宋体"/>
          <w:sz w:val="24"/>
          <w:szCs w:val="24"/>
        </w:rPr>
        <w:t>（提供2</w:t>
      </w:r>
      <w:r>
        <w:rPr>
          <w:rFonts w:ascii="宋体" w:hAnsi="宋体" w:cs="宋体"/>
          <w:sz w:val="24"/>
          <w:szCs w:val="24"/>
        </w:rPr>
        <w:t>019</w:t>
      </w:r>
      <w:r>
        <w:rPr>
          <w:rFonts w:hint="eastAsia" w:ascii="宋体" w:hAnsi="宋体" w:cs="宋体"/>
          <w:sz w:val="24"/>
          <w:szCs w:val="24"/>
        </w:rPr>
        <w:t>年度中华人民共和国税收完税证明、社会保险费缴费证明）</w:t>
      </w:r>
      <w:r>
        <w:rPr>
          <w:rFonts w:ascii="宋体" w:hAnsi="宋体" w:cs="宋体"/>
          <w:sz w:val="24"/>
          <w:szCs w:val="24"/>
        </w:rPr>
        <w:t>；</w:t>
      </w:r>
    </w:p>
    <w:p>
      <w:pPr>
        <w:widowControl/>
        <w:snapToGrid w:val="0"/>
        <w:spacing w:before="120" w:beforeLines="50" w:after="120" w:afterLines="50" w:line="300" w:lineRule="auto"/>
        <w:ind w:firstLine="470" w:firstLineChars="196"/>
        <w:jc w:val="left"/>
        <w:rPr>
          <w:rFonts w:ascii="宋体" w:hAnsi="宋体" w:cs="宋体"/>
          <w:sz w:val="24"/>
          <w:szCs w:val="24"/>
        </w:rPr>
      </w:pPr>
      <w:r>
        <w:rPr>
          <w:rFonts w:ascii="宋体" w:hAnsi="宋体" w:cs="宋体"/>
          <w:sz w:val="24"/>
          <w:szCs w:val="24"/>
        </w:rPr>
        <w:t>4、具备履行合同所必需的设备和专业技术能力的证明材料；</w:t>
      </w:r>
    </w:p>
    <w:p>
      <w:pPr>
        <w:widowControl/>
        <w:snapToGrid w:val="0"/>
        <w:spacing w:before="120" w:beforeLines="50" w:after="120" w:afterLines="50" w:line="300" w:lineRule="auto"/>
        <w:ind w:firstLine="470" w:firstLineChars="196"/>
        <w:jc w:val="left"/>
        <w:rPr>
          <w:rFonts w:ascii="宋体" w:hAnsi="宋体" w:cs="宋体"/>
          <w:sz w:val="24"/>
          <w:szCs w:val="24"/>
        </w:rPr>
      </w:pPr>
      <w:r>
        <w:rPr>
          <w:rFonts w:ascii="宋体" w:hAnsi="宋体" w:cs="宋体"/>
          <w:sz w:val="24"/>
          <w:szCs w:val="24"/>
        </w:rPr>
        <w:t>5、参加政府采购活动前3年内在经营活动中没有重大违法记录的书面声明；</w:t>
      </w:r>
    </w:p>
    <w:p>
      <w:pPr>
        <w:widowControl/>
        <w:snapToGrid w:val="0"/>
        <w:spacing w:before="120" w:beforeLines="50" w:after="120" w:afterLines="50" w:line="300" w:lineRule="auto"/>
        <w:ind w:firstLine="472" w:firstLineChars="196"/>
        <w:jc w:val="left"/>
        <w:rPr>
          <w:rFonts w:ascii="宋体" w:hAnsi="宋体" w:cs="宋体"/>
          <w:b/>
          <w:bCs/>
          <w:sz w:val="24"/>
          <w:szCs w:val="24"/>
        </w:rPr>
      </w:pPr>
      <w:r>
        <w:rPr>
          <w:rFonts w:ascii="宋体" w:hAnsi="宋体" w:cs="宋体"/>
          <w:b/>
          <w:bCs/>
          <w:sz w:val="24"/>
          <w:szCs w:val="24"/>
        </w:rPr>
        <w:t>（二）其他资格要求</w:t>
      </w:r>
    </w:p>
    <w:p>
      <w:pPr>
        <w:widowControl/>
        <w:snapToGrid w:val="0"/>
        <w:spacing w:before="120" w:beforeLines="50" w:after="120" w:afterLines="50" w:line="300" w:lineRule="auto"/>
        <w:ind w:firstLine="470" w:firstLineChars="196"/>
        <w:jc w:val="left"/>
        <w:rPr>
          <w:rFonts w:hint="eastAsia"/>
          <w:sz w:val="24"/>
          <w:szCs w:val="24"/>
          <w:lang w:val="en-US" w:eastAsia="zh-CN"/>
        </w:rPr>
      </w:pPr>
      <w:r>
        <w:rPr>
          <w:rFonts w:hint="eastAsia"/>
          <w:sz w:val="24"/>
          <w:szCs w:val="24"/>
          <w:lang w:val="en-US" w:eastAsia="zh-CN"/>
        </w:rPr>
        <w:t>1、供应商为经销商的需提供食品经营许可证，食品经营许可证经营项目中必需包含所投标段产品（市场监管部门对所投标段产品无食品经营许可证要求的除外）。</w:t>
      </w:r>
    </w:p>
    <w:p>
      <w:pPr>
        <w:widowControl/>
        <w:snapToGrid w:val="0"/>
        <w:spacing w:before="120" w:beforeLines="50" w:after="120" w:afterLines="50" w:line="300" w:lineRule="auto"/>
        <w:ind w:firstLine="470" w:firstLineChars="196"/>
        <w:jc w:val="left"/>
        <w:rPr>
          <w:rFonts w:hint="eastAsia"/>
          <w:sz w:val="24"/>
          <w:szCs w:val="24"/>
          <w:lang w:val="en-US" w:eastAsia="zh-CN"/>
        </w:rPr>
      </w:pPr>
      <w:r>
        <w:rPr>
          <w:rFonts w:hint="eastAsia"/>
          <w:sz w:val="24"/>
          <w:szCs w:val="24"/>
          <w:lang w:val="en-US" w:eastAsia="zh-CN"/>
        </w:rPr>
        <w:t>2、供应商为生产企业的需同时提供食品生产许可证和食品经营许可证。食品生产许可证食品类别及食品经营许可证经营项目中必需包含所投标段产品（市场监管部门对所投标段产品无食品经营许可证要求的除外）。</w:t>
      </w:r>
    </w:p>
    <w:p>
      <w:pPr>
        <w:widowControl/>
        <w:snapToGrid w:val="0"/>
        <w:spacing w:before="120" w:beforeLines="50" w:after="120" w:afterLines="50" w:line="300" w:lineRule="auto"/>
        <w:ind w:firstLine="470" w:firstLineChars="196"/>
        <w:jc w:val="left"/>
        <w:rPr>
          <w:rFonts w:hint="eastAsia"/>
          <w:sz w:val="24"/>
          <w:szCs w:val="24"/>
        </w:rPr>
      </w:pPr>
      <w:r>
        <w:rPr>
          <w:rFonts w:hint="eastAsia"/>
          <w:sz w:val="24"/>
          <w:szCs w:val="24"/>
        </w:rPr>
        <w:t>3、标段十一投标人需具有食品生产、经营资质的独立法人资格，并取得食品生产许可证、食品经营许可证（经营项目包含“西式快餐制售”）。</w:t>
      </w:r>
    </w:p>
    <w:p>
      <w:pPr>
        <w:widowControl/>
        <w:snapToGrid w:val="0"/>
        <w:spacing w:before="120" w:beforeLines="50" w:after="120" w:afterLines="50" w:line="300" w:lineRule="auto"/>
        <w:ind w:firstLine="470" w:firstLineChars="196"/>
        <w:jc w:val="left"/>
        <w:rPr>
          <w:sz w:val="24"/>
          <w:szCs w:val="24"/>
        </w:rPr>
      </w:pPr>
      <w:r>
        <w:rPr>
          <w:rFonts w:hint="eastAsia"/>
          <w:sz w:val="24"/>
          <w:szCs w:val="24"/>
        </w:rPr>
        <w:t>4</w:t>
      </w:r>
      <w:r>
        <w:rPr>
          <w:sz w:val="24"/>
          <w:szCs w:val="24"/>
        </w:rPr>
        <w:t>、供应商必须在</w:t>
      </w:r>
      <w:r>
        <w:rPr>
          <w:b/>
          <w:bCs/>
          <w:sz w:val="24"/>
          <w:szCs w:val="24"/>
        </w:rPr>
        <w:t>南通市内</w:t>
      </w:r>
      <w:r>
        <w:rPr>
          <w:rFonts w:hint="eastAsia"/>
          <w:b/>
          <w:bCs/>
          <w:sz w:val="24"/>
          <w:szCs w:val="24"/>
        </w:rPr>
        <w:t>（含市辖县）</w:t>
      </w:r>
      <w:r>
        <w:rPr>
          <w:sz w:val="24"/>
          <w:szCs w:val="24"/>
        </w:rPr>
        <w:t>有固定的经营场所（含办公和配送、安全标准仓储场所等），提供有固定的办公和配送、安全标准仓储场所相关证明资料(如办公和仓库的租、购合同、照片等)。</w:t>
      </w:r>
    </w:p>
    <w:p>
      <w:pPr>
        <w:widowControl/>
        <w:snapToGrid w:val="0"/>
        <w:spacing w:before="120" w:beforeLines="50" w:after="120" w:afterLines="50" w:line="300" w:lineRule="auto"/>
        <w:ind w:firstLine="470" w:firstLineChars="196"/>
        <w:jc w:val="left"/>
        <w:rPr>
          <w:sz w:val="24"/>
          <w:szCs w:val="24"/>
        </w:rPr>
      </w:pPr>
      <w:r>
        <w:rPr>
          <w:rFonts w:hint="eastAsia"/>
          <w:sz w:val="24"/>
          <w:szCs w:val="24"/>
        </w:rPr>
        <w:t>5</w:t>
      </w:r>
      <w:r>
        <w:rPr>
          <w:sz w:val="24"/>
          <w:szCs w:val="24"/>
        </w:rPr>
        <w:t>、供应商为</w:t>
      </w:r>
      <w:r>
        <w:rPr>
          <w:rFonts w:hint="eastAsia"/>
          <w:sz w:val="24"/>
          <w:szCs w:val="24"/>
        </w:rPr>
        <w:t>南通市启秀中学</w:t>
      </w:r>
      <w:r>
        <w:rPr>
          <w:sz w:val="24"/>
          <w:szCs w:val="24"/>
        </w:rPr>
        <w:t>餐饮服务商的不得参加该项目磋商。</w:t>
      </w:r>
    </w:p>
    <w:p>
      <w:pPr>
        <w:widowControl/>
        <w:snapToGrid w:val="0"/>
        <w:spacing w:before="120" w:beforeLines="50" w:after="120" w:afterLines="50" w:line="300" w:lineRule="auto"/>
        <w:ind w:firstLine="470" w:firstLineChars="196"/>
        <w:jc w:val="left"/>
        <w:rPr>
          <w:sz w:val="24"/>
          <w:szCs w:val="24"/>
        </w:rPr>
      </w:pPr>
      <w:r>
        <w:rPr>
          <w:rFonts w:hint="eastAsia"/>
          <w:sz w:val="24"/>
          <w:szCs w:val="24"/>
        </w:rPr>
        <w:t>6</w:t>
      </w:r>
      <w:r>
        <w:rPr>
          <w:sz w:val="24"/>
          <w:szCs w:val="24"/>
        </w:rPr>
        <w:t>、法定代表人为同一个人的两个及两个以上法人，母公司、全资子公司及其控股公司，都不得在同一采购项目或同一标段中同时参加投标，一经发现，将视同围标处理。</w:t>
      </w:r>
    </w:p>
    <w:p>
      <w:pPr>
        <w:widowControl/>
        <w:snapToGrid w:val="0"/>
        <w:spacing w:before="120" w:beforeLines="50" w:after="120" w:afterLines="50" w:line="300" w:lineRule="auto"/>
        <w:ind w:firstLine="470" w:firstLineChars="196"/>
        <w:jc w:val="left"/>
        <w:rPr>
          <w:sz w:val="24"/>
          <w:szCs w:val="24"/>
        </w:rPr>
      </w:pPr>
      <w:r>
        <w:rPr>
          <w:rFonts w:hint="eastAsia"/>
          <w:sz w:val="24"/>
          <w:szCs w:val="24"/>
        </w:rPr>
        <w:t>7</w:t>
      </w:r>
      <w:r>
        <w:rPr>
          <w:sz w:val="24"/>
          <w:szCs w:val="24"/>
        </w:rPr>
        <w:t>、本项目不接受任何形式的联合体投标。</w:t>
      </w:r>
    </w:p>
    <w:p>
      <w:pPr>
        <w:widowControl/>
        <w:snapToGrid w:val="0"/>
        <w:spacing w:before="120" w:beforeLines="50" w:after="120" w:afterLines="50" w:line="300" w:lineRule="auto"/>
        <w:ind w:firstLine="472" w:firstLineChars="196"/>
        <w:jc w:val="left"/>
        <w:rPr>
          <w:rFonts w:ascii="宋体" w:hAnsi="宋体" w:cs="宋体"/>
          <w:b/>
          <w:sz w:val="24"/>
          <w:szCs w:val="24"/>
          <w:u w:val="single"/>
        </w:rPr>
      </w:pPr>
      <w:r>
        <w:rPr>
          <w:rFonts w:hint="eastAsia" w:ascii="宋体" w:hAnsi="宋体" w:cs="宋体"/>
          <w:b/>
          <w:color w:val="000000"/>
          <w:sz w:val="24"/>
          <w:szCs w:val="24"/>
          <w:u w:val="single"/>
        </w:rPr>
        <w:t>具体</w:t>
      </w:r>
      <w:r>
        <w:rPr>
          <w:rFonts w:hint="eastAsia" w:ascii="宋体" w:hAnsi="宋体" w:cs="宋体"/>
          <w:b/>
          <w:sz w:val="24"/>
          <w:szCs w:val="24"/>
          <w:u w:val="single"/>
        </w:rPr>
        <w:t>资格要求详见第八章中的“资格审查文件”。</w:t>
      </w:r>
    </w:p>
    <w:p>
      <w:pPr>
        <w:widowControl/>
        <w:snapToGrid w:val="0"/>
        <w:spacing w:before="120" w:beforeLines="50" w:after="120" w:afterLines="50" w:line="300" w:lineRule="auto"/>
        <w:ind w:firstLine="472" w:firstLineChars="196"/>
        <w:jc w:val="left"/>
        <w:rPr>
          <w:rFonts w:ascii="宋体" w:hAnsi="宋体" w:cs="宋体"/>
          <w:b/>
          <w:sz w:val="24"/>
          <w:szCs w:val="24"/>
        </w:rPr>
      </w:pPr>
      <w:r>
        <w:rPr>
          <w:rFonts w:hint="eastAsia" w:ascii="宋体" w:hAnsi="宋体" w:cs="宋体"/>
          <w:b/>
          <w:sz w:val="24"/>
          <w:szCs w:val="24"/>
        </w:rPr>
        <w:t>请供应商认真对照资格要求，如不符合要求，无意或故意参与投标的，所产生的一切后果由供应商承担。对提供虚假材料的响应供应商作无效标处理，磋商保证金不予退还，并报相关职能部门。</w:t>
      </w:r>
    </w:p>
    <w:p>
      <w:pPr>
        <w:snapToGrid w:val="0"/>
        <w:spacing w:before="120" w:beforeLines="50" w:after="120" w:afterLines="50" w:line="300" w:lineRule="auto"/>
        <w:ind w:firstLine="496" w:firstLineChars="206"/>
        <w:outlineLvl w:val="1"/>
        <w:rPr>
          <w:rFonts w:ascii="宋体" w:hAnsi="宋体" w:cs="宋体"/>
          <w:b/>
          <w:bCs/>
          <w:color w:val="000000"/>
          <w:sz w:val="24"/>
          <w:szCs w:val="24"/>
        </w:rPr>
      </w:pPr>
      <w:bookmarkStart w:id="13" w:name="_Hlk47864672"/>
      <w:r>
        <w:rPr>
          <w:rFonts w:hint="eastAsia" w:ascii="宋体" w:hAnsi="宋体" w:cs="宋体"/>
          <w:b/>
          <w:bCs/>
          <w:color w:val="000000"/>
          <w:sz w:val="24"/>
          <w:szCs w:val="24"/>
        </w:rPr>
        <w:t>五、磋商文件领取时间及地点</w:t>
      </w:r>
    </w:p>
    <w:p>
      <w:pPr>
        <w:widowControl/>
        <w:snapToGrid w:val="0"/>
        <w:spacing w:before="120" w:beforeLines="50" w:after="120" w:afterLines="50" w:line="300" w:lineRule="auto"/>
        <w:ind w:firstLine="470" w:firstLineChars="196"/>
        <w:jc w:val="left"/>
        <w:rPr>
          <w:sz w:val="24"/>
          <w:szCs w:val="24"/>
        </w:rPr>
      </w:pPr>
      <w:r>
        <w:rPr>
          <w:sz w:val="24"/>
          <w:szCs w:val="24"/>
        </w:rPr>
        <w:t>有意愿参与本项目投标响应的单位，请于本公告日起至开标截止前，</w:t>
      </w:r>
      <w:r>
        <w:rPr>
          <w:rFonts w:ascii="宋体" w:hAnsi="宋体"/>
          <w:sz w:val="24"/>
          <w:szCs w:val="24"/>
        </w:rPr>
        <w:t>到</w:t>
      </w:r>
      <w:bookmarkStart w:id="14" w:name="_Hlk47864722"/>
      <w:r>
        <w:rPr>
          <w:rFonts w:ascii="宋体" w:hAnsi="宋体"/>
          <w:sz w:val="24"/>
          <w:szCs w:val="24"/>
        </w:rPr>
        <w:t>“</w:t>
      </w:r>
      <w:r>
        <w:rPr>
          <w:rFonts w:hint="eastAsia" w:ascii="宋体" w:hAnsi="宋体"/>
          <w:sz w:val="24"/>
          <w:szCs w:val="24"/>
          <w:lang w:val="en-US" w:eastAsia="zh-CN"/>
        </w:rPr>
        <w:t>南通市公共资源交易网（http://ggzyjy.nantong.gov.cn/）、</w:t>
      </w:r>
      <w:r>
        <w:rPr>
          <w:rFonts w:ascii="宋体" w:hAnsi="宋体"/>
          <w:sz w:val="24"/>
          <w:szCs w:val="24"/>
        </w:rPr>
        <w:t>南</w:t>
      </w:r>
      <w:r>
        <w:rPr>
          <w:sz w:val="24"/>
          <w:szCs w:val="24"/>
        </w:rPr>
        <w:t>通教育局官网（http://jyj.nantong.gov.cn/）</w:t>
      </w:r>
      <w:r>
        <w:rPr>
          <w:rFonts w:ascii="宋体" w:hAnsi="宋体"/>
          <w:sz w:val="24"/>
          <w:szCs w:val="24"/>
        </w:rPr>
        <w:t>”</w:t>
      </w:r>
      <w:r>
        <w:rPr>
          <w:rFonts w:hint="eastAsia" w:ascii="宋体" w:hAnsi="宋体"/>
          <w:sz w:val="24"/>
          <w:szCs w:val="24"/>
          <w:lang w:val="en-US" w:eastAsia="zh-CN"/>
        </w:rPr>
        <w:t>或</w:t>
      </w:r>
      <w:r>
        <w:rPr>
          <w:rFonts w:ascii="宋体" w:hAnsi="宋体"/>
          <w:sz w:val="24"/>
          <w:szCs w:val="24"/>
        </w:rPr>
        <w:t>“</w:t>
      </w:r>
      <w:r>
        <w:rPr>
          <w:rFonts w:hint="eastAsia" w:ascii="宋体" w:hAnsi="宋体"/>
          <w:sz w:val="24"/>
          <w:szCs w:val="24"/>
        </w:rPr>
        <w:t>南通市启秀中学</w:t>
      </w:r>
      <w:r>
        <w:rPr>
          <w:sz w:val="24"/>
          <w:szCs w:val="24"/>
        </w:rPr>
        <w:t>官网（</w:t>
      </w:r>
      <w:r>
        <w:rPr>
          <w:rFonts w:hint="eastAsia"/>
          <w:sz w:val="24"/>
          <w:szCs w:val="24"/>
        </w:rPr>
        <w:t>http://www.ntqxzx.cn/</w:t>
      </w:r>
      <w:r>
        <w:rPr>
          <w:sz w:val="24"/>
          <w:szCs w:val="24"/>
        </w:rPr>
        <w:t>）</w:t>
      </w:r>
      <w:r>
        <w:rPr>
          <w:rFonts w:ascii="宋体" w:hAnsi="宋体"/>
          <w:sz w:val="24"/>
          <w:szCs w:val="24"/>
        </w:rPr>
        <w:t>”</w:t>
      </w:r>
      <w:bookmarkEnd w:id="14"/>
      <w:r>
        <w:rPr>
          <w:rFonts w:ascii="宋体" w:hAnsi="宋体"/>
          <w:sz w:val="24"/>
          <w:szCs w:val="24"/>
        </w:rPr>
        <w:t>下载本项</w:t>
      </w:r>
      <w:r>
        <w:rPr>
          <w:sz w:val="24"/>
          <w:szCs w:val="24"/>
        </w:rPr>
        <w:t>目的招标文件。</w:t>
      </w:r>
    </w:p>
    <w:bookmarkEnd w:id="13"/>
    <w:p>
      <w:pPr>
        <w:snapToGrid w:val="0"/>
        <w:spacing w:before="120" w:beforeLines="50" w:after="120" w:afterLines="50" w:line="300" w:lineRule="auto"/>
        <w:ind w:firstLine="496" w:firstLineChars="206"/>
        <w:outlineLvl w:val="1"/>
        <w:rPr>
          <w:rFonts w:ascii="宋体" w:hAnsi="宋体" w:cs="宋体"/>
          <w:b/>
          <w:bCs/>
          <w:color w:val="000000"/>
          <w:sz w:val="24"/>
          <w:szCs w:val="24"/>
        </w:rPr>
      </w:pPr>
      <w:r>
        <w:rPr>
          <w:rFonts w:hint="eastAsia" w:ascii="宋体" w:hAnsi="宋体" w:cs="宋体"/>
          <w:b/>
          <w:bCs/>
          <w:color w:val="000000"/>
          <w:sz w:val="24"/>
          <w:szCs w:val="24"/>
        </w:rPr>
        <w:t>六、响应文件接收截止、评审磋商开始时间及</w:t>
      </w:r>
      <w:r>
        <w:rPr>
          <w:rFonts w:ascii="宋体" w:hAnsi="宋体" w:cs="宋体"/>
          <w:b/>
          <w:bCs/>
          <w:color w:val="000000"/>
          <w:sz w:val="24"/>
          <w:szCs w:val="24"/>
        </w:rPr>
        <w:t>地点</w:t>
      </w:r>
    </w:p>
    <w:p>
      <w:pPr>
        <w:widowControl/>
        <w:snapToGrid w:val="0"/>
        <w:spacing w:before="120" w:beforeLines="50" w:after="120" w:afterLines="50" w:line="300" w:lineRule="auto"/>
        <w:ind w:firstLine="470" w:firstLineChars="196"/>
        <w:jc w:val="left"/>
        <w:rPr>
          <w:rFonts w:ascii="宋体" w:hAnsi="宋体" w:cs="宋体"/>
          <w:color w:val="000000"/>
          <w:sz w:val="24"/>
          <w:szCs w:val="24"/>
        </w:rPr>
      </w:pPr>
      <w:r>
        <w:rPr>
          <w:rFonts w:ascii="宋体" w:hAnsi="宋体" w:cs="宋体"/>
          <w:color w:val="000000"/>
          <w:sz w:val="24"/>
          <w:szCs w:val="24"/>
        </w:rPr>
        <w:t>2020</w:t>
      </w:r>
      <w:r>
        <w:rPr>
          <w:rFonts w:hint="eastAsia" w:ascii="宋体" w:hAnsi="宋体" w:cs="宋体"/>
          <w:color w:val="000000"/>
          <w:sz w:val="24"/>
          <w:szCs w:val="24"/>
        </w:rPr>
        <w:t>年</w:t>
      </w:r>
      <w:r>
        <w:rPr>
          <w:rFonts w:hint="eastAsia" w:ascii="宋体" w:hAnsi="宋体" w:cs="宋体"/>
          <w:color w:val="000000"/>
          <w:sz w:val="24"/>
          <w:szCs w:val="24"/>
          <w:lang w:val="en-US" w:eastAsia="zh-CN"/>
        </w:rPr>
        <w:t>9</w:t>
      </w:r>
      <w:r>
        <w:rPr>
          <w:rFonts w:hint="eastAsia" w:ascii="宋体" w:hAnsi="宋体" w:cs="宋体"/>
          <w:color w:val="000000"/>
          <w:sz w:val="24"/>
          <w:szCs w:val="24"/>
        </w:rPr>
        <w:t>月</w:t>
      </w:r>
      <w:r>
        <w:rPr>
          <w:rFonts w:hint="eastAsia" w:ascii="宋体" w:hAnsi="宋体" w:cs="宋体"/>
          <w:color w:val="000000"/>
          <w:sz w:val="24"/>
          <w:szCs w:val="24"/>
          <w:lang w:val="en-US" w:eastAsia="zh-CN"/>
        </w:rPr>
        <w:t>21</w:t>
      </w:r>
      <w:r>
        <w:rPr>
          <w:rFonts w:hint="eastAsia" w:ascii="宋体" w:hAnsi="宋体" w:cs="宋体"/>
          <w:color w:val="000000"/>
          <w:sz w:val="24"/>
          <w:szCs w:val="24"/>
        </w:rPr>
        <w:t>日上午</w:t>
      </w:r>
      <w:r>
        <w:rPr>
          <w:rFonts w:hint="eastAsia" w:ascii="宋体" w:hAnsi="宋体" w:cs="宋体"/>
          <w:color w:val="000000"/>
          <w:sz w:val="24"/>
          <w:szCs w:val="24"/>
          <w:lang w:val="en-US" w:eastAsia="zh-CN"/>
        </w:rPr>
        <w:t>10</w:t>
      </w:r>
      <w:r>
        <w:rPr>
          <w:rFonts w:hint="eastAsia" w:ascii="宋体" w:hAnsi="宋体" w:cs="宋体"/>
          <w:color w:val="000000"/>
          <w:sz w:val="24"/>
          <w:szCs w:val="24"/>
        </w:rPr>
        <w:t>时30分、</w:t>
      </w:r>
      <w:r>
        <w:rPr>
          <w:rFonts w:hint="eastAsia" w:ascii="宋体" w:hAnsi="宋体" w:cs="宋体"/>
          <w:sz w:val="24"/>
          <w:szCs w:val="24"/>
        </w:rPr>
        <w:t>南通市青年中路2号（青年路姚港路口石油大楼院内西二楼）江苏中润代理公司开标室，如有变动另行通知</w:t>
      </w:r>
      <w:r>
        <w:rPr>
          <w:rFonts w:hint="eastAsia" w:ascii="宋体" w:hAnsi="宋体" w:cs="宋体"/>
          <w:color w:val="000000"/>
          <w:sz w:val="24"/>
          <w:szCs w:val="24"/>
        </w:rPr>
        <w:t>。</w:t>
      </w:r>
    </w:p>
    <w:p>
      <w:pPr>
        <w:snapToGrid w:val="0"/>
        <w:spacing w:before="120" w:beforeLines="50" w:after="120" w:afterLines="50" w:line="300" w:lineRule="auto"/>
        <w:ind w:firstLine="496" w:firstLineChars="206"/>
        <w:outlineLvl w:val="1"/>
        <w:rPr>
          <w:rFonts w:ascii="宋体" w:hAnsi="宋体" w:cs="宋体"/>
          <w:b/>
          <w:bCs/>
          <w:color w:val="000000"/>
          <w:sz w:val="24"/>
          <w:szCs w:val="24"/>
        </w:rPr>
      </w:pPr>
      <w:r>
        <w:rPr>
          <w:rFonts w:hint="eastAsia" w:ascii="宋体" w:hAnsi="宋体" w:cs="宋体"/>
          <w:b/>
          <w:bCs/>
          <w:color w:val="000000"/>
          <w:sz w:val="24"/>
          <w:szCs w:val="24"/>
        </w:rPr>
        <w:t>七、响应文件递交地址</w:t>
      </w:r>
    </w:p>
    <w:p>
      <w:pPr>
        <w:widowControl/>
        <w:snapToGrid w:val="0"/>
        <w:spacing w:before="120" w:beforeLines="50" w:after="120" w:afterLines="50" w:line="300" w:lineRule="auto"/>
        <w:ind w:firstLine="470" w:firstLineChars="196"/>
        <w:jc w:val="left"/>
        <w:rPr>
          <w:rFonts w:ascii="宋体" w:hAnsi="宋体" w:cs="宋体"/>
          <w:sz w:val="24"/>
          <w:szCs w:val="24"/>
        </w:rPr>
      </w:pPr>
      <w:r>
        <w:rPr>
          <w:rFonts w:hint="eastAsia" w:ascii="宋体" w:hAnsi="宋体" w:cs="宋体"/>
          <w:sz w:val="24"/>
          <w:szCs w:val="24"/>
        </w:rPr>
        <w:t>南通市青年中路2号（青年路姚港路口石油大楼院内西二楼）江苏中润代理公司开标室，如有变动另行通知（如有变动，另行通知）。</w:t>
      </w:r>
    </w:p>
    <w:p>
      <w:pPr>
        <w:snapToGrid w:val="0"/>
        <w:spacing w:before="120" w:beforeLines="50" w:after="120" w:afterLines="50" w:line="300" w:lineRule="auto"/>
        <w:ind w:firstLine="496" w:firstLineChars="206"/>
        <w:outlineLvl w:val="1"/>
        <w:rPr>
          <w:rFonts w:ascii="宋体" w:hAnsi="宋体" w:cs="宋体"/>
          <w:b/>
          <w:bCs/>
          <w:color w:val="000000"/>
          <w:sz w:val="24"/>
          <w:szCs w:val="24"/>
        </w:rPr>
      </w:pPr>
      <w:r>
        <w:rPr>
          <w:rFonts w:hint="eastAsia" w:ascii="宋体" w:hAnsi="宋体" w:cs="宋体"/>
          <w:b/>
          <w:bCs/>
          <w:color w:val="000000"/>
          <w:sz w:val="24"/>
          <w:szCs w:val="24"/>
        </w:rPr>
        <w:t>八、磋商保证金</w:t>
      </w:r>
    </w:p>
    <w:p>
      <w:pPr>
        <w:spacing w:before="120" w:beforeLines="50" w:after="120" w:afterLines="50" w:line="300" w:lineRule="auto"/>
        <w:ind w:firstLine="484" w:firstLineChars="202"/>
        <w:rPr>
          <w:rFonts w:hint="eastAsia" w:ascii="宋体" w:hAnsi="宋体" w:eastAsia="宋体" w:cs="宋体"/>
          <w:bCs/>
          <w:sz w:val="24"/>
          <w:szCs w:val="24"/>
          <w:lang w:val="en-US" w:eastAsia="zh-CN"/>
        </w:rPr>
      </w:pPr>
      <w:r>
        <w:rPr>
          <w:rFonts w:hint="eastAsia" w:ascii="宋体" w:hAnsi="宋体" w:cs="宋体"/>
          <w:bCs/>
          <w:sz w:val="24"/>
          <w:szCs w:val="24"/>
        </w:rPr>
        <w:t>本次项目磋商保证金为：</w:t>
      </w:r>
      <w:r>
        <w:rPr>
          <w:rFonts w:hint="eastAsia" w:ascii="宋体" w:hAnsi="宋体" w:cs="宋体"/>
          <w:bCs/>
          <w:sz w:val="24"/>
          <w:szCs w:val="24"/>
          <w:lang w:val="en-US" w:eastAsia="zh-CN"/>
        </w:rPr>
        <w:t>免收；</w:t>
      </w:r>
    </w:p>
    <w:p>
      <w:pPr>
        <w:snapToGrid w:val="0"/>
        <w:spacing w:before="120" w:beforeLines="50" w:after="120" w:afterLines="50" w:line="300" w:lineRule="auto"/>
        <w:ind w:firstLine="496" w:firstLineChars="206"/>
        <w:outlineLvl w:val="1"/>
        <w:rPr>
          <w:rFonts w:ascii="宋体" w:hAnsi="宋体" w:cs="宋体"/>
          <w:b/>
          <w:bCs/>
          <w:color w:val="000000"/>
          <w:sz w:val="24"/>
          <w:szCs w:val="24"/>
        </w:rPr>
      </w:pPr>
      <w:r>
        <w:rPr>
          <w:rFonts w:hint="eastAsia" w:ascii="宋体" w:hAnsi="宋体" w:cs="宋体"/>
          <w:b/>
          <w:bCs/>
          <w:color w:val="000000"/>
          <w:sz w:val="24"/>
          <w:szCs w:val="24"/>
        </w:rPr>
        <w:t>九、联系方式：</w:t>
      </w:r>
    </w:p>
    <w:p>
      <w:pPr>
        <w:widowControl/>
        <w:spacing w:line="360" w:lineRule="auto"/>
        <w:ind w:firstLine="470" w:firstLineChars="196"/>
        <w:jc w:val="left"/>
        <w:rPr>
          <w:sz w:val="24"/>
          <w:szCs w:val="24"/>
        </w:rPr>
      </w:pPr>
      <w:bookmarkStart w:id="15" w:name="_Toc12670503"/>
      <w:bookmarkStart w:id="16" w:name="_Toc11554639"/>
      <w:bookmarkStart w:id="17" w:name="_Toc94544828"/>
      <w:bookmarkStart w:id="18" w:name="_Toc94544744"/>
      <w:bookmarkStart w:id="19" w:name="_Toc11500280"/>
      <w:bookmarkStart w:id="20" w:name="_Toc521201597"/>
      <w:bookmarkStart w:id="21" w:name="_Toc521203418"/>
      <w:bookmarkStart w:id="22" w:name="_Toc94585340"/>
      <w:bookmarkStart w:id="23" w:name="_Toc11499584"/>
      <w:bookmarkStart w:id="24" w:name="_Toc8895739"/>
      <w:bookmarkStart w:id="25" w:name="_Toc363573854"/>
      <w:r>
        <w:rPr>
          <w:rFonts w:hint="eastAsia"/>
          <w:sz w:val="24"/>
          <w:szCs w:val="24"/>
        </w:rPr>
        <w:t>1、本磋商项目联系事项</w:t>
      </w:r>
    </w:p>
    <w:p>
      <w:pPr>
        <w:widowControl/>
        <w:spacing w:line="360" w:lineRule="auto"/>
        <w:ind w:firstLine="830" w:firstLineChars="346"/>
        <w:jc w:val="left"/>
        <w:rPr>
          <w:sz w:val="24"/>
          <w:szCs w:val="24"/>
        </w:rPr>
      </w:pPr>
      <w:r>
        <w:rPr>
          <w:rFonts w:hint="eastAsia"/>
          <w:sz w:val="24"/>
          <w:szCs w:val="24"/>
        </w:rPr>
        <w:t>采购单位：南通市启秀中学</w:t>
      </w:r>
    </w:p>
    <w:p>
      <w:pPr>
        <w:widowControl/>
        <w:spacing w:line="360" w:lineRule="auto"/>
        <w:ind w:firstLine="830" w:firstLineChars="346"/>
        <w:jc w:val="left"/>
        <w:rPr>
          <w:rFonts w:ascii="宋体" w:hAnsi="宋体" w:cs="宋体"/>
          <w:sz w:val="24"/>
          <w:szCs w:val="24"/>
        </w:rPr>
      </w:pPr>
      <w:r>
        <w:rPr>
          <w:rFonts w:hint="eastAsia" w:ascii="宋体" w:hAnsi="宋体" w:cs="宋体"/>
          <w:sz w:val="24"/>
          <w:szCs w:val="24"/>
        </w:rPr>
        <w:t>现场勘查联系人：施老师</w:t>
      </w:r>
    </w:p>
    <w:p>
      <w:pPr>
        <w:widowControl/>
        <w:spacing w:line="360" w:lineRule="auto"/>
        <w:ind w:firstLine="830" w:firstLineChars="346"/>
        <w:jc w:val="left"/>
      </w:pPr>
      <w:r>
        <w:rPr>
          <w:rFonts w:hint="eastAsia" w:ascii="宋体" w:hAnsi="宋体" w:cs="宋体"/>
          <w:sz w:val="24"/>
          <w:szCs w:val="24"/>
        </w:rPr>
        <w:t>电话：13912290989</w:t>
      </w:r>
    </w:p>
    <w:p>
      <w:pPr>
        <w:widowControl/>
        <w:spacing w:line="360" w:lineRule="auto"/>
        <w:ind w:firstLine="830" w:firstLineChars="346"/>
        <w:jc w:val="left"/>
        <w:rPr>
          <w:sz w:val="24"/>
          <w:szCs w:val="24"/>
        </w:rPr>
      </w:pPr>
    </w:p>
    <w:p>
      <w:pPr>
        <w:widowControl/>
        <w:spacing w:line="360" w:lineRule="auto"/>
        <w:ind w:firstLine="830" w:firstLineChars="346"/>
        <w:jc w:val="left"/>
        <w:rPr>
          <w:sz w:val="24"/>
          <w:szCs w:val="24"/>
        </w:rPr>
      </w:pPr>
      <w:r>
        <w:rPr>
          <w:rFonts w:hint="eastAsia"/>
          <w:sz w:val="24"/>
          <w:szCs w:val="24"/>
        </w:rPr>
        <w:t>代理机构：江苏中润工程建设咨询有限公司</w:t>
      </w:r>
    </w:p>
    <w:p>
      <w:pPr>
        <w:widowControl/>
        <w:spacing w:line="360" w:lineRule="auto"/>
        <w:ind w:firstLine="830" w:firstLineChars="346"/>
        <w:jc w:val="left"/>
        <w:rPr>
          <w:sz w:val="24"/>
          <w:szCs w:val="24"/>
        </w:rPr>
      </w:pPr>
      <w:r>
        <w:rPr>
          <w:rFonts w:hint="eastAsia"/>
          <w:sz w:val="24"/>
          <w:szCs w:val="24"/>
        </w:rPr>
        <w:t>联 系 人：高  工</w:t>
      </w:r>
    </w:p>
    <w:p>
      <w:pPr>
        <w:widowControl/>
        <w:spacing w:line="360" w:lineRule="auto"/>
        <w:ind w:firstLine="830" w:firstLineChars="346"/>
        <w:jc w:val="left"/>
        <w:rPr>
          <w:sz w:val="24"/>
          <w:szCs w:val="24"/>
        </w:rPr>
      </w:pPr>
      <w:r>
        <w:rPr>
          <w:rFonts w:hint="eastAsia"/>
          <w:sz w:val="24"/>
          <w:szCs w:val="24"/>
        </w:rPr>
        <w:t>联系电话：15962756653</w:t>
      </w:r>
    </w:p>
    <w:p>
      <w:pPr>
        <w:widowControl/>
        <w:spacing w:line="360" w:lineRule="auto"/>
        <w:ind w:firstLine="1070" w:firstLineChars="446"/>
        <w:jc w:val="left"/>
        <w:rPr>
          <w:rFonts w:hint="eastAsia" w:ascii="Times New Roman" w:hAnsi="Times New Roman" w:cs="Times New Roman"/>
          <w:sz w:val="24"/>
          <w:szCs w:val="24"/>
        </w:rPr>
      </w:pPr>
    </w:p>
    <w:p>
      <w:pPr>
        <w:widowControl/>
        <w:spacing w:line="360" w:lineRule="auto"/>
        <w:ind w:firstLine="1070" w:firstLineChars="446"/>
        <w:jc w:val="left"/>
        <w:rPr>
          <w:rFonts w:hint="eastAsia" w:ascii="Times New Roman" w:hAnsi="Times New Roman" w:cs="Times New Roman"/>
          <w:sz w:val="24"/>
          <w:szCs w:val="24"/>
        </w:rPr>
      </w:pPr>
    </w:p>
    <w:p>
      <w:pPr>
        <w:widowControl/>
        <w:spacing w:line="360" w:lineRule="auto"/>
        <w:ind w:firstLine="6828" w:firstLineChars="2845"/>
        <w:jc w:val="left"/>
        <w:rPr>
          <w:rFonts w:hint="eastAsia" w:ascii="Times New Roman" w:hAnsi="Times New Roman" w:cs="Times New Roman"/>
          <w:sz w:val="24"/>
          <w:szCs w:val="24"/>
        </w:rPr>
      </w:pPr>
      <w:r>
        <w:rPr>
          <w:rFonts w:hint="eastAsia" w:ascii="Times New Roman" w:hAnsi="Times New Roman" w:cs="Times New Roman"/>
          <w:sz w:val="24"/>
          <w:szCs w:val="24"/>
        </w:rPr>
        <w:t>南通市启秀中学</w:t>
      </w:r>
    </w:p>
    <w:p>
      <w:pPr>
        <w:widowControl/>
        <w:spacing w:line="360" w:lineRule="auto"/>
        <w:ind w:firstLine="6828" w:firstLineChars="2845"/>
        <w:jc w:val="center"/>
      </w:pPr>
      <w:r>
        <w:rPr>
          <w:rFonts w:hint="eastAsia" w:ascii="Times New Roman" w:hAnsi="Times New Roman" w:cs="Times New Roman"/>
          <w:sz w:val="24"/>
          <w:szCs w:val="24"/>
          <w:lang w:val="en-US" w:eastAsia="zh-CN"/>
        </w:rPr>
        <w:t>2020年</w:t>
      </w:r>
      <w:r>
        <w:rPr>
          <w:rFonts w:hint="eastAsia" w:cs="Times New Roman"/>
          <w:sz w:val="24"/>
          <w:szCs w:val="24"/>
          <w:lang w:val="en-US" w:eastAsia="zh-CN"/>
        </w:rPr>
        <w:t>9</w:t>
      </w:r>
      <w:r>
        <w:rPr>
          <w:rFonts w:hint="eastAsia" w:ascii="Times New Roman" w:hAnsi="Times New Roman" w:cs="Times New Roman"/>
          <w:sz w:val="24"/>
          <w:szCs w:val="24"/>
          <w:lang w:val="en-US" w:eastAsia="zh-CN"/>
        </w:rPr>
        <w:t>月</w:t>
      </w:r>
      <w:r>
        <w:rPr>
          <w:rFonts w:hint="eastAsia" w:cs="Times New Roman"/>
          <w:sz w:val="24"/>
          <w:szCs w:val="24"/>
          <w:lang w:val="en-US" w:eastAsia="zh-CN"/>
        </w:rPr>
        <w:t>11</w:t>
      </w:r>
      <w:r>
        <w:rPr>
          <w:rFonts w:hint="eastAsia" w:ascii="Times New Roman" w:hAnsi="Times New Roman" w:cs="Times New Roman"/>
          <w:sz w:val="24"/>
          <w:szCs w:val="24"/>
          <w:lang w:val="en-US" w:eastAsia="zh-CN"/>
        </w:rPr>
        <w:t>日</w:t>
      </w:r>
      <w:r>
        <w:rPr>
          <w:rFonts w:hint="eastAsia"/>
        </w:rPr>
        <w:br w:type="page"/>
      </w:r>
      <w:bookmarkStart w:id="26" w:name="_Toc47957220"/>
      <w:r>
        <w:rPr>
          <w:rFonts w:hint="eastAsia" w:ascii="仿宋" w:hAnsi="仿宋" w:eastAsia="仿宋" w:cs="Times New Roman"/>
          <w:b/>
          <w:w w:val="80"/>
          <w:kern w:val="44"/>
          <w:sz w:val="44"/>
          <w:szCs w:val="22"/>
          <w:lang w:val="zh-CN" w:eastAsia="zh-CN" w:bidi="ar-SA"/>
        </w:rPr>
        <w:t xml:space="preserve">第二章  </w:t>
      </w:r>
      <w:bookmarkEnd w:id="15"/>
      <w:bookmarkEnd w:id="16"/>
      <w:bookmarkEnd w:id="17"/>
      <w:bookmarkEnd w:id="18"/>
      <w:bookmarkEnd w:id="19"/>
      <w:bookmarkEnd w:id="20"/>
      <w:bookmarkEnd w:id="21"/>
      <w:bookmarkEnd w:id="22"/>
      <w:bookmarkEnd w:id="23"/>
      <w:bookmarkEnd w:id="24"/>
      <w:r>
        <w:rPr>
          <w:rFonts w:hint="eastAsia" w:ascii="仿宋" w:hAnsi="仿宋" w:eastAsia="仿宋" w:cs="Times New Roman"/>
          <w:b/>
          <w:w w:val="80"/>
          <w:kern w:val="44"/>
          <w:sz w:val="44"/>
          <w:szCs w:val="22"/>
          <w:lang w:val="zh-CN" w:eastAsia="zh-CN" w:bidi="ar-SA"/>
        </w:rPr>
        <w:t>磋商供应商须知</w:t>
      </w:r>
      <w:bookmarkEnd w:id="25"/>
      <w:bookmarkEnd w:id="26"/>
    </w:p>
    <w:p>
      <w:pPr>
        <w:snapToGrid w:val="0"/>
        <w:spacing w:before="120" w:beforeLines="50" w:after="120" w:afterLines="50" w:line="300" w:lineRule="auto"/>
        <w:ind w:firstLine="482" w:firstLineChars="200"/>
        <w:outlineLvl w:val="1"/>
        <w:rPr>
          <w:rFonts w:ascii="宋体" w:hAnsi="宋体" w:cs="宋体"/>
          <w:b/>
          <w:bCs/>
          <w:color w:val="000000"/>
          <w:sz w:val="24"/>
          <w:szCs w:val="24"/>
        </w:rPr>
      </w:pPr>
      <w:bookmarkStart w:id="27" w:name="_Toc521203419"/>
      <w:bookmarkStart w:id="28" w:name="_Toc94585341"/>
      <w:bookmarkStart w:id="29" w:name="_Toc94544871"/>
      <w:bookmarkStart w:id="30" w:name="_Toc8895740"/>
      <w:bookmarkStart w:id="31" w:name="_Toc11554640"/>
      <w:bookmarkStart w:id="32" w:name="_Toc521201598"/>
      <w:bookmarkStart w:id="33" w:name="_Toc11500281"/>
      <w:bookmarkStart w:id="34" w:name="_Toc11499585"/>
      <w:bookmarkStart w:id="35" w:name="_Toc94544745"/>
      <w:bookmarkStart w:id="36" w:name="_Toc12670504"/>
      <w:r>
        <w:rPr>
          <w:rFonts w:hint="eastAsia" w:ascii="宋体" w:hAnsi="宋体" w:cs="宋体"/>
          <w:b/>
          <w:bCs/>
          <w:color w:val="000000"/>
          <w:sz w:val="24"/>
          <w:szCs w:val="24"/>
        </w:rPr>
        <w:t>一、说明</w:t>
      </w:r>
    </w:p>
    <w:p>
      <w:pPr>
        <w:snapToGrid w:val="0"/>
        <w:spacing w:before="120" w:beforeLines="50" w:after="120" w:afterLines="50" w:line="300" w:lineRule="auto"/>
        <w:ind w:firstLine="480" w:firstLineChars="200"/>
        <w:rPr>
          <w:bCs/>
          <w:color w:val="000000"/>
          <w:sz w:val="24"/>
          <w:szCs w:val="24"/>
        </w:rPr>
      </w:pPr>
      <w:r>
        <w:rPr>
          <w:bCs/>
          <w:color w:val="000000"/>
          <w:sz w:val="24"/>
          <w:szCs w:val="24"/>
        </w:rPr>
        <w:t>1、本竞争性磋商文件仅适用于</w:t>
      </w:r>
      <w:r>
        <w:rPr>
          <w:rFonts w:hint="eastAsia"/>
          <w:bCs/>
          <w:color w:val="000000"/>
          <w:sz w:val="24"/>
          <w:szCs w:val="24"/>
        </w:rPr>
        <w:t>南通市启秀中学</w:t>
      </w:r>
      <w:r>
        <w:rPr>
          <w:bCs/>
          <w:color w:val="000000"/>
          <w:sz w:val="24"/>
          <w:szCs w:val="24"/>
        </w:rPr>
        <w:t>组织的竞争性磋商采购活动。</w:t>
      </w:r>
    </w:p>
    <w:p>
      <w:pPr>
        <w:snapToGrid w:val="0"/>
        <w:spacing w:before="120" w:beforeLines="50" w:after="120" w:afterLines="50" w:line="300" w:lineRule="auto"/>
        <w:ind w:firstLine="480" w:firstLineChars="200"/>
        <w:rPr>
          <w:bCs/>
          <w:color w:val="000000"/>
          <w:sz w:val="24"/>
          <w:szCs w:val="24"/>
        </w:rPr>
      </w:pPr>
      <w:r>
        <w:rPr>
          <w:bCs/>
          <w:color w:val="000000"/>
          <w:sz w:val="24"/>
          <w:szCs w:val="24"/>
        </w:rPr>
        <w:t>2、竞争性磋商活动及因本次磋商产生的合同受中国法律制约和保护。</w:t>
      </w:r>
    </w:p>
    <w:p>
      <w:pPr>
        <w:snapToGrid w:val="0"/>
        <w:spacing w:before="120" w:beforeLines="50" w:after="120" w:afterLines="50" w:line="300" w:lineRule="auto"/>
        <w:ind w:firstLine="480" w:firstLineChars="200"/>
        <w:rPr>
          <w:bCs/>
          <w:color w:val="000000"/>
          <w:sz w:val="24"/>
          <w:szCs w:val="24"/>
        </w:rPr>
      </w:pPr>
      <w:r>
        <w:rPr>
          <w:bCs/>
          <w:color w:val="000000"/>
          <w:sz w:val="24"/>
          <w:szCs w:val="24"/>
        </w:rPr>
        <w:t>3、竞争性磋商文件的解释权属于</w:t>
      </w:r>
      <w:r>
        <w:rPr>
          <w:rFonts w:hint="eastAsia"/>
          <w:bCs/>
          <w:color w:val="000000"/>
          <w:sz w:val="24"/>
          <w:szCs w:val="24"/>
        </w:rPr>
        <w:t>南通市启秀中学</w:t>
      </w:r>
      <w:r>
        <w:rPr>
          <w:bCs/>
          <w:color w:val="000000"/>
          <w:sz w:val="24"/>
          <w:szCs w:val="24"/>
        </w:rPr>
        <w:t>。</w:t>
      </w:r>
    </w:p>
    <w:p>
      <w:pPr>
        <w:snapToGrid w:val="0"/>
        <w:spacing w:before="120" w:beforeLines="50" w:after="120" w:afterLines="50" w:line="300" w:lineRule="auto"/>
        <w:ind w:firstLine="480" w:firstLineChars="200"/>
        <w:rPr>
          <w:color w:val="FF00FF"/>
          <w:sz w:val="24"/>
          <w:szCs w:val="24"/>
        </w:rPr>
      </w:pPr>
      <w:r>
        <w:rPr>
          <w:color w:val="000000"/>
          <w:sz w:val="24"/>
          <w:szCs w:val="24"/>
        </w:rPr>
        <w:t>4、供应商</w:t>
      </w:r>
      <w:r>
        <w:rPr>
          <w:sz w:val="24"/>
          <w:szCs w:val="24"/>
        </w:rPr>
        <w:t>下载</w:t>
      </w:r>
      <w:r>
        <w:rPr>
          <w:color w:val="000000"/>
          <w:sz w:val="24"/>
          <w:szCs w:val="24"/>
        </w:rPr>
        <w:t>磋商文件后，应仔细检查磋商文件的所有内容。如内容中有页码短缺、资格要求以及任何设置有不合理的条件对供应商实行差别待遇或者歧视待遇的，应在磋商文件发布</w:t>
      </w:r>
      <w:r>
        <w:rPr>
          <w:sz w:val="24"/>
          <w:szCs w:val="24"/>
        </w:rPr>
        <w:t>后的</w:t>
      </w:r>
      <w:r>
        <w:rPr>
          <w:rFonts w:hint="eastAsia"/>
          <w:sz w:val="24"/>
          <w:szCs w:val="24"/>
        </w:rPr>
        <w:t>3</w:t>
      </w:r>
      <w:r>
        <w:rPr>
          <w:sz w:val="24"/>
          <w:szCs w:val="24"/>
        </w:rPr>
        <w:t>日内，</w:t>
      </w:r>
      <w:r>
        <w:rPr>
          <w:color w:val="000000"/>
          <w:sz w:val="24"/>
          <w:szCs w:val="24"/>
        </w:rPr>
        <w:t>以书面形式向</w:t>
      </w:r>
      <w:r>
        <w:rPr>
          <w:rFonts w:hint="eastAsia"/>
          <w:color w:val="000000"/>
          <w:sz w:val="24"/>
          <w:szCs w:val="24"/>
        </w:rPr>
        <w:t>南通市启秀中学</w:t>
      </w:r>
      <w:r>
        <w:rPr>
          <w:color w:val="000000"/>
          <w:sz w:val="24"/>
          <w:szCs w:val="24"/>
        </w:rPr>
        <w:t>提出询问或疑问，未在规定的时间内提出询问或疑问的，视同理解并接受本磋商文件的所有内容，因此引起的损失由供应商自负，而且供应商不得在磋商结束后针对磋商文件的所有内容提出质疑事项。</w:t>
      </w:r>
      <w:r>
        <w:rPr>
          <w:b/>
          <w:color w:val="000000"/>
          <w:sz w:val="24"/>
          <w:szCs w:val="24"/>
        </w:rPr>
        <w:t>非书面形式的不作为日后质疑提出的依据。</w:t>
      </w:r>
    </w:p>
    <w:p>
      <w:pPr>
        <w:snapToGrid w:val="0"/>
        <w:spacing w:before="120" w:beforeLines="50" w:after="120" w:afterLines="50" w:line="300" w:lineRule="auto"/>
        <w:ind w:firstLine="480" w:firstLineChars="200"/>
        <w:rPr>
          <w:color w:val="000000"/>
          <w:sz w:val="24"/>
          <w:szCs w:val="24"/>
        </w:rPr>
      </w:pPr>
      <w:r>
        <w:rPr>
          <w:color w:val="000000"/>
          <w:sz w:val="24"/>
          <w:szCs w:val="24"/>
        </w:rPr>
        <w:t>5、供应商应认真审阅</w:t>
      </w:r>
      <w:r>
        <w:rPr>
          <w:sz w:val="24"/>
          <w:szCs w:val="24"/>
        </w:rPr>
        <w:t>磋商文件中</w:t>
      </w:r>
      <w:r>
        <w:rPr>
          <w:color w:val="000000"/>
          <w:sz w:val="24"/>
          <w:szCs w:val="24"/>
        </w:rPr>
        <w:t>所有的事项、格式、条款和规范要求等，如果供应商没有按照磋商文件要求提交响应文件，或者响应文件没有对磋商文件做出实质性响应，将被拒绝参与项目的磋商。</w:t>
      </w:r>
    </w:p>
    <w:p>
      <w:pPr>
        <w:snapToGrid w:val="0"/>
        <w:spacing w:before="120" w:beforeLines="50" w:after="120" w:afterLines="50" w:line="300" w:lineRule="auto"/>
        <w:ind w:firstLine="482" w:firstLineChars="200"/>
        <w:outlineLvl w:val="1"/>
        <w:rPr>
          <w:rFonts w:ascii="宋体" w:hAnsi="宋体" w:cs="宋体"/>
          <w:b/>
          <w:color w:val="000000"/>
          <w:sz w:val="24"/>
          <w:szCs w:val="24"/>
        </w:rPr>
      </w:pPr>
      <w:r>
        <w:rPr>
          <w:rFonts w:hint="eastAsia" w:ascii="宋体" w:hAnsi="宋体" w:cs="宋体"/>
          <w:b/>
          <w:color w:val="000000"/>
          <w:sz w:val="24"/>
          <w:szCs w:val="24"/>
        </w:rPr>
        <w:t>二、磋商文件的澄清、修改、答疑</w:t>
      </w:r>
    </w:p>
    <w:p>
      <w:pPr>
        <w:snapToGrid w:val="0"/>
        <w:spacing w:before="120" w:beforeLines="50" w:after="120" w:afterLines="50" w:line="300" w:lineRule="auto"/>
        <w:ind w:firstLine="480" w:firstLineChars="200"/>
        <w:rPr>
          <w:color w:val="000000"/>
          <w:sz w:val="24"/>
          <w:szCs w:val="24"/>
        </w:rPr>
      </w:pPr>
      <w:r>
        <w:rPr>
          <w:color w:val="000000"/>
          <w:sz w:val="24"/>
          <w:szCs w:val="24"/>
        </w:rPr>
        <w:t>1、</w:t>
      </w:r>
      <w:r>
        <w:rPr>
          <w:rFonts w:hint="eastAsia"/>
          <w:color w:val="000000"/>
          <w:sz w:val="24"/>
          <w:szCs w:val="24"/>
        </w:rPr>
        <w:t>南通市启秀中学</w:t>
      </w:r>
      <w:r>
        <w:rPr>
          <w:color w:val="000000"/>
          <w:sz w:val="24"/>
          <w:szCs w:val="24"/>
        </w:rPr>
        <w:t>有权对发出</w:t>
      </w:r>
      <w:r>
        <w:rPr>
          <w:sz w:val="24"/>
          <w:szCs w:val="24"/>
        </w:rPr>
        <w:t>的磋商文件进</w:t>
      </w:r>
      <w:r>
        <w:rPr>
          <w:color w:val="000000"/>
          <w:sz w:val="24"/>
          <w:szCs w:val="24"/>
        </w:rPr>
        <w:t>行必要的澄清、修改或补充。</w:t>
      </w:r>
    </w:p>
    <w:p>
      <w:pPr>
        <w:snapToGrid w:val="0"/>
        <w:spacing w:before="120" w:beforeLines="50" w:after="120" w:afterLines="50" w:line="300" w:lineRule="auto"/>
        <w:ind w:firstLine="480" w:firstLineChars="200"/>
        <w:jc w:val="left"/>
        <w:rPr>
          <w:color w:val="000000"/>
          <w:sz w:val="24"/>
          <w:szCs w:val="24"/>
        </w:rPr>
      </w:pPr>
      <w:r>
        <w:rPr>
          <w:color w:val="000000"/>
          <w:sz w:val="24"/>
          <w:szCs w:val="24"/>
        </w:rPr>
        <w:t>2、磋商文件的澄清、修改、补充等内容均以书面明确的形式发布，并以</w:t>
      </w:r>
      <w:r>
        <w:rPr>
          <w:rFonts w:hint="eastAsia" w:ascii="宋体" w:hAnsi="宋体"/>
          <w:sz w:val="24"/>
          <w:szCs w:val="24"/>
          <w:lang w:val="en-US" w:eastAsia="zh-CN"/>
        </w:rPr>
        <w:t>南通市公共资源交易网（http://ggzyjy.nantong.gov.cn/）、</w:t>
      </w:r>
      <w:r>
        <w:rPr>
          <w:color w:val="000000"/>
          <w:sz w:val="24"/>
          <w:szCs w:val="24"/>
        </w:rPr>
        <w:t>南通教育局官网</w:t>
      </w:r>
      <w:r>
        <w:rPr>
          <w:sz w:val="24"/>
          <w:szCs w:val="24"/>
        </w:rPr>
        <w:t>（http://jyj.nantong.gov.cn/）和</w:t>
      </w:r>
      <w:r>
        <w:rPr>
          <w:rFonts w:hint="eastAsia"/>
          <w:color w:val="000000"/>
          <w:sz w:val="24"/>
          <w:szCs w:val="24"/>
        </w:rPr>
        <w:t>南通市启秀中学</w:t>
      </w:r>
      <w:r>
        <w:rPr>
          <w:color w:val="000000"/>
          <w:sz w:val="24"/>
          <w:szCs w:val="24"/>
        </w:rPr>
        <w:t>官网（</w:t>
      </w:r>
      <w:r>
        <w:rPr>
          <w:rFonts w:hint="eastAsia"/>
          <w:sz w:val="24"/>
          <w:szCs w:val="24"/>
        </w:rPr>
        <w:t>http://www.ntqxzx.cn/</w:t>
      </w:r>
      <w:r>
        <w:rPr>
          <w:color w:val="000000"/>
          <w:sz w:val="24"/>
          <w:szCs w:val="24"/>
        </w:rPr>
        <w:t>）发布的信息为准。</w:t>
      </w:r>
    </w:p>
    <w:p>
      <w:pPr>
        <w:snapToGrid w:val="0"/>
        <w:spacing w:before="120" w:beforeLines="50" w:after="120" w:afterLines="50" w:line="300" w:lineRule="auto"/>
        <w:ind w:firstLine="480" w:firstLineChars="200"/>
        <w:rPr>
          <w:color w:val="000000"/>
          <w:sz w:val="24"/>
          <w:szCs w:val="24"/>
        </w:rPr>
      </w:pPr>
      <w:r>
        <w:rPr>
          <w:color w:val="000000"/>
          <w:sz w:val="24"/>
          <w:szCs w:val="24"/>
        </w:rPr>
        <w:t>3、</w:t>
      </w:r>
      <w:r>
        <w:rPr>
          <w:rFonts w:hint="eastAsia"/>
          <w:color w:val="000000"/>
          <w:sz w:val="24"/>
          <w:szCs w:val="24"/>
        </w:rPr>
        <w:t>南通市启秀中学</w:t>
      </w:r>
      <w:r>
        <w:rPr>
          <w:color w:val="000000"/>
          <w:sz w:val="24"/>
          <w:szCs w:val="24"/>
        </w:rPr>
        <w:t>对磋商文件的澄清、修改将构成磋商文件的一部分，对响应磋商的供应商具有约束力。</w:t>
      </w:r>
    </w:p>
    <w:p>
      <w:pPr>
        <w:snapToGrid w:val="0"/>
        <w:spacing w:before="120" w:beforeLines="50" w:after="120" w:afterLines="50" w:line="300" w:lineRule="auto"/>
        <w:ind w:firstLine="480" w:firstLineChars="200"/>
        <w:rPr>
          <w:sz w:val="24"/>
          <w:szCs w:val="24"/>
        </w:rPr>
      </w:pPr>
      <w:r>
        <w:rPr>
          <w:color w:val="000000"/>
          <w:sz w:val="24"/>
          <w:szCs w:val="24"/>
        </w:rPr>
        <w:t>4、澄清或者修改的内容可能影响到响应文件编制的，</w:t>
      </w:r>
      <w:r>
        <w:rPr>
          <w:rFonts w:hint="eastAsia"/>
          <w:color w:val="000000"/>
          <w:sz w:val="24"/>
          <w:szCs w:val="24"/>
        </w:rPr>
        <w:t>南通市启秀中学</w:t>
      </w:r>
      <w:r>
        <w:rPr>
          <w:color w:val="000000"/>
          <w:sz w:val="24"/>
          <w:szCs w:val="24"/>
        </w:rPr>
        <w:t>将在提交响应文件接收截止之日</w:t>
      </w:r>
      <w:r>
        <w:rPr>
          <w:rFonts w:hint="eastAsia"/>
          <w:color w:val="000000"/>
          <w:sz w:val="24"/>
          <w:szCs w:val="24"/>
        </w:rPr>
        <w:t>5</w:t>
      </w:r>
      <w:r>
        <w:rPr>
          <w:color w:val="000000"/>
          <w:sz w:val="24"/>
          <w:szCs w:val="24"/>
        </w:rPr>
        <w:t>日前，发布澄清或者修改公告，不足</w:t>
      </w:r>
      <w:r>
        <w:rPr>
          <w:rFonts w:hint="eastAsia"/>
          <w:color w:val="000000"/>
          <w:sz w:val="24"/>
          <w:szCs w:val="24"/>
        </w:rPr>
        <w:t>5</w:t>
      </w:r>
      <w:r>
        <w:rPr>
          <w:color w:val="000000"/>
          <w:sz w:val="24"/>
          <w:szCs w:val="24"/>
        </w:rPr>
        <w:t>日的，当顺延提交响应文件接收截</w:t>
      </w:r>
      <w:r>
        <w:rPr>
          <w:sz w:val="24"/>
          <w:szCs w:val="24"/>
        </w:rPr>
        <w:t>止时间。</w:t>
      </w:r>
    </w:p>
    <w:p>
      <w:pPr>
        <w:snapToGrid w:val="0"/>
        <w:spacing w:before="120" w:beforeLines="50" w:after="120" w:afterLines="50" w:line="300" w:lineRule="auto"/>
        <w:ind w:firstLine="480" w:firstLineChars="200"/>
        <w:rPr>
          <w:color w:val="000000"/>
          <w:sz w:val="24"/>
          <w:szCs w:val="24"/>
        </w:rPr>
      </w:pPr>
      <w:r>
        <w:rPr>
          <w:color w:val="000000"/>
          <w:sz w:val="24"/>
          <w:szCs w:val="24"/>
        </w:rPr>
        <w:t>5、除非</w:t>
      </w:r>
      <w:r>
        <w:rPr>
          <w:rFonts w:hint="eastAsia"/>
          <w:color w:val="000000"/>
          <w:sz w:val="24"/>
          <w:szCs w:val="24"/>
        </w:rPr>
        <w:t>南通市启秀中学</w:t>
      </w:r>
      <w:r>
        <w:rPr>
          <w:color w:val="000000"/>
          <w:sz w:val="24"/>
          <w:szCs w:val="24"/>
        </w:rPr>
        <w:t>以书面的形式对磋商文件作出澄清、修改及补充，供应商对涉及磋商文件的任何推论、理解和结论所造成的结果，均由供应商自负。</w:t>
      </w:r>
    </w:p>
    <w:p>
      <w:pPr>
        <w:snapToGrid w:val="0"/>
        <w:spacing w:before="120" w:beforeLines="50" w:after="120" w:afterLines="50" w:line="300" w:lineRule="auto"/>
        <w:ind w:firstLine="480" w:firstLineChars="200"/>
        <w:rPr>
          <w:color w:val="000000"/>
          <w:sz w:val="24"/>
          <w:szCs w:val="24"/>
        </w:rPr>
      </w:pPr>
      <w:r>
        <w:rPr>
          <w:color w:val="000000"/>
          <w:sz w:val="24"/>
          <w:szCs w:val="24"/>
        </w:rPr>
        <w:t>6、采购单位视情组织答疑会。如有产生答疑且对磋商文件内容有修改，</w:t>
      </w:r>
      <w:r>
        <w:rPr>
          <w:rFonts w:hint="eastAsia"/>
          <w:color w:val="000000"/>
          <w:sz w:val="24"/>
          <w:szCs w:val="24"/>
        </w:rPr>
        <w:t>南通市启秀中学</w:t>
      </w:r>
      <w:r>
        <w:rPr>
          <w:color w:val="000000"/>
          <w:sz w:val="24"/>
          <w:szCs w:val="24"/>
        </w:rPr>
        <w:t>将按照本须知有关规定，以补充通知（公告）的方式发出。</w:t>
      </w:r>
    </w:p>
    <w:p>
      <w:pPr>
        <w:snapToGrid w:val="0"/>
        <w:spacing w:before="120" w:beforeLines="50" w:after="120" w:afterLines="50" w:line="300" w:lineRule="auto"/>
        <w:ind w:firstLine="482" w:firstLineChars="200"/>
        <w:outlineLvl w:val="1"/>
        <w:rPr>
          <w:rFonts w:ascii="宋体" w:hAnsi="宋体" w:cs="宋体"/>
          <w:b/>
          <w:color w:val="000000"/>
          <w:sz w:val="24"/>
          <w:szCs w:val="24"/>
        </w:rPr>
      </w:pPr>
      <w:r>
        <w:rPr>
          <w:rFonts w:hint="eastAsia" w:ascii="宋体" w:hAnsi="宋体" w:cs="宋体"/>
          <w:b/>
          <w:color w:val="000000"/>
          <w:sz w:val="24"/>
          <w:szCs w:val="24"/>
        </w:rPr>
        <w:t>三、磋商响应文件的编写及装订</w:t>
      </w:r>
    </w:p>
    <w:p>
      <w:pPr>
        <w:snapToGrid w:val="0"/>
        <w:spacing w:before="120" w:beforeLines="50" w:after="120" w:afterLines="50" w:line="300" w:lineRule="auto"/>
        <w:ind w:firstLine="482" w:firstLineChars="200"/>
        <w:outlineLvl w:val="1"/>
        <w:rPr>
          <w:rFonts w:ascii="宋体" w:hAnsi="宋体" w:cs="宋体"/>
          <w:b/>
          <w:color w:val="000000"/>
          <w:sz w:val="24"/>
          <w:szCs w:val="24"/>
        </w:rPr>
      </w:pPr>
      <w:r>
        <w:rPr>
          <w:rFonts w:hint="eastAsia" w:ascii="宋体" w:hAnsi="宋体" w:cs="宋体"/>
          <w:b/>
          <w:color w:val="000000"/>
          <w:sz w:val="24"/>
          <w:szCs w:val="24"/>
        </w:rPr>
        <w:t>（一）磋商响应文件包括下列内容</w:t>
      </w:r>
    </w:p>
    <w:p>
      <w:pPr>
        <w:snapToGrid w:val="0"/>
        <w:spacing w:before="120" w:beforeLines="50" w:after="120" w:afterLines="50" w:line="300" w:lineRule="auto"/>
        <w:ind w:firstLine="480" w:firstLineChars="200"/>
        <w:outlineLvl w:val="1"/>
        <w:rPr>
          <w:rFonts w:ascii="宋体" w:hAnsi="宋体" w:cs="宋体"/>
          <w:bCs/>
          <w:color w:val="000000"/>
          <w:sz w:val="24"/>
          <w:szCs w:val="24"/>
        </w:rPr>
      </w:pPr>
      <w:r>
        <w:rPr>
          <w:rFonts w:hint="eastAsia" w:ascii="宋体" w:hAnsi="宋体" w:cs="宋体"/>
          <w:bCs/>
          <w:color w:val="000000"/>
          <w:sz w:val="24"/>
          <w:szCs w:val="24"/>
        </w:rPr>
        <w:t>见第八章 响应文件组成及格式，第一条：磋商响应文件组成。</w:t>
      </w:r>
    </w:p>
    <w:p>
      <w:pPr>
        <w:snapToGrid w:val="0"/>
        <w:spacing w:before="120" w:beforeLines="50" w:after="120" w:afterLines="50" w:line="300" w:lineRule="auto"/>
        <w:ind w:firstLine="482" w:firstLineChars="200"/>
        <w:outlineLvl w:val="1"/>
        <w:rPr>
          <w:rFonts w:ascii="宋体" w:hAnsi="宋体" w:cs="宋体"/>
          <w:b/>
          <w:color w:val="000000"/>
          <w:sz w:val="24"/>
          <w:szCs w:val="24"/>
        </w:rPr>
      </w:pPr>
      <w:r>
        <w:rPr>
          <w:rFonts w:hint="eastAsia" w:ascii="宋体" w:hAnsi="宋体" w:cs="宋体"/>
          <w:b/>
          <w:color w:val="000000"/>
          <w:sz w:val="24"/>
          <w:szCs w:val="24"/>
        </w:rPr>
        <w:t>（二）磋商响应文件的编制及装订</w:t>
      </w:r>
    </w:p>
    <w:p>
      <w:pPr>
        <w:spacing w:before="120" w:beforeLines="50" w:after="120" w:afterLines="50" w:line="300" w:lineRule="auto"/>
        <w:ind w:firstLine="484" w:firstLineChars="202"/>
        <w:rPr>
          <w:color w:val="000000"/>
          <w:sz w:val="24"/>
          <w:szCs w:val="24"/>
        </w:rPr>
      </w:pPr>
      <w:r>
        <w:rPr>
          <w:color w:val="000000"/>
          <w:sz w:val="24"/>
          <w:szCs w:val="24"/>
        </w:rPr>
        <w:t>1、供应</w:t>
      </w:r>
      <w:r>
        <w:rPr>
          <w:sz w:val="24"/>
          <w:szCs w:val="24"/>
        </w:rPr>
        <w:t>商按磋商文件要求编写响应文件，并牢固装订成册。响应文件均需采用A4纸（图纸等除外），不允许使用活页夹、拉杆夹、文件夹、塑料方便式书脊（插入式或穿孔式）装订。响应文件不得行间插字、涂改、增删，如修改错漏处，须经响应文件签署人签字并加</w:t>
      </w:r>
      <w:r>
        <w:rPr>
          <w:color w:val="000000"/>
          <w:sz w:val="24"/>
          <w:szCs w:val="24"/>
        </w:rPr>
        <w:t>盖公章。</w:t>
      </w:r>
    </w:p>
    <w:p>
      <w:pPr>
        <w:spacing w:line="360" w:lineRule="auto"/>
        <w:ind w:firstLine="480" w:firstLineChars="200"/>
        <w:outlineLvl w:val="1"/>
        <w:rPr>
          <w:bCs/>
          <w:color w:val="000000"/>
          <w:sz w:val="24"/>
          <w:szCs w:val="24"/>
        </w:rPr>
      </w:pPr>
      <w:r>
        <w:rPr>
          <w:color w:val="000000"/>
          <w:sz w:val="24"/>
          <w:szCs w:val="24"/>
        </w:rPr>
        <w:t>2、</w:t>
      </w:r>
      <w:r>
        <w:rPr>
          <w:bCs/>
          <w:color w:val="000000"/>
          <w:sz w:val="24"/>
          <w:szCs w:val="24"/>
        </w:rPr>
        <w:t>磋商报价响应文件中的所有报价表（报价单），必须装订成册。</w:t>
      </w:r>
    </w:p>
    <w:p>
      <w:pPr>
        <w:snapToGrid w:val="0"/>
        <w:spacing w:before="120" w:beforeLines="50" w:after="120" w:afterLines="50" w:line="300" w:lineRule="auto"/>
        <w:ind w:firstLine="482" w:firstLineChars="200"/>
        <w:outlineLvl w:val="1"/>
        <w:rPr>
          <w:rFonts w:ascii="宋体" w:hAnsi="宋体" w:cs="宋体"/>
          <w:b/>
          <w:bCs/>
          <w:color w:val="000000"/>
          <w:sz w:val="24"/>
          <w:szCs w:val="24"/>
        </w:rPr>
      </w:pPr>
      <w:r>
        <w:rPr>
          <w:rFonts w:hint="eastAsia" w:ascii="宋体" w:hAnsi="宋体" w:cs="宋体"/>
          <w:b/>
          <w:bCs/>
          <w:color w:val="000000"/>
          <w:sz w:val="24"/>
          <w:szCs w:val="24"/>
        </w:rPr>
        <w:t>四、响应文件的份数和签署</w:t>
      </w:r>
    </w:p>
    <w:p>
      <w:pPr>
        <w:spacing w:line="360" w:lineRule="auto"/>
        <w:ind w:firstLine="480" w:firstLineChars="200"/>
        <w:outlineLvl w:val="1"/>
        <w:rPr>
          <w:bCs/>
          <w:color w:val="000000"/>
          <w:sz w:val="24"/>
          <w:szCs w:val="24"/>
        </w:rPr>
      </w:pPr>
      <w:r>
        <w:rPr>
          <w:sz w:val="24"/>
          <w:szCs w:val="24"/>
        </w:rPr>
        <w:t>1、</w:t>
      </w:r>
      <w:r>
        <w:rPr>
          <w:bCs/>
          <w:color w:val="000000"/>
          <w:sz w:val="24"/>
          <w:szCs w:val="24"/>
        </w:rPr>
        <w:t>磋商响应文件由：</w:t>
      </w:r>
      <w:r>
        <w:rPr>
          <w:rFonts w:hint="eastAsia" w:ascii="宋体" w:hAnsi="宋体" w:cs="宋体"/>
          <w:bCs/>
          <w:color w:val="000000"/>
          <w:sz w:val="24"/>
          <w:szCs w:val="24"/>
        </w:rPr>
        <w:t>①</w:t>
      </w:r>
      <w:r>
        <w:rPr>
          <w:bCs/>
          <w:color w:val="000000"/>
          <w:sz w:val="24"/>
          <w:szCs w:val="24"/>
        </w:rPr>
        <w:t>资格后审原件包、</w:t>
      </w:r>
      <w:r>
        <w:rPr>
          <w:rFonts w:hint="eastAsia" w:ascii="宋体" w:hAnsi="宋体" w:cs="宋体"/>
          <w:bCs/>
          <w:color w:val="000000"/>
          <w:sz w:val="24"/>
          <w:szCs w:val="24"/>
        </w:rPr>
        <w:t>②</w:t>
      </w:r>
      <w:r>
        <w:rPr>
          <w:bCs/>
          <w:color w:val="000000"/>
          <w:sz w:val="24"/>
          <w:szCs w:val="24"/>
        </w:rPr>
        <w:t>资格后审资料文件包、</w:t>
      </w:r>
      <w:r>
        <w:rPr>
          <w:rFonts w:hint="eastAsia" w:ascii="宋体" w:hAnsi="宋体" w:cs="宋体"/>
          <w:bCs/>
          <w:color w:val="000000"/>
          <w:sz w:val="24"/>
          <w:szCs w:val="24"/>
        </w:rPr>
        <w:t>③</w:t>
      </w:r>
      <w:r>
        <w:rPr>
          <w:bCs/>
          <w:color w:val="000000"/>
          <w:sz w:val="24"/>
          <w:szCs w:val="24"/>
        </w:rPr>
        <w:t>技术磋商响应文件、</w:t>
      </w:r>
      <w:r>
        <w:rPr>
          <w:rFonts w:hint="eastAsia" w:ascii="宋体" w:hAnsi="宋体" w:cs="宋体"/>
          <w:bCs/>
          <w:color w:val="000000"/>
          <w:sz w:val="24"/>
          <w:szCs w:val="24"/>
        </w:rPr>
        <w:t>④</w:t>
      </w:r>
      <w:r>
        <w:rPr>
          <w:bCs/>
          <w:color w:val="000000"/>
          <w:sz w:val="24"/>
          <w:szCs w:val="24"/>
        </w:rPr>
        <w:t>商务报价磋商响应文件，共4部分组成（以下由文件序号代称）。</w:t>
      </w:r>
    </w:p>
    <w:p>
      <w:pPr>
        <w:snapToGrid w:val="0"/>
        <w:spacing w:before="120" w:beforeLines="50" w:after="120" w:afterLines="50" w:line="300" w:lineRule="auto"/>
        <w:ind w:firstLine="480" w:firstLineChars="200"/>
        <w:rPr>
          <w:rFonts w:ascii="宋体" w:hAnsi="宋体" w:cs="宋体"/>
          <w:b/>
          <w:sz w:val="24"/>
          <w:szCs w:val="24"/>
          <w:u w:val="single"/>
        </w:rPr>
      </w:pPr>
      <w:r>
        <w:rPr>
          <w:sz w:val="24"/>
          <w:szCs w:val="24"/>
        </w:rPr>
        <w:t>2、</w:t>
      </w:r>
      <w:r>
        <w:rPr>
          <w:bCs/>
          <w:color w:val="000000"/>
          <w:sz w:val="24"/>
          <w:szCs w:val="24"/>
        </w:rPr>
        <w:t>磋商</w:t>
      </w:r>
      <w:r>
        <w:rPr>
          <w:rFonts w:hint="eastAsia"/>
          <w:bCs/>
          <w:color w:val="000000"/>
          <w:sz w:val="24"/>
          <w:szCs w:val="24"/>
        </w:rPr>
        <w:t>响应文件中，除“①资格后审原件包”外，其余均为</w:t>
      </w:r>
      <w:r>
        <w:rPr>
          <w:rFonts w:hint="eastAsia" w:ascii="宋体" w:hAnsi="宋体" w:cs="宋体"/>
          <w:b/>
          <w:sz w:val="24"/>
          <w:szCs w:val="24"/>
        </w:rPr>
        <w:t>一式伍份，其中“正本”壹份和“副本”肆份。</w:t>
      </w:r>
    </w:p>
    <w:p>
      <w:pPr>
        <w:snapToGrid w:val="0"/>
        <w:spacing w:before="120" w:beforeLines="50" w:after="120" w:afterLines="50" w:line="300" w:lineRule="auto"/>
        <w:ind w:firstLine="470" w:firstLineChars="196"/>
        <w:rPr>
          <w:rFonts w:ascii="宋体" w:hAnsi="宋体" w:cs="宋体"/>
          <w:sz w:val="24"/>
          <w:szCs w:val="24"/>
        </w:rPr>
      </w:pPr>
      <w:r>
        <w:rPr>
          <w:sz w:val="24"/>
          <w:szCs w:val="24"/>
        </w:rPr>
        <w:t>3、在</w:t>
      </w:r>
      <w:r>
        <w:rPr>
          <w:rFonts w:hint="eastAsia" w:ascii="宋体" w:hAnsi="宋体" w:cs="宋体"/>
          <w:sz w:val="24"/>
          <w:szCs w:val="24"/>
        </w:rPr>
        <w:t>每份响应文件上要明确标注项目名称、项目编号、</w:t>
      </w:r>
      <w:r>
        <w:rPr>
          <w:rFonts w:hint="eastAsia" w:ascii="宋体" w:hAnsi="宋体" w:cs="宋体"/>
          <w:b/>
          <w:sz w:val="24"/>
          <w:szCs w:val="24"/>
        </w:rPr>
        <w:t>标段名称</w:t>
      </w:r>
      <w:r>
        <w:rPr>
          <w:rFonts w:hint="eastAsia" w:ascii="宋体" w:hAnsi="宋体" w:cs="宋体"/>
          <w:sz w:val="24"/>
          <w:szCs w:val="24"/>
        </w:rPr>
        <w:t>、对应的响应文件名称、供应商的全称、日期、“正本”、“副本”字样。“正本”和“副本”若有差异，概以“正本”为准。</w:t>
      </w:r>
    </w:p>
    <w:p>
      <w:pPr>
        <w:snapToGrid w:val="0"/>
        <w:spacing w:before="120" w:beforeLines="50" w:after="120" w:afterLines="50" w:line="300" w:lineRule="auto"/>
        <w:ind w:firstLine="470" w:firstLineChars="196"/>
        <w:rPr>
          <w:rFonts w:ascii="宋体" w:hAnsi="宋体" w:cs="宋体"/>
          <w:color w:val="000000"/>
          <w:sz w:val="24"/>
          <w:szCs w:val="24"/>
        </w:rPr>
      </w:pPr>
      <w:r>
        <w:rPr>
          <w:color w:val="000000"/>
          <w:sz w:val="24"/>
          <w:szCs w:val="24"/>
        </w:rPr>
        <w:t>4、供应商可将响应文件正副本统一密封或分别密封，如正本和副本分别密封的，应在封袋上</w:t>
      </w:r>
      <w:r>
        <w:rPr>
          <w:rFonts w:hint="eastAsia" w:ascii="宋体" w:hAnsi="宋体" w:cs="宋体"/>
          <w:color w:val="000000"/>
          <w:sz w:val="24"/>
          <w:szCs w:val="24"/>
        </w:rPr>
        <w:t>标明正、副本字样。</w:t>
      </w:r>
    </w:p>
    <w:p>
      <w:pPr>
        <w:snapToGrid w:val="0"/>
        <w:spacing w:before="120" w:beforeLines="50" w:after="120" w:afterLines="50" w:line="300" w:lineRule="auto"/>
        <w:ind w:firstLine="470" w:firstLineChars="196"/>
        <w:rPr>
          <w:rFonts w:ascii="宋体" w:hAnsi="宋体" w:cs="宋体"/>
          <w:sz w:val="24"/>
          <w:szCs w:val="24"/>
        </w:rPr>
      </w:pPr>
      <w:r>
        <w:rPr>
          <w:color w:val="000000"/>
          <w:sz w:val="24"/>
          <w:szCs w:val="24"/>
        </w:rPr>
        <w:t>5、</w:t>
      </w:r>
      <w:r>
        <w:rPr>
          <w:sz w:val="24"/>
          <w:szCs w:val="24"/>
        </w:rPr>
        <w:t>响</w:t>
      </w:r>
      <w:r>
        <w:rPr>
          <w:rFonts w:hint="eastAsia" w:ascii="宋体" w:hAnsi="宋体" w:cs="宋体"/>
          <w:sz w:val="24"/>
          <w:szCs w:val="24"/>
        </w:rPr>
        <w:t>应文件中的所有“正本”，其正文内容须按磋商文件要求由供应商法定代表人或被授权人签字（或盖章）并加盖单位公章。“副本”可复印，但须加盖单位公章。</w:t>
      </w:r>
    </w:p>
    <w:p>
      <w:pPr>
        <w:snapToGrid w:val="0"/>
        <w:spacing w:before="120" w:beforeLines="50" w:after="120" w:afterLines="50" w:line="300" w:lineRule="auto"/>
        <w:ind w:firstLine="472" w:firstLineChars="196"/>
        <w:rPr>
          <w:rFonts w:ascii="宋体" w:hAnsi="宋体" w:cs="宋体"/>
          <w:b/>
          <w:sz w:val="24"/>
          <w:szCs w:val="24"/>
        </w:rPr>
      </w:pPr>
      <w:r>
        <w:rPr>
          <w:rFonts w:hint="eastAsia" w:ascii="宋体" w:hAnsi="宋体" w:cs="宋体"/>
          <w:b/>
          <w:sz w:val="24"/>
          <w:szCs w:val="24"/>
        </w:rPr>
        <w:t>6、特别提醒：若投标人参与多个标段的投标，应针对每个标段分别提供技术磋商响文件、商务报价磋商响应文件。若不符合此项要求，作无效标处理。</w:t>
      </w:r>
    </w:p>
    <w:p>
      <w:pPr>
        <w:snapToGrid w:val="0"/>
        <w:spacing w:before="120" w:beforeLines="50" w:after="120" w:afterLines="50" w:line="300" w:lineRule="auto"/>
        <w:ind w:firstLine="472" w:firstLineChars="196"/>
        <w:rPr>
          <w:rFonts w:ascii="宋体" w:hAnsi="宋体" w:cs="宋体"/>
          <w:b/>
          <w:bCs/>
          <w:sz w:val="24"/>
          <w:szCs w:val="24"/>
        </w:rPr>
      </w:pPr>
      <w:r>
        <w:rPr>
          <w:rFonts w:hint="eastAsia" w:ascii="宋体" w:hAnsi="宋体" w:cs="宋体"/>
          <w:b/>
          <w:bCs/>
          <w:sz w:val="24"/>
          <w:szCs w:val="24"/>
        </w:rPr>
        <w:t>五、响应文件的密封及标记</w:t>
      </w:r>
    </w:p>
    <w:p>
      <w:pPr>
        <w:snapToGrid w:val="0"/>
        <w:spacing w:before="120" w:beforeLines="50" w:after="120" w:afterLines="50" w:line="300" w:lineRule="auto"/>
        <w:ind w:firstLine="480" w:firstLineChars="200"/>
        <w:rPr>
          <w:rFonts w:ascii="宋体" w:hAnsi="宋体" w:cs="宋体"/>
          <w:sz w:val="24"/>
          <w:szCs w:val="24"/>
          <w:u w:val="single"/>
        </w:rPr>
      </w:pPr>
      <w:r>
        <w:rPr>
          <w:rFonts w:hint="eastAsia" w:ascii="宋体" w:hAnsi="宋体" w:cs="宋体"/>
          <w:sz w:val="24"/>
          <w:szCs w:val="24"/>
        </w:rPr>
        <w:t>1、供应商须将本项目响应文件：</w:t>
      </w:r>
      <w:r>
        <w:rPr>
          <w:rFonts w:hint="eastAsia"/>
          <w:bCs/>
          <w:color w:val="000000"/>
          <w:sz w:val="24"/>
          <w:szCs w:val="24"/>
        </w:rPr>
        <w:t>①、②、③、④</w:t>
      </w:r>
      <w:r>
        <w:rPr>
          <w:rFonts w:hint="eastAsia" w:ascii="宋体" w:hAnsi="宋体" w:cs="宋体"/>
          <w:b/>
          <w:sz w:val="24"/>
          <w:szCs w:val="24"/>
        </w:rPr>
        <w:t>单独密封</w:t>
      </w:r>
      <w:r>
        <w:rPr>
          <w:rFonts w:hint="eastAsia" w:ascii="宋体" w:hAnsi="宋体" w:cs="宋体"/>
          <w:sz w:val="24"/>
          <w:szCs w:val="24"/>
        </w:rPr>
        <w:t>。</w:t>
      </w:r>
    </w:p>
    <w:p>
      <w:pPr>
        <w:snapToGrid w:val="0"/>
        <w:spacing w:before="120" w:beforeLines="50" w:after="120" w:afterLines="50" w:line="300" w:lineRule="auto"/>
        <w:ind w:firstLine="480" w:firstLineChars="200"/>
        <w:rPr>
          <w:rFonts w:ascii="宋体" w:hAnsi="宋体" w:cs="宋体"/>
          <w:sz w:val="24"/>
          <w:szCs w:val="24"/>
        </w:rPr>
      </w:pPr>
      <w:r>
        <w:rPr>
          <w:rFonts w:hint="eastAsia" w:ascii="宋体" w:hAnsi="宋体" w:cs="宋体"/>
          <w:sz w:val="24"/>
          <w:szCs w:val="24"/>
        </w:rPr>
        <w:t>2、密封后，应在每一密封的响应文件上明确标注磋商项目名称、项目编号、</w:t>
      </w:r>
      <w:r>
        <w:rPr>
          <w:rFonts w:hint="eastAsia" w:ascii="宋体" w:hAnsi="宋体" w:cs="宋体"/>
          <w:b/>
          <w:sz w:val="24"/>
          <w:szCs w:val="24"/>
        </w:rPr>
        <w:t>标段名称</w:t>
      </w:r>
      <w:r>
        <w:rPr>
          <w:rFonts w:hint="eastAsia" w:ascii="宋体" w:hAnsi="宋体" w:cs="宋体"/>
          <w:sz w:val="24"/>
          <w:szCs w:val="24"/>
        </w:rPr>
        <w:t>、响应文件各自对应的名称、供应商的全称及日期。</w:t>
      </w:r>
    </w:p>
    <w:p>
      <w:pPr>
        <w:snapToGrid w:val="0"/>
        <w:spacing w:before="120" w:beforeLines="50" w:after="120" w:afterLines="50" w:line="300" w:lineRule="auto"/>
        <w:ind w:firstLine="480" w:firstLineChars="200"/>
        <w:rPr>
          <w:rFonts w:ascii="宋体" w:hAnsi="宋体" w:cs="宋体"/>
          <w:sz w:val="24"/>
          <w:szCs w:val="24"/>
        </w:rPr>
      </w:pPr>
      <w:r>
        <w:rPr>
          <w:rFonts w:hint="eastAsia" w:ascii="宋体" w:hAnsi="宋体" w:cs="宋体"/>
          <w:sz w:val="24"/>
          <w:szCs w:val="24"/>
        </w:rPr>
        <w:t>3、在边缝处加盖供应商公章或骑缝签字，</w:t>
      </w:r>
      <w:r>
        <w:rPr>
          <w:rFonts w:hint="eastAsia"/>
          <w:bCs/>
          <w:color w:val="000000"/>
          <w:sz w:val="24"/>
          <w:szCs w:val="24"/>
        </w:rPr>
        <w:t>可注明于开标前不得启封。</w:t>
      </w:r>
    </w:p>
    <w:p>
      <w:pPr>
        <w:snapToGrid w:val="0"/>
        <w:spacing w:before="120" w:beforeLines="50" w:after="120" w:afterLines="50" w:line="300" w:lineRule="auto"/>
        <w:ind w:firstLine="496" w:firstLineChars="206"/>
        <w:outlineLvl w:val="1"/>
        <w:rPr>
          <w:rFonts w:ascii="宋体" w:hAnsi="宋体" w:cs="宋体"/>
          <w:b/>
          <w:bCs/>
          <w:color w:val="000000"/>
          <w:sz w:val="24"/>
          <w:szCs w:val="24"/>
        </w:rPr>
      </w:pPr>
      <w:r>
        <w:rPr>
          <w:rFonts w:hint="eastAsia" w:ascii="宋体" w:hAnsi="宋体" w:cs="宋体"/>
          <w:b/>
          <w:bCs/>
          <w:color w:val="000000"/>
          <w:sz w:val="24"/>
          <w:szCs w:val="24"/>
        </w:rPr>
        <w:t>六、联合体参与磋商</w:t>
      </w:r>
    </w:p>
    <w:p>
      <w:pPr>
        <w:snapToGrid w:val="0"/>
        <w:spacing w:before="120" w:beforeLines="50" w:after="120" w:afterLines="50" w:line="300" w:lineRule="auto"/>
        <w:ind w:firstLine="484" w:firstLineChars="202"/>
        <w:rPr>
          <w:rFonts w:ascii="宋体" w:hAnsi="宋体" w:cs="宋体"/>
          <w:color w:val="000000"/>
          <w:sz w:val="24"/>
          <w:szCs w:val="24"/>
        </w:rPr>
      </w:pPr>
      <w:r>
        <w:rPr>
          <w:rFonts w:hint="eastAsia" w:ascii="宋体" w:hAnsi="宋体" w:cs="宋体"/>
          <w:color w:val="000000"/>
          <w:sz w:val="24"/>
          <w:szCs w:val="24"/>
        </w:rPr>
        <w:t>不接受任何形式的联合体参与本项目的竞争性磋商。</w:t>
      </w:r>
    </w:p>
    <w:p>
      <w:pPr>
        <w:snapToGrid w:val="0"/>
        <w:spacing w:before="120" w:beforeLines="50" w:after="120" w:afterLines="50" w:line="300" w:lineRule="auto"/>
        <w:ind w:firstLine="482" w:firstLineChars="200"/>
        <w:outlineLvl w:val="1"/>
        <w:rPr>
          <w:rFonts w:eastAsia="仿宋_GB2312"/>
          <w:b/>
          <w:bCs/>
          <w:sz w:val="24"/>
          <w:szCs w:val="24"/>
          <w:lang w:val="zh-CN"/>
        </w:rPr>
      </w:pPr>
      <w:r>
        <w:rPr>
          <w:rFonts w:hint="eastAsia" w:ascii="宋体" w:hAnsi="宋体" w:cs="宋体"/>
          <w:b/>
          <w:bCs/>
          <w:color w:val="000000"/>
          <w:sz w:val="24"/>
          <w:szCs w:val="24"/>
          <w:lang w:val="zh-CN"/>
        </w:rPr>
        <w:t>七、</w:t>
      </w:r>
      <w:r>
        <w:rPr>
          <w:rFonts w:hint="eastAsia" w:ascii="宋体" w:hAnsi="宋体" w:cs="宋体"/>
          <w:b/>
          <w:bCs/>
          <w:color w:val="000000"/>
          <w:sz w:val="24"/>
          <w:szCs w:val="24"/>
        </w:rPr>
        <w:t>磋商</w:t>
      </w:r>
      <w:r>
        <w:rPr>
          <w:rFonts w:hint="eastAsia" w:ascii="宋体" w:hAnsi="宋体" w:cs="宋体"/>
          <w:b/>
          <w:bCs/>
          <w:color w:val="000000"/>
          <w:sz w:val="24"/>
          <w:szCs w:val="24"/>
          <w:lang w:val="zh-CN"/>
        </w:rPr>
        <w:t>保证金退还（</w:t>
      </w:r>
      <w:r>
        <w:rPr>
          <w:rFonts w:hint="eastAsia" w:ascii="宋体" w:hAnsi="宋体" w:cs="宋体"/>
          <w:b/>
          <w:bCs/>
          <w:color w:val="000000"/>
          <w:sz w:val="24"/>
          <w:szCs w:val="24"/>
          <w:lang w:val="en-US" w:eastAsia="zh-CN"/>
        </w:rPr>
        <w:t>本项目不涉及</w:t>
      </w:r>
      <w:r>
        <w:rPr>
          <w:rFonts w:hint="eastAsia" w:ascii="宋体" w:hAnsi="宋体" w:cs="宋体"/>
          <w:b/>
          <w:bCs/>
          <w:color w:val="000000"/>
          <w:sz w:val="24"/>
          <w:szCs w:val="24"/>
          <w:lang w:val="zh-CN"/>
        </w:rPr>
        <w:t>）</w:t>
      </w:r>
    </w:p>
    <w:p>
      <w:pPr>
        <w:snapToGrid w:val="0"/>
        <w:spacing w:before="120" w:beforeLines="50" w:after="120" w:afterLines="50" w:line="300" w:lineRule="auto"/>
        <w:ind w:firstLine="494" w:firstLineChars="206"/>
        <w:rPr>
          <w:sz w:val="24"/>
          <w:szCs w:val="24"/>
        </w:rPr>
      </w:pPr>
      <w:r>
        <w:rPr>
          <w:sz w:val="24"/>
          <w:szCs w:val="24"/>
        </w:rPr>
        <w:t>1、未成交的供应商的磋商保证金，当场退还，成交的供应商（以下称为中标人）的磋商保证金将在采购单位与中标人签订的合同生效后</w:t>
      </w:r>
      <w:r>
        <w:rPr>
          <w:b/>
          <w:sz w:val="24"/>
          <w:szCs w:val="24"/>
          <w:u w:val="single"/>
        </w:rPr>
        <w:t xml:space="preserve"> </w:t>
      </w:r>
      <w:r>
        <w:rPr>
          <w:rFonts w:hint="eastAsia"/>
          <w:b/>
          <w:sz w:val="24"/>
          <w:szCs w:val="24"/>
          <w:u w:val="single"/>
        </w:rPr>
        <w:t>5</w:t>
      </w:r>
      <w:r>
        <w:rPr>
          <w:b/>
          <w:sz w:val="24"/>
          <w:szCs w:val="24"/>
          <w:u w:val="single"/>
        </w:rPr>
        <w:t>个工作日内</w:t>
      </w:r>
      <w:r>
        <w:rPr>
          <w:sz w:val="24"/>
          <w:szCs w:val="24"/>
        </w:rPr>
        <w:t xml:space="preserve"> ，予以退还（无息）。</w:t>
      </w:r>
    </w:p>
    <w:p>
      <w:pPr>
        <w:snapToGrid w:val="0"/>
        <w:spacing w:before="120" w:beforeLines="50" w:after="120" w:afterLines="50" w:line="300" w:lineRule="auto"/>
        <w:ind w:firstLine="460" w:firstLineChars="192"/>
        <w:rPr>
          <w:sz w:val="24"/>
          <w:szCs w:val="24"/>
        </w:rPr>
      </w:pPr>
      <w:r>
        <w:rPr>
          <w:sz w:val="24"/>
          <w:szCs w:val="24"/>
        </w:rPr>
        <w:t>2、发生下列情况之一，磋商保证金将不予退还。</w:t>
      </w:r>
    </w:p>
    <w:p>
      <w:pPr>
        <w:snapToGrid w:val="0"/>
        <w:spacing w:before="120" w:beforeLines="50" w:after="120" w:afterLines="50" w:line="300" w:lineRule="auto"/>
        <w:ind w:firstLine="460" w:firstLineChars="192"/>
        <w:rPr>
          <w:sz w:val="24"/>
          <w:szCs w:val="24"/>
        </w:rPr>
      </w:pPr>
      <w:r>
        <w:rPr>
          <w:sz w:val="24"/>
          <w:szCs w:val="24"/>
        </w:rPr>
        <w:t>（1）</w:t>
      </w:r>
      <w:r>
        <w:rPr>
          <w:kern w:val="0"/>
          <w:sz w:val="24"/>
          <w:szCs w:val="24"/>
        </w:rPr>
        <w:t>供应商在提交响应文件截止时间后撤回响应文件的；</w:t>
      </w:r>
    </w:p>
    <w:p>
      <w:pPr>
        <w:snapToGrid w:val="0"/>
        <w:spacing w:before="120" w:beforeLines="50" w:after="120" w:afterLines="50" w:line="300" w:lineRule="auto"/>
        <w:ind w:firstLine="460" w:firstLineChars="192"/>
        <w:rPr>
          <w:kern w:val="0"/>
          <w:sz w:val="24"/>
          <w:szCs w:val="24"/>
        </w:rPr>
      </w:pPr>
      <w:r>
        <w:rPr>
          <w:sz w:val="24"/>
          <w:szCs w:val="24"/>
        </w:rPr>
        <w:t>（2）</w:t>
      </w:r>
      <w:r>
        <w:rPr>
          <w:kern w:val="0"/>
          <w:sz w:val="24"/>
          <w:szCs w:val="24"/>
        </w:rPr>
        <w:t>供应商在响应文件中提供虚假材料的；</w:t>
      </w:r>
    </w:p>
    <w:p>
      <w:pPr>
        <w:snapToGrid w:val="0"/>
        <w:spacing w:before="120" w:beforeLines="50" w:after="120" w:afterLines="50" w:line="300" w:lineRule="auto"/>
        <w:ind w:firstLine="460" w:firstLineChars="192"/>
        <w:rPr>
          <w:sz w:val="24"/>
          <w:szCs w:val="24"/>
        </w:rPr>
      </w:pPr>
      <w:r>
        <w:rPr>
          <w:sz w:val="24"/>
          <w:szCs w:val="24"/>
        </w:rPr>
        <w:t>（3）除因不可抗力或磋商文件认可的情形以外，</w:t>
      </w:r>
      <w:r>
        <w:rPr>
          <w:bCs/>
          <w:sz w:val="24"/>
          <w:szCs w:val="24"/>
        </w:rPr>
        <w:t>中标人</w:t>
      </w:r>
      <w:r>
        <w:rPr>
          <w:sz w:val="24"/>
          <w:szCs w:val="24"/>
        </w:rPr>
        <w:t xml:space="preserve">不按规定缴纳履约保证金或不与采购单位签订合同的； </w:t>
      </w:r>
    </w:p>
    <w:p>
      <w:pPr>
        <w:snapToGrid w:val="0"/>
        <w:spacing w:before="120" w:beforeLines="50" w:after="120" w:afterLines="50" w:line="300" w:lineRule="auto"/>
        <w:ind w:firstLine="460" w:firstLineChars="192"/>
        <w:rPr>
          <w:kern w:val="0"/>
          <w:sz w:val="24"/>
          <w:szCs w:val="24"/>
        </w:rPr>
      </w:pPr>
      <w:r>
        <w:rPr>
          <w:sz w:val="24"/>
          <w:szCs w:val="24"/>
        </w:rPr>
        <w:t>（4）</w:t>
      </w:r>
      <w:r>
        <w:rPr>
          <w:kern w:val="0"/>
          <w:sz w:val="24"/>
          <w:szCs w:val="24"/>
        </w:rPr>
        <w:t>供应商与采购单位或其他供应商恶意串通的；</w:t>
      </w:r>
    </w:p>
    <w:p>
      <w:pPr>
        <w:snapToGrid w:val="0"/>
        <w:spacing w:before="120" w:beforeLines="50" w:after="120" w:afterLines="50" w:line="300" w:lineRule="auto"/>
        <w:ind w:firstLine="460" w:firstLineChars="192"/>
        <w:rPr>
          <w:kern w:val="0"/>
          <w:sz w:val="24"/>
          <w:szCs w:val="24"/>
        </w:rPr>
      </w:pPr>
      <w:r>
        <w:rPr>
          <w:sz w:val="24"/>
          <w:szCs w:val="24"/>
        </w:rPr>
        <w:t>（5）供应商在磋商过程中有违反有关法律法规的行为；</w:t>
      </w:r>
    </w:p>
    <w:p>
      <w:pPr>
        <w:snapToGrid w:val="0"/>
        <w:spacing w:before="120" w:beforeLines="50" w:after="120" w:afterLines="50" w:line="300" w:lineRule="auto"/>
        <w:ind w:firstLine="460" w:firstLineChars="192"/>
        <w:rPr>
          <w:sz w:val="24"/>
          <w:szCs w:val="24"/>
        </w:rPr>
      </w:pPr>
      <w:r>
        <w:rPr>
          <w:sz w:val="24"/>
          <w:szCs w:val="24"/>
        </w:rPr>
        <w:t>（6）磋商文件规定的其他情形的。</w:t>
      </w:r>
    </w:p>
    <w:p>
      <w:pPr>
        <w:snapToGrid w:val="0"/>
        <w:spacing w:before="120" w:beforeLines="50" w:after="120" w:afterLines="50" w:line="300" w:lineRule="auto"/>
        <w:ind w:firstLine="460" w:firstLineChars="192"/>
        <w:rPr>
          <w:color w:val="000000"/>
          <w:sz w:val="24"/>
          <w:szCs w:val="24"/>
        </w:rPr>
      </w:pPr>
      <w:r>
        <w:rPr>
          <w:color w:val="000000"/>
          <w:sz w:val="24"/>
          <w:szCs w:val="24"/>
        </w:rPr>
        <w:t>3、对于在磋商顺利开始</w:t>
      </w:r>
      <w:r>
        <w:rPr>
          <w:sz w:val="24"/>
          <w:szCs w:val="24"/>
        </w:rPr>
        <w:t>后至开标结束前，</w:t>
      </w:r>
      <w:r>
        <w:rPr>
          <w:color w:val="000000"/>
          <w:sz w:val="24"/>
          <w:szCs w:val="24"/>
        </w:rPr>
        <w:t>根据磋商情况退出磋商的供应商，须以书面形式说明退出磋商的原因，经磋商小组同意可以退还其缴纳的磋商保证金。</w:t>
      </w:r>
    </w:p>
    <w:p>
      <w:pPr>
        <w:snapToGrid w:val="0"/>
        <w:spacing w:before="120" w:beforeLines="50" w:after="120" w:afterLines="50" w:line="300" w:lineRule="auto"/>
        <w:ind w:firstLine="482" w:firstLineChars="200"/>
        <w:outlineLvl w:val="1"/>
        <w:rPr>
          <w:rFonts w:ascii="宋体" w:hAnsi="宋体" w:cs="宋体"/>
          <w:sz w:val="24"/>
          <w:szCs w:val="24"/>
        </w:rPr>
      </w:pPr>
      <w:r>
        <w:rPr>
          <w:rFonts w:hint="eastAsia" w:ascii="宋体" w:hAnsi="宋体" w:cs="宋体"/>
          <w:b/>
          <w:bCs/>
          <w:color w:val="000000"/>
          <w:sz w:val="24"/>
          <w:szCs w:val="24"/>
        </w:rPr>
        <w:t>八、</w:t>
      </w:r>
      <w:r>
        <w:rPr>
          <w:rFonts w:hint="eastAsia" w:ascii="宋体" w:hAnsi="宋体" w:cs="宋体"/>
          <w:b/>
          <w:bCs/>
          <w:sz w:val="24"/>
          <w:szCs w:val="24"/>
        </w:rPr>
        <w:t>响应文件及</w:t>
      </w:r>
      <w:r>
        <w:rPr>
          <w:rFonts w:hint="eastAsia" w:ascii="宋体" w:hAnsi="宋体" w:cs="宋体"/>
          <w:b/>
          <w:kern w:val="0"/>
          <w:sz w:val="24"/>
          <w:szCs w:val="24"/>
        </w:rPr>
        <w:t>磋商</w:t>
      </w:r>
      <w:r>
        <w:rPr>
          <w:rFonts w:hint="eastAsia" w:ascii="宋体" w:hAnsi="宋体" w:cs="宋体"/>
          <w:b/>
          <w:bCs/>
          <w:sz w:val="24"/>
          <w:szCs w:val="24"/>
        </w:rPr>
        <w:t>费用</w:t>
      </w:r>
    </w:p>
    <w:p>
      <w:pPr>
        <w:snapToGrid w:val="0"/>
        <w:spacing w:before="120" w:beforeLines="50" w:after="120" w:afterLines="50" w:line="300" w:lineRule="auto"/>
        <w:ind w:firstLine="460" w:firstLineChars="192"/>
        <w:rPr>
          <w:color w:val="000000"/>
          <w:sz w:val="24"/>
          <w:szCs w:val="24"/>
        </w:rPr>
      </w:pPr>
      <w:r>
        <w:rPr>
          <w:sz w:val="24"/>
          <w:szCs w:val="24"/>
        </w:rPr>
        <w:t>1、磋商程序顺利进行后，除供应商的原件可退回外，其余所有的响应文件都将作为档案保存，不</w:t>
      </w:r>
      <w:r>
        <w:rPr>
          <w:color w:val="000000"/>
          <w:sz w:val="24"/>
          <w:szCs w:val="24"/>
        </w:rPr>
        <w:t>论成交与否，</w:t>
      </w:r>
      <w:r>
        <w:rPr>
          <w:rFonts w:hint="eastAsia"/>
          <w:color w:val="000000"/>
          <w:sz w:val="24"/>
          <w:szCs w:val="24"/>
        </w:rPr>
        <w:t>南通市启秀中学</w:t>
      </w:r>
      <w:r>
        <w:rPr>
          <w:color w:val="000000"/>
          <w:sz w:val="24"/>
          <w:szCs w:val="24"/>
        </w:rPr>
        <w:t>均不退回。</w:t>
      </w:r>
    </w:p>
    <w:p>
      <w:pPr>
        <w:snapToGrid w:val="0"/>
        <w:spacing w:before="120" w:beforeLines="50" w:after="120" w:afterLines="50" w:line="300" w:lineRule="auto"/>
        <w:ind w:firstLine="460" w:firstLineChars="192"/>
        <w:rPr>
          <w:sz w:val="24"/>
          <w:szCs w:val="24"/>
        </w:rPr>
      </w:pPr>
      <w:r>
        <w:rPr>
          <w:color w:val="000000"/>
          <w:sz w:val="24"/>
          <w:szCs w:val="24"/>
        </w:rPr>
        <w:t>2、无论磋商过程和结果如何，参加项目磋商的供应商自行承担与本次项目磋商有</w:t>
      </w:r>
      <w:r>
        <w:rPr>
          <w:sz w:val="24"/>
          <w:szCs w:val="24"/>
        </w:rPr>
        <w:t>关的全部费用。</w:t>
      </w:r>
    </w:p>
    <w:p>
      <w:pPr>
        <w:snapToGrid w:val="0"/>
        <w:spacing w:before="120" w:beforeLines="50" w:after="120" w:afterLines="50" w:line="300" w:lineRule="auto"/>
        <w:ind w:firstLine="460" w:firstLineChars="192"/>
        <w:rPr>
          <w:sz w:val="24"/>
          <w:szCs w:val="24"/>
        </w:rPr>
      </w:pPr>
      <w:r>
        <w:rPr>
          <w:rFonts w:hint="eastAsia"/>
          <w:sz w:val="24"/>
          <w:szCs w:val="24"/>
        </w:rPr>
        <w:t>3、本项目磋商文件费</w:t>
      </w:r>
      <w:r>
        <w:rPr>
          <w:rFonts w:hint="eastAsia"/>
          <w:sz w:val="24"/>
          <w:szCs w:val="24"/>
          <w:lang w:val="en-US" w:eastAsia="zh-CN"/>
        </w:rPr>
        <w:t>4</w:t>
      </w:r>
      <w:r>
        <w:rPr>
          <w:rFonts w:hint="eastAsia"/>
          <w:sz w:val="24"/>
          <w:szCs w:val="24"/>
        </w:rPr>
        <w:t>00元/</w:t>
      </w:r>
      <w:r>
        <w:rPr>
          <w:rFonts w:hint="eastAsia"/>
          <w:sz w:val="24"/>
          <w:szCs w:val="24"/>
          <w:lang w:val="en-US" w:eastAsia="zh-CN"/>
        </w:rPr>
        <w:t>投标供应商</w:t>
      </w:r>
      <w:r>
        <w:rPr>
          <w:rFonts w:hint="eastAsia"/>
          <w:sz w:val="24"/>
          <w:szCs w:val="24"/>
        </w:rPr>
        <w:t>，在提交磋商响应文件时支付给代理机构，无论成交与否不予退还。招标代理费执行发改办价格【2003】857号文规定，按采购人与代理机构合同约定由成交供应商支付【计价格（2002）1980号收费标准的60%】；专家论证和评审费用按南通市财政局通财购（2018）18号文件执行（按实支付）。供应商须综合考虑在磋商响应报价内。</w:t>
      </w:r>
    </w:p>
    <w:p>
      <w:pPr>
        <w:snapToGrid w:val="0"/>
        <w:spacing w:before="120" w:beforeLines="50" w:after="120" w:afterLines="50" w:line="300" w:lineRule="auto"/>
        <w:ind w:firstLine="460" w:firstLineChars="192"/>
        <w:rPr>
          <w:color w:val="000000"/>
          <w:sz w:val="24"/>
          <w:szCs w:val="24"/>
        </w:rPr>
      </w:pPr>
      <w:r>
        <w:rPr>
          <w:rFonts w:hint="eastAsia"/>
          <w:sz w:val="24"/>
          <w:szCs w:val="24"/>
        </w:rPr>
        <w:t>代理费、专家费用由成交供应商在领取成交通知书时支付给代理机构。</w:t>
      </w:r>
    </w:p>
    <w:p>
      <w:pPr>
        <w:snapToGrid w:val="0"/>
        <w:spacing w:before="120" w:beforeLines="50" w:after="120" w:afterLines="50" w:line="300" w:lineRule="auto"/>
        <w:ind w:firstLine="496" w:firstLineChars="206"/>
        <w:outlineLvl w:val="1"/>
        <w:rPr>
          <w:rFonts w:ascii="宋体" w:hAnsi="宋体" w:cs="宋体"/>
          <w:b/>
          <w:bCs/>
          <w:sz w:val="24"/>
          <w:szCs w:val="24"/>
        </w:rPr>
      </w:pPr>
      <w:r>
        <w:rPr>
          <w:rFonts w:hint="eastAsia" w:ascii="宋体" w:hAnsi="宋体" w:cs="宋体"/>
          <w:b/>
          <w:bCs/>
          <w:sz w:val="24"/>
          <w:szCs w:val="24"/>
        </w:rPr>
        <w:t>九、履约保证金</w:t>
      </w:r>
    </w:p>
    <w:p>
      <w:pPr>
        <w:snapToGrid w:val="0"/>
        <w:spacing w:before="120" w:beforeLines="50" w:after="120" w:afterLines="50" w:line="300" w:lineRule="auto"/>
        <w:ind w:firstLine="494" w:firstLineChars="206"/>
        <w:rPr>
          <w:bCs/>
          <w:sz w:val="24"/>
          <w:szCs w:val="24"/>
        </w:rPr>
      </w:pPr>
      <w:r>
        <w:rPr>
          <w:bCs/>
          <w:sz w:val="24"/>
          <w:szCs w:val="24"/>
        </w:rPr>
        <w:t>1、原材料供应商在入围后与采购单位签订合同前需向采购单位缴纳贰万元</w:t>
      </w:r>
      <w:r>
        <w:rPr>
          <w:rFonts w:hint="eastAsia"/>
          <w:bCs/>
          <w:sz w:val="24"/>
          <w:szCs w:val="24"/>
        </w:rPr>
        <w:t>/标段</w:t>
      </w:r>
      <w:r>
        <w:rPr>
          <w:bCs/>
          <w:sz w:val="24"/>
          <w:szCs w:val="24"/>
        </w:rPr>
        <w:t>的履约保证金，合同期满后扣除服务期内的罚款后一次性无息退还。中标人无正当理由拒绝缴纳履约保证金及签订合同的，采购单位有权取消其中标资格，并有权收取其全额磋商保证金作为违约金。如中标人在整个履行合同过程中有违约行为，则由采购单位扣罚履约保证金。</w:t>
      </w:r>
    </w:p>
    <w:p>
      <w:pPr>
        <w:snapToGrid w:val="0"/>
        <w:spacing w:before="120" w:beforeLines="50" w:after="120" w:afterLines="50" w:line="300" w:lineRule="auto"/>
        <w:ind w:firstLine="494" w:firstLineChars="206"/>
        <w:rPr>
          <w:bCs/>
          <w:sz w:val="24"/>
          <w:szCs w:val="24"/>
        </w:rPr>
      </w:pPr>
      <w:r>
        <w:rPr>
          <w:bCs/>
          <w:sz w:val="24"/>
          <w:szCs w:val="24"/>
        </w:rPr>
        <w:t>2、成交供应商的履约保证金须在签订合同前汇入采购单位账户，成交供应商凭成交通知书及履约保证金缴费证明与采购单位订合同。</w:t>
      </w:r>
    </w:p>
    <w:p>
      <w:pPr>
        <w:snapToGrid w:val="0"/>
        <w:spacing w:before="120" w:beforeLines="50" w:after="120" w:afterLines="50" w:line="300" w:lineRule="auto"/>
        <w:ind w:firstLine="494" w:firstLineChars="206"/>
        <w:rPr>
          <w:bCs/>
          <w:sz w:val="24"/>
          <w:szCs w:val="24"/>
        </w:rPr>
      </w:pPr>
      <w:r>
        <w:rPr>
          <w:bCs/>
          <w:sz w:val="24"/>
          <w:szCs w:val="24"/>
        </w:rPr>
        <w:t xml:space="preserve">3、成交供应商在服务期满后，采购单位凭成交供应商提交的申请，扣除服务期内的罚款后一次性无息退还该合同项目的履约保证金。 </w:t>
      </w:r>
    </w:p>
    <w:p>
      <w:pPr>
        <w:snapToGrid w:val="0"/>
        <w:spacing w:before="120" w:beforeLines="50" w:after="120" w:afterLines="50" w:line="300" w:lineRule="auto"/>
        <w:ind w:firstLine="494" w:firstLineChars="206"/>
        <w:rPr>
          <w:bCs/>
          <w:sz w:val="24"/>
          <w:szCs w:val="24"/>
        </w:rPr>
      </w:pPr>
      <w:r>
        <w:rPr>
          <w:bCs/>
          <w:sz w:val="24"/>
          <w:szCs w:val="24"/>
        </w:rPr>
        <w:t>4、由于成交供应商原因，在签订合同后出现不按合同履行的情况，采购单位有权将履约保证金作为违约金，全额不予退还，同时采购单位亦有权终止合同，成交供应商还须承担相应的法律赔偿责任。</w:t>
      </w:r>
    </w:p>
    <w:p>
      <w:pPr>
        <w:snapToGrid w:val="0"/>
        <w:spacing w:before="120" w:beforeLines="50" w:after="120" w:afterLines="50" w:line="300" w:lineRule="auto"/>
        <w:ind w:firstLine="496" w:firstLineChars="206"/>
        <w:outlineLvl w:val="1"/>
        <w:rPr>
          <w:rFonts w:ascii="宋体" w:hAnsi="宋体" w:cs="宋体"/>
          <w:b/>
          <w:color w:val="000000"/>
          <w:sz w:val="24"/>
          <w:szCs w:val="24"/>
        </w:rPr>
      </w:pPr>
      <w:r>
        <w:rPr>
          <w:rFonts w:hint="eastAsia" w:ascii="宋体" w:hAnsi="宋体" w:cs="宋体"/>
          <w:b/>
          <w:color w:val="000000"/>
          <w:sz w:val="24"/>
          <w:szCs w:val="24"/>
        </w:rPr>
        <w:t>十、未尽事宜</w:t>
      </w:r>
    </w:p>
    <w:p>
      <w:pPr>
        <w:snapToGrid w:val="0"/>
        <w:spacing w:before="120" w:beforeLines="50" w:after="120" w:afterLines="50" w:line="300" w:lineRule="auto"/>
        <w:ind w:firstLine="494" w:firstLineChars="206"/>
        <w:rPr>
          <w:rFonts w:ascii="宋体" w:hAnsi="宋体" w:cs="宋体"/>
          <w:color w:val="000000"/>
          <w:sz w:val="24"/>
          <w:szCs w:val="24"/>
        </w:rPr>
      </w:pPr>
      <w:r>
        <w:rPr>
          <w:rFonts w:hint="eastAsia" w:ascii="宋体" w:hAnsi="宋体" w:cs="宋体"/>
          <w:color w:val="000000"/>
          <w:sz w:val="24"/>
          <w:szCs w:val="24"/>
        </w:rPr>
        <w:t>按《中华人民共和国政府采购法》、《政府采购竞争性磋商采购方式管理暂行办法》及其他有关法律法规的规定执行。</w:t>
      </w:r>
    </w:p>
    <w:p>
      <w:pPr>
        <w:pStyle w:val="3"/>
      </w:pPr>
      <w:r>
        <w:rPr>
          <w:rFonts w:hint="eastAsia" w:ascii="宋体" w:hAnsi="宋体" w:cs="宋体"/>
          <w:color w:val="000000"/>
          <w:sz w:val="28"/>
          <w:szCs w:val="28"/>
        </w:rPr>
        <w:br w:type="page"/>
      </w:r>
      <w:bookmarkStart w:id="37" w:name="_Toc47957221"/>
      <w:bookmarkStart w:id="38" w:name="_Toc363573855"/>
      <w:r>
        <w:rPr>
          <w:rFonts w:hint="eastAsia"/>
        </w:rPr>
        <w:t xml:space="preserve">第三章  </w:t>
      </w:r>
      <w:bookmarkEnd w:id="27"/>
      <w:bookmarkEnd w:id="28"/>
      <w:bookmarkEnd w:id="29"/>
      <w:bookmarkEnd w:id="30"/>
      <w:bookmarkEnd w:id="31"/>
      <w:bookmarkEnd w:id="32"/>
      <w:bookmarkEnd w:id="33"/>
      <w:bookmarkEnd w:id="34"/>
      <w:bookmarkEnd w:id="35"/>
      <w:bookmarkEnd w:id="36"/>
      <w:r>
        <w:rPr>
          <w:rFonts w:hint="eastAsia"/>
        </w:rPr>
        <w:t>项目需求</w:t>
      </w:r>
      <w:bookmarkEnd w:id="37"/>
      <w:bookmarkEnd w:id="38"/>
      <w:bookmarkStart w:id="39" w:name="_Toc11499586"/>
      <w:bookmarkStart w:id="40" w:name="_Toc94544746"/>
      <w:bookmarkStart w:id="41" w:name="_Toc12670505"/>
      <w:bookmarkStart w:id="42" w:name="_Toc521203420"/>
      <w:bookmarkStart w:id="43" w:name="_Toc11554641"/>
      <w:bookmarkStart w:id="44" w:name="_Toc94544872"/>
      <w:bookmarkStart w:id="45" w:name="_Toc94585342"/>
      <w:bookmarkStart w:id="46" w:name="_Toc11500282"/>
      <w:bookmarkStart w:id="47" w:name="_Toc521201599"/>
      <w:bookmarkStart w:id="48" w:name="_Toc13803483"/>
      <w:bookmarkStart w:id="49" w:name="_Toc8895741"/>
      <w:bookmarkStart w:id="50" w:name="_Toc363573856"/>
    </w:p>
    <w:p>
      <w:pPr>
        <w:snapToGrid w:val="0"/>
        <w:spacing w:before="120" w:beforeLines="50" w:after="120" w:afterLines="50" w:line="300" w:lineRule="auto"/>
        <w:ind w:firstLine="496" w:firstLineChars="206"/>
        <w:outlineLvl w:val="1"/>
        <w:rPr>
          <w:rFonts w:ascii="宋体" w:hAnsi="宋体" w:cs="宋体"/>
          <w:b/>
          <w:kern w:val="0"/>
          <w:sz w:val="24"/>
          <w:szCs w:val="24"/>
        </w:rPr>
      </w:pPr>
      <w:r>
        <w:rPr>
          <w:rFonts w:hint="eastAsia" w:ascii="宋体" w:hAnsi="宋体" w:cs="宋体"/>
          <w:b/>
          <w:kern w:val="0"/>
          <w:sz w:val="24"/>
          <w:szCs w:val="24"/>
        </w:rPr>
        <w:t>一、产品质量</w:t>
      </w:r>
    </w:p>
    <w:p>
      <w:pPr>
        <w:spacing w:before="120" w:beforeLines="50" w:after="120" w:afterLines="50" w:line="300" w:lineRule="auto"/>
        <w:ind w:firstLine="480" w:firstLineChars="200"/>
        <w:rPr>
          <w:b/>
          <w:sz w:val="24"/>
          <w:szCs w:val="24"/>
        </w:rPr>
      </w:pPr>
      <w:r>
        <w:rPr>
          <w:sz w:val="24"/>
          <w:szCs w:val="24"/>
        </w:rPr>
        <w:t>质量指标：符合国家食品安全标准。</w:t>
      </w:r>
    </w:p>
    <w:p>
      <w:pPr>
        <w:spacing w:before="120" w:beforeLines="50" w:after="120" w:afterLines="50" w:line="300" w:lineRule="auto"/>
        <w:ind w:firstLine="480" w:firstLineChars="200"/>
        <w:rPr>
          <w:kern w:val="0"/>
          <w:sz w:val="24"/>
          <w:szCs w:val="24"/>
        </w:rPr>
      </w:pPr>
      <w:r>
        <w:rPr>
          <w:kern w:val="0"/>
          <w:sz w:val="24"/>
          <w:szCs w:val="24"/>
        </w:rPr>
        <w:t>供货商提供的产品必须符合《国家标准》（GB），农产品符合《中华人民共和国农业行业标准》（NY）和其它相应的标准，同时，要满足学校对产品的其它质量要求并必须确保食品安全。</w:t>
      </w:r>
    </w:p>
    <w:p>
      <w:pPr>
        <w:snapToGrid w:val="0"/>
        <w:spacing w:before="120" w:beforeLines="50" w:after="120" w:afterLines="50" w:line="300" w:lineRule="auto"/>
        <w:ind w:firstLine="496" w:firstLineChars="206"/>
        <w:outlineLvl w:val="1"/>
        <w:rPr>
          <w:b/>
          <w:kern w:val="0"/>
          <w:sz w:val="24"/>
          <w:szCs w:val="24"/>
        </w:rPr>
      </w:pPr>
      <w:r>
        <w:rPr>
          <w:b/>
          <w:kern w:val="0"/>
          <w:sz w:val="24"/>
          <w:szCs w:val="24"/>
        </w:rPr>
        <w:t>二、产品价格</w:t>
      </w:r>
    </w:p>
    <w:p>
      <w:pPr>
        <w:spacing w:before="120" w:beforeLines="50" w:after="120" w:afterLines="50" w:line="300" w:lineRule="auto"/>
        <w:ind w:firstLine="480" w:firstLineChars="200"/>
        <w:rPr>
          <w:kern w:val="0"/>
          <w:sz w:val="24"/>
          <w:szCs w:val="24"/>
        </w:rPr>
      </w:pPr>
      <w:r>
        <w:rPr>
          <w:kern w:val="0"/>
          <w:sz w:val="24"/>
          <w:szCs w:val="24"/>
        </w:rPr>
        <w:t>1、供应食堂原辅料的价格必须低于同期南通市农副产品市场同类品种平均价格和大型超市（以大润发为采样点）同类价格，确保相应的下浮比例。</w:t>
      </w:r>
    </w:p>
    <w:p>
      <w:pPr>
        <w:spacing w:before="120" w:beforeLines="50" w:after="120" w:afterLines="50" w:line="300" w:lineRule="auto"/>
        <w:ind w:firstLine="480" w:firstLineChars="200"/>
        <w:rPr>
          <w:bCs/>
          <w:sz w:val="24"/>
          <w:szCs w:val="24"/>
        </w:rPr>
      </w:pPr>
      <w:r>
        <w:rPr>
          <w:kern w:val="0"/>
          <w:sz w:val="24"/>
          <w:szCs w:val="24"/>
        </w:rPr>
        <w:t>（1）供应商供应的粳米（二级、三级）以</w:t>
      </w:r>
      <w:r>
        <w:rPr>
          <w:bCs/>
          <w:sz w:val="24"/>
          <w:szCs w:val="24"/>
        </w:rPr>
        <w:t>南通市发展改革委员会网站（http://fgw.nantong.gov.cn/）公布</w:t>
      </w:r>
      <w:r>
        <w:rPr>
          <w:rFonts w:ascii="宋体" w:hAnsi="宋体"/>
          <w:bCs/>
          <w:sz w:val="24"/>
          <w:szCs w:val="24"/>
        </w:rPr>
        <w:t>的“市场价格”栏“主副食品价格”的南通市区部分市场主</w:t>
      </w:r>
      <w:r>
        <w:rPr>
          <w:bCs/>
          <w:sz w:val="24"/>
          <w:szCs w:val="24"/>
        </w:rPr>
        <w:t>副食品价格的平均价</w:t>
      </w:r>
      <w:r>
        <w:rPr>
          <w:rFonts w:hint="eastAsia"/>
          <w:bCs/>
          <w:sz w:val="24"/>
          <w:szCs w:val="24"/>
        </w:rPr>
        <w:t>作为市场价，</w:t>
      </w:r>
      <w:r>
        <w:rPr>
          <w:bCs/>
          <w:sz w:val="24"/>
          <w:szCs w:val="24"/>
        </w:rPr>
        <w:t>在此基础上下浮。</w:t>
      </w:r>
    </w:p>
    <w:p>
      <w:pPr>
        <w:spacing w:before="120" w:beforeLines="50" w:after="120" w:afterLines="50" w:line="300" w:lineRule="auto"/>
        <w:ind w:firstLine="480" w:firstLineChars="200"/>
        <w:rPr>
          <w:kern w:val="0"/>
          <w:sz w:val="24"/>
          <w:szCs w:val="24"/>
        </w:rPr>
      </w:pPr>
      <w:r>
        <w:rPr>
          <w:bCs/>
          <w:sz w:val="24"/>
          <w:szCs w:val="24"/>
        </w:rPr>
        <w:t>（2）南通市发展改革委员会网站未公布的食材价格，以学校定期向供应商询价的价格为依据。同时学校组织询价小组按照所采购类别不定期到菜市场</w:t>
      </w:r>
      <w:r>
        <w:rPr>
          <w:rFonts w:hint="eastAsia"/>
          <w:bCs/>
          <w:sz w:val="24"/>
          <w:szCs w:val="24"/>
        </w:rPr>
        <w:t>（东方、学田、太阳鑫城菜市场）</w:t>
      </w:r>
      <w:r>
        <w:rPr>
          <w:bCs/>
          <w:sz w:val="24"/>
          <w:szCs w:val="24"/>
        </w:rPr>
        <w:t>进行询价，作为补充依据。</w:t>
      </w:r>
    </w:p>
    <w:p>
      <w:pPr>
        <w:spacing w:before="120" w:beforeLines="50" w:after="120" w:afterLines="50" w:line="300" w:lineRule="auto"/>
        <w:ind w:firstLine="480" w:firstLineChars="200"/>
        <w:rPr>
          <w:kern w:val="0"/>
          <w:sz w:val="24"/>
          <w:szCs w:val="24"/>
        </w:rPr>
      </w:pPr>
      <w:r>
        <w:rPr>
          <w:rFonts w:hint="eastAsia" w:ascii="Times New Roman" w:hAnsi="Times New Roman" w:cs="Times New Roman"/>
          <w:bCs/>
          <w:sz w:val="24"/>
          <w:szCs w:val="24"/>
          <w:lang w:val="en-US" w:eastAsia="zh-CN"/>
        </w:rPr>
        <w:t>（3）供应商提供的饮品、点心的价格需低于同期南通市大型连锁面包生产企业同类产品价格，以同期南通市大型连锁面包生产企业（聚香园、欧佩拉）同类产品的平均价格为市场价，在此基础上下浮。连锁面包生产企业未生产的相同规格饮品、点心，以学校定期向供应商询价的价格为依据。同时学校组织询价小组按照产品类别、规格不定期到南通市各类面包生产企业进行询价，作为补充依据。</w:t>
      </w:r>
    </w:p>
    <w:p>
      <w:pPr>
        <w:spacing w:before="120" w:beforeLines="50" w:after="120" w:afterLines="50" w:line="300" w:lineRule="auto"/>
        <w:ind w:firstLine="480" w:firstLineChars="200"/>
        <w:rPr>
          <w:kern w:val="0"/>
          <w:sz w:val="24"/>
          <w:szCs w:val="24"/>
        </w:rPr>
      </w:pPr>
      <w:r>
        <w:rPr>
          <w:kern w:val="0"/>
          <w:sz w:val="24"/>
          <w:szCs w:val="24"/>
        </w:rPr>
        <w:t>2、产品定价机制：</w:t>
      </w:r>
    </w:p>
    <w:p>
      <w:pPr>
        <w:spacing w:before="120" w:beforeLines="50" w:after="120" w:afterLines="50" w:line="300" w:lineRule="auto"/>
        <w:ind w:firstLine="482" w:firstLineChars="200"/>
        <w:rPr>
          <w:rFonts w:ascii="宋体" w:hAnsi="宋体" w:cs="宋体"/>
          <w:b/>
          <w:kern w:val="0"/>
          <w:sz w:val="24"/>
          <w:szCs w:val="24"/>
        </w:rPr>
      </w:pPr>
      <w:r>
        <w:rPr>
          <w:rFonts w:hint="eastAsia" w:ascii="宋体" w:hAnsi="宋体" w:cs="宋体"/>
          <w:b/>
          <w:kern w:val="0"/>
          <w:sz w:val="24"/>
          <w:szCs w:val="24"/>
        </w:rPr>
        <w:t>供应价=市场价×（1—承诺下浮率）</w:t>
      </w:r>
    </w:p>
    <w:p>
      <w:pPr>
        <w:spacing w:before="120" w:beforeLines="50" w:after="120" w:afterLines="50" w:line="300" w:lineRule="auto"/>
        <w:ind w:firstLine="480" w:firstLineChars="200"/>
        <w:rPr>
          <w:kern w:val="0"/>
          <w:szCs w:val="21"/>
        </w:rPr>
      </w:pPr>
      <w:r>
        <w:rPr>
          <w:kern w:val="0"/>
          <w:sz w:val="24"/>
          <w:szCs w:val="24"/>
        </w:rPr>
        <w:t>3、供应价包含材料采购价、利润、人工费、相关税费、运输到指定地点的装运费、搬卸费及各种损耗、检测费等一切费用。</w:t>
      </w:r>
    </w:p>
    <w:p>
      <w:pPr>
        <w:snapToGrid w:val="0"/>
        <w:spacing w:before="120" w:beforeLines="50" w:after="120" w:afterLines="50" w:line="300" w:lineRule="auto"/>
        <w:ind w:firstLine="496" w:firstLineChars="206"/>
        <w:outlineLvl w:val="1"/>
        <w:rPr>
          <w:rFonts w:ascii="宋体" w:hAnsi="宋体" w:cs="宋体"/>
          <w:b/>
          <w:kern w:val="0"/>
          <w:sz w:val="24"/>
          <w:szCs w:val="24"/>
        </w:rPr>
      </w:pPr>
      <w:r>
        <w:rPr>
          <w:rFonts w:hint="eastAsia" w:ascii="宋体" w:hAnsi="宋体" w:cs="宋体"/>
          <w:b/>
          <w:kern w:val="0"/>
          <w:sz w:val="24"/>
          <w:szCs w:val="24"/>
        </w:rPr>
        <w:t>三、食品配送</w:t>
      </w:r>
    </w:p>
    <w:p>
      <w:pPr>
        <w:spacing w:before="120" w:beforeLines="50" w:after="120" w:afterLines="50" w:line="300" w:lineRule="auto"/>
        <w:ind w:firstLine="480" w:firstLineChars="200"/>
        <w:rPr>
          <w:sz w:val="24"/>
          <w:szCs w:val="24"/>
        </w:rPr>
      </w:pPr>
      <w:r>
        <w:rPr>
          <w:sz w:val="24"/>
          <w:szCs w:val="24"/>
        </w:rPr>
        <w:t>1、方式：中标企业需在合同中明确送货人，制作送货人胸卡，送货人代表中标企业履行配送职责，凭卡入校，学校核对胸卡，验收货物，校企共同把好送货、验收关口。</w:t>
      </w:r>
    </w:p>
    <w:p>
      <w:pPr>
        <w:spacing w:before="120" w:beforeLines="50" w:after="120" w:afterLines="50" w:line="300" w:lineRule="auto"/>
        <w:ind w:firstLine="480" w:firstLineChars="200"/>
        <w:rPr>
          <w:color w:val="FF00FF"/>
          <w:sz w:val="24"/>
          <w:szCs w:val="24"/>
        </w:rPr>
      </w:pPr>
      <w:r>
        <w:rPr>
          <w:sz w:val="24"/>
          <w:szCs w:val="24"/>
        </w:rPr>
        <w:t>2、时间、地点：中标方须在规定时间内将食品及原材料送到指定地点，运费由中标方承担（数量与具体交货日期以合同为准）。</w:t>
      </w:r>
    </w:p>
    <w:p>
      <w:pPr>
        <w:spacing w:before="120" w:beforeLines="50" w:after="120" w:afterLines="50" w:line="300" w:lineRule="auto"/>
        <w:ind w:firstLine="480" w:firstLineChars="200"/>
        <w:rPr>
          <w:kern w:val="0"/>
          <w:sz w:val="24"/>
          <w:szCs w:val="24"/>
        </w:rPr>
      </w:pPr>
      <w:r>
        <w:rPr>
          <w:kern w:val="0"/>
          <w:sz w:val="24"/>
          <w:szCs w:val="24"/>
        </w:rPr>
        <w:t>3、中标方必须根据学校购货计划，按时、保质、保量将原辅料送到学校指定地点，并满足适度的加工要求，如遇货源紧缺等特殊情况，必须履行供货合同，首先确保向学校供货。</w:t>
      </w:r>
    </w:p>
    <w:p>
      <w:pPr>
        <w:snapToGrid w:val="0"/>
        <w:spacing w:before="120" w:beforeLines="50" w:after="120" w:afterLines="50" w:line="300" w:lineRule="auto"/>
        <w:ind w:firstLine="496" w:firstLineChars="206"/>
        <w:outlineLvl w:val="1"/>
        <w:rPr>
          <w:rFonts w:ascii="宋体" w:hAnsi="宋体" w:cs="宋体"/>
          <w:b/>
          <w:kern w:val="0"/>
          <w:sz w:val="24"/>
          <w:szCs w:val="24"/>
        </w:rPr>
      </w:pPr>
      <w:r>
        <w:rPr>
          <w:rFonts w:hint="eastAsia" w:ascii="宋体" w:hAnsi="宋体" w:cs="宋体"/>
          <w:b/>
          <w:kern w:val="0"/>
          <w:sz w:val="24"/>
          <w:szCs w:val="24"/>
        </w:rPr>
        <w:t>四、服务期限</w:t>
      </w:r>
    </w:p>
    <w:p>
      <w:pPr>
        <w:spacing w:before="120" w:beforeLines="50" w:after="120" w:afterLines="50" w:line="300" w:lineRule="auto"/>
        <w:ind w:firstLine="480" w:firstLineChars="200"/>
        <w:rPr>
          <w:sz w:val="24"/>
          <w:szCs w:val="24"/>
        </w:rPr>
      </w:pPr>
      <w:r>
        <w:rPr>
          <w:sz w:val="24"/>
          <w:szCs w:val="24"/>
        </w:rPr>
        <w:t>合同签订之日起一年（参照南</w:t>
      </w:r>
      <w:r>
        <w:rPr>
          <w:color w:val="000000"/>
          <w:sz w:val="24"/>
          <w:szCs w:val="24"/>
        </w:rPr>
        <w:t>通市政务中心服务类招标文件精神，</w:t>
      </w:r>
      <w:r>
        <w:rPr>
          <w:sz w:val="24"/>
          <w:szCs w:val="24"/>
        </w:rPr>
        <w:t>合同先签订一年，如中标单位服务质量高，业主满意程度高，可以采取1+N年［N</w:t>
      </w:r>
      <w:r>
        <w:rPr>
          <w:rFonts w:ascii="宋体" w:hAnsi="宋体"/>
          <w:sz w:val="24"/>
          <w:szCs w:val="24"/>
        </w:rPr>
        <w:t>≤</w:t>
      </w:r>
      <w:r>
        <w:rPr>
          <w:sz w:val="24"/>
          <w:szCs w:val="24"/>
        </w:rPr>
        <w:t>3］</w:t>
      </w:r>
      <w:r>
        <w:rPr>
          <w:color w:val="000000"/>
          <w:sz w:val="24"/>
          <w:szCs w:val="24"/>
        </w:rPr>
        <w:t>方式续签合同）。</w:t>
      </w:r>
    </w:p>
    <w:p>
      <w:pPr>
        <w:snapToGrid w:val="0"/>
        <w:spacing w:before="120" w:beforeLines="50" w:after="120" w:afterLines="50" w:line="300" w:lineRule="auto"/>
        <w:ind w:firstLine="496" w:firstLineChars="206"/>
        <w:outlineLvl w:val="1"/>
        <w:rPr>
          <w:rFonts w:ascii="宋体" w:hAnsi="宋体" w:cs="宋体"/>
          <w:b/>
          <w:kern w:val="0"/>
          <w:sz w:val="24"/>
          <w:szCs w:val="24"/>
        </w:rPr>
      </w:pPr>
      <w:r>
        <w:rPr>
          <w:rFonts w:hint="eastAsia" w:ascii="宋体" w:hAnsi="宋体" w:cs="宋体"/>
          <w:b/>
          <w:kern w:val="0"/>
          <w:sz w:val="24"/>
          <w:szCs w:val="24"/>
        </w:rPr>
        <w:t>五、其它要求</w:t>
      </w:r>
    </w:p>
    <w:p>
      <w:pPr>
        <w:spacing w:before="120" w:beforeLines="50" w:after="120" w:afterLines="50" w:line="300" w:lineRule="auto"/>
        <w:ind w:firstLine="480" w:firstLineChars="200"/>
        <w:rPr>
          <w:rFonts w:ascii="宋体" w:hAnsi="宋体" w:cs="宋体"/>
          <w:kern w:val="0"/>
          <w:sz w:val="24"/>
          <w:szCs w:val="24"/>
        </w:rPr>
      </w:pPr>
      <w:r>
        <w:rPr>
          <w:rFonts w:hint="eastAsia" w:ascii="宋体" w:hAnsi="宋体" w:cs="宋体"/>
          <w:kern w:val="0"/>
          <w:sz w:val="24"/>
          <w:szCs w:val="24"/>
        </w:rPr>
        <w:t>1、获得准入资格的供应商成为我校食堂食品原材料入围供应商。学校有权决定与入围供应商中的一家或两家签订实质性合同。合约期内学校有权根据供应商履约情况决定每个月具体由哪一家供应商提供服务。</w:t>
      </w:r>
    </w:p>
    <w:p>
      <w:pPr>
        <w:spacing w:before="120" w:beforeLines="50" w:after="120" w:afterLines="50" w:line="300" w:lineRule="auto"/>
        <w:ind w:firstLine="480" w:firstLineChars="200"/>
        <w:rPr>
          <w:rFonts w:ascii="宋体" w:hAnsi="宋体" w:cs="宋体"/>
          <w:kern w:val="0"/>
          <w:sz w:val="24"/>
          <w:szCs w:val="24"/>
        </w:rPr>
      </w:pPr>
      <w:r>
        <w:rPr>
          <w:rFonts w:hint="eastAsia" w:ascii="宋体" w:hAnsi="宋体" w:cs="宋体"/>
          <w:kern w:val="0"/>
          <w:sz w:val="24"/>
          <w:szCs w:val="24"/>
        </w:rPr>
        <w:t>2、学校根据供应商履约情况，对供应商进行动态考核，考核结果报学校膳食管理委员会备案。对月度考核不合格供应商，学校有权取消其入围资格。</w:t>
      </w:r>
    </w:p>
    <w:p>
      <w:pPr>
        <w:spacing w:before="120" w:beforeLines="50" w:after="120" w:afterLines="50" w:line="300" w:lineRule="auto"/>
        <w:ind w:firstLine="480" w:firstLineChars="200"/>
        <w:rPr>
          <w:rFonts w:ascii="宋体" w:hAnsi="宋体" w:cs="宋体"/>
          <w:kern w:val="0"/>
          <w:sz w:val="24"/>
          <w:szCs w:val="24"/>
        </w:rPr>
      </w:pPr>
      <w:r>
        <w:rPr>
          <w:rFonts w:hint="eastAsia" w:ascii="宋体" w:hAnsi="宋体" w:cs="宋体"/>
          <w:kern w:val="0"/>
          <w:sz w:val="24"/>
          <w:szCs w:val="24"/>
        </w:rPr>
        <w:t>3、供应商与学校在本竞争性磋商文件的框架内协商具体采购内容、质量要求、配送和服务方式以及费用等，合同报校膳食管理委员会和市教育局备案。</w:t>
      </w:r>
    </w:p>
    <w:p>
      <w:pPr>
        <w:spacing w:before="120" w:beforeLines="50" w:after="120" w:afterLines="50" w:line="300" w:lineRule="auto"/>
        <w:ind w:firstLine="480" w:firstLineChars="200"/>
        <w:rPr>
          <w:rFonts w:ascii="宋体" w:hAnsi="宋体" w:cs="宋体"/>
          <w:kern w:val="0"/>
          <w:sz w:val="24"/>
          <w:szCs w:val="24"/>
        </w:rPr>
      </w:pPr>
      <w:r>
        <w:rPr>
          <w:rFonts w:ascii="宋体" w:hAnsi="宋体" w:cs="宋体"/>
          <w:kern w:val="0"/>
          <w:sz w:val="24"/>
          <w:szCs w:val="24"/>
        </w:rPr>
        <w:t>4</w:t>
      </w:r>
      <w:r>
        <w:rPr>
          <w:rFonts w:hint="eastAsia" w:ascii="宋体" w:hAnsi="宋体" w:cs="宋体"/>
          <w:kern w:val="0"/>
          <w:sz w:val="24"/>
          <w:szCs w:val="24"/>
        </w:rPr>
        <w:t>、供应商在配送食品原材料时，必须满足合同约定，并经过学校验收，学校实行动态管理，凡发现配送原材料出现质量问题、过期、违约等情况，学校有权解除合同，同时上报南通市教育局；入围供应商应无条件接受学校、教育局、市场监督部门的管理、指导、监督、考核。</w:t>
      </w:r>
    </w:p>
    <w:p>
      <w:pPr>
        <w:spacing w:before="120" w:beforeLines="50" w:after="120" w:afterLines="50" w:line="300" w:lineRule="auto"/>
        <w:ind w:firstLine="480" w:firstLineChars="200"/>
        <w:rPr>
          <w:rFonts w:ascii="宋体" w:hAnsi="宋体" w:cs="宋体"/>
          <w:kern w:val="0"/>
          <w:sz w:val="24"/>
          <w:szCs w:val="24"/>
        </w:rPr>
      </w:pPr>
      <w:r>
        <w:rPr>
          <w:rFonts w:ascii="宋体" w:hAnsi="宋体" w:cs="宋体"/>
          <w:kern w:val="0"/>
          <w:sz w:val="24"/>
          <w:szCs w:val="24"/>
        </w:rPr>
        <w:t>5</w:t>
      </w:r>
      <w:r>
        <w:rPr>
          <w:rFonts w:hint="eastAsia" w:ascii="宋体" w:hAnsi="宋体" w:cs="宋体"/>
          <w:kern w:val="0"/>
          <w:sz w:val="24"/>
          <w:szCs w:val="24"/>
        </w:rPr>
        <w:t>、供应商所聘服务人员与学校不存在雇佣等劳动关系；供应商应培训好服务从业人员，服务人员应具有良好的从业道德。供应商所用服务人员的岗位职责、操作规范、人身安全、医疗、工资、各项保险、内部管理、各类纠纷等各项事宜及所涉及经费均由供应商自行负责，学校概不负责。</w:t>
      </w:r>
    </w:p>
    <w:p>
      <w:pPr>
        <w:spacing w:before="120" w:beforeLines="50" w:after="120" w:afterLines="50" w:line="300" w:lineRule="auto"/>
        <w:ind w:firstLine="480" w:firstLineChars="200"/>
        <w:rPr>
          <w:rFonts w:ascii="宋体" w:hAnsi="宋体" w:cs="宋体"/>
          <w:kern w:val="0"/>
          <w:sz w:val="24"/>
          <w:szCs w:val="24"/>
        </w:rPr>
      </w:pPr>
      <w:r>
        <w:rPr>
          <w:rFonts w:hint="eastAsia" w:ascii="宋体" w:hAnsi="宋体" w:cs="宋体"/>
          <w:kern w:val="0"/>
          <w:sz w:val="24"/>
          <w:szCs w:val="24"/>
        </w:rPr>
        <w:t>6、如果发生服务人员在配送过程中发生交通伤害事故、失窃事件或其他财产损失和人身伤害，学校不承担任何经济和法律责任。</w:t>
      </w:r>
    </w:p>
    <w:p>
      <w:pPr>
        <w:spacing w:before="120" w:beforeLines="50" w:after="120" w:afterLines="50" w:line="300" w:lineRule="auto"/>
        <w:ind w:firstLine="480" w:firstLineChars="200"/>
        <w:rPr>
          <w:rFonts w:ascii="宋体" w:hAnsi="宋体" w:cs="宋体"/>
          <w:color w:val="FF00FF"/>
          <w:kern w:val="0"/>
          <w:sz w:val="24"/>
          <w:szCs w:val="24"/>
        </w:rPr>
      </w:pPr>
      <w:r>
        <w:rPr>
          <w:rFonts w:hint="eastAsia" w:ascii="宋体" w:hAnsi="宋体" w:cs="宋体"/>
          <w:kern w:val="0"/>
          <w:sz w:val="24"/>
          <w:szCs w:val="24"/>
        </w:rPr>
        <w:t>7、投标方需严格执行《食品安全法》、《动物检验法》等相关法律。</w:t>
      </w:r>
    </w:p>
    <w:p>
      <w:pPr>
        <w:spacing w:before="120" w:beforeLines="50" w:after="120" w:afterLines="50" w:line="300" w:lineRule="auto"/>
        <w:ind w:firstLine="480" w:firstLineChars="200"/>
        <w:jc w:val="left"/>
        <w:rPr>
          <w:rFonts w:ascii="宋体" w:hAnsi="宋体" w:cs="宋体"/>
          <w:kern w:val="0"/>
          <w:sz w:val="24"/>
          <w:szCs w:val="24"/>
        </w:rPr>
      </w:pPr>
      <w:r>
        <w:rPr>
          <w:rFonts w:hint="eastAsia" w:ascii="宋体" w:hAnsi="宋体" w:cs="宋体"/>
          <w:kern w:val="0"/>
          <w:sz w:val="24"/>
          <w:szCs w:val="24"/>
        </w:rPr>
        <w:t>8、供应商每次支付货款前，必须向采购单位开具正规发票，发票需能在国家税务总局江苏省电子税务局（</w:t>
      </w:r>
      <w:r>
        <w:rPr>
          <w:rFonts w:hint="eastAsia"/>
        </w:rPr>
        <w:t>https://jiangsu.chinatax.gov.cn/</w:t>
      </w:r>
      <w:r>
        <w:rPr>
          <w:rFonts w:hint="eastAsia" w:ascii="宋体" w:hAnsi="宋体" w:cs="宋体"/>
          <w:kern w:val="0"/>
          <w:sz w:val="24"/>
          <w:szCs w:val="24"/>
        </w:rPr>
        <w:t>）查询到。</w:t>
      </w:r>
    </w:p>
    <w:p>
      <w:pPr>
        <w:pStyle w:val="3"/>
      </w:pPr>
      <w:r>
        <w:rPr>
          <w:rFonts w:ascii="宋体" w:hAnsi="宋体" w:cs="宋体"/>
          <w:kern w:val="0"/>
          <w:sz w:val="24"/>
          <w:szCs w:val="24"/>
          <w:lang w:val="en-US"/>
        </w:rPr>
        <w:br w:type="page"/>
      </w:r>
      <w:bookmarkStart w:id="51" w:name="_Toc47957222"/>
      <w:r>
        <w:rPr>
          <w:rFonts w:hint="eastAsia"/>
        </w:rPr>
        <w:t xml:space="preserve">第四章  </w:t>
      </w:r>
      <w:bookmarkEnd w:id="39"/>
      <w:bookmarkEnd w:id="40"/>
      <w:bookmarkEnd w:id="41"/>
      <w:bookmarkEnd w:id="42"/>
      <w:bookmarkEnd w:id="43"/>
      <w:bookmarkEnd w:id="44"/>
      <w:bookmarkEnd w:id="45"/>
      <w:bookmarkEnd w:id="46"/>
      <w:bookmarkEnd w:id="47"/>
      <w:bookmarkEnd w:id="48"/>
      <w:bookmarkEnd w:id="49"/>
      <w:bookmarkStart w:id="52" w:name="_Toc38121794"/>
      <w:bookmarkStart w:id="53" w:name="_Toc85627670"/>
      <w:bookmarkStart w:id="54" w:name="_Toc182848996"/>
      <w:bookmarkStart w:id="55" w:name="_Toc37322565"/>
      <w:bookmarkStart w:id="56" w:name="_Toc43217893"/>
      <w:bookmarkStart w:id="57" w:name="_Toc11499587"/>
      <w:bookmarkStart w:id="58" w:name="_Toc12670506"/>
      <w:bookmarkStart w:id="59" w:name="_Toc94544747"/>
      <w:bookmarkStart w:id="60" w:name="_Toc11554642"/>
      <w:bookmarkStart w:id="61" w:name="_Toc13803484"/>
      <w:bookmarkStart w:id="62" w:name="_Toc11500283"/>
      <w:bookmarkStart w:id="63" w:name="_Toc94544873"/>
      <w:bookmarkStart w:id="64" w:name="_Toc8895742"/>
      <w:r>
        <w:rPr>
          <w:rFonts w:hint="eastAsia"/>
        </w:rPr>
        <w:t>磋商程序</w:t>
      </w:r>
      <w:bookmarkEnd w:id="50"/>
      <w:r>
        <w:rPr>
          <w:rFonts w:hint="eastAsia"/>
        </w:rPr>
        <w:t>和内容</w:t>
      </w:r>
      <w:bookmarkEnd w:id="51"/>
    </w:p>
    <w:bookmarkEnd w:id="52"/>
    <w:bookmarkEnd w:id="53"/>
    <w:bookmarkEnd w:id="54"/>
    <w:bookmarkEnd w:id="55"/>
    <w:bookmarkEnd w:id="56"/>
    <w:p>
      <w:pPr>
        <w:snapToGrid w:val="0"/>
        <w:spacing w:before="120" w:beforeLines="50" w:after="120" w:afterLines="50" w:line="300" w:lineRule="auto"/>
        <w:ind w:firstLine="482" w:firstLineChars="200"/>
        <w:outlineLvl w:val="1"/>
        <w:rPr>
          <w:rFonts w:ascii="宋体" w:hAnsi="宋体" w:cs="宋体"/>
          <w:b/>
          <w:color w:val="000000"/>
          <w:sz w:val="24"/>
          <w:szCs w:val="24"/>
        </w:rPr>
      </w:pPr>
      <w:bookmarkStart w:id="65" w:name="_Toc363573857"/>
      <w:bookmarkEnd w:id="65"/>
      <w:r>
        <w:rPr>
          <w:rFonts w:hint="eastAsia" w:ascii="宋体" w:hAnsi="宋体" w:cs="宋体"/>
          <w:b/>
          <w:color w:val="000000"/>
          <w:sz w:val="24"/>
          <w:szCs w:val="24"/>
        </w:rPr>
        <w:t>一、江苏中润工程建设咨询有限公司组织磋商</w:t>
      </w:r>
    </w:p>
    <w:p>
      <w:pPr>
        <w:snapToGrid w:val="0"/>
        <w:spacing w:before="120" w:beforeLines="50" w:after="120" w:afterLines="50" w:line="300" w:lineRule="auto"/>
        <w:ind w:firstLine="480" w:firstLineChars="200"/>
        <w:rPr>
          <w:color w:val="000000"/>
          <w:sz w:val="24"/>
          <w:szCs w:val="24"/>
        </w:rPr>
      </w:pPr>
      <w:r>
        <w:rPr>
          <w:color w:val="000000"/>
          <w:sz w:val="24"/>
          <w:szCs w:val="24"/>
        </w:rPr>
        <w:t>1、本次竞争性磋商依据《中华人民共和国政府采购法》、《政府采购竞争性磋商采购方式管理暂行办法》及有关法规成立磋商小组。磋商小组评审专家共5人组成；评审专家确定方式：由采购</w:t>
      </w:r>
      <w:r>
        <w:rPr>
          <w:rFonts w:hint="eastAsia"/>
          <w:color w:val="000000"/>
          <w:sz w:val="24"/>
          <w:szCs w:val="24"/>
        </w:rPr>
        <w:t>代理机构</w:t>
      </w:r>
      <w:r>
        <w:rPr>
          <w:color w:val="000000"/>
          <w:sz w:val="24"/>
          <w:szCs w:val="24"/>
        </w:rPr>
        <w:t>外聘。</w:t>
      </w:r>
    </w:p>
    <w:p>
      <w:pPr>
        <w:snapToGrid w:val="0"/>
        <w:spacing w:before="120" w:beforeLines="50" w:after="120" w:afterLines="50" w:line="300" w:lineRule="auto"/>
        <w:ind w:firstLine="480" w:firstLineChars="200"/>
        <w:rPr>
          <w:color w:val="000000"/>
          <w:sz w:val="24"/>
          <w:szCs w:val="24"/>
        </w:rPr>
      </w:pPr>
      <w:r>
        <w:rPr>
          <w:color w:val="000000"/>
          <w:sz w:val="24"/>
          <w:szCs w:val="24"/>
        </w:rPr>
        <w:t>2、磋商小组的职责</w:t>
      </w:r>
    </w:p>
    <w:p>
      <w:pPr>
        <w:snapToGrid w:val="0"/>
        <w:spacing w:before="120" w:beforeLines="50" w:after="120" w:afterLines="50" w:line="300" w:lineRule="auto"/>
        <w:ind w:firstLine="480" w:firstLineChars="200"/>
        <w:rPr>
          <w:color w:val="000000"/>
          <w:sz w:val="24"/>
          <w:szCs w:val="24"/>
        </w:rPr>
      </w:pPr>
      <w:r>
        <w:rPr>
          <w:color w:val="000000"/>
          <w:sz w:val="24"/>
          <w:szCs w:val="24"/>
        </w:rPr>
        <w:t>（1）磋商小组成员应当按照客观、公正、审慎的原则，根据磋商文件规定的评审程序、评审方法和评审标准进行独立评审。</w:t>
      </w:r>
    </w:p>
    <w:p>
      <w:pPr>
        <w:snapToGrid w:val="0"/>
        <w:spacing w:before="120" w:beforeLines="50" w:after="120" w:afterLines="50" w:line="300" w:lineRule="auto"/>
        <w:ind w:firstLine="480" w:firstLineChars="200"/>
        <w:rPr>
          <w:color w:val="000000"/>
          <w:sz w:val="24"/>
          <w:szCs w:val="24"/>
        </w:rPr>
      </w:pPr>
      <w:r>
        <w:rPr>
          <w:color w:val="000000"/>
          <w:sz w:val="24"/>
          <w:szCs w:val="24"/>
        </w:rPr>
        <w:t>（2）磋商小组成员应当遵守评审工作纪律，不得泄露评审情况和评审中获悉的商业秘密，对个人的评审意见承担法律责任。</w:t>
      </w:r>
    </w:p>
    <w:p>
      <w:pPr>
        <w:snapToGrid w:val="0"/>
        <w:spacing w:before="120" w:beforeLines="50" w:after="120" w:afterLines="50" w:line="300" w:lineRule="auto"/>
        <w:ind w:firstLine="480" w:firstLineChars="200"/>
        <w:rPr>
          <w:color w:val="000000"/>
          <w:sz w:val="24"/>
          <w:szCs w:val="24"/>
        </w:rPr>
      </w:pPr>
      <w:r>
        <w:rPr>
          <w:color w:val="000000"/>
          <w:sz w:val="24"/>
          <w:szCs w:val="24"/>
        </w:rPr>
        <w:t>（3）磋商小组成员在评审过程中发现供应商有行贿、提供虚假材料或者串通等违法行为的，应当及时向学校相关部门报告</w:t>
      </w:r>
      <w:r>
        <w:rPr>
          <w:rFonts w:hint="eastAsia"/>
          <w:color w:val="000000"/>
          <w:sz w:val="24"/>
          <w:szCs w:val="24"/>
        </w:rPr>
        <w:t>，</w:t>
      </w:r>
      <w:r>
        <w:rPr>
          <w:color w:val="000000"/>
          <w:sz w:val="24"/>
          <w:szCs w:val="24"/>
        </w:rPr>
        <w:t>并建议将其列入学校采购黑名单。</w:t>
      </w:r>
    </w:p>
    <w:p>
      <w:pPr>
        <w:snapToGrid w:val="0"/>
        <w:spacing w:before="120" w:beforeLines="50" w:after="120" w:afterLines="50" w:line="300" w:lineRule="auto"/>
        <w:ind w:firstLine="480" w:firstLineChars="200"/>
        <w:rPr>
          <w:color w:val="000000"/>
          <w:sz w:val="24"/>
          <w:szCs w:val="24"/>
        </w:rPr>
      </w:pPr>
      <w:r>
        <w:rPr>
          <w:color w:val="000000"/>
          <w:sz w:val="24"/>
          <w:szCs w:val="24"/>
        </w:rPr>
        <w:t>（4）磋商小组成员在评审过程中受到非法干涉的，应当及时向学校相关部门举报。</w:t>
      </w:r>
    </w:p>
    <w:p>
      <w:pPr>
        <w:snapToGrid w:val="0"/>
        <w:spacing w:before="120" w:beforeLines="50" w:after="120" w:afterLines="50" w:line="300" w:lineRule="auto"/>
        <w:ind w:firstLine="480" w:firstLineChars="200"/>
        <w:rPr>
          <w:color w:val="000000"/>
          <w:sz w:val="24"/>
          <w:szCs w:val="24"/>
        </w:rPr>
      </w:pPr>
      <w:r>
        <w:rPr>
          <w:color w:val="000000"/>
          <w:sz w:val="24"/>
          <w:szCs w:val="24"/>
        </w:rPr>
        <w:t>（5）配合采购单位答复供应商提出的质疑。</w:t>
      </w:r>
    </w:p>
    <w:p>
      <w:pPr>
        <w:snapToGrid w:val="0"/>
        <w:spacing w:before="120" w:beforeLines="50" w:after="120" w:afterLines="50" w:line="300" w:lineRule="auto"/>
        <w:ind w:firstLine="480" w:firstLineChars="200"/>
        <w:rPr>
          <w:color w:val="000000"/>
          <w:sz w:val="24"/>
          <w:szCs w:val="24"/>
        </w:rPr>
      </w:pPr>
      <w:r>
        <w:rPr>
          <w:color w:val="000000"/>
          <w:sz w:val="24"/>
          <w:szCs w:val="24"/>
        </w:rPr>
        <w:t>3、评审有关记录由磋商小组成员签名，存档备查。</w:t>
      </w:r>
    </w:p>
    <w:p>
      <w:pPr>
        <w:snapToGrid w:val="0"/>
        <w:spacing w:before="120" w:beforeLines="50" w:after="120" w:afterLines="50" w:line="300" w:lineRule="auto"/>
        <w:ind w:firstLine="480" w:firstLineChars="200"/>
        <w:rPr>
          <w:rFonts w:ascii="宋体" w:hAnsi="宋体" w:cs="宋体"/>
          <w:color w:val="000000"/>
          <w:sz w:val="24"/>
          <w:szCs w:val="24"/>
        </w:rPr>
      </w:pPr>
      <w:r>
        <w:rPr>
          <w:color w:val="000000"/>
          <w:sz w:val="24"/>
          <w:szCs w:val="24"/>
        </w:rPr>
        <w:t>4、供应商的法定代表人或被授权人须持</w:t>
      </w:r>
      <w:r>
        <w:rPr>
          <w:rFonts w:hint="eastAsia" w:ascii="宋体" w:hAnsi="宋体" w:cs="宋体"/>
          <w:color w:val="000000"/>
          <w:sz w:val="24"/>
          <w:szCs w:val="24"/>
        </w:rPr>
        <w:t>身份证准时参加磋商开标会。</w:t>
      </w:r>
    </w:p>
    <w:p>
      <w:pPr>
        <w:snapToGrid w:val="0"/>
        <w:spacing w:before="120" w:beforeLines="50" w:after="120" w:afterLines="50" w:line="300" w:lineRule="auto"/>
        <w:ind w:firstLine="482" w:firstLineChars="200"/>
        <w:outlineLvl w:val="1"/>
        <w:rPr>
          <w:rFonts w:ascii="宋体" w:hAnsi="宋体" w:cs="宋体"/>
          <w:b/>
          <w:color w:val="000000"/>
          <w:sz w:val="24"/>
          <w:szCs w:val="24"/>
        </w:rPr>
      </w:pPr>
      <w:r>
        <w:rPr>
          <w:rFonts w:hint="eastAsia" w:ascii="宋体" w:hAnsi="宋体" w:cs="宋体"/>
          <w:b/>
          <w:color w:val="000000"/>
          <w:sz w:val="24"/>
          <w:szCs w:val="24"/>
        </w:rPr>
        <w:t>二、磋商的原则及方法</w:t>
      </w:r>
    </w:p>
    <w:p>
      <w:pPr>
        <w:snapToGrid w:val="0"/>
        <w:spacing w:before="120" w:beforeLines="50" w:after="120" w:afterLines="50" w:line="300" w:lineRule="auto"/>
        <w:ind w:firstLine="480" w:firstLineChars="200"/>
        <w:rPr>
          <w:rFonts w:ascii="宋体" w:hAnsi="宋体" w:cs="宋体"/>
          <w:color w:val="000000"/>
          <w:sz w:val="24"/>
          <w:szCs w:val="24"/>
        </w:rPr>
      </w:pPr>
      <w:r>
        <w:rPr>
          <w:rFonts w:hint="eastAsia" w:ascii="宋体" w:hAnsi="宋体" w:cs="宋体"/>
          <w:color w:val="000000"/>
          <w:sz w:val="24"/>
          <w:szCs w:val="24"/>
        </w:rPr>
        <w:t>1、磋商小组依据《中华人民共和国政府采购法》、《政府采购竞争性磋商采购方式管理暂行办法》以及有关政府采购的相关法规，遵循“公开、公平、公正、择优、信用”的原则进行磋商评审。</w:t>
      </w:r>
    </w:p>
    <w:p>
      <w:pPr>
        <w:snapToGrid w:val="0"/>
        <w:spacing w:before="120" w:beforeLines="50" w:after="120" w:afterLines="50" w:line="300" w:lineRule="auto"/>
        <w:ind w:firstLine="484" w:firstLineChars="202"/>
        <w:rPr>
          <w:rFonts w:ascii="宋体" w:hAnsi="宋体" w:cs="宋体"/>
          <w:color w:val="000000"/>
          <w:sz w:val="24"/>
          <w:szCs w:val="24"/>
        </w:rPr>
      </w:pPr>
      <w:r>
        <w:rPr>
          <w:rFonts w:hint="eastAsia" w:ascii="宋体" w:hAnsi="宋体" w:cs="宋体"/>
          <w:color w:val="000000"/>
          <w:sz w:val="24"/>
          <w:szCs w:val="24"/>
        </w:rPr>
        <w:t>2、磋商小组将按照竞争性磋商文件的规定，独立对每个进入打分程序的有效投标供应商的响应文件的技术部分以打分的形式进行评审和评价。</w:t>
      </w:r>
      <w:r>
        <w:rPr>
          <w:rFonts w:hint="eastAsia" w:ascii="宋体" w:hAnsi="宋体" w:cs="宋体"/>
          <w:sz w:val="24"/>
          <w:szCs w:val="24"/>
        </w:rPr>
        <w:t>技术标得分是取五位评委打分的算术平均值（计算结果均四舍五入保留两位小数）</w:t>
      </w:r>
      <w:r>
        <w:rPr>
          <w:rFonts w:hint="eastAsia" w:ascii="宋体" w:hAnsi="宋体" w:cs="宋体"/>
          <w:color w:val="000000"/>
          <w:sz w:val="24"/>
          <w:szCs w:val="24"/>
        </w:rPr>
        <w:t>。</w:t>
      </w:r>
    </w:p>
    <w:p>
      <w:pPr>
        <w:snapToGrid w:val="0"/>
        <w:spacing w:before="120" w:beforeLines="50" w:after="120" w:afterLines="50" w:line="300" w:lineRule="auto"/>
        <w:ind w:firstLine="484" w:firstLineChars="202"/>
        <w:rPr>
          <w:rFonts w:ascii="宋体" w:hAnsi="宋体" w:cs="宋体"/>
          <w:color w:val="000000"/>
          <w:sz w:val="24"/>
          <w:szCs w:val="24"/>
        </w:rPr>
      </w:pPr>
      <w:r>
        <w:rPr>
          <w:rFonts w:hint="eastAsia" w:ascii="宋体" w:hAnsi="宋体" w:cs="宋体"/>
          <w:color w:val="000000"/>
          <w:sz w:val="24"/>
          <w:szCs w:val="24"/>
        </w:rPr>
        <w:t>3、磋商小组根据磋商文件规定的程序、评定成交的标准等事项与实质性响应磋商文件要求的供应商进行磋商。未实质性响应磋商文件要求的响应文件按无效处理，磋商小组应当告知提交响应文件的供应商。</w:t>
      </w:r>
    </w:p>
    <w:p>
      <w:pPr>
        <w:snapToGrid w:val="0"/>
        <w:spacing w:before="120" w:beforeLines="50" w:after="120" w:afterLines="50" w:line="300" w:lineRule="auto"/>
        <w:ind w:firstLine="480" w:firstLineChars="200"/>
        <w:rPr>
          <w:rFonts w:ascii="宋体" w:hAnsi="宋体" w:cs="宋体"/>
          <w:color w:val="000000"/>
          <w:sz w:val="24"/>
          <w:szCs w:val="24"/>
        </w:rPr>
      </w:pPr>
      <w:r>
        <w:rPr>
          <w:rFonts w:hint="eastAsia" w:ascii="宋体" w:hAnsi="宋体" w:cs="宋体"/>
          <w:color w:val="000000"/>
          <w:sz w:val="24"/>
          <w:szCs w:val="24"/>
        </w:rPr>
        <w:t>4、磋商小组所有成员应当集中与单一供应商分别进行磋商，并给予所有参加磋商的供应商平等的磋商机会。</w:t>
      </w:r>
    </w:p>
    <w:p>
      <w:pPr>
        <w:snapToGrid w:val="0"/>
        <w:spacing w:before="120" w:beforeLines="50" w:after="120" w:afterLines="50" w:line="300" w:lineRule="auto"/>
        <w:ind w:firstLine="480" w:firstLineChars="200"/>
        <w:rPr>
          <w:rFonts w:ascii="宋体" w:hAnsi="宋体" w:cs="宋体"/>
          <w:color w:val="000000"/>
          <w:sz w:val="24"/>
          <w:szCs w:val="24"/>
        </w:rPr>
      </w:pPr>
      <w:r>
        <w:rPr>
          <w:rFonts w:hint="eastAsia" w:ascii="宋体" w:hAnsi="宋体" w:cs="宋体"/>
          <w:color w:val="000000"/>
          <w:sz w:val="24"/>
          <w:szCs w:val="24"/>
        </w:rPr>
        <w:t>5、在磋商过程中，磋商小组可以根据磋商文件和磋商情况实质性变动采购需求中的技术、服务要求以及合同草案条款，但不得变动磋商文件中的其他内容。实质性变动的内容，须经采购单位代表确认。</w:t>
      </w:r>
    </w:p>
    <w:p>
      <w:pPr>
        <w:snapToGrid w:val="0"/>
        <w:spacing w:before="120" w:beforeLines="50" w:after="120" w:afterLines="50" w:line="300" w:lineRule="auto"/>
        <w:ind w:firstLine="480" w:firstLineChars="200"/>
        <w:rPr>
          <w:rFonts w:ascii="宋体" w:hAnsi="宋体" w:cs="宋体"/>
          <w:color w:val="000000"/>
          <w:sz w:val="24"/>
          <w:szCs w:val="24"/>
        </w:rPr>
      </w:pPr>
      <w:r>
        <w:rPr>
          <w:rFonts w:hint="eastAsia" w:ascii="宋体" w:hAnsi="宋体" w:cs="宋体"/>
          <w:color w:val="000000"/>
          <w:sz w:val="24"/>
          <w:szCs w:val="24"/>
        </w:rPr>
        <w:t>6、对磋商文件作出的实质性变动是磋商文件的有效组成部分，磋商小组应当及时以书面形式同时通知所有参加磋商的供应商。</w:t>
      </w:r>
    </w:p>
    <w:p>
      <w:pPr>
        <w:snapToGrid w:val="0"/>
        <w:spacing w:before="120" w:beforeLines="50" w:after="120" w:afterLines="50" w:line="300" w:lineRule="auto"/>
        <w:ind w:firstLine="480" w:firstLineChars="200"/>
        <w:rPr>
          <w:rFonts w:ascii="宋体" w:hAnsi="宋体" w:cs="宋体"/>
          <w:color w:val="000000"/>
          <w:sz w:val="24"/>
          <w:szCs w:val="24"/>
        </w:rPr>
      </w:pPr>
      <w:r>
        <w:rPr>
          <w:rFonts w:hint="eastAsia" w:ascii="宋体" w:hAnsi="宋体" w:cs="宋体"/>
          <w:color w:val="000000"/>
          <w:sz w:val="24"/>
          <w:szCs w:val="24"/>
        </w:rPr>
        <w:t>7、供应商应当按照磋商文件的变动情况和磋商小组的要求重新提交响应文件，并由其法定代表人或被授权人签字或者加盖公章。由被授权人签字的，应当附法定代表人授权书。供应商为自然人的，应当由本人签字并附身份证明。</w:t>
      </w:r>
    </w:p>
    <w:p>
      <w:pPr>
        <w:snapToGrid w:val="0"/>
        <w:spacing w:before="120" w:beforeLines="50" w:after="120" w:afterLines="50" w:line="300" w:lineRule="auto"/>
        <w:ind w:firstLine="480" w:firstLineChars="200"/>
      </w:pPr>
      <w:r>
        <w:rPr>
          <w:rFonts w:hint="eastAsia" w:ascii="宋体" w:hAnsi="宋体" w:cs="宋体"/>
          <w:color w:val="000000"/>
          <w:sz w:val="24"/>
          <w:szCs w:val="24"/>
        </w:rPr>
        <w:t>8、磋商文件不能详细列明采购标的的技术、服务要求，需经磋商由供应商提供最终设计方案或解决方案的，磋商结束后，磋商小组应当按照少数服从多数的原则投票推荐</w:t>
      </w:r>
      <w:r>
        <w:rPr>
          <w:rFonts w:ascii="宋体" w:hAnsi="宋体" w:cs="宋体"/>
          <w:color w:val="000000"/>
          <w:sz w:val="24"/>
          <w:szCs w:val="24"/>
        </w:rPr>
        <w:t>2</w:t>
      </w:r>
      <w:r>
        <w:rPr>
          <w:rFonts w:hint="eastAsia" w:ascii="宋体" w:hAnsi="宋体" w:cs="宋体"/>
          <w:color w:val="000000"/>
          <w:sz w:val="24"/>
          <w:szCs w:val="24"/>
        </w:rPr>
        <w:t>家以上供应商的设计方案或者解决方案。</w:t>
      </w:r>
    </w:p>
    <w:p>
      <w:pPr>
        <w:snapToGrid w:val="0"/>
        <w:spacing w:before="120" w:beforeLines="50" w:after="120" w:afterLines="50" w:line="300" w:lineRule="auto"/>
        <w:ind w:firstLine="480" w:firstLineChars="200"/>
        <w:rPr>
          <w:rFonts w:ascii="宋体" w:hAnsi="宋体" w:cs="宋体"/>
          <w:color w:val="FF0000"/>
          <w:sz w:val="24"/>
          <w:szCs w:val="24"/>
        </w:rPr>
      </w:pPr>
      <w:r>
        <w:rPr>
          <w:rFonts w:hint="eastAsia" w:ascii="宋体" w:hAnsi="宋体" w:cs="宋体"/>
          <w:color w:val="000000"/>
          <w:sz w:val="24"/>
          <w:szCs w:val="24"/>
        </w:rPr>
        <w:t>9、对</w:t>
      </w:r>
      <w:r>
        <w:rPr>
          <w:rFonts w:hint="eastAsia" w:ascii="宋体" w:hAnsi="宋体" w:cs="宋体"/>
          <w:sz w:val="24"/>
          <w:szCs w:val="24"/>
        </w:rPr>
        <w:t>于在磋商顺利开始后至开标结束前</w:t>
      </w:r>
      <w:r>
        <w:rPr>
          <w:rFonts w:hint="eastAsia" w:ascii="宋体" w:hAnsi="宋体" w:cs="宋体"/>
          <w:color w:val="000000"/>
          <w:sz w:val="24"/>
          <w:szCs w:val="24"/>
        </w:rPr>
        <w:t>，根据磋商情况退出磋商的供应商，须以书面形式说明退出磋商的原因，经磋商小组同意可以退出磋商。</w:t>
      </w:r>
    </w:p>
    <w:p>
      <w:pPr>
        <w:snapToGrid w:val="0"/>
        <w:spacing w:before="120" w:beforeLines="50" w:after="120" w:afterLines="50" w:line="300" w:lineRule="auto"/>
        <w:ind w:firstLine="480" w:firstLineChars="200"/>
        <w:rPr>
          <w:rFonts w:ascii="宋体" w:hAnsi="宋体" w:cs="宋体"/>
          <w:color w:val="000000"/>
          <w:sz w:val="24"/>
          <w:szCs w:val="24"/>
        </w:rPr>
      </w:pPr>
      <w:r>
        <w:rPr>
          <w:rFonts w:hint="eastAsia" w:ascii="宋体" w:hAnsi="宋体" w:cs="宋体"/>
          <w:color w:val="000000"/>
          <w:sz w:val="24"/>
          <w:szCs w:val="24"/>
        </w:rPr>
        <w:t>10、在磋商中，磋商的任何一方不得透露与磋商有关的其他响应磋商的供应商的技术资料及其他信息。</w:t>
      </w:r>
    </w:p>
    <w:p>
      <w:pPr>
        <w:snapToGrid w:val="0"/>
        <w:spacing w:before="120" w:beforeLines="50" w:after="120" w:afterLines="50" w:line="300" w:lineRule="auto"/>
        <w:ind w:firstLine="480" w:firstLineChars="200"/>
        <w:rPr>
          <w:rFonts w:ascii="宋体" w:hAnsi="宋体" w:cs="宋体"/>
          <w:color w:val="000000"/>
          <w:sz w:val="24"/>
          <w:szCs w:val="24"/>
        </w:rPr>
      </w:pPr>
      <w:r>
        <w:rPr>
          <w:rFonts w:hint="eastAsia" w:ascii="宋体" w:hAnsi="宋体" w:cs="宋体"/>
          <w:color w:val="000000"/>
          <w:sz w:val="24"/>
          <w:szCs w:val="24"/>
        </w:rPr>
        <w:t>11、凡两家或以上公司同一法人代表或其中一家公司为另一家公司单一最大股东的，不能同时参与同一采购项目或同一标段的磋商采购活动，一经发现，将视同串标处理。</w:t>
      </w:r>
    </w:p>
    <w:p>
      <w:pPr>
        <w:snapToGrid w:val="0"/>
        <w:spacing w:before="120" w:beforeLines="50" w:after="120" w:afterLines="50" w:line="300" w:lineRule="auto"/>
        <w:ind w:firstLine="482" w:firstLineChars="200"/>
        <w:outlineLvl w:val="1"/>
        <w:rPr>
          <w:rFonts w:ascii="宋体" w:hAnsi="宋体" w:cs="宋体"/>
          <w:b/>
          <w:color w:val="000000"/>
          <w:sz w:val="24"/>
          <w:szCs w:val="24"/>
        </w:rPr>
      </w:pPr>
      <w:r>
        <w:rPr>
          <w:rFonts w:hint="eastAsia" w:ascii="宋体" w:hAnsi="宋体" w:cs="宋体"/>
          <w:b/>
          <w:color w:val="000000"/>
          <w:sz w:val="24"/>
          <w:szCs w:val="24"/>
        </w:rPr>
        <w:t>三、磋商评定结果的方法</w:t>
      </w:r>
    </w:p>
    <w:p>
      <w:pPr>
        <w:snapToGrid w:val="0"/>
        <w:spacing w:before="120" w:beforeLines="50" w:after="120" w:afterLines="50" w:line="300" w:lineRule="auto"/>
        <w:ind w:firstLine="482" w:firstLineChars="200"/>
        <w:rPr>
          <w:rFonts w:ascii="宋体" w:hAnsi="宋体" w:cs="宋体"/>
          <w:b/>
          <w:bCs/>
          <w:sz w:val="24"/>
          <w:szCs w:val="24"/>
        </w:rPr>
      </w:pPr>
      <w:r>
        <w:rPr>
          <w:rFonts w:ascii="宋体" w:hAnsi="宋体" w:cs="宋体"/>
          <w:b/>
          <w:bCs/>
          <w:sz w:val="24"/>
          <w:szCs w:val="24"/>
        </w:rPr>
        <w:t>1</w:t>
      </w:r>
      <w:r>
        <w:rPr>
          <w:rFonts w:hint="eastAsia" w:ascii="宋体" w:hAnsi="宋体" w:cs="宋体"/>
          <w:b/>
          <w:bCs/>
          <w:sz w:val="24"/>
          <w:szCs w:val="24"/>
        </w:rPr>
        <w:t>、项目开标顺序：</w:t>
      </w:r>
    </w:p>
    <w:p>
      <w:pPr>
        <w:snapToGrid w:val="0"/>
        <w:spacing w:before="120" w:beforeLines="50" w:after="120" w:afterLines="50" w:line="300" w:lineRule="auto"/>
        <w:ind w:firstLine="482" w:firstLineChars="200"/>
        <w:rPr>
          <w:rFonts w:ascii="宋体" w:hAnsi="宋体" w:cs="宋体"/>
          <w:sz w:val="24"/>
          <w:szCs w:val="24"/>
        </w:rPr>
      </w:pPr>
      <w:r>
        <w:rPr>
          <w:rFonts w:hint="eastAsia" w:ascii="宋体" w:hAnsi="宋体" w:cs="宋体"/>
          <w:b/>
          <w:sz w:val="24"/>
          <w:szCs w:val="24"/>
        </w:rPr>
        <w:t xml:space="preserve">标段一 </w:t>
      </w:r>
      <w:r>
        <w:rPr>
          <w:sz w:val="24"/>
          <w:szCs w:val="24"/>
        </w:rPr>
        <w:t>→</w:t>
      </w:r>
      <w:r>
        <w:rPr>
          <w:rFonts w:hint="eastAsia" w:ascii="宋体" w:hAnsi="宋体" w:cs="宋体"/>
          <w:sz w:val="24"/>
          <w:szCs w:val="24"/>
        </w:rPr>
        <w:t xml:space="preserve"> </w:t>
      </w:r>
      <w:r>
        <w:rPr>
          <w:rFonts w:hint="eastAsia" w:ascii="宋体" w:hAnsi="宋体" w:cs="宋体"/>
          <w:b/>
          <w:sz w:val="24"/>
          <w:szCs w:val="24"/>
        </w:rPr>
        <w:t xml:space="preserve">标段六 </w:t>
      </w:r>
      <w:r>
        <w:rPr>
          <w:sz w:val="24"/>
          <w:szCs w:val="24"/>
        </w:rPr>
        <w:t>→</w:t>
      </w:r>
      <w:r>
        <w:rPr>
          <w:rFonts w:hint="eastAsia" w:ascii="宋体" w:hAnsi="宋体" w:cs="宋体"/>
          <w:sz w:val="24"/>
          <w:szCs w:val="24"/>
        </w:rPr>
        <w:t xml:space="preserve"> </w:t>
      </w:r>
      <w:r>
        <w:rPr>
          <w:rFonts w:hint="eastAsia" w:ascii="宋体" w:hAnsi="宋体" w:cs="宋体"/>
          <w:b/>
          <w:sz w:val="24"/>
          <w:szCs w:val="24"/>
        </w:rPr>
        <w:t>标段八</w:t>
      </w:r>
      <w:r>
        <w:rPr>
          <w:sz w:val="24"/>
          <w:szCs w:val="24"/>
        </w:rPr>
        <w:t>→</w:t>
      </w:r>
      <w:r>
        <w:rPr>
          <w:rFonts w:hint="eastAsia" w:ascii="宋体" w:hAnsi="宋体" w:cs="宋体"/>
          <w:sz w:val="24"/>
          <w:szCs w:val="24"/>
        </w:rPr>
        <w:t xml:space="preserve"> </w:t>
      </w:r>
      <w:r>
        <w:rPr>
          <w:rFonts w:hint="eastAsia" w:ascii="宋体" w:hAnsi="宋体" w:cs="宋体"/>
          <w:b/>
          <w:sz w:val="24"/>
          <w:szCs w:val="24"/>
        </w:rPr>
        <w:t>标段九</w:t>
      </w:r>
      <w:r>
        <w:rPr>
          <w:sz w:val="24"/>
          <w:szCs w:val="24"/>
        </w:rPr>
        <w:t>→</w:t>
      </w:r>
      <w:r>
        <w:rPr>
          <w:rFonts w:hint="eastAsia" w:ascii="宋体" w:hAnsi="宋体" w:cs="宋体"/>
          <w:b/>
          <w:sz w:val="24"/>
          <w:szCs w:val="24"/>
        </w:rPr>
        <w:t>标段十一</w:t>
      </w:r>
    </w:p>
    <w:p>
      <w:pPr>
        <w:snapToGrid w:val="0"/>
        <w:spacing w:before="120" w:beforeLines="50" w:after="120" w:afterLines="50" w:line="300" w:lineRule="auto"/>
        <w:ind w:firstLine="482" w:firstLineChars="200"/>
        <w:rPr>
          <w:rFonts w:ascii="宋体" w:hAnsi="宋体" w:cs="宋体"/>
          <w:b/>
          <w:bCs/>
          <w:sz w:val="24"/>
          <w:szCs w:val="24"/>
        </w:rPr>
      </w:pPr>
      <w:r>
        <w:rPr>
          <w:rFonts w:hint="eastAsia" w:ascii="宋体" w:hAnsi="宋体" w:cs="宋体"/>
          <w:b/>
          <w:bCs/>
          <w:sz w:val="24"/>
          <w:szCs w:val="24"/>
        </w:rPr>
        <w:t>2、标段评标程序：</w:t>
      </w:r>
    </w:p>
    <w:p>
      <w:pPr>
        <w:snapToGrid w:val="0"/>
        <w:spacing w:before="120" w:beforeLines="50" w:after="120" w:afterLines="50" w:line="300" w:lineRule="auto"/>
        <w:ind w:firstLine="480" w:firstLineChars="200"/>
        <w:rPr>
          <w:sz w:val="24"/>
          <w:szCs w:val="24"/>
        </w:rPr>
      </w:pPr>
      <w:r>
        <w:rPr>
          <w:sz w:val="24"/>
          <w:szCs w:val="24"/>
        </w:rPr>
        <w:t>资格符合性评审 → 技术</w:t>
      </w:r>
      <w:r>
        <w:rPr>
          <w:rFonts w:hint="eastAsia"/>
          <w:sz w:val="24"/>
          <w:szCs w:val="24"/>
        </w:rPr>
        <w:t>磋商</w:t>
      </w:r>
      <w:r>
        <w:rPr>
          <w:sz w:val="24"/>
          <w:szCs w:val="24"/>
        </w:rPr>
        <w:t xml:space="preserve">响应文件评审 → </w:t>
      </w:r>
      <w:r>
        <w:rPr>
          <w:rFonts w:hint="eastAsia"/>
          <w:sz w:val="24"/>
          <w:szCs w:val="24"/>
        </w:rPr>
        <w:t>商务报价磋商响应文件评审</w:t>
      </w:r>
      <w:r>
        <w:rPr>
          <w:sz w:val="24"/>
          <w:szCs w:val="24"/>
        </w:rPr>
        <w:t xml:space="preserve">→确定入围候选人。 </w:t>
      </w:r>
    </w:p>
    <w:p>
      <w:pPr>
        <w:snapToGrid w:val="0"/>
        <w:spacing w:before="120" w:beforeLines="50" w:after="120" w:afterLines="50" w:line="300" w:lineRule="auto"/>
        <w:ind w:firstLine="480" w:firstLineChars="200"/>
        <w:rPr>
          <w:rFonts w:ascii="宋体" w:hAnsi="宋体" w:cs="宋体"/>
          <w:sz w:val="24"/>
          <w:szCs w:val="24"/>
        </w:rPr>
      </w:pPr>
      <w:r>
        <w:rPr>
          <w:rFonts w:hint="eastAsia" w:ascii="宋体" w:hAnsi="宋体" w:cs="宋体"/>
          <w:sz w:val="24"/>
          <w:szCs w:val="24"/>
        </w:rPr>
        <w:t>本次资格审查采用资格后审，各投标供应商资格审查通过后方能进入技术磋商响应文件及商务报价磋商响应文件的开标。</w:t>
      </w:r>
    </w:p>
    <w:p>
      <w:pPr>
        <w:snapToGrid w:val="0"/>
        <w:spacing w:line="480" w:lineRule="exact"/>
        <w:ind w:firstLine="482" w:firstLineChars="200"/>
        <w:outlineLvl w:val="1"/>
        <w:rPr>
          <w:b/>
          <w:color w:val="000000"/>
          <w:sz w:val="24"/>
          <w:szCs w:val="24"/>
        </w:rPr>
      </w:pPr>
      <w:r>
        <w:rPr>
          <w:rFonts w:hint="eastAsia"/>
          <w:b/>
          <w:color w:val="000000"/>
          <w:sz w:val="24"/>
          <w:szCs w:val="24"/>
        </w:rPr>
        <w:t>四、磋商</w:t>
      </w:r>
      <w:r>
        <w:rPr>
          <w:b/>
          <w:color w:val="000000"/>
          <w:sz w:val="24"/>
          <w:szCs w:val="24"/>
        </w:rPr>
        <w:t>评定结果的方法</w:t>
      </w:r>
    </w:p>
    <w:p>
      <w:pPr>
        <w:snapToGrid w:val="0"/>
        <w:spacing w:line="480" w:lineRule="exact"/>
        <w:ind w:firstLine="480" w:firstLineChars="200"/>
        <w:rPr>
          <w:color w:val="000000"/>
          <w:sz w:val="24"/>
          <w:szCs w:val="24"/>
        </w:rPr>
      </w:pPr>
      <w:r>
        <w:rPr>
          <w:color w:val="000000"/>
          <w:sz w:val="24"/>
          <w:szCs w:val="24"/>
        </w:rPr>
        <w:t>1、由</w:t>
      </w:r>
      <w:r>
        <w:rPr>
          <w:rFonts w:hint="eastAsia"/>
          <w:color w:val="000000"/>
          <w:sz w:val="24"/>
          <w:szCs w:val="24"/>
        </w:rPr>
        <w:t>磋商小组</w:t>
      </w:r>
      <w:r>
        <w:rPr>
          <w:color w:val="000000"/>
          <w:sz w:val="24"/>
          <w:szCs w:val="24"/>
        </w:rPr>
        <w:t>采用综合评分法对</w:t>
      </w:r>
      <w:r>
        <w:rPr>
          <w:rFonts w:hint="eastAsia"/>
          <w:color w:val="000000"/>
          <w:sz w:val="24"/>
          <w:szCs w:val="24"/>
        </w:rPr>
        <w:t>招标</w:t>
      </w:r>
      <w:r>
        <w:rPr>
          <w:color w:val="000000"/>
          <w:sz w:val="24"/>
          <w:szCs w:val="24"/>
        </w:rPr>
        <w:t>的响应文件进行综合评分。</w:t>
      </w:r>
    </w:p>
    <w:p>
      <w:pPr>
        <w:snapToGrid w:val="0"/>
        <w:spacing w:line="480" w:lineRule="exact"/>
        <w:ind w:firstLine="480" w:firstLineChars="200"/>
        <w:rPr>
          <w:color w:val="000000"/>
          <w:sz w:val="24"/>
          <w:szCs w:val="24"/>
        </w:rPr>
      </w:pPr>
      <w:r>
        <w:rPr>
          <w:color w:val="000000"/>
          <w:sz w:val="24"/>
          <w:szCs w:val="24"/>
        </w:rPr>
        <w:t>2、评审时，招标小组各成员应当独立对每个有效响应的文件进行评价、打分，然后汇总每个供应商每项评分因素的得分（计算结果均四舍五入保留两位小数）。</w:t>
      </w:r>
    </w:p>
    <w:p>
      <w:pPr>
        <w:snapToGrid w:val="0"/>
        <w:spacing w:line="480" w:lineRule="exact"/>
        <w:ind w:firstLine="480" w:firstLineChars="200"/>
        <w:rPr>
          <w:color w:val="000000"/>
          <w:sz w:val="24"/>
          <w:szCs w:val="24"/>
        </w:rPr>
      </w:pPr>
      <w:r>
        <w:rPr>
          <w:color w:val="000000"/>
          <w:sz w:val="24"/>
          <w:szCs w:val="24"/>
        </w:rPr>
        <w:t>3、本次项目招标的技术</w:t>
      </w:r>
      <w:r>
        <w:rPr>
          <w:kern w:val="0"/>
          <w:sz w:val="24"/>
          <w:szCs w:val="24"/>
        </w:rPr>
        <w:t>响应文件</w:t>
      </w:r>
      <w:r>
        <w:rPr>
          <w:color w:val="000000"/>
          <w:sz w:val="24"/>
          <w:szCs w:val="24"/>
        </w:rPr>
        <w:t>和商务报价</w:t>
      </w:r>
      <w:r>
        <w:rPr>
          <w:kern w:val="0"/>
          <w:sz w:val="24"/>
          <w:szCs w:val="24"/>
        </w:rPr>
        <w:t>响应文件</w:t>
      </w:r>
      <w:r>
        <w:rPr>
          <w:color w:val="000000"/>
          <w:sz w:val="24"/>
          <w:szCs w:val="24"/>
        </w:rPr>
        <w:t>评审总分值为100分。两部分评审因素比重如下：</w:t>
      </w:r>
    </w:p>
    <w:p>
      <w:pPr>
        <w:snapToGrid w:val="0"/>
        <w:spacing w:line="480" w:lineRule="exact"/>
        <w:ind w:firstLine="480" w:firstLineChars="200"/>
        <w:rPr>
          <w:color w:val="000000"/>
          <w:sz w:val="24"/>
          <w:szCs w:val="24"/>
        </w:rPr>
      </w:pPr>
      <w:r>
        <w:rPr>
          <w:color w:val="000000"/>
          <w:sz w:val="24"/>
          <w:szCs w:val="24"/>
        </w:rPr>
        <w:t>技术</w:t>
      </w:r>
      <w:r>
        <w:rPr>
          <w:kern w:val="0"/>
          <w:sz w:val="24"/>
          <w:szCs w:val="24"/>
        </w:rPr>
        <w:t>响应文件</w:t>
      </w:r>
      <w:r>
        <w:rPr>
          <w:color w:val="000000"/>
          <w:sz w:val="24"/>
          <w:szCs w:val="24"/>
        </w:rPr>
        <w:t>分值占总分值的比重为</w:t>
      </w:r>
      <w:r>
        <w:rPr>
          <w:b/>
          <w:color w:val="000000"/>
          <w:sz w:val="24"/>
          <w:szCs w:val="24"/>
          <w:u w:val="single"/>
        </w:rPr>
        <w:t xml:space="preserve"> </w:t>
      </w:r>
      <w:r>
        <w:rPr>
          <w:rFonts w:hint="eastAsia"/>
          <w:b/>
          <w:color w:val="000000"/>
          <w:sz w:val="24"/>
          <w:szCs w:val="24"/>
          <w:u w:val="single"/>
          <w:lang w:val="en-US" w:eastAsia="zh-CN"/>
        </w:rPr>
        <w:t>60</w:t>
      </w:r>
      <w:r>
        <w:rPr>
          <w:b/>
          <w:color w:val="000000"/>
          <w:sz w:val="24"/>
          <w:szCs w:val="24"/>
          <w:u w:val="single"/>
        </w:rPr>
        <w:t>%（权重）</w:t>
      </w:r>
      <w:r>
        <w:rPr>
          <w:color w:val="000000"/>
          <w:sz w:val="24"/>
          <w:szCs w:val="24"/>
        </w:rPr>
        <w:t>（四舍五入保留两位小数）；</w:t>
      </w:r>
    </w:p>
    <w:p>
      <w:pPr>
        <w:snapToGrid w:val="0"/>
        <w:spacing w:line="480" w:lineRule="exact"/>
        <w:ind w:firstLine="480" w:firstLineChars="200"/>
        <w:rPr>
          <w:color w:val="000000"/>
          <w:sz w:val="24"/>
          <w:szCs w:val="24"/>
        </w:rPr>
      </w:pPr>
      <w:r>
        <w:rPr>
          <w:color w:val="000000"/>
          <w:sz w:val="24"/>
          <w:szCs w:val="24"/>
        </w:rPr>
        <w:t>商务报价</w:t>
      </w:r>
      <w:r>
        <w:rPr>
          <w:kern w:val="0"/>
          <w:sz w:val="24"/>
          <w:szCs w:val="24"/>
        </w:rPr>
        <w:t>响应文件</w:t>
      </w:r>
      <w:r>
        <w:rPr>
          <w:sz w:val="24"/>
          <w:szCs w:val="24"/>
        </w:rPr>
        <w:t>分</w:t>
      </w:r>
      <w:r>
        <w:rPr>
          <w:color w:val="000000"/>
          <w:sz w:val="24"/>
          <w:szCs w:val="24"/>
        </w:rPr>
        <w:t>值占总分值的比重为</w:t>
      </w:r>
      <w:r>
        <w:rPr>
          <w:b/>
          <w:color w:val="000000"/>
          <w:sz w:val="24"/>
          <w:szCs w:val="24"/>
          <w:u w:val="single"/>
        </w:rPr>
        <w:t xml:space="preserve"> </w:t>
      </w:r>
      <w:r>
        <w:rPr>
          <w:rFonts w:hint="eastAsia"/>
          <w:b/>
          <w:color w:val="000000"/>
          <w:sz w:val="24"/>
          <w:szCs w:val="24"/>
          <w:u w:val="single"/>
          <w:lang w:val="en-US" w:eastAsia="zh-CN"/>
        </w:rPr>
        <w:t>4</w:t>
      </w:r>
      <w:r>
        <w:rPr>
          <w:rFonts w:hint="eastAsia"/>
          <w:b/>
          <w:color w:val="000000"/>
          <w:sz w:val="24"/>
          <w:szCs w:val="24"/>
          <w:u w:val="single"/>
        </w:rPr>
        <w:t>0</w:t>
      </w:r>
      <w:r>
        <w:rPr>
          <w:b/>
          <w:color w:val="000000"/>
          <w:sz w:val="24"/>
          <w:szCs w:val="24"/>
          <w:u w:val="single"/>
        </w:rPr>
        <w:t xml:space="preserve">%（权重） </w:t>
      </w:r>
      <w:r>
        <w:rPr>
          <w:color w:val="000000"/>
          <w:sz w:val="24"/>
          <w:szCs w:val="24"/>
        </w:rPr>
        <w:t>（四舍五入保留两位小数）。</w:t>
      </w:r>
    </w:p>
    <w:p>
      <w:pPr>
        <w:snapToGrid w:val="0"/>
        <w:spacing w:line="480" w:lineRule="exact"/>
        <w:ind w:firstLine="480" w:firstLineChars="200"/>
        <w:rPr>
          <w:color w:val="000000"/>
          <w:sz w:val="24"/>
          <w:szCs w:val="24"/>
        </w:rPr>
      </w:pPr>
      <w:r>
        <w:rPr>
          <w:color w:val="000000"/>
          <w:sz w:val="24"/>
          <w:szCs w:val="24"/>
        </w:rPr>
        <w:t>4、技术响应文件</w:t>
      </w:r>
      <w:r>
        <w:rPr>
          <w:sz w:val="24"/>
          <w:szCs w:val="24"/>
        </w:rPr>
        <w:t>分值取</w:t>
      </w:r>
      <w:r>
        <w:rPr>
          <w:color w:val="000000"/>
          <w:sz w:val="24"/>
          <w:szCs w:val="24"/>
        </w:rPr>
        <w:t>算数平均值，计算结果均四舍五入保留两位小数。</w:t>
      </w:r>
    </w:p>
    <w:p>
      <w:pPr>
        <w:snapToGrid w:val="0"/>
        <w:spacing w:line="480" w:lineRule="exact"/>
        <w:ind w:firstLine="480" w:firstLineChars="200"/>
        <w:rPr>
          <w:color w:val="000000"/>
          <w:sz w:val="24"/>
          <w:szCs w:val="24"/>
        </w:rPr>
      </w:pPr>
      <w:r>
        <w:rPr>
          <w:color w:val="000000"/>
          <w:sz w:val="24"/>
          <w:szCs w:val="24"/>
        </w:rPr>
        <w:t>5、商务报价</w:t>
      </w:r>
      <w:r>
        <w:rPr>
          <w:kern w:val="0"/>
          <w:sz w:val="24"/>
          <w:szCs w:val="24"/>
        </w:rPr>
        <w:t>响应文件</w:t>
      </w:r>
      <w:r>
        <w:rPr>
          <w:sz w:val="24"/>
          <w:szCs w:val="24"/>
        </w:rPr>
        <w:t>分值统一采用低价优先法计算直接取得，与技术</w:t>
      </w:r>
      <w:r>
        <w:rPr>
          <w:kern w:val="0"/>
          <w:sz w:val="24"/>
          <w:szCs w:val="24"/>
        </w:rPr>
        <w:t>响应文件</w:t>
      </w:r>
      <w:r>
        <w:rPr>
          <w:sz w:val="24"/>
          <w:szCs w:val="24"/>
        </w:rPr>
        <w:t>分值</w:t>
      </w:r>
      <w:r>
        <w:rPr>
          <w:color w:val="000000"/>
          <w:sz w:val="24"/>
          <w:szCs w:val="24"/>
        </w:rPr>
        <w:t>相加为供应商的综合得分（四舍五入保留两位小数）。</w:t>
      </w:r>
    </w:p>
    <w:p>
      <w:pPr>
        <w:snapToGrid w:val="0"/>
        <w:spacing w:before="120" w:beforeLines="50" w:after="120" w:afterLines="50" w:line="300" w:lineRule="auto"/>
        <w:ind w:firstLine="480" w:firstLineChars="200"/>
        <w:rPr>
          <w:sz w:val="24"/>
          <w:szCs w:val="24"/>
        </w:rPr>
      </w:pPr>
      <w:r>
        <w:rPr>
          <w:sz w:val="24"/>
          <w:szCs w:val="24"/>
        </w:rPr>
        <w:t>如某个标段的有效投标人为4家以上（含4家），则取</w:t>
      </w:r>
      <w:r>
        <w:rPr>
          <w:rFonts w:hint="eastAsia"/>
          <w:sz w:val="24"/>
          <w:szCs w:val="24"/>
        </w:rPr>
        <w:t>综合</w:t>
      </w:r>
      <w:r>
        <w:rPr>
          <w:sz w:val="24"/>
          <w:szCs w:val="24"/>
        </w:rPr>
        <w:t>得分由高到低排名的前三名入围。如果出现</w:t>
      </w:r>
      <w:r>
        <w:rPr>
          <w:rFonts w:hint="eastAsia"/>
          <w:sz w:val="24"/>
          <w:szCs w:val="24"/>
        </w:rPr>
        <w:t>综合</w:t>
      </w:r>
      <w:r>
        <w:rPr>
          <w:sz w:val="24"/>
          <w:szCs w:val="24"/>
        </w:rPr>
        <w:t>得分相同，导致排名并列的，则以供应商承诺价格下浮率进行排序决定入围候选人，下浮率高者在前，如下浮率仍然相同，则采取现场抽签的方式确定（投标人的抽签顺序分别为相应标段各投标人递交投标文件签到顺序）。</w:t>
      </w:r>
    </w:p>
    <w:p>
      <w:pPr>
        <w:snapToGrid w:val="0"/>
        <w:spacing w:before="120" w:beforeLines="50" w:after="120" w:afterLines="50" w:line="300" w:lineRule="auto"/>
        <w:ind w:firstLine="480" w:firstLineChars="200"/>
        <w:rPr>
          <w:rFonts w:ascii="宋体" w:hAnsi="宋体" w:cs="宋体"/>
          <w:sz w:val="24"/>
          <w:szCs w:val="24"/>
        </w:rPr>
      </w:pPr>
      <w:r>
        <w:rPr>
          <w:rFonts w:hint="eastAsia" w:ascii="宋体" w:hAnsi="宋体" w:cs="宋体"/>
          <w:sz w:val="24"/>
          <w:szCs w:val="24"/>
        </w:rPr>
        <w:t>如某个标段的有效投标人只有3家，则取综合得分由高到低排名的前二名入围。</w:t>
      </w:r>
      <w:r>
        <w:rPr>
          <w:sz w:val="24"/>
          <w:szCs w:val="24"/>
        </w:rPr>
        <w:t>如果出现</w:t>
      </w:r>
      <w:r>
        <w:rPr>
          <w:rFonts w:hint="eastAsia"/>
          <w:sz w:val="24"/>
          <w:szCs w:val="24"/>
        </w:rPr>
        <w:t>综合</w:t>
      </w:r>
      <w:r>
        <w:rPr>
          <w:sz w:val="24"/>
          <w:szCs w:val="24"/>
        </w:rPr>
        <w:t>得分相同，导致排名并列的，则以供应商承诺价格下浮率进行排序决定入围候选人，下浮率高者在前，如下浮率仍然相同，则采取现场抽签的方式确定（投标人的抽签顺序分别为相应标段各投标人递交投标文件签到顺序）。</w:t>
      </w:r>
    </w:p>
    <w:p>
      <w:pPr>
        <w:snapToGrid w:val="0"/>
        <w:spacing w:before="120" w:beforeLines="50" w:after="120" w:afterLines="50" w:line="300" w:lineRule="auto"/>
        <w:ind w:firstLine="482" w:firstLineChars="200"/>
        <w:rPr>
          <w:rFonts w:ascii="宋体" w:hAnsi="宋体" w:cs="宋体"/>
          <w:b/>
          <w:bCs/>
          <w:sz w:val="24"/>
          <w:szCs w:val="24"/>
        </w:rPr>
      </w:pPr>
      <w:r>
        <w:rPr>
          <w:rFonts w:hint="eastAsia" w:ascii="宋体" w:hAnsi="宋体" w:cs="宋体"/>
          <w:b/>
          <w:bCs/>
          <w:sz w:val="24"/>
          <w:szCs w:val="24"/>
        </w:rPr>
        <w:t>如某个标段的投标人少于</w:t>
      </w:r>
      <w:r>
        <w:rPr>
          <w:rFonts w:ascii="宋体" w:hAnsi="宋体" w:cs="宋体"/>
          <w:b/>
          <w:bCs/>
          <w:sz w:val="24"/>
          <w:szCs w:val="24"/>
        </w:rPr>
        <w:t>3</w:t>
      </w:r>
      <w:r>
        <w:rPr>
          <w:rFonts w:hint="eastAsia" w:ascii="宋体" w:hAnsi="宋体" w:cs="宋体"/>
          <w:b/>
          <w:bCs/>
          <w:sz w:val="24"/>
          <w:szCs w:val="24"/>
        </w:rPr>
        <w:t>家，则该标段做流标处理。</w:t>
      </w:r>
    </w:p>
    <w:p>
      <w:pPr>
        <w:snapToGrid w:val="0"/>
        <w:spacing w:before="120" w:beforeLines="50" w:after="120" w:afterLines="50" w:line="300" w:lineRule="auto"/>
        <w:ind w:firstLine="482" w:firstLineChars="200"/>
        <w:rPr>
          <w:rFonts w:ascii="宋体" w:hAnsi="宋体" w:cs="宋体"/>
          <w:b/>
          <w:bCs/>
          <w:color w:val="000000"/>
          <w:sz w:val="24"/>
          <w:szCs w:val="24"/>
        </w:rPr>
      </w:pPr>
      <w:r>
        <w:rPr>
          <w:rFonts w:hint="eastAsia" w:ascii="宋体" w:hAnsi="宋体" w:cs="宋体"/>
          <w:b/>
          <w:bCs/>
          <w:color w:val="000000"/>
          <w:sz w:val="24"/>
          <w:szCs w:val="24"/>
        </w:rPr>
        <w:t>五、综合评分评审标准</w:t>
      </w:r>
    </w:p>
    <w:p>
      <w:pPr>
        <w:snapToGrid w:val="0"/>
        <w:spacing w:before="120" w:beforeLines="50" w:after="120" w:afterLines="50" w:line="300" w:lineRule="auto"/>
        <w:ind w:firstLine="482" w:firstLineChars="200"/>
        <w:rPr>
          <w:rFonts w:ascii="宋体" w:hAnsi="宋体" w:cs="宋体"/>
          <w:b/>
          <w:bCs/>
          <w:color w:val="000000"/>
          <w:sz w:val="24"/>
          <w:szCs w:val="24"/>
        </w:rPr>
      </w:pPr>
      <w:r>
        <w:rPr>
          <w:rFonts w:hint="eastAsia" w:ascii="宋体" w:hAnsi="宋体" w:cs="宋体"/>
          <w:b/>
          <w:bCs/>
          <w:color w:val="000000"/>
          <w:sz w:val="24"/>
          <w:szCs w:val="24"/>
        </w:rPr>
        <w:t>（一）技术响应文件评分（</w:t>
      </w:r>
      <w:r>
        <w:rPr>
          <w:rFonts w:hint="eastAsia" w:ascii="宋体" w:hAnsi="宋体" w:cs="宋体"/>
          <w:b/>
          <w:bCs/>
          <w:color w:val="000000"/>
          <w:sz w:val="24"/>
          <w:szCs w:val="24"/>
          <w:lang w:val="en-US" w:eastAsia="zh-CN"/>
        </w:rPr>
        <w:t>60</w:t>
      </w:r>
      <w:r>
        <w:rPr>
          <w:rFonts w:hint="eastAsia" w:ascii="宋体" w:hAnsi="宋体" w:cs="宋体"/>
          <w:b/>
          <w:bCs/>
          <w:color w:val="000000"/>
          <w:sz w:val="24"/>
          <w:szCs w:val="24"/>
        </w:rPr>
        <w:t>分）</w:t>
      </w:r>
    </w:p>
    <w:tbl>
      <w:tblPr>
        <w:tblStyle w:val="50"/>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1547"/>
        <w:gridCol w:w="547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1062" w:type="dxa"/>
            <w:shd w:val="clear" w:color="auto" w:fill="BDD6EE" w:themeFill="accent1" w:themeFillTint="66"/>
            <w:vAlign w:val="center"/>
          </w:tcPr>
          <w:p>
            <w:pPr>
              <w:snapToGrid w:val="0"/>
              <w:spacing w:before="120" w:beforeLines="50" w:after="120" w:afterLines="50" w:line="300" w:lineRule="auto"/>
              <w:jc w:val="center"/>
              <w:rPr>
                <w:rFonts w:ascii="宋体" w:hAnsi="宋体" w:cs="仿宋_GB2312"/>
                <w:b/>
                <w:color w:val="000000"/>
                <w:szCs w:val="21"/>
              </w:rPr>
            </w:pPr>
            <w:r>
              <w:rPr>
                <w:rFonts w:hint="eastAsia" w:ascii="宋体" w:hAnsi="宋体" w:cs="仿宋_GB2312"/>
                <w:b/>
                <w:color w:val="000000"/>
                <w:szCs w:val="21"/>
              </w:rPr>
              <w:t>序号</w:t>
            </w:r>
          </w:p>
        </w:tc>
        <w:tc>
          <w:tcPr>
            <w:tcW w:w="1547" w:type="dxa"/>
            <w:shd w:val="clear" w:color="auto" w:fill="BDD6EE" w:themeFill="accent1" w:themeFillTint="66"/>
            <w:vAlign w:val="center"/>
          </w:tcPr>
          <w:p>
            <w:pPr>
              <w:snapToGrid w:val="0"/>
              <w:spacing w:before="120" w:beforeLines="50" w:after="120" w:afterLines="50" w:line="300" w:lineRule="auto"/>
              <w:jc w:val="center"/>
              <w:rPr>
                <w:rFonts w:ascii="宋体" w:hAnsi="宋体" w:cs="仿宋_GB2312"/>
                <w:b/>
                <w:color w:val="000000"/>
                <w:szCs w:val="21"/>
              </w:rPr>
            </w:pPr>
            <w:r>
              <w:rPr>
                <w:rFonts w:hint="eastAsia" w:ascii="宋体" w:hAnsi="宋体" w:cs="仿宋_GB2312"/>
                <w:b/>
                <w:color w:val="000000"/>
                <w:szCs w:val="21"/>
              </w:rPr>
              <w:t>项目</w:t>
            </w:r>
          </w:p>
        </w:tc>
        <w:tc>
          <w:tcPr>
            <w:tcW w:w="5471" w:type="dxa"/>
            <w:shd w:val="clear" w:color="auto" w:fill="BDD6EE" w:themeFill="accent1" w:themeFillTint="66"/>
            <w:vAlign w:val="center"/>
          </w:tcPr>
          <w:p>
            <w:pPr>
              <w:snapToGrid w:val="0"/>
              <w:spacing w:before="120" w:beforeLines="50" w:after="120" w:afterLines="50" w:line="300" w:lineRule="auto"/>
              <w:jc w:val="center"/>
              <w:rPr>
                <w:rFonts w:ascii="宋体" w:hAnsi="宋体" w:cs="仿宋_GB2312"/>
                <w:b/>
                <w:color w:val="000000"/>
                <w:szCs w:val="21"/>
              </w:rPr>
            </w:pPr>
            <w:r>
              <w:rPr>
                <w:rFonts w:hint="eastAsia" w:ascii="宋体" w:hAnsi="宋体" w:cs="仿宋_GB2312"/>
                <w:b/>
                <w:color w:val="000000"/>
                <w:szCs w:val="21"/>
              </w:rPr>
              <w:t>评分标准</w:t>
            </w:r>
          </w:p>
        </w:tc>
        <w:tc>
          <w:tcPr>
            <w:tcW w:w="709" w:type="dxa"/>
            <w:shd w:val="clear" w:color="auto" w:fill="BDD6EE" w:themeFill="accent1" w:themeFillTint="66"/>
            <w:vAlign w:val="center"/>
          </w:tcPr>
          <w:p>
            <w:pPr>
              <w:snapToGrid w:val="0"/>
              <w:spacing w:before="120" w:beforeLines="50" w:after="120" w:afterLines="50" w:line="300" w:lineRule="auto"/>
              <w:jc w:val="center"/>
              <w:rPr>
                <w:rFonts w:ascii="宋体" w:hAnsi="宋体" w:cs="仿宋_GB2312"/>
                <w:b/>
                <w:color w:val="000000"/>
                <w:szCs w:val="21"/>
              </w:rPr>
            </w:pPr>
            <w:r>
              <w:rPr>
                <w:rFonts w:hint="eastAsia" w:ascii="宋体" w:hAnsi="宋体" w:cs="仿宋_GB2312"/>
                <w:b/>
                <w:color w:val="00000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 w:type="dxa"/>
            <w:shd w:val="clear" w:color="auto" w:fill="C5E0B3" w:themeFill="accent6" w:themeFillTint="66"/>
            <w:vAlign w:val="center"/>
          </w:tcPr>
          <w:p>
            <w:pPr>
              <w:jc w:val="center"/>
              <w:rPr>
                <w:rFonts w:ascii="仿宋" w:hAnsi="仿宋" w:eastAsia="仿宋"/>
                <w:szCs w:val="21"/>
              </w:rPr>
            </w:pPr>
            <w:r>
              <w:rPr>
                <w:rFonts w:hint="eastAsia" w:ascii="仿宋" w:hAnsi="仿宋" w:eastAsia="仿宋"/>
                <w:szCs w:val="21"/>
              </w:rPr>
              <w:t>1</w:t>
            </w:r>
          </w:p>
        </w:tc>
        <w:tc>
          <w:tcPr>
            <w:tcW w:w="1547" w:type="dxa"/>
            <w:shd w:val="clear" w:color="auto" w:fill="C5E0B3" w:themeFill="accent6" w:themeFillTint="66"/>
            <w:vAlign w:val="center"/>
          </w:tcPr>
          <w:p>
            <w:pPr>
              <w:jc w:val="center"/>
              <w:rPr>
                <w:rFonts w:ascii="仿宋" w:hAnsi="仿宋" w:eastAsia="仿宋"/>
                <w:szCs w:val="21"/>
              </w:rPr>
            </w:pPr>
            <w:r>
              <w:rPr>
                <w:rFonts w:ascii="仿宋" w:hAnsi="仿宋" w:eastAsia="仿宋"/>
                <w:szCs w:val="21"/>
              </w:rPr>
              <w:t>企业</w:t>
            </w:r>
            <w:r>
              <w:rPr>
                <w:rFonts w:hint="eastAsia" w:ascii="仿宋" w:hAnsi="仿宋" w:eastAsia="仿宋"/>
                <w:szCs w:val="21"/>
              </w:rPr>
              <w:t>认证</w:t>
            </w:r>
          </w:p>
        </w:tc>
        <w:tc>
          <w:tcPr>
            <w:tcW w:w="5471" w:type="dxa"/>
            <w:shd w:val="clear" w:color="auto" w:fill="C5E0B3" w:themeFill="accent6" w:themeFillTint="66"/>
            <w:vAlign w:val="center"/>
          </w:tcPr>
          <w:p>
            <w:pPr>
              <w:jc w:val="center"/>
              <w:rPr>
                <w:rFonts w:eastAsia="仿宋"/>
                <w:szCs w:val="21"/>
              </w:rPr>
            </w:pPr>
            <w:r>
              <w:rPr>
                <w:rFonts w:eastAsia="仿宋"/>
                <w:szCs w:val="21"/>
              </w:rPr>
              <w:t>供应商提供相关证书复印件加盖公章，原件</w:t>
            </w:r>
            <w:r>
              <w:rPr>
                <w:rFonts w:hint="eastAsia" w:eastAsia="仿宋"/>
                <w:szCs w:val="21"/>
              </w:rPr>
              <w:t>现场备查</w:t>
            </w:r>
            <w:r>
              <w:rPr>
                <w:rFonts w:eastAsia="仿宋"/>
                <w:szCs w:val="21"/>
              </w:rPr>
              <w:t>，本项最高</w:t>
            </w:r>
            <w:r>
              <w:rPr>
                <w:rFonts w:hint="eastAsia" w:eastAsia="仿宋"/>
                <w:szCs w:val="21"/>
              </w:rPr>
              <w:t>6</w:t>
            </w:r>
            <w:r>
              <w:rPr>
                <w:rFonts w:eastAsia="仿宋"/>
                <w:szCs w:val="21"/>
              </w:rPr>
              <w:t>分，不提供者不得分。认证证书需在有效期内。</w:t>
            </w:r>
          </w:p>
        </w:tc>
        <w:tc>
          <w:tcPr>
            <w:tcW w:w="709" w:type="dxa"/>
            <w:shd w:val="clear" w:color="auto" w:fill="C5E0B3" w:themeFill="accent6" w:themeFillTint="66"/>
            <w:vAlign w:val="center"/>
          </w:tcPr>
          <w:p>
            <w:pPr>
              <w:jc w:val="center"/>
              <w:rPr>
                <w:rFonts w:eastAsia="仿宋"/>
                <w:szCs w:val="21"/>
              </w:rPr>
            </w:pPr>
            <w:r>
              <w:rPr>
                <w:rFonts w:eastAsia="仿宋"/>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62" w:type="dxa"/>
            <w:vAlign w:val="center"/>
          </w:tcPr>
          <w:p>
            <w:pPr>
              <w:jc w:val="center"/>
              <w:rPr>
                <w:rFonts w:ascii="仿宋" w:hAnsi="仿宋" w:eastAsia="仿宋"/>
                <w:szCs w:val="21"/>
              </w:rPr>
            </w:pPr>
          </w:p>
        </w:tc>
        <w:tc>
          <w:tcPr>
            <w:tcW w:w="1547" w:type="dxa"/>
            <w:vAlign w:val="center"/>
          </w:tcPr>
          <w:p>
            <w:pPr>
              <w:jc w:val="center"/>
              <w:rPr>
                <w:rFonts w:ascii="仿宋" w:hAnsi="仿宋" w:eastAsia="仿宋"/>
                <w:szCs w:val="21"/>
              </w:rPr>
            </w:pPr>
            <w:r>
              <w:rPr>
                <w:rFonts w:hint="eastAsia" w:ascii="仿宋" w:hAnsi="仿宋" w:eastAsia="仿宋"/>
                <w:szCs w:val="21"/>
              </w:rPr>
              <w:t>认证（一）</w:t>
            </w:r>
          </w:p>
        </w:tc>
        <w:tc>
          <w:tcPr>
            <w:tcW w:w="5471" w:type="dxa"/>
            <w:vAlign w:val="center"/>
          </w:tcPr>
          <w:p>
            <w:pPr>
              <w:jc w:val="left"/>
              <w:rPr>
                <w:rFonts w:eastAsia="仿宋"/>
                <w:szCs w:val="21"/>
              </w:rPr>
            </w:pPr>
            <w:r>
              <w:rPr>
                <w:rFonts w:eastAsia="仿宋"/>
                <w:szCs w:val="21"/>
              </w:rPr>
              <w:t>ISO9001质量管理体系认证证书</w:t>
            </w:r>
            <w:r>
              <w:rPr>
                <w:rFonts w:hint="eastAsia" w:eastAsia="仿宋"/>
                <w:szCs w:val="21"/>
              </w:rPr>
              <w:t>，所投标段需在认证范围内，否则不得分。</w:t>
            </w:r>
          </w:p>
        </w:tc>
        <w:tc>
          <w:tcPr>
            <w:tcW w:w="709" w:type="dxa"/>
            <w:vAlign w:val="center"/>
          </w:tcPr>
          <w:p>
            <w:pPr>
              <w:jc w:val="center"/>
              <w:rPr>
                <w:rFonts w:eastAsia="仿宋"/>
                <w:szCs w:val="21"/>
              </w:rPr>
            </w:pPr>
            <w:r>
              <w:rPr>
                <w:rFonts w:eastAsia="仿宋"/>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062" w:type="dxa"/>
            <w:vAlign w:val="center"/>
          </w:tcPr>
          <w:p>
            <w:pPr>
              <w:jc w:val="center"/>
              <w:rPr>
                <w:rFonts w:ascii="仿宋" w:hAnsi="仿宋" w:eastAsia="仿宋"/>
                <w:szCs w:val="21"/>
              </w:rPr>
            </w:pPr>
          </w:p>
        </w:tc>
        <w:tc>
          <w:tcPr>
            <w:tcW w:w="1547" w:type="dxa"/>
            <w:vAlign w:val="center"/>
          </w:tcPr>
          <w:p>
            <w:pPr>
              <w:jc w:val="center"/>
              <w:rPr>
                <w:rFonts w:ascii="仿宋" w:hAnsi="仿宋" w:eastAsia="仿宋"/>
                <w:szCs w:val="21"/>
              </w:rPr>
            </w:pPr>
            <w:r>
              <w:rPr>
                <w:rFonts w:hint="eastAsia" w:ascii="仿宋" w:hAnsi="仿宋" w:eastAsia="仿宋"/>
                <w:szCs w:val="21"/>
              </w:rPr>
              <w:t>认证（二）</w:t>
            </w:r>
          </w:p>
        </w:tc>
        <w:tc>
          <w:tcPr>
            <w:tcW w:w="5471" w:type="dxa"/>
            <w:vAlign w:val="center"/>
          </w:tcPr>
          <w:p>
            <w:pPr>
              <w:jc w:val="left"/>
              <w:rPr>
                <w:rFonts w:eastAsia="仿宋"/>
                <w:szCs w:val="21"/>
              </w:rPr>
            </w:pPr>
            <w:r>
              <w:rPr>
                <w:rFonts w:eastAsia="仿宋"/>
                <w:szCs w:val="21"/>
              </w:rPr>
              <w:t>ISO14001环境管理体系认证证书</w:t>
            </w:r>
            <w:r>
              <w:rPr>
                <w:rFonts w:hint="eastAsia" w:eastAsia="仿宋"/>
                <w:szCs w:val="21"/>
              </w:rPr>
              <w:t>，所投标段需在认证范围内，否则不得分。</w:t>
            </w:r>
          </w:p>
        </w:tc>
        <w:tc>
          <w:tcPr>
            <w:tcW w:w="709" w:type="dxa"/>
            <w:vAlign w:val="center"/>
          </w:tcPr>
          <w:p>
            <w:pPr>
              <w:jc w:val="center"/>
              <w:rPr>
                <w:rFonts w:eastAsia="仿宋"/>
                <w:szCs w:val="21"/>
              </w:rPr>
            </w:pPr>
            <w:r>
              <w:rPr>
                <w:rFonts w:eastAsia="仿宋"/>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062" w:type="dxa"/>
            <w:vAlign w:val="center"/>
          </w:tcPr>
          <w:p>
            <w:pPr>
              <w:jc w:val="center"/>
              <w:rPr>
                <w:rFonts w:ascii="仿宋" w:hAnsi="仿宋" w:eastAsia="仿宋"/>
                <w:szCs w:val="21"/>
              </w:rPr>
            </w:pPr>
          </w:p>
        </w:tc>
        <w:tc>
          <w:tcPr>
            <w:tcW w:w="1547" w:type="dxa"/>
            <w:vAlign w:val="center"/>
          </w:tcPr>
          <w:p>
            <w:pPr>
              <w:jc w:val="center"/>
              <w:rPr>
                <w:rFonts w:ascii="仿宋" w:hAnsi="仿宋" w:eastAsia="仿宋"/>
                <w:szCs w:val="21"/>
              </w:rPr>
            </w:pPr>
            <w:r>
              <w:rPr>
                <w:rFonts w:hint="eastAsia" w:ascii="仿宋" w:hAnsi="仿宋" w:eastAsia="仿宋"/>
                <w:szCs w:val="21"/>
              </w:rPr>
              <w:t>认证（三）</w:t>
            </w:r>
          </w:p>
        </w:tc>
        <w:tc>
          <w:tcPr>
            <w:tcW w:w="5471" w:type="dxa"/>
            <w:vAlign w:val="center"/>
          </w:tcPr>
          <w:p>
            <w:pPr>
              <w:jc w:val="left"/>
              <w:rPr>
                <w:rFonts w:eastAsia="仿宋"/>
                <w:szCs w:val="21"/>
              </w:rPr>
            </w:pPr>
            <w:r>
              <w:rPr>
                <w:rFonts w:eastAsia="仿宋"/>
                <w:szCs w:val="21"/>
              </w:rPr>
              <w:t>ISO22000食品安全管理体系认证证书</w:t>
            </w:r>
            <w:r>
              <w:rPr>
                <w:rFonts w:hint="eastAsia" w:eastAsia="仿宋"/>
                <w:szCs w:val="21"/>
              </w:rPr>
              <w:t>，所投标段需在认证范围内，否则不得分。</w:t>
            </w:r>
          </w:p>
        </w:tc>
        <w:tc>
          <w:tcPr>
            <w:tcW w:w="709" w:type="dxa"/>
            <w:vAlign w:val="center"/>
          </w:tcPr>
          <w:p>
            <w:pPr>
              <w:jc w:val="center"/>
              <w:rPr>
                <w:rFonts w:eastAsia="仿宋"/>
                <w:szCs w:val="21"/>
              </w:rPr>
            </w:pPr>
            <w:r>
              <w:rPr>
                <w:rFonts w:eastAsia="仿宋"/>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062" w:type="dxa"/>
            <w:shd w:val="clear" w:color="auto" w:fill="C5E0B3" w:themeFill="accent6" w:themeFillTint="66"/>
            <w:vAlign w:val="center"/>
          </w:tcPr>
          <w:p>
            <w:pPr>
              <w:jc w:val="center"/>
              <w:rPr>
                <w:rFonts w:ascii="仿宋" w:hAnsi="仿宋" w:eastAsia="仿宋"/>
                <w:szCs w:val="21"/>
              </w:rPr>
            </w:pPr>
            <w:r>
              <w:rPr>
                <w:rFonts w:hint="eastAsia" w:ascii="仿宋" w:hAnsi="仿宋" w:eastAsia="仿宋"/>
                <w:szCs w:val="21"/>
              </w:rPr>
              <w:t>2</w:t>
            </w:r>
          </w:p>
        </w:tc>
        <w:tc>
          <w:tcPr>
            <w:tcW w:w="1547" w:type="dxa"/>
            <w:shd w:val="clear" w:color="auto" w:fill="C5E0B3" w:themeFill="accent6" w:themeFillTint="66"/>
            <w:vAlign w:val="center"/>
          </w:tcPr>
          <w:p>
            <w:pPr>
              <w:jc w:val="center"/>
              <w:rPr>
                <w:rFonts w:ascii="仿宋" w:hAnsi="仿宋" w:eastAsia="仿宋"/>
                <w:szCs w:val="21"/>
              </w:rPr>
            </w:pPr>
            <w:r>
              <w:rPr>
                <w:rFonts w:hint="eastAsia" w:ascii="仿宋" w:hAnsi="仿宋" w:eastAsia="仿宋"/>
                <w:szCs w:val="21"/>
              </w:rPr>
              <w:t>企业履约能力</w:t>
            </w:r>
          </w:p>
        </w:tc>
        <w:tc>
          <w:tcPr>
            <w:tcW w:w="5471" w:type="dxa"/>
            <w:shd w:val="clear" w:color="auto" w:fill="C5E0B3" w:themeFill="accent6" w:themeFillTint="66"/>
            <w:vAlign w:val="center"/>
          </w:tcPr>
          <w:p>
            <w:pPr>
              <w:rPr>
                <w:rFonts w:eastAsia="仿宋"/>
                <w:szCs w:val="21"/>
              </w:rPr>
            </w:pPr>
            <w:r>
              <w:rPr>
                <w:rFonts w:hint="eastAsia" w:eastAsia="仿宋"/>
                <w:szCs w:val="21"/>
              </w:rPr>
              <w:t>评委就配送人员、</w:t>
            </w:r>
            <w:r>
              <w:rPr>
                <w:rFonts w:hint="eastAsia" w:eastAsia="仿宋"/>
                <w:szCs w:val="21"/>
                <w:lang w:val="en-US" w:eastAsia="zh-CN"/>
              </w:rPr>
              <w:t>品牌</w:t>
            </w:r>
            <w:r>
              <w:rPr>
                <w:rFonts w:hint="eastAsia" w:eastAsia="仿宋"/>
                <w:szCs w:val="21"/>
              </w:rPr>
              <w:t>等方面进行综合评定。提供复印件盖公章，原件现场备查，否则不得分。</w:t>
            </w:r>
          </w:p>
        </w:tc>
        <w:tc>
          <w:tcPr>
            <w:tcW w:w="709" w:type="dxa"/>
            <w:shd w:val="clear" w:color="auto" w:fill="C5E0B3" w:themeFill="accent6" w:themeFillTint="66"/>
            <w:vAlign w:val="center"/>
          </w:tcPr>
          <w:p>
            <w:pPr>
              <w:jc w:val="center"/>
              <w:rPr>
                <w:rFonts w:hint="default" w:eastAsia="仿宋"/>
                <w:szCs w:val="21"/>
                <w:lang w:val="en-US" w:eastAsia="zh-CN"/>
              </w:rPr>
            </w:pPr>
            <w:r>
              <w:rPr>
                <w:rFonts w:hint="eastAsia" w:eastAsia="仿宋"/>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 w:type="dxa"/>
            <w:vAlign w:val="center"/>
          </w:tcPr>
          <w:p>
            <w:pPr>
              <w:widowControl/>
              <w:adjustRightInd w:val="0"/>
              <w:spacing w:before="120" w:beforeLines="50" w:after="120" w:afterLines="50" w:line="300" w:lineRule="auto"/>
              <w:jc w:val="center"/>
              <w:rPr>
                <w:rFonts w:eastAsia="仿宋"/>
                <w:sz w:val="18"/>
                <w:szCs w:val="18"/>
              </w:rPr>
            </w:pPr>
            <w:r>
              <w:rPr>
                <w:rFonts w:hint="eastAsia" w:eastAsia="仿宋"/>
                <w:sz w:val="18"/>
                <w:szCs w:val="18"/>
              </w:rPr>
              <w:t>2</w:t>
            </w:r>
            <w:r>
              <w:rPr>
                <w:rFonts w:eastAsia="仿宋"/>
                <w:sz w:val="18"/>
                <w:szCs w:val="18"/>
              </w:rPr>
              <w:t>.</w:t>
            </w:r>
            <w:r>
              <w:rPr>
                <w:rFonts w:hint="eastAsia" w:eastAsia="仿宋"/>
                <w:sz w:val="18"/>
                <w:szCs w:val="18"/>
              </w:rPr>
              <w:t>2</w:t>
            </w:r>
          </w:p>
        </w:tc>
        <w:tc>
          <w:tcPr>
            <w:tcW w:w="1547" w:type="dxa"/>
            <w:vAlign w:val="center"/>
          </w:tcPr>
          <w:p>
            <w:pPr>
              <w:widowControl/>
              <w:adjustRightInd w:val="0"/>
              <w:spacing w:before="120" w:beforeLines="50" w:after="120" w:afterLines="50" w:line="300" w:lineRule="auto"/>
              <w:jc w:val="center"/>
              <w:rPr>
                <w:rFonts w:ascii="仿宋" w:hAnsi="仿宋" w:eastAsia="仿宋" w:cs="仿宋"/>
                <w:kern w:val="0"/>
                <w:szCs w:val="21"/>
                <w:lang w:val="zh-CN"/>
              </w:rPr>
            </w:pPr>
            <w:r>
              <w:rPr>
                <w:rFonts w:hint="eastAsia" w:ascii="仿宋" w:hAnsi="仿宋" w:eastAsia="仿宋" w:cs="仿宋"/>
                <w:kern w:val="0"/>
                <w:szCs w:val="21"/>
                <w:lang w:val="zh-CN"/>
              </w:rPr>
              <w:t>能力（</w:t>
            </w:r>
            <w:r>
              <w:rPr>
                <w:rFonts w:hint="eastAsia" w:ascii="仿宋" w:hAnsi="仿宋" w:eastAsia="仿宋" w:cs="仿宋"/>
                <w:kern w:val="0"/>
                <w:szCs w:val="21"/>
                <w:lang w:val="en-US" w:eastAsia="zh-CN"/>
              </w:rPr>
              <w:t>一</w:t>
            </w:r>
            <w:r>
              <w:rPr>
                <w:rFonts w:hint="eastAsia" w:ascii="仿宋" w:hAnsi="仿宋" w:eastAsia="仿宋" w:cs="仿宋"/>
                <w:kern w:val="0"/>
                <w:szCs w:val="21"/>
                <w:lang w:val="zh-CN"/>
              </w:rPr>
              <w:t>）</w:t>
            </w:r>
          </w:p>
        </w:tc>
        <w:tc>
          <w:tcPr>
            <w:tcW w:w="5471" w:type="dxa"/>
            <w:vAlign w:val="center"/>
          </w:tcPr>
          <w:p>
            <w:pPr>
              <w:snapToGrid w:val="0"/>
              <w:rPr>
                <w:rFonts w:eastAsia="仿宋"/>
                <w:szCs w:val="21"/>
              </w:rPr>
            </w:pPr>
            <w:r>
              <w:rPr>
                <w:rFonts w:hint="eastAsia" w:eastAsia="仿宋"/>
                <w:szCs w:val="21"/>
              </w:rPr>
              <w:t>投标人提供配送人员有效健康证并同时提供供应商为其缴纳的2020年1~6月连续6个月的企业基本养老保险缴费基数明细表，有一人得</w:t>
            </w:r>
            <w:r>
              <w:rPr>
                <w:rFonts w:hint="eastAsia" w:eastAsia="仿宋"/>
                <w:szCs w:val="21"/>
                <w:lang w:val="en-US" w:eastAsia="zh-CN"/>
              </w:rPr>
              <w:t>2</w:t>
            </w:r>
            <w:r>
              <w:rPr>
                <w:rFonts w:hint="eastAsia" w:eastAsia="仿宋"/>
                <w:szCs w:val="21"/>
              </w:rPr>
              <w:t>分，本小项最多得</w:t>
            </w:r>
            <w:r>
              <w:rPr>
                <w:rFonts w:hint="eastAsia" w:eastAsia="仿宋"/>
                <w:szCs w:val="21"/>
                <w:lang w:val="en-US" w:eastAsia="zh-CN"/>
              </w:rPr>
              <w:t>4</w:t>
            </w:r>
            <w:r>
              <w:rPr>
                <w:rFonts w:hint="eastAsia" w:eastAsia="仿宋"/>
                <w:szCs w:val="21"/>
              </w:rPr>
              <w:t>分。</w:t>
            </w:r>
          </w:p>
        </w:tc>
        <w:tc>
          <w:tcPr>
            <w:tcW w:w="709" w:type="dxa"/>
            <w:vAlign w:val="center"/>
          </w:tcPr>
          <w:p>
            <w:pPr>
              <w:snapToGrid w:val="0"/>
              <w:spacing w:before="120" w:beforeLines="50" w:after="120" w:afterLines="50" w:line="300" w:lineRule="auto"/>
              <w:jc w:val="center"/>
              <w:rPr>
                <w:rFonts w:hint="eastAsia" w:eastAsia="仿宋"/>
                <w:sz w:val="18"/>
                <w:szCs w:val="18"/>
                <w:lang w:eastAsia="zh-CN"/>
              </w:rPr>
            </w:pPr>
            <w:r>
              <w:rPr>
                <w:rFonts w:hint="eastAsia" w:eastAsia="仿宋"/>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 w:type="dxa"/>
            <w:vAlign w:val="center"/>
          </w:tcPr>
          <w:p>
            <w:pPr>
              <w:widowControl/>
              <w:adjustRightInd w:val="0"/>
              <w:spacing w:before="120" w:beforeLines="50" w:after="120" w:afterLines="50" w:line="300" w:lineRule="auto"/>
              <w:jc w:val="center"/>
              <w:rPr>
                <w:rFonts w:eastAsia="仿宋"/>
                <w:sz w:val="18"/>
                <w:szCs w:val="18"/>
              </w:rPr>
            </w:pPr>
            <w:r>
              <w:rPr>
                <w:rFonts w:hint="eastAsia" w:eastAsia="仿宋"/>
                <w:sz w:val="18"/>
                <w:szCs w:val="18"/>
              </w:rPr>
              <w:t>2</w:t>
            </w:r>
            <w:r>
              <w:rPr>
                <w:rFonts w:eastAsia="仿宋"/>
                <w:sz w:val="18"/>
                <w:szCs w:val="18"/>
              </w:rPr>
              <w:t>.</w:t>
            </w:r>
            <w:r>
              <w:rPr>
                <w:rFonts w:hint="eastAsia" w:eastAsia="仿宋"/>
                <w:sz w:val="18"/>
                <w:szCs w:val="18"/>
              </w:rPr>
              <w:t>3</w:t>
            </w:r>
          </w:p>
        </w:tc>
        <w:tc>
          <w:tcPr>
            <w:tcW w:w="1547" w:type="dxa"/>
            <w:vAlign w:val="center"/>
          </w:tcPr>
          <w:p>
            <w:pPr>
              <w:widowControl/>
              <w:adjustRightInd w:val="0"/>
              <w:spacing w:before="120" w:beforeLines="50" w:after="120" w:afterLines="50" w:line="300" w:lineRule="auto"/>
              <w:jc w:val="center"/>
              <w:rPr>
                <w:rFonts w:ascii="仿宋" w:hAnsi="仿宋" w:eastAsia="仿宋" w:cs="仿宋"/>
                <w:kern w:val="0"/>
                <w:szCs w:val="21"/>
                <w:lang w:val="zh-CN"/>
              </w:rPr>
            </w:pPr>
            <w:r>
              <w:rPr>
                <w:rFonts w:hint="eastAsia" w:ascii="仿宋" w:hAnsi="仿宋" w:eastAsia="仿宋" w:cs="仿宋"/>
                <w:kern w:val="0"/>
                <w:szCs w:val="21"/>
                <w:lang w:val="zh-CN"/>
              </w:rPr>
              <w:t>能力（</w:t>
            </w:r>
            <w:r>
              <w:rPr>
                <w:rFonts w:hint="eastAsia" w:ascii="仿宋" w:hAnsi="仿宋" w:eastAsia="仿宋" w:cs="仿宋"/>
                <w:kern w:val="0"/>
                <w:szCs w:val="21"/>
                <w:lang w:val="en-US" w:eastAsia="zh-CN"/>
              </w:rPr>
              <w:t>二</w:t>
            </w:r>
            <w:r>
              <w:rPr>
                <w:rFonts w:hint="eastAsia" w:ascii="仿宋" w:hAnsi="仿宋" w:eastAsia="仿宋" w:cs="仿宋"/>
                <w:kern w:val="0"/>
                <w:szCs w:val="21"/>
                <w:lang w:val="zh-CN"/>
              </w:rPr>
              <w:t>）</w:t>
            </w:r>
          </w:p>
        </w:tc>
        <w:tc>
          <w:tcPr>
            <w:tcW w:w="5471" w:type="dxa"/>
            <w:vAlign w:val="center"/>
          </w:tcPr>
          <w:p>
            <w:pPr>
              <w:snapToGrid w:val="0"/>
              <w:rPr>
                <w:rFonts w:eastAsia="仿宋"/>
                <w:szCs w:val="21"/>
              </w:rPr>
            </w:pPr>
            <w:r>
              <w:rPr>
                <w:rFonts w:hint="eastAsia" w:eastAsia="仿宋"/>
                <w:szCs w:val="21"/>
              </w:rPr>
              <w:t>1、供应商所投产品有品牌注册的，仅限所投标段，有一份得</w:t>
            </w:r>
            <w:r>
              <w:rPr>
                <w:rFonts w:hint="eastAsia" w:eastAsia="仿宋"/>
                <w:szCs w:val="21"/>
                <w:lang w:val="en-US" w:eastAsia="zh-CN"/>
              </w:rPr>
              <w:t>1</w:t>
            </w:r>
            <w:r>
              <w:rPr>
                <w:rFonts w:hint="eastAsia" w:eastAsia="仿宋"/>
                <w:szCs w:val="21"/>
              </w:rPr>
              <w:t>分，该项可得</w:t>
            </w:r>
            <w:r>
              <w:rPr>
                <w:rFonts w:hint="eastAsia" w:eastAsia="仿宋"/>
                <w:szCs w:val="21"/>
                <w:lang w:val="en-US" w:eastAsia="zh-CN"/>
              </w:rPr>
              <w:t>5</w:t>
            </w:r>
            <w:r>
              <w:rPr>
                <w:rFonts w:hint="eastAsia" w:eastAsia="仿宋"/>
                <w:szCs w:val="21"/>
              </w:rPr>
              <w:t>分。</w:t>
            </w:r>
          </w:p>
          <w:p>
            <w:pPr>
              <w:snapToGrid w:val="0"/>
              <w:rPr>
                <w:rFonts w:eastAsia="仿宋"/>
                <w:szCs w:val="21"/>
              </w:rPr>
            </w:pPr>
            <w:r>
              <w:rPr>
                <w:rFonts w:eastAsia="仿宋"/>
                <w:szCs w:val="21"/>
              </w:rPr>
              <w:t>2</w:t>
            </w:r>
            <w:r>
              <w:rPr>
                <w:rFonts w:hint="eastAsia" w:eastAsia="仿宋"/>
                <w:szCs w:val="21"/>
              </w:rPr>
              <w:t>、所投标段无品牌注册的，该项不得分。</w:t>
            </w:r>
          </w:p>
        </w:tc>
        <w:tc>
          <w:tcPr>
            <w:tcW w:w="709" w:type="dxa"/>
            <w:vAlign w:val="center"/>
          </w:tcPr>
          <w:p>
            <w:pPr>
              <w:snapToGrid w:val="0"/>
              <w:spacing w:before="120" w:beforeLines="50" w:after="120" w:afterLines="50" w:line="300" w:lineRule="auto"/>
              <w:jc w:val="center"/>
              <w:rPr>
                <w:rFonts w:hint="eastAsia" w:eastAsia="仿宋"/>
                <w:sz w:val="18"/>
                <w:szCs w:val="18"/>
                <w:lang w:eastAsia="zh-CN"/>
              </w:rPr>
            </w:pPr>
            <w:r>
              <w:rPr>
                <w:rFonts w:hint="eastAsia" w:eastAsia="仿宋"/>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 w:type="dxa"/>
            <w:shd w:val="clear" w:color="auto" w:fill="C5E0B3" w:themeFill="accent6" w:themeFillTint="66"/>
            <w:vAlign w:val="center"/>
          </w:tcPr>
          <w:p>
            <w:pPr>
              <w:widowControl/>
              <w:adjustRightInd w:val="0"/>
              <w:spacing w:before="120" w:beforeLines="50" w:after="120" w:afterLines="50" w:line="300" w:lineRule="auto"/>
              <w:jc w:val="center"/>
              <w:rPr>
                <w:rFonts w:eastAsia="仿宋"/>
                <w:sz w:val="18"/>
                <w:szCs w:val="18"/>
              </w:rPr>
            </w:pPr>
            <w:r>
              <w:rPr>
                <w:rFonts w:hint="eastAsia" w:eastAsia="仿宋"/>
                <w:sz w:val="18"/>
                <w:szCs w:val="18"/>
              </w:rPr>
              <w:t>3</w:t>
            </w:r>
          </w:p>
        </w:tc>
        <w:tc>
          <w:tcPr>
            <w:tcW w:w="1547" w:type="dxa"/>
            <w:shd w:val="clear" w:color="auto" w:fill="C5E0B3" w:themeFill="accent6" w:themeFillTint="66"/>
            <w:vAlign w:val="center"/>
          </w:tcPr>
          <w:p>
            <w:pPr>
              <w:widowControl/>
              <w:adjustRightInd w:val="0"/>
              <w:spacing w:before="120" w:beforeLines="50" w:after="120" w:afterLines="50" w:line="300" w:lineRule="auto"/>
              <w:jc w:val="center"/>
              <w:rPr>
                <w:rFonts w:ascii="仿宋" w:hAnsi="仿宋" w:eastAsia="仿宋" w:cs="仿宋"/>
                <w:kern w:val="0"/>
                <w:szCs w:val="21"/>
                <w:lang w:val="zh-CN"/>
              </w:rPr>
            </w:pPr>
            <w:r>
              <w:rPr>
                <w:rFonts w:hint="eastAsia" w:ascii="仿宋" w:hAnsi="仿宋" w:eastAsia="仿宋" w:cs="仿宋"/>
                <w:kern w:val="0"/>
                <w:szCs w:val="21"/>
                <w:lang w:val="zh-CN"/>
              </w:rPr>
              <w:t>企业业绩</w:t>
            </w:r>
          </w:p>
        </w:tc>
        <w:tc>
          <w:tcPr>
            <w:tcW w:w="5471" w:type="dxa"/>
            <w:shd w:val="clear" w:color="auto" w:fill="C5E0B3" w:themeFill="accent6" w:themeFillTint="66"/>
            <w:vAlign w:val="center"/>
          </w:tcPr>
          <w:p>
            <w:pPr>
              <w:rPr>
                <w:rFonts w:eastAsia="仿宋"/>
                <w:szCs w:val="21"/>
              </w:rPr>
            </w:pPr>
            <w:r>
              <w:rPr>
                <w:rFonts w:hint="eastAsia" w:eastAsia="仿宋"/>
                <w:szCs w:val="21"/>
              </w:rPr>
              <w:t>提供自2</w:t>
            </w:r>
            <w:r>
              <w:rPr>
                <w:rFonts w:eastAsia="仿宋"/>
                <w:szCs w:val="21"/>
              </w:rPr>
              <w:t>017</w:t>
            </w:r>
            <w:r>
              <w:rPr>
                <w:rFonts w:hint="eastAsia" w:eastAsia="仿宋"/>
                <w:szCs w:val="21"/>
              </w:rPr>
              <w:t>年以来与企、事业单位、学校签订的供应合同。合同供应范围与所投标段相对应。</w:t>
            </w:r>
          </w:p>
          <w:p>
            <w:pPr>
              <w:rPr>
                <w:rFonts w:eastAsia="仿宋"/>
                <w:szCs w:val="21"/>
              </w:rPr>
            </w:pPr>
            <w:r>
              <w:rPr>
                <w:rFonts w:eastAsia="仿宋"/>
                <w:szCs w:val="21"/>
              </w:rPr>
              <w:t>1</w:t>
            </w:r>
            <w:r>
              <w:rPr>
                <w:rFonts w:hint="eastAsia" w:eastAsia="仿宋"/>
                <w:szCs w:val="21"/>
              </w:rPr>
              <w:t>、一个合同周期内的销售金额在</w:t>
            </w:r>
            <w:r>
              <w:rPr>
                <w:rFonts w:hint="eastAsia" w:eastAsia="仿宋"/>
                <w:szCs w:val="21"/>
                <w:lang w:val="en-US" w:eastAsia="zh-CN"/>
              </w:rPr>
              <w:t>50</w:t>
            </w:r>
            <w:r>
              <w:rPr>
                <w:rFonts w:hint="eastAsia" w:eastAsia="仿宋"/>
                <w:szCs w:val="21"/>
              </w:rPr>
              <w:t>万元以上（含</w:t>
            </w:r>
            <w:r>
              <w:rPr>
                <w:rFonts w:hint="eastAsia" w:eastAsia="仿宋"/>
                <w:szCs w:val="21"/>
                <w:lang w:val="en-US" w:eastAsia="zh-CN"/>
              </w:rPr>
              <w:t>50</w:t>
            </w:r>
            <w:r>
              <w:rPr>
                <w:rFonts w:hint="eastAsia" w:eastAsia="仿宋"/>
                <w:szCs w:val="21"/>
              </w:rPr>
              <w:t>万元）。每有一份合同，得</w:t>
            </w:r>
            <w:r>
              <w:rPr>
                <w:rFonts w:eastAsia="仿宋"/>
                <w:szCs w:val="21"/>
              </w:rPr>
              <w:t>4</w:t>
            </w:r>
            <w:r>
              <w:rPr>
                <w:rFonts w:hint="eastAsia" w:eastAsia="仿宋"/>
                <w:szCs w:val="21"/>
              </w:rPr>
              <w:t>分；</w:t>
            </w:r>
          </w:p>
          <w:p>
            <w:pPr>
              <w:rPr>
                <w:rFonts w:eastAsia="仿宋"/>
                <w:szCs w:val="21"/>
              </w:rPr>
            </w:pPr>
            <w:r>
              <w:rPr>
                <w:rFonts w:eastAsia="仿宋"/>
                <w:szCs w:val="21"/>
              </w:rPr>
              <w:t>2</w:t>
            </w:r>
            <w:r>
              <w:rPr>
                <w:rFonts w:hint="eastAsia" w:eastAsia="仿宋"/>
                <w:szCs w:val="21"/>
              </w:rPr>
              <w:t>、一个合同周期内的销售金额在</w:t>
            </w:r>
            <w:r>
              <w:rPr>
                <w:rFonts w:hint="eastAsia" w:eastAsia="仿宋"/>
                <w:szCs w:val="21"/>
                <w:lang w:val="en-US" w:eastAsia="zh-CN"/>
              </w:rPr>
              <w:t>25万元（含）</w:t>
            </w:r>
            <w:r>
              <w:rPr>
                <w:rFonts w:hint="eastAsia" w:eastAsia="仿宋"/>
                <w:szCs w:val="21"/>
              </w:rPr>
              <w:t>~</w:t>
            </w:r>
            <w:r>
              <w:rPr>
                <w:rFonts w:hint="eastAsia" w:eastAsia="仿宋"/>
                <w:szCs w:val="21"/>
                <w:lang w:val="en-US" w:eastAsia="zh-CN"/>
              </w:rPr>
              <w:t>50</w:t>
            </w:r>
            <w:r>
              <w:rPr>
                <w:rFonts w:hint="eastAsia" w:eastAsia="仿宋"/>
                <w:szCs w:val="21"/>
              </w:rPr>
              <w:t>万元的（不含</w:t>
            </w:r>
            <w:r>
              <w:rPr>
                <w:rFonts w:hint="eastAsia" w:eastAsia="仿宋"/>
                <w:szCs w:val="21"/>
                <w:lang w:val="en-US" w:eastAsia="zh-CN"/>
              </w:rPr>
              <w:t>50</w:t>
            </w:r>
            <w:r>
              <w:rPr>
                <w:rFonts w:hint="eastAsia" w:eastAsia="仿宋"/>
                <w:szCs w:val="21"/>
              </w:rPr>
              <w:t>万元）。每有一份合同，得</w:t>
            </w:r>
            <w:r>
              <w:rPr>
                <w:rFonts w:eastAsia="仿宋"/>
                <w:szCs w:val="21"/>
              </w:rPr>
              <w:t>3</w:t>
            </w:r>
            <w:r>
              <w:rPr>
                <w:rFonts w:hint="eastAsia" w:eastAsia="仿宋"/>
                <w:szCs w:val="21"/>
              </w:rPr>
              <w:t>分。</w:t>
            </w:r>
          </w:p>
          <w:p>
            <w:pPr>
              <w:rPr>
                <w:rFonts w:eastAsia="仿宋"/>
                <w:szCs w:val="21"/>
              </w:rPr>
            </w:pPr>
            <w:r>
              <w:rPr>
                <w:rFonts w:hint="eastAsia" w:eastAsia="仿宋"/>
                <w:szCs w:val="21"/>
              </w:rPr>
              <w:t>3、一个合同周期内的销售金额在</w:t>
            </w:r>
            <w:r>
              <w:rPr>
                <w:rFonts w:hint="eastAsia" w:eastAsia="仿宋"/>
                <w:szCs w:val="21"/>
                <w:lang w:val="en-US" w:eastAsia="zh-CN"/>
              </w:rPr>
              <w:t>5万元（含）</w:t>
            </w:r>
            <w:r>
              <w:rPr>
                <w:rFonts w:hint="eastAsia" w:eastAsia="仿宋"/>
                <w:szCs w:val="21"/>
              </w:rPr>
              <w:t>~</w:t>
            </w:r>
            <w:r>
              <w:rPr>
                <w:rFonts w:hint="eastAsia" w:eastAsia="仿宋"/>
                <w:szCs w:val="21"/>
                <w:lang w:val="en-US" w:eastAsia="zh-CN"/>
              </w:rPr>
              <w:t>25</w:t>
            </w:r>
            <w:r>
              <w:rPr>
                <w:rFonts w:hint="eastAsia" w:eastAsia="仿宋"/>
                <w:szCs w:val="21"/>
              </w:rPr>
              <w:t>万元的（不含</w:t>
            </w:r>
            <w:r>
              <w:rPr>
                <w:rFonts w:hint="eastAsia" w:eastAsia="仿宋"/>
                <w:szCs w:val="21"/>
                <w:lang w:val="en-US" w:eastAsia="zh-CN"/>
              </w:rPr>
              <w:t>25</w:t>
            </w:r>
            <w:r>
              <w:rPr>
                <w:rFonts w:hint="eastAsia" w:eastAsia="仿宋"/>
                <w:szCs w:val="21"/>
              </w:rPr>
              <w:t>万元）。每有一份合同，得</w:t>
            </w:r>
            <w:r>
              <w:rPr>
                <w:rFonts w:eastAsia="仿宋"/>
                <w:szCs w:val="21"/>
              </w:rPr>
              <w:t>2</w:t>
            </w:r>
            <w:r>
              <w:rPr>
                <w:rFonts w:hint="eastAsia" w:eastAsia="仿宋"/>
                <w:szCs w:val="21"/>
              </w:rPr>
              <w:t>分。</w:t>
            </w:r>
          </w:p>
          <w:p>
            <w:pPr>
              <w:rPr>
                <w:rFonts w:eastAsia="仿宋"/>
                <w:szCs w:val="21"/>
              </w:rPr>
            </w:pPr>
            <w:r>
              <w:rPr>
                <w:rFonts w:hint="eastAsia" w:eastAsia="仿宋"/>
                <w:szCs w:val="21"/>
              </w:rPr>
              <w:t>本项最高得</w:t>
            </w:r>
            <w:r>
              <w:rPr>
                <w:rFonts w:eastAsia="仿宋"/>
                <w:szCs w:val="21"/>
              </w:rPr>
              <w:t>20</w:t>
            </w:r>
            <w:r>
              <w:rPr>
                <w:rFonts w:hint="eastAsia" w:eastAsia="仿宋"/>
                <w:szCs w:val="21"/>
              </w:rPr>
              <w:t>分</w:t>
            </w:r>
          </w:p>
          <w:p>
            <w:pPr>
              <w:rPr>
                <w:rFonts w:eastAsia="仿宋"/>
                <w:szCs w:val="21"/>
              </w:rPr>
            </w:pPr>
            <w:r>
              <w:rPr>
                <w:rFonts w:hint="eastAsia" w:eastAsia="仿宋"/>
                <w:b/>
                <w:bCs/>
                <w:szCs w:val="21"/>
              </w:rPr>
              <w:t>说明：</w:t>
            </w:r>
            <w:r>
              <w:rPr>
                <w:rFonts w:hint="eastAsia" w:eastAsia="仿宋"/>
                <w:szCs w:val="21"/>
              </w:rPr>
              <w:t>每一份完整案例，需同时提供以下材料，不能完整提供材料的不得分，原件现场核查。不按要求提供的不得分。</w:t>
            </w:r>
          </w:p>
          <w:p>
            <w:pPr>
              <w:rPr>
                <w:rFonts w:eastAsia="仿宋"/>
                <w:szCs w:val="21"/>
              </w:rPr>
            </w:pPr>
            <w:r>
              <w:rPr>
                <w:rFonts w:hint="eastAsia" w:eastAsia="仿宋"/>
                <w:szCs w:val="21"/>
              </w:rPr>
              <w:t>1、合同复印件并加盖公章（一份合同服务期至少为</w:t>
            </w:r>
            <w:r>
              <w:rPr>
                <w:rFonts w:hint="eastAsia" w:eastAsia="仿宋"/>
                <w:szCs w:val="21"/>
                <w:lang w:val="en-US" w:eastAsia="zh-CN"/>
              </w:rPr>
              <w:t>一学期</w:t>
            </w:r>
            <w:r>
              <w:rPr>
                <w:rFonts w:hint="eastAsia" w:eastAsia="仿宋"/>
                <w:szCs w:val="21"/>
              </w:rPr>
              <w:t>，否则无效）</w:t>
            </w:r>
          </w:p>
          <w:p>
            <w:pPr>
              <w:snapToGrid w:val="0"/>
              <w:rPr>
                <w:rFonts w:eastAsia="仿宋"/>
                <w:szCs w:val="21"/>
              </w:rPr>
            </w:pPr>
            <w:r>
              <w:rPr>
                <w:rFonts w:eastAsia="仿宋"/>
                <w:szCs w:val="21"/>
              </w:rPr>
              <w:t>2</w:t>
            </w:r>
            <w:r>
              <w:rPr>
                <w:rFonts w:hint="eastAsia" w:eastAsia="仿宋"/>
                <w:szCs w:val="21"/>
              </w:rPr>
              <w:t>、提供被服务单位一个合同周期内，对供应商的书面评价原件，需加盖被服务单位的公章。</w:t>
            </w:r>
          </w:p>
          <w:p>
            <w:pPr>
              <w:snapToGrid w:val="0"/>
              <w:rPr>
                <w:rFonts w:eastAsia="仿宋"/>
                <w:szCs w:val="21"/>
              </w:rPr>
            </w:pPr>
            <w:r>
              <w:rPr>
                <w:rFonts w:hint="eastAsia" w:eastAsia="仿宋"/>
                <w:szCs w:val="21"/>
              </w:rPr>
              <w:t>3、一个合同周期内结算发票复印件</w:t>
            </w:r>
          </w:p>
          <w:p>
            <w:pPr>
              <w:snapToGrid w:val="0"/>
              <w:rPr>
                <w:rFonts w:eastAsia="仿宋"/>
                <w:szCs w:val="21"/>
              </w:rPr>
            </w:pPr>
            <w:r>
              <w:rPr>
                <w:rFonts w:hint="eastAsia" w:eastAsia="仿宋"/>
                <w:szCs w:val="21"/>
              </w:rPr>
              <w:t>4、所有案例请例出明细表，并计算出一个供货周期内的销售总金额。</w:t>
            </w:r>
          </w:p>
        </w:tc>
        <w:tc>
          <w:tcPr>
            <w:tcW w:w="709" w:type="dxa"/>
            <w:shd w:val="clear" w:color="auto" w:fill="C5E0B3" w:themeFill="accent6" w:themeFillTint="66"/>
            <w:vAlign w:val="center"/>
          </w:tcPr>
          <w:p>
            <w:pPr>
              <w:snapToGrid w:val="0"/>
              <w:spacing w:before="120" w:beforeLines="50" w:after="120" w:afterLines="50" w:line="300" w:lineRule="auto"/>
              <w:jc w:val="center"/>
              <w:rPr>
                <w:rFonts w:eastAsia="仿宋"/>
                <w:sz w:val="18"/>
                <w:szCs w:val="18"/>
              </w:rPr>
            </w:pPr>
            <w:r>
              <w:rPr>
                <w:rFonts w:hint="eastAsia" w:eastAsia="仿宋"/>
                <w:sz w:val="18"/>
                <w:szCs w:val="18"/>
              </w:rPr>
              <w:t>2</w:t>
            </w:r>
            <w:r>
              <w:rPr>
                <w:rFonts w:eastAsia="仿宋"/>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 w:type="dxa"/>
            <w:shd w:val="clear" w:color="auto" w:fill="C5E0B3" w:themeFill="accent6" w:themeFillTint="66"/>
            <w:vAlign w:val="center"/>
          </w:tcPr>
          <w:p>
            <w:pPr>
              <w:widowControl/>
              <w:adjustRightInd w:val="0"/>
              <w:spacing w:before="120" w:beforeLines="50" w:after="120" w:afterLines="50" w:line="300" w:lineRule="auto"/>
              <w:jc w:val="center"/>
              <w:rPr>
                <w:rFonts w:eastAsia="仿宋"/>
                <w:sz w:val="18"/>
                <w:szCs w:val="18"/>
              </w:rPr>
            </w:pPr>
            <w:r>
              <w:rPr>
                <w:rFonts w:hint="eastAsia" w:eastAsia="仿宋"/>
                <w:sz w:val="18"/>
                <w:szCs w:val="18"/>
              </w:rPr>
              <w:t>4</w:t>
            </w:r>
          </w:p>
        </w:tc>
        <w:tc>
          <w:tcPr>
            <w:tcW w:w="1547" w:type="dxa"/>
            <w:shd w:val="clear" w:color="auto" w:fill="C5E0B3" w:themeFill="accent6" w:themeFillTint="66"/>
            <w:vAlign w:val="center"/>
          </w:tcPr>
          <w:p>
            <w:pPr>
              <w:widowControl/>
              <w:adjustRightInd w:val="0"/>
              <w:spacing w:before="120" w:beforeLines="50" w:after="120" w:afterLines="50" w:line="300" w:lineRule="auto"/>
              <w:jc w:val="center"/>
              <w:rPr>
                <w:rFonts w:ascii="仿宋" w:hAnsi="仿宋" w:eastAsia="仿宋" w:cs="仿宋"/>
                <w:kern w:val="0"/>
                <w:szCs w:val="21"/>
                <w:lang w:val="zh-CN"/>
              </w:rPr>
            </w:pPr>
            <w:r>
              <w:rPr>
                <w:rFonts w:eastAsia="仿宋"/>
                <w:szCs w:val="21"/>
              </w:rPr>
              <w:t>所投产品检测报告</w:t>
            </w:r>
          </w:p>
        </w:tc>
        <w:tc>
          <w:tcPr>
            <w:tcW w:w="5471" w:type="dxa"/>
            <w:shd w:val="clear" w:color="auto" w:fill="C5E0B3" w:themeFill="accent6" w:themeFillTint="66"/>
            <w:vAlign w:val="center"/>
          </w:tcPr>
          <w:p>
            <w:pPr>
              <w:rPr>
                <w:rFonts w:eastAsia="仿宋"/>
                <w:szCs w:val="21"/>
              </w:rPr>
            </w:pPr>
            <w:r>
              <w:rPr>
                <w:rFonts w:hint="eastAsia" w:eastAsia="仿宋"/>
                <w:szCs w:val="21"/>
              </w:rPr>
              <w:t>供应商提供2</w:t>
            </w:r>
            <w:r>
              <w:rPr>
                <w:rFonts w:eastAsia="仿宋"/>
                <w:szCs w:val="21"/>
              </w:rPr>
              <w:t>020</w:t>
            </w:r>
            <w:r>
              <w:rPr>
                <w:rFonts w:hint="eastAsia" w:eastAsia="仿宋"/>
                <w:szCs w:val="21"/>
              </w:rPr>
              <w:t>年以来的产品检测报告，本项最高得5分。</w:t>
            </w:r>
          </w:p>
          <w:p>
            <w:pPr>
              <w:rPr>
                <w:rFonts w:eastAsia="仿宋"/>
                <w:szCs w:val="21"/>
              </w:rPr>
            </w:pPr>
            <w:r>
              <w:rPr>
                <w:rFonts w:hint="eastAsia" w:eastAsia="仿宋"/>
                <w:szCs w:val="21"/>
              </w:rPr>
              <w:t>供应商需提供所投标段产品的检测报告等复印件并加盖生产企业公章，原件现场备查，否则不得分。</w:t>
            </w:r>
          </w:p>
        </w:tc>
        <w:tc>
          <w:tcPr>
            <w:tcW w:w="709" w:type="dxa"/>
            <w:shd w:val="clear" w:color="auto" w:fill="C5E0B3" w:themeFill="accent6" w:themeFillTint="66"/>
            <w:vAlign w:val="center"/>
          </w:tcPr>
          <w:p>
            <w:pPr>
              <w:snapToGrid w:val="0"/>
              <w:spacing w:before="120" w:beforeLines="50" w:after="120" w:afterLines="50" w:line="300" w:lineRule="auto"/>
              <w:jc w:val="center"/>
              <w:rPr>
                <w:rFonts w:eastAsia="仿宋"/>
                <w:sz w:val="18"/>
                <w:szCs w:val="18"/>
              </w:rPr>
            </w:pPr>
            <w:r>
              <w:rPr>
                <w:rFonts w:hint="eastAsia" w:eastAsia="仿宋"/>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 w:type="dxa"/>
            <w:vAlign w:val="center"/>
          </w:tcPr>
          <w:p>
            <w:pPr>
              <w:widowControl/>
              <w:adjustRightInd w:val="0"/>
              <w:jc w:val="center"/>
              <w:rPr>
                <w:rFonts w:eastAsia="仿宋"/>
                <w:szCs w:val="21"/>
              </w:rPr>
            </w:pPr>
            <w:r>
              <w:rPr>
                <w:rFonts w:hint="eastAsia" w:eastAsia="仿宋"/>
                <w:szCs w:val="21"/>
              </w:rPr>
              <w:t>4</w:t>
            </w:r>
            <w:r>
              <w:rPr>
                <w:rFonts w:eastAsia="仿宋"/>
                <w:szCs w:val="21"/>
              </w:rPr>
              <w:t>.1</w:t>
            </w:r>
          </w:p>
        </w:tc>
        <w:tc>
          <w:tcPr>
            <w:tcW w:w="1547" w:type="dxa"/>
            <w:vAlign w:val="center"/>
          </w:tcPr>
          <w:p>
            <w:pPr>
              <w:snapToGrid w:val="0"/>
              <w:jc w:val="center"/>
              <w:rPr>
                <w:rFonts w:eastAsia="仿宋"/>
                <w:color w:val="000000"/>
                <w:szCs w:val="21"/>
              </w:rPr>
            </w:pPr>
            <w:r>
              <w:rPr>
                <w:rFonts w:hint="eastAsia" w:eastAsia="仿宋"/>
                <w:color w:val="000000"/>
                <w:szCs w:val="21"/>
              </w:rPr>
              <w:t>标段一</w:t>
            </w:r>
          </w:p>
        </w:tc>
        <w:tc>
          <w:tcPr>
            <w:tcW w:w="5471" w:type="dxa"/>
            <w:vAlign w:val="center"/>
          </w:tcPr>
          <w:p>
            <w:pPr>
              <w:snapToGrid w:val="0"/>
              <w:rPr>
                <w:rFonts w:eastAsia="仿宋"/>
                <w:color w:val="000000"/>
                <w:szCs w:val="21"/>
              </w:rPr>
            </w:pPr>
            <w:r>
              <w:rPr>
                <w:rFonts w:hint="eastAsia" w:eastAsia="仿宋"/>
                <w:color w:val="000000"/>
                <w:szCs w:val="21"/>
              </w:rPr>
              <w:t>提供项目需求中</w:t>
            </w:r>
            <w:r>
              <w:rPr>
                <w:rFonts w:eastAsia="仿宋"/>
                <w:color w:val="000000"/>
                <w:szCs w:val="21"/>
              </w:rPr>
              <w:t>①</w:t>
            </w:r>
            <w:r>
              <w:rPr>
                <w:rFonts w:hint="eastAsia" w:eastAsia="仿宋"/>
                <w:color w:val="000000"/>
                <w:szCs w:val="21"/>
              </w:rPr>
              <w:t>大米、</w:t>
            </w:r>
            <w:r>
              <w:rPr>
                <w:rFonts w:eastAsia="仿宋"/>
                <w:color w:val="000000"/>
                <w:szCs w:val="21"/>
              </w:rPr>
              <w:t>②</w:t>
            </w:r>
            <w:r>
              <w:rPr>
                <w:rFonts w:hint="eastAsia" w:eastAsia="仿宋"/>
                <w:color w:val="000000"/>
                <w:szCs w:val="21"/>
              </w:rPr>
              <w:t>面粉的检测报告，有一份得2.5分。本项最高得5分。</w:t>
            </w:r>
          </w:p>
        </w:tc>
        <w:tc>
          <w:tcPr>
            <w:tcW w:w="709" w:type="dxa"/>
            <w:vAlign w:val="center"/>
          </w:tcPr>
          <w:p>
            <w:pPr>
              <w:snapToGrid w:val="0"/>
              <w:spacing w:before="120" w:beforeLines="50" w:after="120" w:afterLines="50" w:line="300" w:lineRule="auto"/>
              <w:jc w:val="center"/>
              <w:rPr>
                <w:rFonts w:eastAsia="仿宋"/>
                <w:color w:val="000000"/>
                <w:szCs w:val="21"/>
              </w:rPr>
            </w:pPr>
            <w:r>
              <w:rPr>
                <w:rFonts w:eastAsia="仿宋"/>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 w:type="dxa"/>
            <w:vAlign w:val="center"/>
          </w:tcPr>
          <w:p>
            <w:pPr>
              <w:widowControl/>
              <w:adjustRightInd w:val="0"/>
              <w:jc w:val="center"/>
              <w:rPr>
                <w:rFonts w:hint="eastAsia" w:eastAsia="仿宋"/>
                <w:szCs w:val="21"/>
                <w:lang w:val="en-US" w:eastAsia="zh-CN"/>
              </w:rPr>
            </w:pPr>
            <w:r>
              <w:rPr>
                <w:rFonts w:hint="eastAsia" w:eastAsia="仿宋"/>
                <w:szCs w:val="21"/>
              </w:rPr>
              <w:t>4</w:t>
            </w:r>
            <w:r>
              <w:rPr>
                <w:rFonts w:eastAsia="仿宋"/>
                <w:szCs w:val="21"/>
              </w:rPr>
              <w:t>.</w:t>
            </w:r>
            <w:r>
              <w:rPr>
                <w:rFonts w:hint="eastAsia" w:eastAsia="仿宋"/>
                <w:szCs w:val="21"/>
                <w:lang w:val="en-US" w:eastAsia="zh-CN"/>
              </w:rPr>
              <w:t>2</w:t>
            </w:r>
          </w:p>
        </w:tc>
        <w:tc>
          <w:tcPr>
            <w:tcW w:w="1547" w:type="dxa"/>
            <w:vAlign w:val="center"/>
          </w:tcPr>
          <w:p>
            <w:pPr>
              <w:widowControl/>
              <w:adjustRightInd w:val="0"/>
              <w:jc w:val="center"/>
              <w:rPr>
                <w:rFonts w:eastAsia="仿宋"/>
                <w:szCs w:val="21"/>
              </w:rPr>
            </w:pPr>
            <w:r>
              <w:rPr>
                <w:rFonts w:hint="eastAsia" w:eastAsia="仿宋"/>
                <w:szCs w:val="21"/>
              </w:rPr>
              <w:t>标段六</w:t>
            </w:r>
          </w:p>
        </w:tc>
        <w:tc>
          <w:tcPr>
            <w:tcW w:w="5471" w:type="dxa"/>
            <w:vAlign w:val="center"/>
          </w:tcPr>
          <w:p>
            <w:pPr>
              <w:snapToGrid w:val="0"/>
              <w:rPr>
                <w:rFonts w:eastAsia="仿宋"/>
                <w:color w:val="000000"/>
                <w:szCs w:val="21"/>
              </w:rPr>
            </w:pPr>
            <w:r>
              <w:rPr>
                <w:rFonts w:hint="eastAsia" w:eastAsia="仿宋"/>
                <w:color w:val="000000"/>
                <w:szCs w:val="21"/>
              </w:rPr>
              <w:t>提供项目需求中水产品（</w:t>
            </w:r>
            <w:r>
              <w:rPr>
                <w:rFonts w:eastAsia="仿宋"/>
                <w:color w:val="000000"/>
                <w:szCs w:val="21"/>
              </w:rPr>
              <w:t>①</w:t>
            </w:r>
            <w:r>
              <w:rPr>
                <w:rFonts w:hint="eastAsia" w:eastAsia="仿宋"/>
                <w:color w:val="000000"/>
                <w:szCs w:val="21"/>
              </w:rPr>
              <w:t>对虾、</w:t>
            </w:r>
            <w:r>
              <w:rPr>
                <w:rFonts w:eastAsia="仿宋"/>
                <w:color w:val="000000"/>
                <w:szCs w:val="21"/>
              </w:rPr>
              <w:t>②</w:t>
            </w:r>
            <w:r>
              <w:rPr>
                <w:rFonts w:hint="eastAsia" w:eastAsia="仿宋"/>
                <w:color w:val="000000"/>
                <w:szCs w:val="21"/>
              </w:rPr>
              <w:t>罗氏虾、</w:t>
            </w:r>
            <w:r>
              <w:rPr>
                <w:rFonts w:eastAsia="仿宋"/>
                <w:color w:val="000000"/>
                <w:szCs w:val="21"/>
              </w:rPr>
              <w:t>③</w:t>
            </w:r>
            <w:r>
              <w:rPr>
                <w:rFonts w:hint="eastAsia" w:eastAsia="仿宋"/>
                <w:color w:val="000000"/>
                <w:szCs w:val="21"/>
              </w:rPr>
              <w:t>小黄鱼、④鲳边鱼、⑤海带等）检测报告，有一份得1分，最多得5分。</w:t>
            </w:r>
          </w:p>
        </w:tc>
        <w:tc>
          <w:tcPr>
            <w:tcW w:w="709" w:type="dxa"/>
            <w:vAlign w:val="center"/>
          </w:tcPr>
          <w:p>
            <w:pPr>
              <w:snapToGrid w:val="0"/>
              <w:spacing w:before="120" w:beforeLines="50" w:after="120" w:afterLines="50" w:line="300" w:lineRule="auto"/>
              <w:jc w:val="center"/>
              <w:rPr>
                <w:rFonts w:eastAsia="仿宋"/>
                <w:szCs w:val="21"/>
              </w:rPr>
            </w:pPr>
            <w:r>
              <w:rPr>
                <w:rFonts w:hint="eastAsia" w:eastAsia="仿宋"/>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 w:type="dxa"/>
            <w:vAlign w:val="center"/>
          </w:tcPr>
          <w:p>
            <w:pPr>
              <w:widowControl/>
              <w:adjustRightInd w:val="0"/>
              <w:jc w:val="center"/>
              <w:rPr>
                <w:rFonts w:hint="eastAsia" w:eastAsia="仿宋"/>
                <w:szCs w:val="21"/>
                <w:lang w:val="en-US" w:eastAsia="zh-CN"/>
              </w:rPr>
            </w:pPr>
            <w:r>
              <w:rPr>
                <w:rFonts w:hint="eastAsia" w:eastAsia="仿宋"/>
                <w:szCs w:val="21"/>
              </w:rPr>
              <w:t>4</w:t>
            </w:r>
            <w:r>
              <w:rPr>
                <w:rFonts w:eastAsia="仿宋"/>
                <w:szCs w:val="21"/>
              </w:rPr>
              <w:t>.</w:t>
            </w:r>
            <w:r>
              <w:rPr>
                <w:rFonts w:hint="eastAsia" w:eastAsia="仿宋"/>
                <w:szCs w:val="21"/>
                <w:lang w:val="en-US" w:eastAsia="zh-CN"/>
              </w:rPr>
              <w:t>3</w:t>
            </w:r>
          </w:p>
        </w:tc>
        <w:tc>
          <w:tcPr>
            <w:tcW w:w="1547" w:type="dxa"/>
            <w:vAlign w:val="center"/>
          </w:tcPr>
          <w:p>
            <w:pPr>
              <w:widowControl/>
              <w:adjustRightInd w:val="0"/>
              <w:jc w:val="center"/>
              <w:rPr>
                <w:rFonts w:eastAsia="仿宋"/>
                <w:szCs w:val="21"/>
              </w:rPr>
            </w:pPr>
            <w:r>
              <w:rPr>
                <w:rFonts w:hint="eastAsia" w:eastAsia="仿宋"/>
                <w:szCs w:val="21"/>
              </w:rPr>
              <w:t>标段八</w:t>
            </w:r>
          </w:p>
        </w:tc>
        <w:tc>
          <w:tcPr>
            <w:tcW w:w="5471" w:type="dxa"/>
            <w:vAlign w:val="center"/>
          </w:tcPr>
          <w:p>
            <w:pPr>
              <w:snapToGrid w:val="0"/>
              <w:rPr>
                <w:rFonts w:eastAsia="仿宋"/>
                <w:color w:val="000000"/>
                <w:szCs w:val="21"/>
              </w:rPr>
            </w:pPr>
            <w:r>
              <w:rPr>
                <w:rFonts w:hint="eastAsia" w:eastAsia="仿宋"/>
                <w:color w:val="000000"/>
                <w:szCs w:val="21"/>
              </w:rPr>
              <w:t>提供项目需求中调味品、干货（</w:t>
            </w:r>
            <w:r>
              <w:rPr>
                <w:rFonts w:eastAsia="仿宋"/>
                <w:color w:val="000000"/>
                <w:szCs w:val="21"/>
              </w:rPr>
              <w:t>①</w:t>
            </w:r>
            <w:r>
              <w:rPr>
                <w:rFonts w:hint="eastAsia" w:eastAsia="仿宋"/>
                <w:color w:val="000000"/>
                <w:szCs w:val="21"/>
              </w:rPr>
              <w:t>味精、</w:t>
            </w:r>
            <w:r>
              <w:rPr>
                <w:rFonts w:eastAsia="仿宋"/>
                <w:color w:val="000000"/>
                <w:szCs w:val="21"/>
              </w:rPr>
              <w:t>②</w:t>
            </w:r>
            <w:r>
              <w:rPr>
                <w:rFonts w:hint="eastAsia" w:eastAsia="仿宋"/>
                <w:color w:val="000000"/>
                <w:szCs w:val="21"/>
              </w:rPr>
              <w:t>绵白糖、</w:t>
            </w:r>
            <w:r>
              <w:rPr>
                <w:rFonts w:eastAsia="仿宋"/>
                <w:color w:val="000000"/>
                <w:szCs w:val="21"/>
              </w:rPr>
              <w:t>③</w:t>
            </w:r>
            <w:r>
              <w:rPr>
                <w:rFonts w:hint="eastAsia" w:eastAsia="仿宋"/>
                <w:color w:val="000000"/>
                <w:szCs w:val="21"/>
              </w:rPr>
              <w:t>酱油、④料洒、⑤黑木耳等）检测报告，有一份得1分。最多得5分</w:t>
            </w:r>
          </w:p>
        </w:tc>
        <w:tc>
          <w:tcPr>
            <w:tcW w:w="709" w:type="dxa"/>
            <w:vAlign w:val="center"/>
          </w:tcPr>
          <w:p>
            <w:pPr>
              <w:snapToGrid w:val="0"/>
              <w:spacing w:before="120" w:beforeLines="50" w:after="120" w:afterLines="50" w:line="300" w:lineRule="auto"/>
              <w:jc w:val="center"/>
              <w:rPr>
                <w:rFonts w:eastAsia="仿宋"/>
                <w:szCs w:val="21"/>
              </w:rPr>
            </w:pPr>
            <w:r>
              <w:rPr>
                <w:rFonts w:hint="eastAsia" w:eastAsia="仿宋"/>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 w:type="dxa"/>
            <w:vAlign w:val="center"/>
          </w:tcPr>
          <w:p>
            <w:pPr>
              <w:widowControl/>
              <w:adjustRightInd w:val="0"/>
              <w:jc w:val="center"/>
              <w:rPr>
                <w:rFonts w:hint="eastAsia" w:eastAsia="仿宋"/>
                <w:szCs w:val="21"/>
                <w:lang w:val="en-US" w:eastAsia="zh-CN"/>
              </w:rPr>
            </w:pPr>
            <w:r>
              <w:rPr>
                <w:rFonts w:hint="eastAsia" w:eastAsia="仿宋"/>
                <w:szCs w:val="21"/>
              </w:rPr>
              <w:t>4</w:t>
            </w:r>
            <w:r>
              <w:rPr>
                <w:rFonts w:eastAsia="仿宋"/>
                <w:szCs w:val="21"/>
              </w:rPr>
              <w:t>.</w:t>
            </w:r>
            <w:r>
              <w:rPr>
                <w:rFonts w:hint="eastAsia" w:eastAsia="仿宋"/>
                <w:szCs w:val="21"/>
                <w:lang w:val="en-US" w:eastAsia="zh-CN"/>
              </w:rPr>
              <w:t>4</w:t>
            </w:r>
          </w:p>
        </w:tc>
        <w:tc>
          <w:tcPr>
            <w:tcW w:w="1547" w:type="dxa"/>
            <w:vAlign w:val="center"/>
          </w:tcPr>
          <w:p>
            <w:pPr>
              <w:widowControl/>
              <w:adjustRightInd w:val="0"/>
              <w:jc w:val="center"/>
              <w:rPr>
                <w:rFonts w:eastAsia="仿宋"/>
                <w:szCs w:val="21"/>
              </w:rPr>
            </w:pPr>
            <w:r>
              <w:rPr>
                <w:rFonts w:hint="eastAsia" w:eastAsia="仿宋"/>
                <w:szCs w:val="21"/>
              </w:rPr>
              <w:t>标段九</w:t>
            </w:r>
          </w:p>
        </w:tc>
        <w:tc>
          <w:tcPr>
            <w:tcW w:w="5471" w:type="dxa"/>
            <w:vAlign w:val="center"/>
          </w:tcPr>
          <w:p>
            <w:pPr>
              <w:snapToGrid w:val="0"/>
              <w:rPr>
                <w:rFonts w:eastAsia="仿宋"/>
                <w:color w:val="000000"/>
                <w:szCs w:val="21"/>
              </w:rPr>
            </w:pPr>
            <w:r>
              <w:rPr>
                <w:rFonts w:hint="eastAsia" w:eastAsia="仿宋"/>
                <w:color w:val="000000"/>
                <w:szCs w:val="21"/>
              </w:rPr>
              <w:t>提供项目需求中豆制品产品检测报告（</w:t>
            </w:r>
            <w:r>
              <w:rPr>
                <w:rFonts w:eastAsia="仿宋"/>
                <w:color w:val="000000"/>
                <w:szCs w:val="21"/>
              </w:rPr>
              <w:t>①</w:t>
            </w:r>
            <w:r>
              <w:rPr>
                <w:rFonts w:hint="eastAsia" w:eastAsia="仿宋"/>
                <w:color w:val="000000"/>
                <w:szCs w:val="21"/>
              </w:rPr>
              <w:t>腐类、</w:t>
            </w:r>
            <w:r>
              <w:rPr>
                <w:rFonts w:eastAsia="仿宋"/>
                <w:color w:val="000000"/>
                <w:szCs w:val="21"/>
              </w:rPr>
              <w:t>②</w:t>
            </w:r>
            <w:r>
              <w:rPr>
                <w:rFonts w:hint="eastAsia" w:eastAsia="仿宋"/>
                <w:color w:val="000000"/>
                <w:szCs w:val="21"/>
              </w:rPr>
              <w:t>百叶类、</w:t>
            </w:r>
            <w:r>
              <w:rPr>
                <w:rFonts w:eastAsia="仿宋"/>
                <w:color w:val="000000"/>
                <w:szCs w:val="21"/>
              </w:rPr>
              <w:t>③</w:t>
            </w:r>
            <w:r>
              <w:rPr>
                <w:rFonts w:hint="eastAsia" w:eastAsia="仿宋"/>
                <w:color w:val="000000"/>
                <w:szCs w:val="21"/>
              </w:rPr>
              <w:t>茶干类、④粉皮类）各一份，全部提供得满分5分，缺一项扣2分，扣完为止。</w:t>
            </w:r>
          </w:p>
        </w:tc>
        <w:tc>
          <w:tcPr>
            <w:tcW w:w="709" w:type="dxa"/>
            <w:vAlign w:val="center"/>
          </w:tcPr>
          <w:p>
            <w:pPr>
              <w:snapToGrid w:val="0"/>
              <w:spacing w:before="120" w:beforeLines="50" w:after="120" w:afterLines="50" w:line="300" w:lineRule="auto"/>
              <w:jc w:val="center"/>
              <w:rPr>
                <w:rFonts w:eastAsia="仿宋"/>
                <w:szCs w:val="21"/>
              </w:rPr>
            </w:pPr>
            <w:r>
              <w:rPr>
                <w:rFonts w:hint="eastAsia" w:eastAsia="仿宋"/>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 w:type="dxa"/>
            <w:vAlign w:val="center"/>
          </w:tcPr>
          <w:p>
            <w:pPr>
              <w:widowControl/>
              <w:adjustRightInd w:val="0"/>
              <w:jc w:val="center"/>
              <w:rPr>
                <w:rFonts w:hint="eastAsia" w:eastAsia="仿宋"/>
                <w:szCs w:val="21"/>
                <w:lang w:val="en-US" w:eastAsia="zh-CN"/>
              </w:rPr>
            </w:pPr>
            <w:r>
              <w:rPr>
                <w:rFonts w:hint="eastAsia" w:eastAsia="仿宋"/>
                <w:szCs w:val="21"/>
              </w:rPr>
              <w:t>4</w:t>
            </w:r>
            <w:r>
              <w:rPr>
                <w:rFonts w:eastAsia="仿宋"/>
                <w:szCs w:val="21"/>
              </w:rPr>
              <w:t>.</w:t>
            </w:r>
            <w:r>
              <w:rPr>
                <w:rFonts w:hint="eastAsia" w:eastAsia="仿宋"/>
                <w:szCs w:val="21"/>
                <w:lang w:val="en-US" w:eastAsia="zh-CN"/>
              </w:rPr>
              <w:t>5</w:t>
            </w:r>
          </w:p>
        </w:tc>
        <w:tc>
          <w:tcPr>
            <w:tcW w:w="1547" w:type="dxa"/>
            <w:vAlign w:val="center"/>
          </w:tcPr>
          <w:p>
            <w:pPr>
              <w:snapToGrid w:val="0"/>
              <w:jc w:val="center"/>
              <w:rPr>
                <w:rFonts w:eastAsia="仿宋"/>
                <w:color w:val="000000"/>
                <w:szCs w:val="21"/>
              </w:rPr>
            </w:pPr>
            <w:r>
              <w:rPr>
                <w:rFonts w:hint="eastAsia" w:eastAsia="仿宋"/>
                <w:color w:val="000000"/>
                <w:szCs w:val="21"/>
              </w:rPr>
              <w:t>标段十一</w:t>
            </w:r>
          </w:p>
        </w:tc>
        <w:tc>
          <w:tcPr>
            <w:tcW w:w="5471" w:type="dxa"/>
            <w:vAlign w:val="center"/>
          </w:tcPr>
          <w:p>
            <w:pPr>
              <w:snapToGrid w:val="0"/>
              <w:rPr>
                <w:rFonts w:eastAsia="仿宋"/>
                <w:color w:val="000000"/>
                <w:szCs w:val="21"/>
              </w:rPr>
            </w:pPr>
            <w:r>
              <w:rPr>
                <w:rFonts w:hint="eastAsia" w:eastAsia="仿宋"/>
                <w:color w:val="000000"/>
                <w:szCs w:val="21"/>
              </w:rPr>
              <w:t>提供①饮品、②点心类相关检测报告，每提供一类得2.5分，满分5分，不提供不得分。</w:t>
            </w:r>
          </w:p>
        </w:tc>
        <w:tc>
          <w:tcPr>
            <w:tcW w:w="709" w:type="dxa"/>
            <w:vAlign w:val="center"/>
          </w:tcPr>
          <w:p>
            <w:pPr>
              <w:snapToGrid w:val="0"/>
              <w:spacing w:before="120" w:beforeLines="50" w:after="120" w:afterLines="50" w:line="300" w:lineRule="auto"/>
              <w:jc w:val="center"/>
              <w:rPr>
                <w:rFonts w:eastAsia="仿宋"/>
                <w:szCs w:val="21"/>
              </w:rPr>
            </w:pPr>
            <w:r>
              <w:rPr>
                <w:rFonts w:hint="eastAsia" w:eastAsia="仿宋"/>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1062" w:type="dxa"/>
            <w:tcBorders>
              <w:top w:val="single" w:color="auto" w:sz="4" w:space="0"/>
              <w:left w:val="single" w:color="auto" w:sz="4" w:space="0"/>
              <w:bottom w:val="single" w:color="auto" w:sz="4" w:space="0"/>
              <w:right w:val="single" w:color="auto" w:sz="4" w:space="0"/>
            </w:tcBorders>
            <w:shd w:val="clear" w:color="auto" w:fill="C5E0B3" w:themeFill="accent6" w:themeFillTint="66"/>
            <w:vAlign w:val="center"/>
          </w:tcPr>
          <w:p>
            <w:pPr>
              <w:widowControl/>
              <w:adjustRightInd w:val="0"/>
              <w:spacing w:before="120" w:beforeLines="50" w:after="120" w:afterLines="50" w:line="300" w:lineRule="auto"/>
              <w:jc w:val="center"/>
              <w:rPr>
                <w:rFonts w:eastAsia="仿宋"/>
                <w:szCs w:val="21"/>
              </w:rPr>
            </w:pPr>
            <w:r>
              <w:rPr>
                <w:rFonts w:hint="eastAsia" w:eastAsia="仿宋"/>
                <w:szCs w:val="21"/>
              </w:rPr>
              <w:t>5</w:t>
            </w:r>
          </w:p>
        </w:tc>
        <w:tc>
          <w:tcPr>
            <w:tcW w:w="1547" w:type="dxa"/>
            <w:tcBorders>
              <w:top w:val="single" w:color="auto" w:sz="4" w:space="0"/>
              <w:left w:val="single" w:color="auto" w:sz="4" w:space="0"/>
              <w:bottom w:val="single" w:color="auto" w:sz="4" w:space="0"/>
              <w:right w:val="single" w:color="auto" w:sz="4" w:space="0"/>
            </w:tcBorders>
            <w:shd w:val="clear" w:color="auto" w:fill="C5E0B3" w:themeFill="accent6" w:themeFillTint="66"/>
            <w:vAlign w:val="center"/>
          </w:tcPr>
          <w:p>
            <w:pPr>
              <w:snapToGrid w:val="0"/>
              <w:rPr>
                <w:rFonts w:eastAsia="仿宋"/>
                <w:color w:val="000000"/>
                <w:szCs w:val="21"/>
              </w:rPr>
            </w:pPr>
            <w:r>
              <w:rPr>
                <w:rFonts w:hint="eastAsia" w:eastAsia="仿宋"/>
                <w:color w:val="000000"/>
                <w:szCs w:val="21"/>
              </w:rPr>
              <w:t>项目实施服务响应方案</w:t>
            </w:r>
          </w:p>
        </w:tc>
        <w:tc>
          <w:tcPr>
            <w:tcW w:w="5471" w:type="dxa"/>
            <w:tcBorders>
              <w:top w:val="single" w:color="auto" w:sz="4" w:space="0"/>
              <w:left w:val="single" w:color="auto" w:sz="4" w:space="0"/>
              <w:bottom w:val="single" w:color="auto" w:sz="4" w:space="0"/>
              <w:right w:val="single" w:color="auto" w:sz="4" w:space="0"/>
            </w:tcBorders>
            <w:shd w:val="clear" w:color="auto" w:fill="C5E0B3" w:themeFill="accent6" w:themeFillTint="66"/>
            <w:vAlign w:val="center"/>
          </w:tcPr>
          <w:p>
            <w:pPr>
              <w:snapToGrid w:val="0"/>
              <w:rPr>
                <w:rFonts w:eastAsia="仿宋"/>
                <w:color w:val="000000"/>
                <w:szCs w:val="21"/>
              </w:rPr>
            </w:pPr>
            <w:r>
              <w:rPr>
                <w:rFonts w:hint="eastAsia" w:eastAsia="仿宋"/>
                <w:color w:val="000000"/>
                <w:szCs w:val="21"/>
              </w:rPr>
              <w:t>评委根据供应商所提供的各项项目实施服务响应方案及保障措施方案的完整性、科学合理性、可操作性、措施完善性等方面进行综合评定，并横向对比打分。</w:t>
            </w:r>
          </w:p>
        </w:tc>
        <w:tc>
          <w:tcPr>
            <w:tcW w:w="709" w:type="dxa"/>
            <w:tcBorders>
              <w:top w:val="single" w:color="auto" w:sz="4" w:space="0"/>
              <w:left w:val="single" w:color="auto" w:sz="4" w:space="0"/>
              <w:bottom w:val="single" w:color="auto" w:sz="4" w:space="0"/>
              <w:right w:val="single" w:color="auto" w:sz="4" w:space="0"/>
            </w:tcBorders>
            <w:shd w:val="clear" w:color="auto" w:fill="C5E0B3" w:themeFill="accent6" w:themeFillTint="66"/>
            <w:vAlign w:val="center"/>
          </w:tcPr>
          <w:p>
            <w:pPr>
              <w:snapToGrid w:val="0"/>
              <w:spacing w:before="120" w:beforeLines="50" w:after="120" w:afterLines="50" w:line="300" w:lineRule="auto"/>
              <w:jc w:val="center"/>
              <w:rPr>
                <w:rFonts w:eastAsia="仿宋"/>
                <w:szCs w:val="21"/>
              </w:rPr>
            </w:pPr>
            <w:r>
              <w:rPr>
                <w:rFonts w:hint="eastAsia" w:eastAsia="仿宋"/>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062" w:type="dxa"/>
            <w:tcBorders>
              <w:top w:val="single" w:color="auto" w:sz="4" w:space="0"/>
              <w:left w:val="single" w:color="auto" w:sz="4" w:space="0"/>
              <w:bottom w:val="single" w:color="auto" w:sz="4" w:space="0"/>
              <w:right w:val="single" w:color="auto" w:sz="4" w:space="0"/>
            </w:tcBorders>
            <w:vAlign w:val="center"/>
          </w:tcPr>
          <w:p>
            <w:pPr>
              <w:widowControl/>
              <w:adjustRightInd w:val="0"/>
              <w:spacing w:before="120" w:beforeLines="50" w:after="120" w:afterLines="50" w:line="300" w:lineRule="auto"/>
              <w:jc w:val="center"/>
              <w:rPr>
                <w:rFonts w:eastAsia="仿宋"/>
                <w:szCs w:val="21"/>
              </w:rPr>
            </w:pPr>
            <w:r>
              <w:rPr>
                <w:rFonts w:hint="eastAsia" w:eastAsia="仿宋"/>
                <w:szCs w:val="21"/>
              </w:rPr>
              <w:t>5</w:t>
            </w:r>
            <w:r>
              <w:rPr>
                <w:rFonts w:eastAsia="仿宋"/>
                <w:szCs w:val="21"/>
              </w:rPr>
              <w:t>.1</w:t>
            </w:r>
          </w:p>
        </w:tc>
        <w:tc>
          <w:tcPr>
            <w:tcW w:w="1547" w:type="dxa"/>
            <w:tcBorders>
              <w:top w:val="single" w:color="auto" w:sz="4" w:space="0"/>
              <w:left w:val="single" w:color="auto" w:sz="4" w:space="0"/>
              <w:bottom w:val="single" w:color="auto" w:sz="4" w:space="0"/>
              <w:right w:val="single" w:color="auto" w:sz="4" w:space="0"/>
            </w:tcBorders>
            <w:vAlign w:val="center"/>
          </w:tcPr>
          <w:p>
            <w:pPr>
              <w:widowControl/>
              <w:adjustRightInd w:val="0"/>
              <w:spacing w:before="120" w:beforeLines="50" w:after="120" w:afterLines="50" w:line="300" w:lineRule="auto"/>
              <w:jc w:val="center"/>
              <w:rPr>
                <w:rFonts w:eastAsia="仿宋"/>
                <w:szCs w:val="21"/>
              </w:rPr>
            </w:pPr>
            <w:r>
              <w:rPr>
                <w:rFonts w:hint="eastAsia" w:eastAsia="仿宋"/>
                <w:szCs w:val="21"/>
              </w:rPr>
              <w:t>措施（一）</w:t>
            </w:r>
          </w:p>
        </w:tc>
        <w:tc>
          <w:tcPr>
            <w:tcW w:w="5471" w:type="dxa"/>
            <w:tcBorders>
              <w:top w:val="single" w:color="auto" w:sz="4" w:space="0"/>
              <w:left w:val="single" w:color="auto" w:sz="4" w:space="0"/>
              <w:bottom w:val="single" w:color="auto" w:sz="4" w:space="0"/>
              <w:right w:val="single" w:color="auto" w:sz="4" w:space="0"/>
            </w:tcBorders>
            <w:vAlign w:val="center"/>
          </w:tcPr>
          <w:p>
            <w:pPr>
              <w:snapToGrid w:val="0"/>
              <w:rPr>
                <w:rFonts w:eastAsia="仿宋"/>
                <w:bCs/>
                <w:color w:val="000000"/>
                <w:szCs w:val="21"/>
              </w:rPr>
            </w:pPr>
            <w:r>
              <w:rPr>
                <w:rFonts w:hint="eastAsia" w:eastAsia="仿宋"/>
                <w:bCs/>
                <w:color w:val="000000"/>
                <w:szCs w:val="21"/>
              </w:rPr>
              <w:t>供应商提供以下材料：</w:t>
            </w:r>
          </w:p>
          <w:p>
            <w:pPr>
              <w:snapToGrid w:val="0"/>
              <w:rPr>
                <w:rFonts w:eastAsia="仿宋"/>
                <w:bCs/>
                <w:color w:val="000000"/>
                <w:szCs w:val="21"/>
              </w:rPr>
            </w:pPr>
            <w:r>
              <w:rPr>
                <w:rFonts w:hint="eastAsia" w:eastAsia="仿宋"/>
                <w:bCs/>
                <w:color w:val="000000"/>
                <w:szCs w:val="21"/>
              </w:rPr>
              <w:t>1、供应商内部管理制度（至少包括以下方面：食材卫生安全保障制度、食品质量安全措施、配送业务操作流程规范制度、公司内部考核制度、服务质量监督制度等），优得5-</w:t>
            </w:r>
            <w:r>
              <w:rPr>
                <w:rFonts w:eastAsia="仿宋"/>
                <w:bCs/>
                <w:color w:val="000000"/>
                <w:szCs w:val="21"/>
              </w:rPr>
              <w:t>4</w:t>
            </w:r>
            <w:r>
              <w:rPr>
                <w:rFonts w:hint="eastAsia" w:eastAsia="仿宋"/>
                <w:bCs/>
                <w:color w:val="000000"/>
                <w:szCs w:val="21"/>
              </w:rPr>
              <w:t>分，良得3-</w:t>
            </w:r>
            <w:r>
              <w:rPr>
                <w:rFonts w:eastAsia="仿宋"/>
                <w:bCs/>
                <w:color w:val="000000"/>
                <w:szCs w:val="21"/>
              </w:rPr>
              <w:t>2</w:t>
            </w:r>
            <w:r>
              <w:rPr>
                <w:rFonts w:hint="eastAsia" w:eastAsia="仿宋"/>
                <w:bCs/>
                <w:color w:val="000000"/>
                <w:szCs w:val="21"/>
              </w:rPr>
              <w:t>分，一般得1-</w:t>
            </w:r>
            <w:r>
              <w:rPr>
                <w:rFonts w:eastAsia="仿宋"/>
                <w:bCs/>
                <w:color w:val="000000"/>
                <w:szCs w:val="21"/>
              </w:rPr>
              <w:t>0</w:t>
            </w:r>
            <w:r>
              <w:rPr>
                <w:rFonts w:hint="eastAsia" w:eastAsia="仿宋"/>
                <w:bCs/>
                <w:color w:val="000000"/>
                <w:szCs w:val="21"/>
              </w:rPr>
              <w:t>分，不提供不得分。</w:t>
            </w:r>
          </w:p>
          <w:p>
            <w:pPr>
              <w:snapToGrid w:val="0"/>
              <w:rPr>
                <w:rFonts w:eastAsia="仿宋"/>
                <w:bCs/>
                <w:color w:val="000000"/>
                <w:szCs w:val="21"/>
              </w:rPr>
            </w:pPr>
            <w:r>
              <w:rPr>
                <w:rFonts w:hint="eastAsia" w:eastAsia="仿宋"/>
                <w:bCs/>
                <w:color w:val="000000"/>
                <w:szCs w:val="21"/>
              </w:rPr>
              <w:t>2、原辅料配送服务方案（至少包括以下方面：原辅料货源及供应保障措施、原辅料溯源保障措施、原辅料质量保证措施、原辅料价格达到承诺市场价下浮率的价格保障措施、原辅料市场价格出现剧烈波动保障措施、原辅料配送人员安排车辆安排保障措施、原辅料安全仓储措施等）</w:t>
            </w:r>
          </w:p>
          <w:p>
            <w:pPr>
              <w:snapToGrid w:val="0"/>
              <w:rPr>
                <w:rFonts w:eastAsia="仿宋"/>
                <w:bCs/>
                <w:color w:val="000000"/>
                <w:szCs w:val="21"/>
              </w:rPr>
            </w:pPr>
            <w:r>
              <w:rPr>
                <w:rFonts w:hint="eastAsia" w:eastAsia="仿宋"/>
                <w:bCs/>
                <w:color w:val="000000"/>
                <w:szCs w:val="21"/>
              </w:rPr>
              <w:t>优得7-5分，良得4-</w:t>
            </w:r>
            <w:r>
              <w:rPr>
                <w:rFonts w:eastAsia="仿宋"/>
                <w:bCs/>
                <w:color w:val="000000"/>
                <w:szCs w:val="21"/>
              </w:rPr>
              <w:t>2</w:t>
            </w:r>
            <w:r>
              <w:rPr>
                <w:rFonts w:hint="eastAsia" w:eastAsia="仿宋"/>
                <w:bCs/>
                <w:color w:val="000000"/>
                <w:szCs w:val="21"/>
              </w:rPr>
              <w:t>分，一般得1-</w:t>
            </w:r>
            <w:r>
              <w:rPr>
                <w:rFonts w:eastAsia="仿宋"/>
                <w:bCs/>
                <w:color w:val="000000"/>
                <w:szCs w:val="21"/>
              </w:rPr>
              <w:t>0</w:t>
            </w:r>
            <w:r>
              <w:rPr>
                <w:rFonts w:hint="eastAsia" w:eastAsia="仿宋"/>
                <w:bCs/>
                <w:color w:val="000000"/>
                <w:szCs w:val="21"/>
              </w:rPr>
              <w:t>分，不提供不得分。</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line="300" w:lineRule="auto"/>
              <w:jc w:val="center"/>
              <w:rPr>
                <w:rFonts w:eastAsia="仿宋"/>
                <w:szCs w:val="21"/>
              </w:rPr>
            </w:pPr>
            <w:r>
              <w:rPr>
                <w:rFonts w:hint="eastAsia" w:eastAsia="仿宋"/>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062" w:type="dxa"/>
            <w:tcBorders>
              <w:top w:val="single" w:color="auto" w:sz="4" w:space="0"/>
              <w:left w:val="single" w:color="auto" w:sz="4" w:space="0"/>
              <w:bottom w:val="single" w:color="auto" w:sz="4" w:space="0"/>
              <w:right w:val="single" w:color="auto" w:sz="4" w:space="0"/>
            </w:tcBorders>
            <w:vAlign w:val="center"/>
          </w:tcPr>
          <w:p>
            <w:pPr>
              <w:widowControl/>
              <w:adjustRightInd w:val="0"/>
              <w:spacing w:before="120" w:beforeLines="50" w:after="120" w:afterLines="50" w:line="300" w:lineRule="auto"/>
              <w:jc w:val="center"/>
              <w:rPr>
                <w:rFonts w:eastAsia="仿宋"/>
                <w:szCs w:val="21"/>
              </w:rPr>
            </w:pPr>
            <w:r>
              <w:rPr>
                <w:rFonts w:hint="eastAsia" w:eastAsia="仿宋"/>
                <w:szCs w:val="21"/>
              </w:rPr>
              <w:t>5</w:t>
            </w:r>
            <w:r>
              <w:rPr>
                <w:rFonts w:eastAsia="仿宋"/>
                <w:szCs w:val="21"/>
              </w:rPr>
              <w:t>.2</w:t>
            </w:r>
          </w:p>
        </w:tc>
        <w:tc>
          <w:tcPr>
            <w:tcW w:w="1547" w:type="dxa"/>
            <w:tcBorders>
              <w:top w:val="single" w:color="auto" w:sz="4" w:space="0"/>
              <w:left w:val="single" w:color="auto" w:sz="4" w:space="0"/>
              <w:bottom w:val="single" w:color="auto" w:sz="4" w:space="0"/>
              <w:right w:val="single" w:color="auto" w:sz="4" w:space="0"/>
            </w:tcBorders>
            <w:vAlign w:val="center"/>
          </w:tcPr>
          <w:p>
            <w:pPr>
              <w:widowControl/>
              <w:adjustRightInd w:val="0"/>
              <w:spacing w:before="120" w:beforeLines="50" w:after="120" w:afterLines="50" w:line="300" w:lineRule="auto"/>
              <w:jc w:val="center"/>
              <w:rPr>
                <w:rFonts w:eastAsia="仿宋"/>
                <w:szCs w:val="21"/>
              </w:rPr>
            </w:pPr>
            <w:r>
              <w:rPr>
                <w:rFonts w:hint="eastAsia" w:eastAsia="仿宋"/>
                <w:szCs w:val="21"/>
              </w:rPr>
              <w:t>措施（二）</w:t>
            </w:r>
          </w:p>
        </w:tc>
        <w:tc>
          <w:tcPr>
            <w:tcW w:w="5471" w:type="dxa"/>
            <w:tcBorders>
              <w:top w:val="single" w:color="auto" w:sz="4" w:space="0"/>
              <w:left w:val="single" w:color="auto" w:sz="4" w:space="0"/>
              <w:bottom w:val="single" w:color="auto" w:sz="4" w:space="0"/>
              <w:right w:val="single" w:color="auto" w:sz="4" w:space="0"/>
            </w:tcBorders>
            <w:vAlign w:val="center"/>
          </w:tcPr>
          <w:p>
            <w:pPr>
              <w:snapToGrid w:val="0"/>
              <w:rPr>
                <w:rFonts w:eastAsia="仿宋"/>
                <w:bCs/>
                <w:color w:val="000000"/>
                <w:szCs w:val="21"/>
              </w:rPr>
            </w:pPr>
            <w:r>
              <w:rPr>
                <w:rFonts w:hint="eastAsia" w:eastAsia="仿宋"/>
                <w:bCs/>
                <w:color w:val="000000"/>
                <w:szCs w:val="21"/>
              </w:rPr>
              <w:t>供应商提供配送应急预案（至少包括：恶劣天气应急预案、配送途中突发事件应急预案、零星紧急采购等突发情况应急预案、原辅料市场价格剧烈波动应急预案、出现动物疫情应急预案等）</w:t>
            </w:r>
          </w:p>
          <w:p>
            <w:pPr>
              <w:snapToGrid w:val="0"/>
              <w:rPr>
                <w:rFonts w:eastAsia="仿宋"/>
                <w:bCs/>
                <w:color w:val="000000"/>
                <w:szCs w:val="21"/>
              </w:rPr>
            </w:pPr>
            <w:r>
              <w:rPr>
                <w:rFonts w:hint="eastAsia" w:eastAsia="仿宋"/>
                <w:bCs/>
                <w:color w:val="000000"/>
                <w:szCs w:val="21"/>
              </w:rPr>
              <w:t>评委就所提供的方案的内容完善性、科学合理性、可操作性、针对性进行综合评定，并横向对比打分</w:t>
            </w:r>
          </w:p>
          <w:p>
            <w:pPr>
              <w:snapToGrid w:val="0"/>
              <w:rPr>
                <w:rFonts w:eastAsia="仿宋"/>
                <w:bCs/>
                <w:color w:val="000000"/>
                <w:szCs w:val="21"/>
              </w:rPr>
            </w:pPr>
            <w:r>
              <w:rPr>
                <w:rFonts w:hint="eastAsia" w:eastAsia="仿宋"/>
                <w:bCs/>
                <w:color w:val="000000"/>
                <w:szCs w:val="21"/>
              </w:rPr>
              <w:t>优得5-</w:t>
            </w:r>
            <w:r>
              <w:rPr>
                <w:rFonts w:eastAsia="仿宋"/>
                <w:bCs/>
                <w:color w:val="000000"/>
                <w:szCs w:val="21"/>
              </w:rPr>
              <w:t>4</w:t>
            </w:r>
            <w:r>
              <w:rPr>
                <w:rFonts w:hint="eastAsia" w:eastAsia="仿宋"/>
                <w:bCs/>
                <w:color w:val="000000"/>
                <w:szCs w:val="21"/>
              </w:rPr>
              <w:t>分，良得3-</w:t>
            </w:r>
            <w:r>
              <w:rPr>
                <w:rFonts w:eastAsia="仿宋"/>
                <w:bCs/>
                <w:color w:val="000000"/>
                <w:szCs w:val="21"/>
              </w:rPr>
              <w:t>2</w:t>
            </w:r>
            <w:r>
              <w:rPr>
                <w:rFonts w:hint="eastAsia" w:eastAsia="仿宋"/>
                <w:bCs/>
                <w:color w:val="000000"/>
                <w:szCs w:val="21"/>
              </w:rPr>
              <w:t>分，一般得1-</w:t>
            </w:r>
            <w:r>
              <w:rPr>
                <w:rFonts w:eastAsia="仿宋"/>
                <w:bCs/>
                <w:color w:val="000000"/>
                <w:szCs w:val="21"/>
              </w:rPr>
              <w:t>0</w:t>
            </w:r>
            <w:r>
              <w:rPr>
                <w:rFonts w:hint="eastAsia" w:eastAsia="仿宋"/>
                <w:bCs/>
                <w:color w:val="000000"/>
                <w:szCs w:val="21"/>
              </w:rPr>
              <w:t>分，不提供不得分。</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line="300" w:lineRule="auto"/>
              <w:jc w:val="center"/>
              <w:rPr>
                <w:rFonts w:eastAsia="仿宋"/>
                <w:szCs w:val="21"/>
              </w:rPr>
            </w:pPr>
            <w:r>
              <w:rPr>
                <w:rFonts w:hint="eastAsia" w:eastAsia="仿宋"/>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62" w:type="dxa"/>
            <w:tcBorders>
              <w:top w:val="single" w:color="auto" w:sz="4" w:space="0"/>
              <w:left w:val="single" w:color="auto" w:sz="4" w:space="0"/>
              <w:bottom w:val="single" w:color="auto" w:sz="4" w:space="0"/>
              <w:right w:val="single" w:color="auto" w:sz="4" w:space="0"/>
            </w:tcBorders>
            <w:vAlign w:val="center"/>
          </w:tcPr>
          <w:p>
            <w:pPr>
              <w:widowControl/>
              <w:adjustRightInd w:val="0"/>
              <w:spacing w:before="120" w:beforeLines="50" w:after="120" w:afterLines="50" w:line="300" w:lineRule="auto"/>
              <w:jc w:val="center"/>
              <w:rPr>
                <w:rFonts w:eastAsia="仿宋"/>
                <w:szCs w:val="21"/>
              </w:rPr>
            </w:pPr>
            <w:r>
              <w:rPr>
                <w:rFonts w:hint="eastAsia" w:eastAsia="仿宋"/>
                <w:szCs w:val="21"/>
              </w:rPr>
              <w:t>5</w:t>
            </w:r>
            <w:r>
              <w:rPr>
                <w:rFonts w:eastAsia="仿宋"/>
                <w:szCs w:val="21"/>
              </w:rPr>
              <w:t>.3</w:t>
            </w:r>
          </w:p>
        </w:tc>
        <w:tc>
          <w:tcPr>
            <w:tcW w:w="1547" w:type="dxa"/>
            <w:tcBorders>
              <w:top w:val="single" w:color="auto" w:sz="4" w:space="0"/>
              <w:left w:val="single" w:color="auto" w:sz="4" w:space="0"/>
              <w:bottom w:val="single" w:color="auto" w:sz="4" w:space="0"/>
              <w:right w:val="single" w:color="auto" w:sz="4" w:space="0"/>
            </w:tcBorders>
            <w:vAlign w:val="center"/>
          </w:tcPr>
          <w:p>
            <w:pPr>
              <w:widowControl/>
              <w:adjustRightInd w:val="0"/>
              <w:spacing w:before="120" w:beforeLines="50" w:after="120" w:afterLines="50" w:line="300" w:lineRule="auto"/>
              <w:jc w:val="center"/>
              <w:rPr>
                <w:rFonts w:eastAsia="仿宋"/>
                <w:szCs w:val="21"/>
              </w:rPr>
            </w:pPr>
            <w:r>
              <w:rPr>
                <w:rFonts w:hint="eastAsia" w:eastAsia="仿宋"/>
                <w:szCs w:val="21"/>
              </w:rPr>
              <w:t>措施（三）</w:t>
            </w:r>
          </w:p>
        </w:tc>
        <w:tc>
          <w:tcPr>
            <w:tcW w:w="5471" w:type="dxa"/>
            <w:tcBorders>
              <w:top w:val="single" w:color="auto" w:sz="4" w:space="0"/>
              <w:left w:val="single" w:color="auto" w:sz="4" w:space="0"/>
              <w:bottom w:val="single" w:color="auto" w:sz="4" w:space="0"/>
              <w:right w:val="single" w:color="auto" w:sz="4" w:space="0"/>
            </w:tcBorders>
            <w:vAlign w:val="center"/>
          </w:tcPr>
          <w:p>
            <w:pPr>
              <w:snapToGrid w:val="0"/>
              <w:rPr>
                <w:rFonts w:eastAsia="仿宋"/>
                <w:bCs/>
                <w:color w:val="000000"/>
                <w:szCs w:val="21"/>
              </w:rPr>
            </w:pPr>
            <w:r>
              <w:rPr>
                <w:rFonts w:hint="eastAsia" w:eastAsia="仿宋"/>
                <w:bCs/>
                <w:color w:val="000000"/>
                <w:szCs w:val="21"/>
              </w:rPr>
              <w:t>提供各项承诺（至少包括：送货质量及技术指标不得低于国家标准各项指标、</w:t>
            </w:r>
            <w:r>
              <w:rPr>
                <w:rFonts w:eastAsia="仿宋"/>
                <w:color w:val="000000"/>
                <w:szCs w:val="21"/>
              </w:rPr>
              <w:t>优质服务承诺</w:t>
            </w:r>
            <w:r>
              <w:rPr>
                <w:rFonts w:hint="eastAsia" w:eastAsia="仿宋"/>
                <w:color w:val="000000"/>
                <w:szCs w:val="21"/>
              </w:rPr>
              <w:t>、不得因各种主客观理由拒绝或选择性供货的承诺等）</w:t>
            </w:r>
          </w:p>
          <w:p>
            <w:pPr>
              <w:snapToGrid w:val="0"/>
              <w:rPr>
                <w:rFonts w:eastAsia="仿宋"/>
                <w:bCs/>
                <w:color w:val="000000"/>
                <w:szCs w:val="21"/>
              </w:rPr>
            </w:pPr>
            <w:r>
              <w:rPr>
                <w:rFonts w:hint="eastAsia" w:eastAsia="仿宋"/>
                <w:bCs/>
                <w:color w:val="000000"/>
                <w:szCs w:val="21"/>
              </w:rPr>
              <w:t>提供完整的各项承诺的得3分，选择性提供或不提供承诺不得分。</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line="300" w:lineRule="auto"/>
              <w:jc w:val="center"/>
              <w:rPr>
                <w:rFonts w:eastAsia="仿宋"/>
                <w:szCs w:val="21"/>
              </w:rPr>
            </w:pPr>
            <w:r>
              <w:rPr>
                <w:rFonts w:hint="eastAsia" w:eastAsia="仿宋"/>
                <w:szCs w:val="21"/>
              </w:rPr>
              <w:t>3</w:t>
            </w:r>
          </w:p>
        </w:tc>
      </w:tr>
    </w:tbl>
    <w:p>
      <w:pPr>
        <w:snapToGrid w:val="0"/>
        <w:spacing w:before="120" w:beforeLines="50" w:after="120" w:afterLines="50" w:line="300" w:lineRule="auto"/>
        <w:ind w:firstLine="482" w:firstLineChars="200"/>
        <w:outlineLvl w:val="1"/>
        <w:rPr>
          <w:rFonts w:ascii="宋体" w:hAnsi="宋体" w:cs="宋体"/>
          <w:b/>
          <w:sz w:val="24"/>
          <w:szCs w:val="24"/>
        </w:rPr>
      </w:pPr>
      <w:r>
        <w:rPr>
          <w:rFonts w:hint="eastAsia" w:ascii="宋体" w:hAnsi="宋体" w:cs="宋体"/>
          <w:b/>
          <w:sz w:val="24"/>
          <w:szCs w:val="24"/>
        </w:rPr>
        <w:t>（二）商务响应文件评分（</w:t>
      </w:r>
      <w:r>
        <w:rPr>
          <w:rFonts w:hint="eastAsia" w:ascii="宋体" w:hAnsi="宋体" w:cs="宋体"/>
          <w:b/>
          <w:sz w:val="24"/>
          <w:szCs w:val="24"/>
          <w:lang w:val="en-US" w:eastAsia="zh-CN"/>
        </w:rPr>
        <w:t>40</w:t>
      </w:r>
      <w:r>
        <w:rPr>
          <w:rFonts w:hint="eastAsia" w:ascii="宋体" w:hAnsi="宋体" w:cs="宋体"/>
          <w:b/>
          <w:sz w:val="24"/>
          <w:szCs w:val="24"/>
        </w:rPr>
        <w:t>分）</w:t>
      </w:r>
    </w:p>
    <w:p>
      <w:pPr>
        <w:spacing w:before="120" w:beforeLines="50" w:after="120" w:afterLines="50" w:line="300" w:lineRule="auto"/>
        <w:ind w:firstLine="480" w:firstLineChars="200"/>
        <w:rPr>
          <w:rFonts w:ascii="宋体" w:hAnsi="宋体" w:cs="宋体"/>
          <w:bCs/>
          <w:kern w:val="0"/>
          <w:sz w:val="24"/>
          <w:szCs w:val="24"/>
        </w:rPr>
      </w:pPr>
      <w:r>
        <w:rPr>
          <w:rFonts w:hint="eastAsia" w:ascii="宋体" w:hAnsi="宋体" w:cs="宋体"/>
          <w:bCs/>
          <w:sz w:val="24"/>
          <w:szCs w:val="24"/>
        </w:rPr>
        <w:t>1、</w:t>
      </w:r>
      <w:r>
        <w:rPr>
          <w:rFonts w:hint="eastAsia" w:ascii="宋体" w:hAnsi="宋体" w:cs="宋体"/>
          <w:bCs/>
          <w:kern w:val="0"/>
          <w:sz w:val="24"/>
          <w:szCs w:val="24"/>
        </w:rPr>
        <w:t>供应商商务响应文件中，各标段价格下浮率不得低于下表中的最低下浮率，否则作废标处理。</w:t>
      </w:r>
    </w:p>
    <w:tbl>
      <w:tblPr>
        <w:tblStyle w:val="51"/>
        <w:tblW w:w="6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573"/>
        <w:gridCol w:w="3499"/>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0" w:type="auto"/>
            <w:shd w:val="clear" w:color="auto" w:fill="BDD6EE" w:themeFill="accent1" w:themeFillTint="66"/>
            <w:vAlign w:val="center"/>
          </w:tcPr>
          <w:p>
            <w:pPr>
              <w:jc w:val="center"/>
              <w:rPr>
                <w:rFonts w:ascii="仿宋" w:hAnsi="仿宋" w:eastAsia="仿宋" w:cs="宋体"/>
                <w:b/>
                <w:kern w:val="0"/>
                <w:szCs w:val="21"/>
              </w:rPr>
            </w:pPr>
            <w:r>
              <w:rPr>
                <w:rFonts w:hint="eastAsia" w:ascii="仿宋" w:hAnsi="仿宋" w:eastAsia="仿宋" w:cs="宋体"/>
                <w:b/>
                <w:kern w:val="0"/>
                <w:szCs w:val="21"/>
              </w:rPr>
              <w:t>标段序号</w:t>
            </w:r>
          </w:p>
        </w:tc>
        <w:tc>
          <w:tcPr>
            <w:tcW w:w="0" w:type="auto"/>
            <w:shd w:val="clear" w:color="auto" w:fill="BDD6EE" w:themeFill="accent1" w:themeFillTint="66"/>
            <w:vAlign w:val="center"/>
          </w:tcPr>
          <w:p>
            <w:pPr>
              <w:jc w:val="center"/>
              <w:rPr>
                <w:rFonts w:ascii="仿宋" w:hAnsi="仿宋" w:eastAsia="仿宋" w:cs="宋体"/>
                <w:b/>
                <w:kern w:val="0"/>
                <w:szCs w:val="21"/>
              </w:rPr>
            </w:pPr>
            <w:r>
              <w:rPr>
                <w:rFonts w:hint="eastAsia" w:ascii="仿宋" w:hAnsi="仿宋" w:eastAsia="仿宋" w:cs="宋体"/>
                <w:b/>
                <w:kern w:val="0"/>
                <w:szCs w:val="21"/>
              </w:rPr>
              <w:t>标段名</w:t>
            </w:r>
          </w:p>
        </w:tc>
        <w:tc>
          <w:tcPr>
            <w:tcW w:w="0" w:type="auto"/>
            <w:shd w:val="clear" w:color="auto" w:fill="BDD6EE" w:themeFill="accent1" w:themeFillTint="66"/>
            <w:vAlign w:val="center"/>
          </w:tcPr>
          <w:p>
            <w:pPr>
              <w:jc w:val="center"/>
              <w:rPr>
                <w:rFonts w:ascii="仿宋" w:hAnsi="仿宋" w:eastAsia="仿宋" w:cs="宋体"/>
                <w:b/>
                <w:kern w:val="0"/>
                <w:szCs w:val="21"/>
              </w:rPr>
            </w:pPr>
            <w:r>
              <w:rPr>
                <w:rFonts w:hint="eastAsia" w:ascii="仿宋" w:hAnsi="仿宋" w:eastAsia="仿宋" w:cs="宋体"/>
                <w:b/>
                <w:kern w:val="0"/>
                <w:szCs w:val="21"/>
              </w:rPr>
              <w:t>最低下浮率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atLeast"/>
          <w:jc w:val="center"/>
        </w:trPr>
        <w:tc>
          <w:tcPr>
            <w:tcW w:w="0" w:type="auto"/>
            <w:vAlign w:val="center"/>
          </w:tcPr>
          <w:p>
            <w:pPr>
              <w:jc w:val="center"/>
              <w:rPr>
                <w:rFonts w:ascii="仿宋" w:hAnsi="仿宋" w:eastAsia="仿宋" w:cs="宋体"/>
                <w:bCs/>
                <w:kern w:val="0"/>
                <w:szCs w:val="21"/>
              </w:rPr>
            </w:pPr>
            <w:r>
              <w:rPr>
                <w:rFonts w:hint="eastAsia" w:ascii="仿宋" w:hAnsi="仿宋" w:eastAsia="仿宋" w:cs="宋体"/>
                <w:bCs/>
                <w:szCs w:val="21"/>
              </w:rPr>
              <w:t>标段一</w:t>
            </w:r>
          </w:p>
        </w:tc>
        <w:tc>
          <w:tcPr>
            <w:tcW w:w="0" w:type="auto"/>
            <w:vAlign w:val="center"/>
          </w:tcPr>
          <w:p>
            <w:pPr>
              <w:jc w:val="center"/>
              <w:rPr>
                <w:rFonts w:ascii="仿宋" w:hAnsi="仿宋" w:eastAsia="仿宋" w:cs="宋体"/>
                <w:bCs/>
                <w:kern w:val="0"/>
                <w:szCs w:val="21"/>
              </w:rPr>
            </w:pPr>
            <w:r>
              <w:rPr>
                <w:rFonts w:hint="eastAsia" w:ascii="仿宋" w:hAnsi="仿宋" w:eastAsia="仿宋" w:cs="宋体"/>
                <w:bCs/>
                <w:szCs w:val="21"/>
              </w:rPr>
              <w:t>米、面；</w:t>
            </w:r>
          </w:p>
        </w:tc>
        <w:tc>
          <w:tcPr>
            <w:tcW w:w="1420" w:type="dxa"/>
            <w:vAlign w:val="center"/>
          </w:tcPr>
          <w:p>
            <w:pPr>
              <w:jc w:val="center"/>
              <w:rPr>
                <w:rFonts w:eastAsia="仿宋"/>
                <w:bCs/>
                <w:kern w:val="0"/>
                <w:szCs w:val="21"/>
              </w:rPr>
            </w:pPr>
            <w:r>
              <w:rPr>
                <w:rFonts w:eastAsia="仿宋"/>
                <w:bCs/>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atLeast"/>
          <w:jc w:val="center"/>
        </w:trPr>
        <w:tc>
          <w:tcPr>
            <w:tcW w:w="0" w:type="auto"/>
            <w:vAlign w:val="center"/>
          </w:tcPr>
          <w:p>
            <w:pPr>
              <w:jc w:val="center"/>
              <w:rPr>
                <w:rFonts w:ascii="仿宋" w:hAnsi="仿宋" w:eastAsia="仿宋" w:cs="宋体"/>
                <w:bCs/>
                <w:kern w:val="0"/>
                <w:szCs w:val="21"/>
              </w:rPr>
            </w:pPr>
            <w:r>
              <w:rPr>
                <w:rFonts w:hint="eastAsia" w:ascii="仿宋" w:hAnsi="仿宋" w:eastAsia="仿宋" w:cs="宋体"/>
                <w:bCs/>
                <w:szCs w:val="21"/>
              </w:rPr>
              <w:t>标段六</w:t>
            </w:r>
          </w:p>
        </w:tc>
        <w:tc>
          <w:tcPr>
            <w:tcW w:w="0" w:type="auto"/>
            <w:vAlign w:val="center"/>
          </w:tcPr>
          <w:p>
            <w:pPr>
              <w:jc w:val="center"/>
              <w:rPr>
                <w:rFonts w:ascii="仿宋" w:hAnsi="仿宋" w:eastAsia="仿宋" w:cs="宋体"/>
                <w:bCs/>
                <w:szCs w:val="21"/>
              </w:rPr>
            </w:pPr>
            <w:r>
              <w:rPr>
                <w:rFonts w:hint="eastAsia" w:ascii="仿宋" w:hAnsi="仿宋" w:eastAsia="仿宋" w:cs="宋体"/>
                <w:bCs/>
                <w:szCs w:val="21"/>
              </w:rPr>
              <w:t>水产品（鲜、冻）；</w:t>
            </w:r>
          </w:p>
        </w:tc>
        <w:tc>
          <w:tcPr>
            <w:tcW w:w="1420" w:type="dxa"/>
            <w:vAlign w:val="center"/>
          </w:tcPr>
          <w:p>
            <w:pPr>
              <w:jc w:val="center"/>
              <w:rPr>
                <w:rFonts w:eastAsia="仿宋"/>
                <w:bCs/>
                <w:kern w:val="0"/>
                <w:szCs w:val="21"/>
              </w:rPr>
            </w:pPr>
            <w:r>
              <w:rPr>
                <w:rFonts w:eastAsia="仿宋"/>
                <w:bCs/>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atLeast"/>
          <w:jc w:val="center"/>
        </w:trPr>
        <w:tc>
          <w:tcPr>
            <w:tcW w:w="0" w:type="auto"/>
            <w:vAlign w:val="center"/>
          </w:tcPr>
          <w:p>
            <w:pPr>
              <w:jc w:val="center"/>
              <w:rPr>
                <w:rFonts w:ascii="仿宋" w:hAnsi="仿宋" w:eastAsia="仿宋" w:cs="宋体"/>
                <w:bCs/>
                <w:kern w:val="0"/>
                <w:szCs w:val="21"/>
              </w:rPr>
            </w:pPr>
            <w:r>
              <w:rPr>
                <w:rFonts w:hint="eastAsia" w:ascii="仿宋" w:hAnsi="仿宋" w:eastAsia="仿宋" w:cs="宋体"/>
                <w:bCs/>
                <w:szCs w:val="21"/>
              </w:rPr>
              <w:t>标段八</w:t>
            </w:r>
          </w:p>
        </w:tc>
        <w:tc>
          <w:tcPr>
            <w:tcW w:w="0" w:type="auto"/>
            <w:vAlign w:val="center"/>
          </w:tcPr>
          <w:p>
            <w:pPr>
              <w:jc w:val="center"/>
              <w:rPr>
                <w:rFonts w:ascii="仿宋" w:hAnsi="仿宋" w:eastAsia="仿宋" w:cs="宋体"/>
                <w:bCs/>
                <w:szCs w:val="21"/>
              </w:rPr>
            </w:pPr>
            <w:r>
              <w:rPr>
                <w:rFonts w:hint="eastAsia" w:ascii="仿宋" w:hAnsi="仿宋" w:eastAsia="仿宋" w:cs="宋体"/>
                <w:bCs/>
                <w:szCs w:val="21"/>
              </w:rPr>
              <w:t>调味品、干货类；</w:t>
            </w:r>
          </w:p>
        </w:tc>
        <w:tc>
          <w:tcPr>
            <w:tcW w:w="1420" w:type="dxa"/>
            <w:vAlign w:val="center"/>
          </w:tcPr>
          <w:p>
            <w:pPr>
              <w:jc w:val="center"/>
              <w:rPr>
                <w:rFonts w:eastAsia="仿宋"/>
                <w:bCs/>
                <w:kern w:val="0"/>
                <w:szCs w:val="21"/>
              </w:rPr>
            </w:pPr>
            <w:r>
              <w:rPr>
                <w:rFonts w:eastAsia="仿宋"/>
                <w:bCs/>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atLeast"/>
          <w:jc w:val="center"/>
        </w:trPr>
        <w:tc>
          <w:tcPr>
            <w:tcW w:w="0" w:type="auto"/>
            <w:vAlign w:val="center"/>
          </w:tcPr>
          <w:p>
            <w:pPr>
              <w:jc w:val="center"/>
              <w:rPr>
                <w:rFonts w:ascii="仿宋" w:hAnsi="仿宋" w:eastAsia="仿宋" w:cs="宋体"/>
                <w:bCs/>
                <w:kern w:val="0"/>
                <w:szCs w:val="21"/>
              </w:rPr>
            </w:pPr>
            <w:r>
              <w:rPr>
                <w:rFonts w:hint="eastAsia" w:ascii="仿宋" w:hAnsi="仿宋" w:eastAsia="仿宋" w:cs="宋体"/>
                <w:bCs/>
                <w:szCs w:val="21"/>
              </w:rPr>
              <w:t>标段九</w:t>
            </w:r>
          </w:p>
        </w:tc>
        <w:tc>
          <w:tcPr>
            <w:tcW w:w="0" w:type="auto"/>
            <w:vAlign w:val="center"/>
          </w:tcPr>
          <w:p>
            <w:pPr>
              <w:jc w:val="center"/>
              <w:rPr>
                <w:rFonts w:ascii="仿宋" w:hAnsi="仿宋" w:eastAsia="仿宋" w:cs="宋体"/>
                <w:bCs/>
                <w:szCs w:val="21"/>
              </w:rPr>
            </w:pPr>
            <w:r>
              <w:rPr>
                <w:rFonts w:hint="eastAsia" w:ascii="仿宋" w:hAnsi="仿宋" w:eastAsia="仿宋" w:cs="宋体"/>
                <w:bCs/>
                <w:szCs w:val="21"/>
              </w:rPr>
              <w:t>豆制品类；</w:t>
            </w:r>
          </w:p>
        </w:tc>
        <w:tc>
          <w:tcPr>
            <w:tcW w:w="1420" w:type="dxa"/>
            <w:vAlign w:val="center"/>
          </w:tcPr>
          <w:p>
            <w:pPr>
              <w:jc w:val="center"/>
              <w:rPr>
                <w:rFonts w:eastAsia="仿宋"/>
                <w:bCs/>
                <w:kern w:val="0"/>
                <w:szCs w:val="21"/>
              </w:rPr>
            </w:pPr>
            <w:r>
              <w:rPr>
                <w:rFonts w:eastAsia="仿宋"/>
                <w:bCs/>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atLeast"/>
          <w:jc w:val="center"/>
        </w:trPr>
        <w:tc>
          <w:tcPr>
            <w:tcW w:w="0" w:type="auto"/>
            <w:vAlign w:val="center"/>
          </w:tcPr>
          <w:p>
            <w:pPr>
              <w:jc w:val="center"/>
              <w:rPr>
                <w:rFonts w:ascii="仿宋" w:hAnsi="仿宋" w:eastAsia="仿宋" w:cs="宋体"/>
                <w:bCs/>
                <w:szCs w:val="21"/>
              </w:rPr>
            </w:pPr>
            <w:r>
              <w:rPr>
                <w:rFonts w:hint="eastAsia" w:ascii="仿宋" w:hAnsi="仿宋" w:eastAsia="仿宋" w:cs="宋体"/>
                <w:bCs/>
                <w:szCs w:val="21"/>
              </w:rPr>
              <w:t>标段十一</w:t>
            </w:r>
          </w:p>
        </w:tc>
        <w:tc>
          <w:tcPr>
            <w:tcW w:w="0" w:type="auto"/>
            <w:vAlign w:val="center"/>
          </w:tcPr>
          <w:p>
            <w:pPr>
              <w:jc w:val="center"/>
              <w:rPr>
                <w:rFonts w:ascii="仿宋" w:hAnsi="仿宋" w:eastAsia="仿宋" w:cs="宋体"/>
                <w:bCs/>
                <w:szCs w:val="21"/>
              </w:rPr>
            </w:pPr>
            <w:r>
              <w:rPr>
                <w:rFonts w:hint="eastAsia" w:ascii="仿宋" w:hAnsi="仿宋" w:eastAsia="仿宋" w:cs="宋体"/>
                <w:bCs/>
                <w:szCs w:val="21"/>
              </w:rPr>
              <w:t>饮品、点心类；</w:t>
            </w:r>
          </w:p>
        </w:tc>
        <w:tc>
          <w:tcPr>
            <w:tcW w:w="0" w:type="auto"/>
            <w:vAlign w:val="center"/>
          </w:tcPr>
          <w:p>
            <w:pPr>
              <w:jc w:val="center"/>
              <w:rPr>
                <w:rFonts w:eastAsia="仿宋"/>
                <w:bCs/>
                <w:kern w:val="0"/>
                <w:szCs w:val="21"/>
              </w:rPr>
            </w:pPr>
            <w:r>
              <w:rPr>
                <w:rFonts w:hint="eastAsia" w:eastAsia="仿宋"/>
                <w:bCs/>
                <w:kern w:val="0"/>
                <w:szCs w:val="21"/>
              </w:rPr>
              <w:t>30%</w:t>
            </w:r>
          </w:p>
        </w:tc>
      </w:tr>
    </w:tbl>
    <w:p>
      <w:pPr>
        <w:snapToGrid w:val="0"/>
        <w:spacing w:before="120" w:beforeLines="50" w:after="120" w:afterLines="50" w:line="300" w:lineRule="auto"/>
        <w:ind w:firstLine="482" w:firstLineChars="200"/>
        <w:outlineLvl w:val="1"/>
        <w:rPr>
          <w:rFonts w:ascii="宋体" w:hAnsi="宋体" w:cs="宋体"/>
          <w:b/>
          <w:sz w:val="24"/>
          <w:szCs w:val="24"/>
        </w:rPr>
      </w:pPr>
      <w:r>
        <w:rPr>
          <w:rFonts w:hint="eastAsia" w:ascii="宋体" w:hAnsi="宋体" w:cs="宋体"/>
          <w:b/>
          <w:sz w:val="24"/>
          <w:szCs w:val="24"/>
        </w:rPr>
        <w:t>注：投标下浮率不得低于各标段设定的最低下浮率。举例说明，标段一最低下浮率5%，则投标人报价时可以报价下浮率6%，为有效报价；如果投标报价下浮率为4%则为无效报价，以此类推。</w:t>
      </w:r>
    </w:p>
    <w:p>
      <w:pPr>
        <w:snapToGrid w:val="0"/>
        <w:spacing w:before="120" w:beforeLines="50" w:after="120" w:afterLines="50" w:line="300" w:lineRule="auto"/>
        <w:ind w:firstLine="480" w:firstLineChars="200"/>
        <w:outlineLvl w:val="1"/>
        <w:rPr>
          <w:rFonts w:ascii="宋体" w:hAnsi="宋体" w:cs="宋体"/>
          <w:bCs/>
          <w:sz w:val="24"/>
          <w:szCs w:val="24"/>
        </w:rPr>
      </w:pPr>
      <w:r>
        <w:rPr>
          <w:rFonts w:ascii="宋体" w:hAnsi="宋体" w:cs="宋体"/>
          <w:bCs/>
          <w:sz w:val="24"/>
          <w:szCs w:val="24"/>
        </w:rPr>
        <w:t>2</w:t>
      </w:r>
      <w:r>
        <w:rPr>
          <w:rFonts w:hint="eastAsia" w:ascii="宋体" w:hAnsi="宋体" w:cs="宋体"/>
          <w:bCs/>
          <w:sz w:val="24"/>
          <w:szCs w:val="24"/>
        </w:rPr>
        <w:t>、商务响应报价评分：</w:t>
      </w:r>
    </w:p>
    <w:p>
      <w:pPr>
        <w:snapToGrid w:val="0"/>
        <w:spacing w:before="120" w:beforeLines="50" w:after="120" w:afterLines="50" w:line="300" w:lineRule="auto"/>
        <w:ind w:firstLine="480" w:firstLineChars="200"/>
        <w:outlineLvl w:val="1"/>
        <w:rPr>
          <w:rFonts w:ascii="宋体" w:hAnsi="宋体" w:cs="宋体"/>
          <w:bCs/>
          <w:sz w:val="24"/>
          <w:szCs w:val="24"/>
        </w:rPr>
      </w:pPr>
      <w:r>
        <w:rPr>
          <w:rFonts w:ascii="宋体" w:hAnsi="宋体" w:cs="宋体"/>
          <w:bCs/>
          <w:sz w:val="24"/>
          <w:szCs w:val="24"/>
        </w:rPr>
        <w:t>根据供应商的价格下浮</w:t>
      </w:r>
      <w:r>
        <w:rPr>
          <w:rFonts w:hint="eastAsia" w:ascii="宋体" w:hAnsi="宋体" w:cs="宋体"/>
          <w:bCs/>
          <w:sz w:val="24"/>
          <w:szCs w:val="24"/>
        </w:rPr>
        <w:t>率</w:t>
      </w:r>
      <w:r>
        <w:rPr>
          <w:rFonts w:ascii="宋体" w:hAnsi="宋体" w:cs="宋体"/>
          <w:bCs/>
          <w:sz w:val="24"/>
          <w:szCs w:val="24"/>
        </w:rPr>
        <w:t>承诺打分；</w:t>
      </w:r>
      <w:r>
        <w:rPr>
          <w:rFonts w:hint="eastAsia" w:ascii="宋体" w:hAnsi="宋体" w:cs="宋体"/>
          <w:bCs/>
          <w:sz w:val="24"/>
          <w:szCs w:val="24"/>
        </w:rPr>
        <w:t>满足磋商问价要求且价格下浮率在合理范围内最高的供应商的价格为基准下浮率，其该项得分为满分。其他供应商的该项得分按照下列公式计算：</w:t>
      </w:r>
    </w:p>
    <w:p>
      <w:pPr>
        <w:snapToGrid w:val="0"/>
        <w:spacing w:before="120" w:beforeLines="50" w:after="120" w:afterLines="50" w:line="300" w:lineRule="auto"/>
        <w:ind w:firstLine="480" w:firstLineChars="200"/>
        <w:outlineLvl w:val="1"/>
        <w:rPr>
          <w:rFonts w:ascii="宋体" w:hAnsi="宋体" w:cs="宋体"/>
          <w:bCs/>
          <w:sz w:val="24"/>
          <w:szCs w:val="24"/>
        </w:rPr>
      </w:pPr>
      <w:r>
        <w:rPr>
          <w:rFonts w:hint="eastAsia" w:ascii="宋体" w:hAnsi="宋体" w:cs="宋体"/>
          <w:bCs/>
          <w:sz w:val="24"/>
          <w:szCs w:val="24"/>
        </w:rPr>
        <w:t>价格下浮率得分 =（供应商承诺下浮率/基准下浮率）×100×</w:t>
      </w:r>
      <w:r>
        <w:rPr>
          <w:rFonts w:hint="eastAsia" w:ascii="宋体" w:hAnsi="宋体" w:cs="宋体"/>
          <w:bCs/>
          <w:sz w:val="24"/>
          <w:szCs w:val="24"/>
          <w:lang w:val="en-US" w:eastAsia="zh-CN"/>
        </w:rPr>
        <w:t>40</w:t>
      </w:r>
      <w:r>
        <w:rPr>
          <w:rFonts w:hint="eastAsia" w:ascii="宋体" w:hAnsi="宋体" w:cs="宋体"/>
          <w:bCs/>
          <w:sz w:val="24"/>
          <w:szCs w:val="24"/>
        </w:rPr>
        <w:t>%</w:t>
      </w:r>
    </w:p>
    <w:p>
      <w:pPr>
        <w:snapToGrid w:val="0"/>
        <w:spacing w:before="120" w:beforeLines="50" w:after="120" w:afterLines="50" w:line="300" w:lineRule="auto"/>
        <w:ind w:firstLine="480" w:firstLineChars="200"/>
        <w:outlineLvl w:val="1"/>
        <w:rPr>
          <w:rFonts w:ascii="宋体" w:hAnsi="宋体" w:cs="宋体"/>
          <w:bCs/>
          <w:sz w:val="24"/>
          <w:szCs w:val="24"/>
        </w:rPr>
      </w:pPr>
      <w:r>
        <w:rPr>
          <w:rFonts w:ascii="宋体" w:hAnsi="宋体" w:cs="宋体"/>
          <w:bCs/>
          <w:sz w:val="24"/>
          <w:szCs w:val="24"/>
        </w:rPr>
        <w:t>3</w:t>
      </w:r>
      <w:r>
        <w:rPr>
          <w:rFonts w:hint="eastAsia" w:ascii="宋体" w:hAnsi="宋体" w:cs="宋体"/>
          <w:bCs/>
          <w:sz w:val="24"/>
          <w:szCs w:val="24"/>
        </w:rPr>
        <w:t>、供应商所提供价格承诺下浮率必须在合理范围内，若所提供价格下浮率被评委认定明显过高，造成供货价低于成本价的，该项将作0分处理。</w:t>
      </w:r>
    </w:p>
    <w:p>
      <w:pPr>
        <w:snapToGrid w:val="0"/>
        <w:spacing w:before="120" w:beforeLines="50" w:after="120" w:afterLines="50" w:line="300" w:lineRule="auto"/>
        <w:ind w:firstLine="480" w:firstLineChars="200"/>
        <w:outlineLvl w:val="1"/>
        <w:rPr>
          <w:rFonts w:ascii="宋体" w:hAnsi="宋体" w:cs="宋体"/>
          <w:bCs/>
          <w:sz w:val="24"/>
          <w:szCs w:val="24"/>
        </w:rPr>
      </w:pPr>
      <w:r>
        <w:rPr>
          <w:rFonts w:hint="eastAsia" w:ascii="宋体" w:hAnsi="宋体" w:cs="宋体"/>
          <w:bCs/>
          <w:sz w:val="24"/>
          <w:szCs w:val="24"/>
        </w:rPr>
        <w:t>4、本资磋商采用二轮报价，第二轮所报下浮率需比第一轮所报下浮率高。否则作废标处理。</w:t>
      </w:r>
    </w:p>
    <w:p>
      <w:pPr>
        <w:snapToGrid w:val="0"/>
        <w:spacing w:before="120" w:beforeLines="50" w:after="120" w:afterLines="50" w:line="300" w:lineRule="auto"/>
        <w:ind w:firstLine="482" w:firstLineChars="200"/>
        <w:outlineLvl w:val="1"/>
        <w:rPr>
          <w:rFonts w:ascii="宋体" w:hAnsi="宋体" w:cs="宋体"/>
          <w:b/>
          <w:sz w:val="24"/>
          <w:szCs w:val="24"/>
        </w:rPr>
      </w:pPr>
      <w:r>
        <w:rPr>
          <w:rFonts w:hint="eastAsia" w:ascii="宋体" w:hAnsi="宋体" w:cs="宋体"/>
          <w:b/>
          <w:sz w:val="24"/>
          <w:szCs w:val="24"/>
        </w:rPr>
        <w:t>六、出现下列情形之一的，作无效标处理</w:t>
      </w:r>
    </w:p>
    <w:p>
      <w:pPr>
        <w:snapToGrid w:val="0"/>
        <w:spacing w:before="120" w:beforeLines="50" w:after="120" w:afterLines="50" w:line="300" w:lineRule="auto"/>
        <w:ind w:firstLine="480" w:firstLineChars="200"/>
        <w:rPr>
          <w:rFonts w:ascii="宋体" w:hAnsi="宋体" w:cs="宋体"/>
          <w:sz w:val="24"/>
          <w:szCs w:val="24"/>
        </w:rPr>
      </w:pPr>
      <w:r>
        <w:rPr>
          <w:rFonts w:hint="eastAsia" w:ascii="宋体" w:hAnsi="宋体" w:cs="宋体"/>
          <w:sz w:val="24"/>
          <w:szCs w:val="24"/>
        </w:rPr>
        <w:t>1、未按规定时间、数额、规定形式提交磋商保证金的；</w:t>
      </w:r>
    </w:p>
    <w:p>
      <w:pPr>
        <w:snapToGrid w:val="0"/>
        <w:spacing w:before="120" w:beforeLines="50" w:after="120" w:afterLines="50" w:line="300" w:lineRule="auto"/>
        <w:ind w:firstLine="480" w:firstLineChars="200"/>
        <w:rPr>
          <w:rFonts w:ascii="宋体" w:hAnsi="宋体" w:cs="宋体"/>
          <w:sz w:val="24"/>
          <w:szCs w:val="24"/>
        </w:rPr>
      </w:pPr>
      <w:r>
        <w:rPr>
          <w:rFonts w:hint="eastAsia" w:ascii="宋体" w:hAnsi="宋体" w:cs="宋体"/>
          <w:sz w:val="24"/>
          <w:szCs w:val="24"/>
        </w:rPr>
        <w:t>2、响应文件未按磋商文件要求装订、密封、签署、盖章及主要资料不齐全的；</w:t>
      </w:r>
    </w:p>
    <w:p>
      <w:pPr>
        <w:snapToGrid w:val="0"/>
        <w:spacing w:before="120" w:beforeLines="50" w:after="120" w:afterLines="50" w:line="300" w:lineRule="auto"/>
        <w:ind w:firstLine="480" w:firstLineChars="200"/>
        <w:rPr>
          <w:rFonts w:ascii="宋体" w:hAnsi="宋体" w:cs="宋体"/>
          <w:sz w:val="24"/>
          <w:szCs w:val="24"/>
        </w:rPr>
      </w:pPr>
      <w:r>
        <w:rPr>
          <w:rFonts w:hint="eastAsia" w:ascii="宋体" w:hAnsi="宋体" w:cs="宋体"/>
          <w:sz w:val="24"/>
          <w:szCs w:val="24"/>
        </w:rPr>
        <w:t>3、响应文件的资料有虚报或者谎报的；</w:t>
      </w:r>
    </w:p>
    <w:p>
      <w:pPr>
        <w:snapToGrid w:val="0"/>
        <w:spacing w:before="120" w:beforeLines="50" w:after="120" w:afterLines="50" w:line="300" w:lineRule="auto"/>
        <w:ind w:firstLine="480" w:firstLineChars="200"/>
        <w:rPr>
          <w:rFonts w:ascii="宋体" w:hAnsi="宋体" w:cs="宋体"/>
          <w:sz w:val="24"/>
          <w:szCs w:val="24"/>
        </w:rPr>
      </w:pPr>
      <w:r>
        <w:rPr>
          <w:rFonts w:hint="eastAsia" w:ascii="宋体" w:hAnsi="宋体" w:cs="宋体"/>
          <w:sz w:val="24"/>
          <w:szCs w:val="24"/>
        </w:rPr>
        <w:t>4、响应文件中资格审查文件出现磋商报价的内容；</w:t>
      </w:r>
    </w:p>
    <w:p>
      <w:pPr>
        <w:snapToGrid w:val="0"/>
        <w:spacing w:before="120" w:beforeLines="50" w:after="120" w:afterLines="50" w:line="300" w:lineRule="auto"/>
        <w:ind w:firstLine="480" w:firstLineChars="200"/>
        <w:rPr>
          <w:rFonts w:ascii="宋体" w:hAnsi="宋体" w:cs="宋体"/>
          <w:sz w:val="24"/>
          <w:szCs w:val="24"/>
        </w:rPr>
      </w:pPr>
      <w:r>
        <w:rPr>
          <w:rFonts w:hint="eastAsia" w:ascii="宋体" w:hAnsi="宋体" w:cs="宋体"/>
          <w:sz w:val="24"/>
          <w:szCs w:val="24"/>
        </w:rPr>
        <w:t>5、不具备磋商文件规定的资格要求的；</w:t>
      </w:r>
    </w:p>
    <w:p>
      <w:pPr>
        <w:snapToGrid w:val="0"/>
        <w:spacing w:before="120" w:beforeLines="50" w:after="120" w:afterLines="50" w:line="300" w:lineRule="auto"/>
        <w:ind w:firstLine="480" w:firstLineChars="200"/>
        <w:rPr>
          <w:rFonts w:ascii="宋体" w:hAnsi="宋体" w:cs="宋体"/>
          <w:sz w:val="24"/>
          <w:szCs w:val="24"/>
        </w:rPr>
      </w:pPr>
      <w:r>
        <w:rPr>
          <w:rFonts w:hint="eastAsia" w:ascii="宋体" w:hAnsi="宋体" w:cs="宋体"/>
          <w:sz w:val="24"/>
          <w:szCs w:val="24"/>
        </w:rPr>
        <w:t>6、响应文件有重大漏项或重大不合理的；</w:t>
      </w:r>
    </w:p>
    <w:p>
      <w:pPr>
        <w:snapToGrid w:val="0"/>
        <w:spacing w:before="120" w:beforeLines="50" w:after="120" w:afterLines="50" w:line="300" w:lineRule="auto"/>
        <w:ind w:firstLine="480" w:firstLineChars="200"/>
        <w:rPr>
          <w:rFonts w:ascii="宋体" w:hAnsi="宋体" w:cs="宋体"/>
          <w:sz w:val="24"/>
          <w:szCs w:val="24"/>
        </w:rPr>
      </w:pPr>
      <w:r>
        <w:rPr>
          <w:rFonts w:hint="eastAsia" w:ascii="宋体" w:hAnsi="宋体" w:cs="宋体"/>
          <w:sz w:val="24"/>
          <w:szCs w:val="24"/>
        </w:rPr>
        <w:t>7、项目技术、方案不满足项目需求中的要求，有重大偏离或保留的；</w:t>
      </w:r>
    </w:p>
    <w:p>
      <w:pPr>
        <w:snapToGrid w:val="0"/>
        <w:spacing w:before="120" w:beforeLines="50" w:after="120" w:afterLines="50" w:line="300" w:lineRule="auto"/>
        <w:ind w:firstLine="480" w:firstLineChars="200"/>
        <w:rPr>
          <w:rFonts w:ascii="宋体" w:hAnsi="宋体" w:cs="宋体"/>
          <w:sz w:val="24"/>
          <w:szCs w:val="24"/>
        </w:rPr>
      </w:pPr>
      <w:r>
        <w:rPr>
          <w:rFonts w:hint="eastAsia" w:ascii="宋体" w:hAnsi="宋体" w:cs="宋体"/>
          <w:sz w:val="24"/>
          <w:szCs w:val="24"/>
        </w:rPr>
        <w:t>8、不符合法律、法规和磋商文件中规定的其他实质性响应要求的；</w:t>
      </w:r>
    </w:p>
    <w:p>
      <w:pPr>
        <w:snapToGrid w:val="0"/>
        <w:spacing w:before="120" w:beforeLines="50" w:after="120" w:afterLines="50" w:line="300" w:lineRule="auto"/>
        <w:ind w:firstLine="480" w:firstLineChars="200"/>
        <w:rPr>
          <w:rFonts w:ascii="宋体" w:hAnsi="宋体" w:cs="宋体"/>
          <w:sz w:val="24"/>
          <w:szCs w:val="24"/>
        </w:rPr>
      </w:pPr>
      <w:r>
        <w:rPr>
          <w:rFonts w:hint="eastAsia" w:ascii="宋体" w:hAnsi="宋体" w:cs="宋体"/>
          <w:sz w:val="24"/>
          <w:szCs w:val="24"/>
        </w:rPr>
        <w:t>9、磋商小组依据法律法规可以认定为无效投标的其他情况。</w:t>
      </w:r>
    </w:p>
    <w:p>
      <w:pPr>
        <w:snapToGrid w:val="0"/>
        <w:spacing w:before="120" w:beforeLines="50" w:after="120" w:afterLines="50" w:line="300" w:lineRule="auto"/>
        <w:ind w:firstLine="482" w:firstLineChars="200"/>
        <w:outlineLvl w:val="1"/>
        <w:rPr>
          <w:rFonts w:ascii="宋体" w:hAnsi="宋体" w:cs="宋体"/>
          <w:b/>
          <w:color w:val="000000"/>
          <w:sz w:val="24"/>
          <w:szCs w:val="24"/>
        </w:rPr>
      </w:pPr>
      <w:r>
        <w:rPr>
          <w:rFonts w:hint="eastAsia" w:ascii="宋体" w:hAnsi="宋体" w:cs="宋体"/>
          <w:b/>
          <w:color w:val="000000"/>
          <w:sz w:val="24"/>
          <w:szCs w:val="24"/>
        </w:rPr>
        <w:t>七、出现下列情形之一的，作废标处理</w:t>
      </w:r>
    </w:p>
    <w:p>
      <w:pPr>
        <w:snapToGrid w:val="0"/>
        <w:spacing w:before="120" w:beforeLines="50" w:after="120" w:afterLines="50" w:line="300" w:lineRule="auto"/>
        <w:ind w:firstLine="480" w:firstLineChars="200"/>
        <w:rPr>
          <w:rFonts w:ascii="宋体" w:hAnsi="宋体" w:cs="宋体"/>
          <w:color w:val="000000"/>
          <w:sz w:val="24"/>
          <w:szCs w:val="24"/>
        </w:rPr>
      </w:pPr>
      <w:r>
        <w:rPr>
          <w:rFonts w:hint="eastAsia" w:ascii="宋体" w:hAnsi="宋体" w:cs="宋体"/>
          <w:color w:val="000000"/>
          <w:sz w:val="24"/>
          <w:szCs w:val="24"/>
        </w:rPr>
        <w:t>1、每标段符合资格条件或者</w:t>
      </w:r>
      <w:r>
        <w:rPr>
          <w:rFonts w:hint="eastAsia" w:ascii="宋体" w:hAnsi="宋体" w:cs="宋体"/>
          <w:sz w:val="24"/>
          <w:szCs w:val="24"/>
        </w:rPr>
        <w:t>对磋商文件</w:t>
      </w:r>
      <w:r>
        <w:rPr>
          <w:rFonts w:hint="eastAsia" w:ascii="宋体" w:hAnsi="宋体" w:cs="宋体"/>
          <w:color w:val="000000"/>
          <w:sz w:val="24"/>
          <w:szCs w:val="24"/>
        </w:rPr>
        <w:t xml:space="preserve">作实质响应的投标单位不足3家的； </w:t>
      </w:r>
    </w:p>
    <w:p>
      <w:pPr>
        <w:snapToGrid w:val="0"/>
        <w:spacing w:before="120" w:beforeLines="50" w:after="120" w:afterLines="50" w:line="300" w:lineRule="auto"/>
        <w:ind w:firstLine="480" w:firstLineChars="200"/>
        <w:rPr>
          <w:rFonts w:ascii="宋体" w:hAnsi="宋体" w:cs="宋体"/>
          <w:color w:val="000000"/>
          <w:sz w:val="24"/>
          <w:szCs w:val="24"/>
        </w:rPr>
      </w:pPr>
      <w:r>
        <w:rPr>
          <w:rFonts w:hint="eastAsia" w:ascii="宋体" w:hAnsi="宋体" w:cs="宋体"/>
          <w:color w:val="000000"/>
          <w:sz w:val="24"/>
          <w:szCs w:val="24"/>
        </w:rPr>
        <w:t>2、因情况变化，不再符合规定的竞争性磋商采购方式所适用情形的；</w:t>
      </w:r>
    </w:p>
    <w:p>
      <w:pPr>
        <w:snapToGrid w:val="0"/>
        <w:spacing w:before="120" w:beforeLines="50" w:after="120" w:afterLines="50" w:line="300" w:lineRule="auto"/>
        <w:ind w:firstLine="480" w:firstLineChars="200"/>
        <w:rPr>
          <w:rFonts w:ascii="宋体" w:hAnsi="宋体" w:cs="宋体"/>
          <w:color w:val="000000"/>
          <w:sz w:val="24"/>
          <w:szCs w:val="24"/>
        </w:rPr>
      </w:pPr>
      <w:r>
        <w:rPr>
          <w:rFonts w:hint="eastAsia" w:ascii="宋体" w:hAnsi="宋体" w:cs="宋体"/>
          <w:color w:val="000000"/>
          <w:sz w:val="24"/>
          <w:szCs w:val="24"/>
        </w:rPr>
        <w:t>3、出现影响采购公正的违法、违规行为的；</w:t>
      </w:r>
    </w:p>
    <w:p>
      <w:pPr>
        <w:snapToGrid w:val="0"/>
        <w:spacing w:before="120" w:beforeLines="50" w:after="120" w:afterLines="50" w:line="300" w:lineRule="auto"/>
        <w:ind w:firstLine="480" w:firstLineChars="200"/>
        <w:rPr>
          <w:rFonts w:ascii="宋体" w:hAnsi="宋体" w:cs="宋体"/>
          <w:color w:val="000000"/>
          <w:sz w:val="24"/>
          <w:szCs w:val="24"/>
        </w:rPr>
      </w:pPr>
      <w:r>
        <w:rPr>
          <w:rFonts w:hint="eastAsia" w:ascii="宋体" w:hAnsi="宋体" w:cs="宋体"/>
          <w:color w:val="000000"/>
          <w:sz w:val="24"/>
          <w:szCs w:val="24"/>
        </w:rPr>
        <w:t>4、因重大变故，采购任务取消的；</w:t>
      </w:r>
    </w:p>
    <w:p>
      <w:pPr>
        <w:snapToGrid w:val="0"/>
        <w:spacing w:before="120" w:beforeLines="50" w:after="120" w:afterLines="50" w:line="300" w:lineRule="auto"/>
        <w:ind w:firstLine="480" w:firstLineChars="200"/>
        <w:rPr>
          <w:rFonts w:ascii="宋体" w:hAnsi="宋体" w:cs="宋体"/>
          <w:color w:val="000000"/>
          <w:sz w:val="24"/>
          <w:szCs w:val="24"/>
        </w:rPr>
      </w:pPr>
      <w:r>
        <w:rPr>
          <w:rFonts w:hint="eastAsia" w:ascii="宋体" w:hAnsi="宋体" w:cs="宋体"/>
          <w:color w:val="000000"/>
          <w:sz w:val="24"/>
          <w:szCs w:val="24"/>
        </w:rPr>
        <w:t>5、磋商小组依据法律法规可以认定为废标的其他情况。</w:t>
      </w:r>
    </w:p>
    <w:p>
      <w:pPr>
        <w:snapToGrid w:val="0"/>
        <w:spacing w:before="120" w:beforeLines="50" w:after="120" w:afterLines="50" w:line="300" w:lineRule="auto"/>
        <w:ind w:firstLine="482" w:firstLineChars="200"/>
        <w:outlineLvl w:val="1"/>
        <w:rPr>
          <w:rFonts w:ascii="宋体" w:hAnsi="宋体" w:cs="宋体"/>
          <w:b/>
          <w:color w:val="000000"/>
          <w:sz w:val="24"/>
          <w:szCs w:val="24"/>
        </w:rPr>
      </w:pPr>
      <w:r>
        <w:rPr>
          <w:rFonts w:hint="eastAsia" w:ascii="宋体" w:hAnsi="宋体" w:cs="宋体"/>
          <w:b/>
          <w:color w:val="000000"/>
          <w:sz w:val="24"/>
          <w:szCs w:val="24"/>
        </w:rPr>
        <w:t>八、成交通知</w:t>
      </w:r>
    </w:p>
    <w:p>
      <w:pPr>
        <w:spacing w:before="120" w:beforeLines="50" w:after="120" w:afterLines="50" w:line="300" w:lineRule="auto"/>
        <w:ind w:firstLine="480" w:firstLineChars="200"/>
        <w:rPr>
          <w:rFonts w:ascii="宋体" w:hAnsi="宋体" w:cs="宋体"/>
          <w:color w:val="000000"/>
          <w:kern w:val="0"/>
          <w:sz w:val="24"/>
          <w:szCs w:val="24"/>
        </w:rPr>
      </w:pPr>
      <w:r>
        <w:rPr>
          <w:rFonts w:hint="eastAsia"/>
          <w:kern w:val="0"/>
          <w:sz w:val="24"/>
          <w:szCs w:val="24"/>
        </w:rPr>
        <w:t>成交结果在南通市启秀中学校园网公示</w:t>
      </w:r>
      <w:r>
        <w:rPr>
          <w:rFonts w:hint="eastAsia"/>
          <w:kern w:val="0"/>
          <w:sz w:val="24"/>
          <w:szCs w:val="24"/>
          <w:u w:val="single"/>
        </w:rPr>
        <w:t xml:space="preserve">  </w:t>
      </w:r>
      <w:r>
        <w:rPr>
          <w:b/>
          <w:kern w:val="0"/>
          <w:sz w:val="24"/>
          <w:szCs w:val="24"/>
          <w:u w:val="single"/>
        </w:rPr>
        <w:t>1</w:t>
      </w:r>
      <w:r>
        <w:rPr>
          <w:rFonts w:hint="eastAsia"/>
          <w:b/>
          <w:kern w:val="0"/>
          <w:sz w:val="24"/>
          <w:szCs w:val="24"/>
          <w:u w:val="single"/>
        </w:rPr>
        <w:t xml:space="preserve">  </w:t>
      </w:r>
      <w:r>
        <w:rPr>
          <w:rFonts w:hint="eastAsia"/>
          <w:kern w:val="0"/>
          <w:sz w:val="24"/>
          <w:szCs w:val="24"/>
        </w:rPr>
        <w:t>个工作日。《成交通知书》一经发出，采购单位改变成交结果，或者中标人放弃成交的，各自承担相应的法律责任。《成交通知书》是采购合同的组成部分。</w:t>
      </w:r>
    </w:p>
    <w:p>
      <w:pPr>
        <w:pStyle w:val="3"/>
      </w:pPr>
      <w:bookmarkStart w:id="66" w:name="_Toc47957223"/>
    </w:p>
    <w:p>
      <w:pPr>
        <w:pStyle w:val="3"/>
      </w:pPr>
    </w:p>
    <w:p>
      <w:pPr>
        <w:pStyle w:val="3"/>
      </w:pPr>
    </w:p>
    <w:p>
      <w:pPr>
        <w:pStyle w:val="3"/>
      </w:pPr>
    </w:p>
    <w:p>
      <w:pPr>
        <w:pStyle w:val="3"/>
      </w:pPr>
    </w:p>
    <w:p/>
    <w:p>
      <w:pPr>
        <w:pStyle w:val="2"/>
      </w:pPr>
    </w:p>
    <w:p>
      <w:pPr>
        <w:pStyle w:val="3"/>
        <w:jc w:val="both"/>
      </w:pPr>
    </w:p>
    <w:p>
      <w:pPr>
        <w:pStyle w:val="3"/>
      </w:pPr>
      <w:r>
        <w:rPr>
          <w:rFonts w:hint="eastAsia"/>
        </w:rPr>
        <w:t>第五章  合同</w:t>
      </w:r>
      <w:bookmarkStart w:id="67" w:name="_Toc363573859"/>
      <w:r>
        <w:rPr>
          <w:rFonts w:hint="eastAsia"/>
        </w:rPr>
        <w:t>主要条款</w:t>
      </w:r>
      <w:bookmarkEnd w:id="66"/>
    </w:p>
    <w:bookmarkEnd w:id="57"/>
    <w:bookmarkEnd w:id="58"/>
    <w:bookmarkEnd w:id="59"/>
    <w:bookmarkEnd w:id="60"/>
    <w:bookmarkEnd w:id="61"/>
    <w:bookmarkEnd w:id="62"/>
    <w:bookmarkEnd w:id="63"/>
    <w:bookmarkEnd w:id="64"/>
    <w:bookmarkEnd w:id="67"/>
    <w:p>
      <w:pPr>
        <w:snapToGrid w:val="0"/>
        <w:spacing w:before="120" w:beforeLines="50" w:after="120" w:afterLines="50" w:line="300" w:lineRule="auto"/>
        <w:ind w:firstLine="496" w:firstLineChars="206"/>
        <w:outlineLvl w:val="1"/>
        <w:rPr>
          <w:rFonts w:ascii="宋体" w:hAnsi="宋体" w:cs="宋体"/>
          <w:b/>
          <w:kern w:val="0"/>
          <w:sz w:val="24"/>
          <w:szCs w:val="24"/>
        </w:rPr>
      </w:pPr>
      <w:bookmarkStart w:id="68" w:name="_Toc94585343"/>
      <w:bookmarkStart w:id="69" w:name="_Toc363573858"/>
      <w:r>
        <w:rPr>
          <w:rFonts w:hint="eastAsia" w:ascii="宋体" w:hAnsi="宋体" w:cs="宋体"/>
          <w:b/>
          <w:kern w:val="0"/>
          <w:sz w:val="24"/>
          <w:szCs w:val="24"/>
        </w:rPr>
        <w:t>一、关于合同</w:t>
      </w:r>
    </w:p>
    <w:p>
      <w:pPr>
        <w:spacing w:before="120" w:beforeLines="50" w:after="120" w:afterLines="50" w:line="300" w:lineRule="auto"/>
        <w:ind w:firstLine="480" w:firstLineChars="200"/>
        <w:rPr>
          <w:rFonts w:ascii="宋体" w:hAnsi="宋体" w:cs="宋体"/>
          <w:sz w:val="24"/>
          <w:szCs w:val="24"/>
        </w:rPr>
      </w:pPr>
      <w:r>
        <w:rPr>
          <w:rFonts w:hint="eastAsia" w:ascii="宋体" w:hAnsi="宋体" w:cs="宋体"/>
          <w:sz w:val="24"/>
          <w:szCs w:val="24"/>
        </w:rPr>
        <w:t>1、学校根据本次招标入围企业的名单，与入围单位签订合同，合同条款由学校与入围单位协商，入围供应商所供食品及原材料应符合学校要求。由于入围供应商物品质量而造成的后果，其风险、责任由入围供应商承担。</w:t>
      </w:r>
    </w:p>
    <w:p>
      <w:pPr>
        <w:spacing w:before="120" w:beforeLines="50" w:after="120" w:afterLines="50" w:line="300" w:lineRule="auto"/>
        <w:ind w:firstLine="480" w:firstLineChars="200"/>
        <w:rPr>
          <w:rFonts w:ascii="宋体" w:hAnsi="宋体" w:cs="宋体"/>
          <w:sz w:val="24"/>
          <w:szCs w:val="24"/>
        </w:rPr>
      </w:pPr>
      <w:r>
        <w:rPr>
          <w:rFonts w:hint="eastAsia" w:ascii="宋体" w:hAnsi="宋体" w:cs="宋体"/>
          <w:sz w:val="24"/>
          <w:szCs w:val="24"/>
        </w:rPr>
        <w:t>2、如因市场原因，原材料价格需要变动，由中标供应商提出书面申请，学校与中标供应商协商后，报南通市启秀中学膳食管理委员会同意后实施。</w:t>
      </w:r>
    </w:p>
    <w:p>
      <w:pPr>
        <w:snapToGrid w:val="0"/>
        <w:spacing w:before="120" w:beforeLines="50" w:after="120" w:afterLines="50" w:line="300" w:lineRule="auto"/>
        <w:ind w:firstLine="496" w:firstLineChars="206"/>
        <w:outlineLvl w:val="1"/>
        <w:rPr>
          <w:rFonts w:ascii="宋体" w:hAnsi="宋体" w:cs="宋体"/>
          <w:b/>
          <w:kern w:val="0"/>
          <w:sz w:val="24"/>
          <w:szCs w:val="24"/>
        </w:rPr>
      </w:pPr>
      <w:r>
        <w:rPr>
          <w:rFonts w:hint="eastAsia" w:ascii="宋体" w:hAnsi="宋体" w:cs="宋体"/>
          <w:b/>
          <w:kern w:val="0"/>
          <w:sz w:val="24"/>
          <w:szCs w:val="24"/>
        </w:rPr>
        <w:t>二、关于产品</w:t>
      </w:r>
    </w:p>
    <w:p>
      <w:pPr>
        <w:spacing w:before="120" w:beforeLines="50" w:after="120" w:afterLines="50" w:line="300" w:lineRule="auto"/>
        <w:ind w:firstLine="480" w:firstLineChars="200"/>
        <w:rPr>
          <w:rFonts w:ascii="宋体" w:hAnsi="宋体" w:cs="宋体"/>
          <w:sz w:val="24"/>
          <w:szCs w:val="24"/>
        </w:rPr>
      </w:pPr>
      <w:r>
        <w:rPr>
          <w:rFonts w:hint="eastAsia" w:ascii="宋体" w:hAnsi="宋体" w:cs="宋体"/>
          <w:sz w:val="24"/>
          <w:szCs w:val="24"/>
        </w:rPr>
        <w:t>供货商提供的产品必须符合《国家标准》（GB），农产品符合《中华人民共和国农业行业标准》（NY）和其它相应的标准，同时，要满足学校对产品的其它质量要求并必须确保食品安全。</w:t>
      </w:r>
    </w:p>
    <w:p>
      <w:pPr>
        <w:snapToGrid w:val="0"/>
        <w:spacing w:before="120" w:beforeLines="50" w:after="120" w:afterLines="50" w:line="300" w:lineRule="auto"/>
        <w:ind w:firstLine="496" w:firstLineChars="206"/>
        <w:outlineLvl w:val="1"/>
        <w:rPr>
          <w:rFonts w:ascii="宋体" w:hAnsi="宋体" w:cs="宋体"/>
          <w:b/>
          <w:kern w:val="0"/>
          <w:sz w:val="24"/>
          <w:szCs w:val="24"/>
        </w:rPr>
      </w:pPr>
      <w:r>
        <w:rPr>
          <w:rFonts w:hint="eastAsia" w:ascii="宋体" w:hAnsi="宋体" w:cs="宋体"/>
          <w:b/>
          <w:kern w:val="0"/>
          <w:sz w:val="24"/>
          <w:szCs w:val="24"/>
        </w:rPr>
        <w:t>三、关于价格</w:t>
      </w:r>
    </w:p>
    <w:p>
      <w:pPr>
        <w:spacing w:before="120" w:beforeLines="50" w:after="120" w:afterLines="50" w:line="300" w:lineRule="auto"/>
        <w:ind w:firstLine="480" w:firstLineChars="200"/>
        <w:rPr>
          <w:kern w:val="0"/>
          <w:sz w:val="24"/>
          <w:szCs w:val="24"/>
        </w:rPr>
      </w:pPr>
      <w:r>
        <w:rPr>
          <w:kern w:val="0"/>
          <w:sz w:val="24"/>
          <w:szCs w:val="24"/>
        </w:rPr>
        <w:t>1、供应食堂原辅料的价格必须低于同期南通市农副产品市场同类品种平均价格和大型超市（以大润发为采样点）同类价格，确保相应的下浮比例。</w:t>
      </w:r>
    </w:p>
    <w:p>
      <w:pPr>
        <w:spacing w:before="120" w:beforeLines="50" w:after="120" w:afterLines="50" w:line="300" w:lineRule="auto"/>
        <w:ind w:firstLine="480" w:firstLineChars="200"/>
        <w:rPr>
          <w:bCs/>
          <w:sz w:val="24"/>
          <w:szCs w:val="24"/>
        </w:rPr>
      </w:pPr>
      <w:r>
        <w:rPr>
          <w:kern w:val="0"/>
          <w:sz w:val="24"/>
          <w:szCs w:val="24"/>
        </w:rPr>
        <w:t>（1）供应商供应的粳米（二级、三级）以</w:t>
      </w:r>
      <w:r>
        <w:rPr>
          <w:bCs/>
          <w:sz w:val="24"/>
          <w:szCs w:val="24"/>
        </w:rPr>
        <w:t>南通市发展改革委员会网站（http://fgw.nantong.gov.cn/）公布</w:t>
      </w:r>
      <w:r>
        <w:rPr>
          <w:rFonts w:ascii="宋体" w:hAnsi="宋体"/>
          <w:bCs/>
          <w:sz w:val="24"/>
          <w:szCs w:val="24"/>
        </w:rPr>
        <w:t>的“市场价格”栏“主副食品价格”的南通市区部分市场主</w:t>
      </w:r>
      <w:r>
        <w:rPr>
          <w:bCs/>
          <w:sz w:val="24"/>
          <w:szCs w:val="24"/>
        </w:rPr>
        <w:t>副食品价格的平均价</w:t>
      </w:r>
      <w:r>
        <w:rPr>
          <w:rFonts w:hint="eastAsia"/>
          <w:bCs/>
          <w:sz w:val="24"/>
          <w:szCs w:val="24"/>
        </w:rPr>
        <w:t>作为市场价，</w:t>
      </w:r>
      <w:r>
        <w:rPr>
          <w:bCs/>
          <w:sz w:val="24"/>
          <w:szCs w:val="24"/>
        </w:rPr>
        <w:t>在此基础上下浮。</w:t>
      </w:r>
    </w:p>
    <w:p>
      <w:pPr>
        <w:spacing w:before="120" w:beforeLines="50" w:after="120" w:afterLines="50" w:line="300" w:lineRule="auto"/>
        <w:ind w:firstLine="480" w:firstLineChars="200"/>
        <w:rPr>
          <w:rFonts w:hint="eastAsia" w:ascii="Times New Roman" w:hAnsi="Times New Roman" w:cs="Times New Roman"/>
          <w:bCs/>
          <w:sz w:val="24"/>
          <w:szCs w:val="24"/>
        </w:rPr>
      </w:pPr>
      <w:r>
        <w:rPr>
          <w:bCs/>
          <w:sz w:val="24"/>
          <w:szCs w:val="24"/>
        </w:rPr>
        <w:t>（2）南通市发展改革委员会网站未公布的食材价格，以学校定期向供应商询价的价格为</w:t>
      </w:r>
      <w:r>
        <w:rPr>
          <w:rFonts w:hint="eastAsia" w:ascii="Times New Roman" w:hAnsi="Times New Roman" w:cs="Times New Roman"/>
          <w:bCs/>
          <w:sz w:val="24"/>
          <w:szCs w:val="24"/>
        </w:rPr>
        <w:t>依据。同时学校组织询价小组按照所采购类别不定期到菜市场（东方、学田、太阳鑫城菜市场）进行询价，作为补充依据。</w:t>
      </w:r>
    </w:p>
    <w:p>
      <w:pPr>
        <w:spacing w:before="120" w:beforeLines="50" w:after="120" w:afterLines="50" w:line="300" w:lineRule="auto"/>
        <w:ind w:firstLine="480" w:firstLineChars="200"/>
        <w:rPr>
          <w:rFonts w:hint="eastAsia" w:eastAsia="宋体"/>
          <w:lang w:eastAsia="zh-CN"/>
        </w:rPr>
      </w:pPr>
      <w:r>
        <w:rPr>
          <w:rFonts w:hint="eastAsia" w:ascii="Times New Roman" w:hAnsi="Times New Roman" w:cs="Times New Roman"/>
          <w:bCs/>
          <w:sz w:val="24"/>
          <w:szCs w:val="24"/>
          <w:lang w:val="en-US" w:eastAsia="zh-CN"/>
        </w:rPr>
        <w:t>（3）供应商提供的饮品、点心的价格需低于同期南通市大型连锁面包生产企业同类产品价格，以同期南通市大型连锁面包生产企业（聚香园、欧佩拉）同类产品的平均价格为市场价，在此基础上下浮。连锁面包生产企业未生产的相同规格饮品、点心，以学校定期向供应商询价的价格为依据。同时学校组织询价小组按照产品类别、规格不定期到南通市各类面包生产企业进行询价，作为补充依据。</w:t>
      </w:r>
    </w:p>
    <w:p>
      <w:pPr>
        <w:spacing w:before="120" w:beforeLines="50" w:after="120" w:afterLines="50" w:line="300" w:lineRule="auto"/>
        <w:ind w:firstLine="480" w:firstLineChars="200"/>
        <w:rPr>
          <w:kern w:val="0"/>
          <w:sz w:val="24"/>
          <w:szCs w:val="24"/>
        </w:rPr>
      </w:pPr>
      <w:r>
        <w:rPr>
          <w:kern w:val="0"/>
          <w:sz w:val="24"/>
          <w:szCs w:val="24"/>
        </w:rPr>
        <w:t>2、产品定价机制：</w:t>
      </w:r>
    </w:p>
    <w:p>
      <w:pPr>
        <w:spacing w:before="120" w:beforeLines="50" w:after="120" w:afterLines="50" w:line="300" w:lineRule="auto"/>
        <w:ind w:firstLine="482" w:firstLineChars="200"/>
        <w:rPr>
          <w:rFonts w:ascii="宋体" w:hAnsi="宋体" w:cs="宋体"/>
          <w:b/>
          <w:kern w:val="0"/>
          <w:sz w:val="24"/>
          <w:szCs w:val="24"/>
        </w:rPr>
      </w:pPr>
      <w:r>
        <w:rPr>
          <w:rFonts w:hint="eastAsia" w:ascii="宋体" w:hAnsi="宋体" w:cs="宋体"/>
          <w:b/>
          <w:kern w:val="0"/>
          <w:sz w:val="24"/>
          <w:szCs w:val="24"/>
        </w:rPr>
        <w:t>供应价=市场价×（1—承诺下浮率）</w:t>
      </w:r>
    </w:p>
    <w:p>
      <w:pPr>
        <w:spacing w:before="120" w:beforeLines="50" w:after="120" w:afterLines="50" w:line="300" w:lineRule="auto"/>
        <w:ind w:firstLine="480" w:firstLineChars="200"/>
        <w:rPr>
          <w:kern w:val="0"/>
          <w:szCs w:val="21"/>
        </w:rPr>
      </w:pPr>
      <w:r>
        <w:rPr>
          <w:kern w:val="0"/>
          <w:sz w:val="24"/>
          <w:szCs w:val="24"/>
        </w:rPr>
        <w:t>3、供应价包含材料采购价、利润、人工费、相关税费、运输到指定地点的装运费、搬卸费及各种损耗、检测费等一切费用。</w:t>
      </w:r>
    </w:p>
    <w:p>
      <w:pPr>
        <w:snapToGrid w:val="0"/>
        <w:spacing w:before="120" w:beforeLines="50" w:after="120" w:afterLines="50" w:line="300" w:lineRule="auto"/>
        <w:ind w:firstLine="496" w:firstLineChars="206"/>
        <w:outlineLvl w:val="1"/>
        <w:rPr>
          <w:rFonts w:ascii="宋体" w:hAnsi="宋体" w:cs="宋体"/>
          <w:b/>
          <w:kern w:val="0"/>
          <w:sz w:val="24"/>
          <w:szCs w:val="24"/>
        </w:rPr>
      </w:pPr>
      <w:r>
        <w:rPr>
          <w:rFonts w:hint="eastAsia" w:ascii="宋体" w:hAnsi="宋体" w:cs="宋体"/>
          <w:b/>
          <w:kern w:val="0"/>
          <w:sz w:val="24"/>
          <w:szCs w:val="24"/>
        </w:rPr>
        <w:t>四、关于付款</w:t>
      </w:r>
    </w:p>
    <w:p>
      <w:pPr>
        <w:spacing w:before="120" w:beforeLines="50" w:after="120" w:afterLines="50" w:line="300" w:lineRule="auto"/>
        <w:ind w:firstLine="480" w:firstLineChars="200"/>
        <w:rPr>
          <w:rFonts w:ascii="宋体" w:hAnsi="宋体" w:cs="宋体"/>
          <w:sz w:val="24"/>
          <w:szCs w:val="24"/>
        </w:rPr>
      </w:pPr>
      <w:r>
        <w:rPr>
          <w:rFonts w:hint="eastAsia" w:ascii="宋体" w:hAnsi="宋体" w:cs="宋体"/>
          <w:sz w:val="24"/>
          <w:szCs w:val="24"/>
        </w:rPr>
        <w:t>食堂所需食品及原材料根据双方签订的合同及学校的具体需求，由供应商按时供货，供货完毕后，经学校验收合格后，按供货批次、供货日期登记入帐，中标单位于每月二十五日前到学校食堂对帐、严格按照各类别每500g（或500ml）单价*（1-下浮率）结算，供应商开具正式发票，款项由学校按相关财务支付规定办理支付手续，学校将于次月20日前付款。</w:t>
      </w:r>
    </w:p>
    <w:p>
      <w:pPr>
        <w:snapToGrid w:val="0"/>
        <w:spacing w:before="120" w:beforeLines="50" w:after="120" w:afterLines="50" w:line="300" w:lineRule="auto"/>
        <w:ind w:firstLine="496" w:firstLineChars="206"/>
        <w:outlineLvl w:val="1"/>
        <w:rPr>
          <w:rFonts w:ascii="宋体" w:hAnsi="宋体" w:cs="宋体"/>
          <w:b/>
          <w:kern w:val="0"/>
          <w:sz w:val="24"/>
          <w:szCs w:val="24"/>
        </w:rPr>
      </w:pPr>
      <w:r>
        <w:rPr>
          <w:rFonts w:hint="eastAsia" w:ascii="宋体" w:hAnsi="宋体" w:cs="宋体"/>
          <w:b/>
          <w:kern w:val="0"/>
          <w:sz w:val="24"/>
          <w:szCs w:val="24"/>
        </w:rPr>
        <w:t>五、其它</w:t>
      </w:r>
    </w:p>
    <w:p>
      <w:pPr>
        <w:spacing w:before="120" w:beforeLines="50" w:after="120" w:afterLines="50" w:line="300" w:lineRule="auto"/>
        <w:ind w:firstLine="480" w:firstLineChars="200"/>
        <w:rPr>
          <w:rFonts w:ascii="宋体" w:hAnsi="宋体" w:cs="宋体"/>
          <w:sz w:val="24"/>
          <w:szCs w:val="24"/>
        </w:rPr>
      </w:pPr>
      <w:r>
        <w:rPr>
          <w:rFonts w:hint="eastAsia" w:ascii="宋体" w:hAnsi="宋体" w:cs="宋体"/>
          <w:sz w:val="24"/>
          <w:szCs w:val="24"/>
        </w:rPr>
        <w:t>1、在接到学校正式下达的食品原材料数量后，中标供应商方可进行原材料备货。</w:t>
      </w:r>
    </w:p>
    <w:p>
      <w:pPr>
        <w:spacing w:before="120" w:beforeLines="50" w:after="120" w:afterLines="50" w:line="300" w:lineRule="auto"/>
        <w:ind w:firstLine="480" w:firstLineChars="200"/>
        <w:rPr>
          <w:rFonts w:ascii="宋体" w:hAnsi="宋体" w:cs="宋体"/>
          <w:sz w:val="24"/>
          <w:szCs w:val="24"/>
        </w:rPr>
      </w:pPr>
      <w:r>
        <w:rPr>
          <w:rFonts w:hint="eastAsia" w:ascii="宋体" w:hAnsi="宋体" w:cs="宋体"/>
          <w:sz w:val="24"/>
          <w:szCs w:val="24"/>
        </w:rPr>
        <w:t>2、关于质量：中标供应商在食品配送过程中，一旦发生质量问题，立即无条件终止供货，废除中标资格，并取消以后参加南通市启秀中学食堂食品原材料供应商资格准入项目的投标资格。</w:t>
      </w:r>
    </w:p>
    <w:p>
      <w:pPr>
        <w:spacing w:before="120" w:beforeLines="50" w:after="120" w:afterLines="50" w:line="300" w:lineRule="auto"/>
        <w:ind w:firstLine="480" w:firstLineChars="200"/>
        <w:rPr>
          <w:rFonts w:ascii="宋体" w:hAnsi="宋体" w:cs="宋体"/>
          <w:sz w:val="24"/>
          <w:szCs w:val="24"/>
        </w:rPr>
      </w:pPr>
      <w:r>
        <w:rPr>
          <w:rFonts w:hint="eastAsia" w:ascii="宋体" w:hAnsi="宋体" w:cs="宋体"/>
          <w:sz w:val="24"/>
          <w:szCs w:val="24"/>
        </w:rPr>
        <w:t>备注：常见质量问题（但不限于以下所列质量问题）：</w:t>
      </w:r>
    </w:p>
    <w:p>
      <w:pPr>
        <w:spacing w:before="120" w:beforeLines="50" w:after="120" w:afterLines="50" w:line="300" w:lineRule="auto"/>
        <w:ind w:firstLine="480" w:firstLineChars="200"/>
        <w:rPr>
          <w:rFonts w:ascii="宋体" w:hAnsi="宋体" w:cs="宋体"/>
          <w:sz w:val="24"/>
          <w:szCs w:val="24"/>
        </w:rPr>
      </w:pPr>
      <w:r>
        <w:rPr>
          <w:rFonts w:hint="eastAsia" w:ascii="宋体" w:hAnsi="宋体" w:cs="宋体"/>
          <w:sz w:val="24"/>
          <w:szCs w:val="24"/>
        </w:rPr>
        <w:t>（1）腐败变质油脂酸败、霉变生虫、污秽不洁等对人体健康有害的；</w:t>
      </w:r>
    </w:p>
    <w:p>
      <w:pPr>
        <w:spacing w:before="120" w:beforeLines="50" w:after="120" w:afterLines="50" w:line="300" w:lineRule="auto"/>
        <w:ind w:firstLine="480" w:firstLineChars="200"/>
        <w:rPr>
          <w:rFonts w:ascii="宋体" w:hAnsi="宋体" w:cs="宋体"/>
          <w:sz w:val="24"/>
          <w:szCs w:val="24"/>
        </w:rPr>
      </w:pPr>
      <w:r>
        <w:rPr>
          <w:rFonts w:hint="eastAsia" w:ascii="宋体" w:hAnsi="宋体" w:cs="宋体"/>
          <w:sz w:val="24"/>
          <w:szCs w:val="24"/>
        </w:rPr>
        <w:t>（2）有毒有害物品、寄生虫、微生物或微生物含量超过国家规定标准的，未经动物部门检疫或检疫不合格的；</w:t>
      </w:r>
    </w:p>
    <w:p>
      <w:pPr>
        <w:spacing w:before="120" w:beforeLines="50" w:after="120" w:afterLines="50" w:line="300" w:lineRule="auto"/>
        <w:ind w:firstLine="480" w:firstLineChars="200"/>
        <w:rPr>
          <w:rFonts w:ascii="宋体" w:hAnsi="宋体" w:cs="宋体"/>
          <w:sz w:val="24"/>
          <w:szCs w:val="24"/>
        </w:rPr>
      </w:pPr>
      <w:r>
        <w:rPr>
          <w:rFonts w:hint="eastAsia" w:ascii="宋体" w:hAnsi="宋体" w:cs="宋体"/>
          <w:sz w:val="24"/>
          <w:szCs w:val="24"/>
        </w:rPr>
        <w:t>（3）掺假、掺杂、造假；</w:t>
      </w:r>
    </w:p>
    <w:p>
      <w:pPr>
        <w:spacing w:before="120" w:beforeLines="50" w:after="120" w:afterLines="50" w:line="300" w:lineRule="auto"/>
        <w:ind w:firstLine="480" w:firstLineChars="200"/>
        <w:rPr>
          <w:rFonts w:ascii="宋体" w:hAnsi="宋体" w:cs="宋体"/>
          <w:sz w:val="24"/>
          <w:szCs w:val="24"/>
        </w:rPr>
      </w:pPr>
      <w:r>
        <w:rPr>
          <w:rFonts w:hint="eastAsia" w:ascii="宋体" w:hAnsi="宋体" w:cs="宋体"/>
          <w:sz w:val="24"/>
          <w:szCs w:val="24"/>
        </w:rPr>
        <w:t>（4）用非食品原料加工或加入非食品用化学物质的；</w:t>
      </w:r>
    </w:p>
    <w:p>
      <w:pPr>
        <w:spacing w:before="120" w:beforeLines="50" w:after="120" w:afterLines="50" w:line="300" w:lineRule="auto"/>
        <w:ind w:firstLine="480" w:firstLineChars="200"/>
        <w:rPr>
          <w:rFonts w:ascii="宋体" w:hAnsi="宋体" w:cs="宋体"/>
          <w:sz w:val="24"/>
          <w:szCs w:val="24"/>
        </w:rPr>
      </w:pPr>
      <w:r>
        <w:rPr>
          <w:rFonts w:hint="eastAsia" w:ascii="宋体" w:hAnsi="宋体" w:cs="宋体"/>
          <w:sz w:val="24"/>
          <w:szCs w:val="24"/>
        </w:rPr>
        <w:t>（5）超过保质期的；</w:t>
      </w:r>
    </w:p>
    <w:p>
      <w:pPr>
        <w:spacing w:before="120" w:beforeLines="50" w:after="120" w:afterLines="50" w:line="300" w:lineRule="auto"/>
        <w:ind w:firstLine="480" w:firstLineChars="200"/>
        <w:rPr>
          <w:rFonts w:ascii="宋体" w:hAnsi="宋体" w:cs="宋体"/>
          <w:sz w:val="24"/>
          <w:szCs w:val="24"/>
        </w:rPr>
      </w:pPr>
      <w:r>
        <w:rPr>
          <w:rFonts w:hint="eastAsia" w:ascii="宋体" w:hAnsi="宋体" w:cs="宋体"/>
          <w:sz w:val="24"/>
          <w:szCs w:val="24"/>
        </w:rPr>
        <w:t>（6）使用国家禁止材料的；</w:t>
      </w:r>
    </w:p>
    <w:p>
      <w:pPr>
        <w:spacing w:before="120" w:beforeLines="50" w:after="120" w:afterLines="50" w:line="300" w:lineRule="auto"/>
        <w:ind w:firstLine="480" w:firstLineChars="200"/>
        <w:rPr>
          <w:rFonts w:ascii="宋体" w:hAnsi="宋体" w:cs="宋体"/>
          <w:sz w:val="24"/>
          <w:szCs w:val="24"/>
        </w:rPr>
      </w:pPr>
      <w:r>
        <w:rPr>
          <w:rFonts w:hint="eastAsia" w:ascii="宋体" w:hAnsi="宋体" w:cs="宋体"/>
          <w:sz w:val="24"/>
          <w:szCs w:val="24"/>
        </w:rPr>
        <w:t>（7）其它原因造成不符合安全等规定的。</w:t>
      </w:r>
    </w:p>
    <w:p>
      <w:pPr>
        <w:pStyle w:val="3"/>
      </w:pPr>
      <w:r>
        <w:rPr>
          <w:rFonts w:ascii="宋体" w:hAnsi="宋体" w:cs="宋体"/>
          <w:i/>
          <w:iCs/>
          <w:szCs w:val="44"/>
        </w:rPr>
        <w:br w:type="page"/>
      </w:r>
      <w:bookmarkStart w:id="70" w:name="_Toc47957224"/>
      <w:r>
        <w:rPr>
          <w:rFonts w:hint="eastAsia"/>
        </w:rPr>
        <w:t>第六章  合同授予</w:t>
      </w:r>
      <w:bookmarkEnd w:id="70"/>
    </w:p>
    <w:p>
      <w:pPr>
        <w:pStyle w:val="16"/>
        <w:spacing w:before="120" w:beforeLines="50" w:after="120" w:afterLines="50" w:line="300" w:lineRule="auto"/>
        <w:ind w:firstLine="480" w:firstLineChars="200"/>
        <w:rPr>
          <w:sz w:val="24"/>
          <w:szCs w:val="24"/>
        </w:rPr>
      </w:pPr>
      <w:r>
        <w:rPr>
          <w:rFonts w:hint="eastAsia" w:ascii="宋体" w:hAnsi="宋体" w:cs="宋体"/>
          <w:color w:val="000000"/>
          <w:sz w:val="24"/>
          <w:szCs w:val="24"/>
        </w:rPr>
        <w:t>一、</w:t>
      </w:r>
      <w:r>
        <w:rPr>
          <w:rFonts w:hint="eastAsia" w:ascii="宋体" w:hAnsi="宋体" w:cs="宋体"/>
          <w:kern w:val="0"/>
          <w:sz w:val="24"/>
          <w:szCs w:val="24"/>
        </w:rPr>
        <w:t>由于项目供货时间紧迫，成交供应商在《成交通知书》发出3个工作日内必须按照磋商文件确定的事项与南通市启秀中学签订采购合同。</w:t>
      </w:r>
      <w:r>
        <w:rPr>
          <w:rFonts w:hint="eastAsia"/>
          <w:sz w:val="24"/>
          <w:szCs w:val="24"/>
        </w:rPr>
        <w:t>合同一式四份，采购单位、入围供应商、南通市启秀中学膳食管理委员会、南通市教育局各一份。</w:t>
      </w:r>
      <w:r>
        <w:rPr>
          <w:rFonts w:hint="eastAsia" w:ascii="宋体" w:hAnsi="宋体" w:cs="宋体"/>
          <w:kern w:val="0"/>
          <w:sz w:val="24"/>
          <w:szCs w:val="24"/>
        </w:rPr>
        <w:t>所签合同不得对磋商文件作实质性修改。采购单位不得向成交供应商提出不合理的要求作为签订合同的条件，不得与成交供应商私下订立背离磋商文件实质性内容的协议。</w:t>
      </w:r>
    </w:p>
    <w:p>
      <w:pPr>
        <w:snapToGrid w:val="0"/>
        <w:spacing w:before="120" w:beforeLines="50" w:after="120" w:afterLines="50" w:line="300" w:lineRule="auto"/>
        <w:ind w:firstLine="480" w:firstLineChars="200"/>
        <w:rPr>
          <w:rFonts w:ascii="宋体" w:hAnsi="宋体" w:cs="宋体"/>
          <w:color w:val="000000"/>
          <w:sz w:val="24"/>
          <w:szCs w:val="24"/>
        </w:rPr>
      </w:pPr>
      <w:r>
        <w:rPr>
          <w:rFonts w:hint="eastAsia" w:ascii="宋体" w:hAnsi="宋体" w:cs="宋体"/>
          <w:color w:val="000000"/>
          <w:sz w:val="24"/>
          <w:szCs w:val="24"/>
        </w:rPr>
        <w:t>二、采购单位按合同约定积极配合中标人履约，中标人履约到位后，请以书面形式向采购单位提出验收申请，采购单位接到申请后原则上在</w:t>
      </w:r>
      <w:r>
        <w:rPr>
          <w:rFonts w:ascii="宋体" w:hAnsi="宋体" w:cs="宋体"/>
          <w:color w:val="000000"/>
          <w:sz w:val="24"/>
          <w:szCs w:val="24"/>
        </w:rPr>
        <w:t>1</w:t>
      </w:r>
      <w:r>
        <w:rPr>
          <w:rFonts w:hint="eastAsia" w:ascii="宋体" w:hAnsi="宋体" w:cs="宋体"/>
          <w:color w:val="000000"/>
          <w:sz w:val="24"/>
          <w:szCs w:val="24"/>
        </w:rPr>
        <w:t>个工作日内及时组织相关专业技术人员，必要时邀请质检等部门共同参与验收，并出具验收报告，验收合格的登记入账，并按照合同相关约定支付相应款项。</w:t>
      </w:r>
    </w:p>
    <w:p>
      <w:pPr>
        <w:snapToGrid w:val="0"/>
        <w:spacing w:before="120" w:beforeLines="50" w:after="120" w:afterLines="50" w:line="300" w:lineRule="auto"/>
        <w:ind w:firstLine="480" w:firstLineChars="200"/>
        <w:rPr>
          <w:rFonts w:ascii="宋体" w:hAnsi="宋体" w:cs="宋体"/>
          <w:color w:val="000000"/>
          <w:sz w:val="24"/>
          <w:szCs w:val="24"/>
        </w:rPr>
      </w:pPr>
      <w:r>
        <w:rPr>
          <w:rFonts w:hint="eastAsia" w:ascii="宋体" w:hAnsi="宋体" w:cs="宋体"/>
          <w:color w:val="000000"/>
          <w:sz w:val="24"/>
          <w:szCs w:val="24"/>
        </w:rPr>
        <w:t>三、采购单位故意推迟项目验收时间的，与中标人串通或要求中标人通过减少货物数量或降低服务标准的，在履行合同中采取更改配置、调换物品等手段的，要求中标人出具虚假发票或任意更改销售发票的，谋取不正当利益的，承担相应的法律责任。</w:t>
      </w:r>
    </w:p>
    <w:p>
      <w:pPr>
        <w:snapToGrid w:val="0"/>
        <w:spacing w:before="120" w:beforeLines="50" w:after="120" w:afterLines="50" w:line="300" w:lineRule="auto"/>
        <w:ind w:firstLine="480" w:firstLineChars="200"/>
        <w:rPr>
          <w:rFonts w:ascii="宋体" w:hAnsi="宋体" w:cs="宋体"/>
          <w:color w:val="000000"/>
          <w:sz w:val="24"/>
          <w:szCs w:val="24"/>
        </w:rPr>
      </w:pPr>
      <w:r>
        <w:rPr>
          <w:rFonts w:hint="eastAsia" w:ascii="宋体" w:hAnsi="宋体" w:cs="宋体"/>
          <w:color w:val="000000"/>
          <w:sz w:val="24"/>
          <w:szCs w:val="24"/>
        </w:rPr>
        <w:t>四、中标人出现违约情形，应当及时纠正或补偿；造成损失的，按合同约定追究违约责任；发现有假冒、伪劣、走私产品、商业贿赂等违法情形的，应由采购单位移交工商、质监、公安等行政执法部门依法查处。</w:t>
      </w:r>
    </w:p>
    <w:p>
      <w:pPr>
        <w:snapToGrid w:val="0"/>
        <w:spacing w:before="120" w:beforeLines="50" w:after="120" w:afterLines="50" w:line="300" w:lineRule="auto"/>
        <w:ind w:firstLine="480" w:firstLineChars="200"/>
        <w:rPr>
          <w:rFonts w:ascii="宋体" w:hAnsi="宋体" w:cs="宋体"/>
          <w:color w:val="000000"/>
          <w:sz w:val="24"/>
          <w:szCs w:val="24"/>
        </w:rPr>
      </w:pPr>
      <w:r>
        <w:rPr>
          <w:rFonts w:hint="eastAsia" w:ascii="宋体" w:hAnsi="宋体" w:cs="宋体"/>
          <w:color w:val="000000"/>
          <w:sz w:val="24"/>
          <w:szCs w:val="24"/>
        </w:rPr>
        <w:t>五、不响应付款方式的，视同响应文件无效，按无效响应文件处理。</w:t>
      </w:r>
    </w:p>
    <w:p>
      <w:pPr>
        <w:snapToGrid w:val="0"/>
        <w:spacing w:before="120" w:beforeLines="50" w:after="120" w:afterLines="50" w:line="300" w:lineRule="auto"/>
        <w:ind w:firstLine="480" w:firstLineChars="200"/>
        <w:rPr>
          <w:rFonts w:ascii="宋体" w:hAnsi="宋体" w:cs="宋体"/>
          <w:color w:val="000000"/>
          <w:sz w:val="24"/>
          <w:szCs w:val="24"/>
        </w:rPr>
      </w:pPr>
      <w:r>
        <w:rPr>
          <w:rFonts w:hint="eastAsia" w:ascii="宋体" w:hAnsi="宋体" w:cs="宋体"/>
          <w:color w:val="000000"/>
          <w:sz w:val="24"/>
          <w:szCs w:val="24"/>
        </w:rPr>
        <w:t>六、付款方</w:t>
      </w:r>
      <w:r>
        <w:rPr>
          <w:rFonts w:hint="eastAsia" w:ascii="宋体" w:hAnsi="宋体" w:cs="宋体"/>
          <w:sz w:val="24"/>
          <w:szCs w:val="24"/>
        </w:rPr>
        <w:t>式详见磋商文件第五</w:t>
      </w:r>
      <w:r>
        <w:rPr>
          <w:rFonts w:hint="eastAsia" w:ascii="宋体" w:hAnsi="宋体" w:cs="宋体"/>
          <w:color w:val="000000"/>
          <w:sz w:val="24"/>
          <w:szCs w:val="24"/>
        </w:rPr>
        <w:t>章。</w:t>
      </w:r>
    </w:p>
    <w:p>
      <w:pPr>
        <w:snapToGrid w:val="0"/>
        <w:spacing w:before="120" w:beforeLines="50" w:after="120" w:afterLines="50" w:line="300" w:lineRule="auto"/>
        <w:ind w:firstLine="480" w:firstLineChars="200"/>
        <w:rPr>
          <w:rFonts w:ascii="宋体" w:hAnsi="宋体" w:cs="宋体"/>
          <w:color w:val="000000"/>
          <w:sz w:val="24"/>
          <w:szCs w:val="24"/>
        </w:rPr>
      </w:pPr>
      <w:r>
        <w:rPr>
          <w:rFonts w:hint="eastAsia" w:ascii="宋体" w:hAnsi="宋体" w:cs="宋体"/>
          <w:color w:val="000000"/>
          <w:sz w:val="24"/>
          <w:szCs w:val="24"/>
        </w:rPr>
        <w:t>七、以上项目款的支付不计息。</w:t>
      </w:r>
    </w:p>
    <w:p>
      <w:pPr>
        <w:snapToGrid w:val="0"/>
        <w:spacing w:before="120" w:beforeLines="50" w:after="120" w:afterLines="50" w:line="300" w:lineRule="auto"/>
        <w:ind w:firstLine="573"/>
        <w:rPr>
          <w:rFonts w:ascii="宋体" w:hAnsi="宋体" w:cs="宋体"/>
          <w:color w:val="000000"/>
          <w:sz w:val="24"/>
          <w:szCs w:val="24"/>
        </w:rPr>
      </w:pPr>
    </w:p>
    <w:p>
      <w:pPr>
        <w:pStyle w:val="3"/>
      </w:pPr>
      <w:r>
        <w:rPr>
          <w:rFonts w:ascii="宋体" w:hAnsi="宋体" w:cs="宋体"/>
          <w:i/>
          <w:color w:val="000000"/>
          <w:szCs w:val="44"/>
        </w:rPr>
        <w:br w:type="page"/>
      </w:r>
      <w:bookmarkStart w:id="71" w:name="_Toc47957225"/>
      <w:r>
        <w:rPr>
          <w:rFonts w:hint="eastAsia"/>
        </w:rPr>
        <w:t xml:space="preserve">第七章 </w:t>
      </w:r>
      <w:r>
        <w:t xml:space="preserve"> </w:t>
      </w:r>
      <w:r>
        <w:rPr>
          <w:rFonts w:hint="eastAsia"/>
        </w:rPr>
        <w:t>质疑提出和处理</w:t>
      </w:r>
      <w:bookmarkEnd w:id="71"/>
    </w:p>
    <w:p>
      <w:pPr>
        <w:adjustRightInd w:val="0"/>
        <w:snapToGrid w:val="0"/>
        <w:spacing w:before="120" w:beforeLines="50" w:after="120" w:afterLines="50" w:line="300" w:lineRule="auto"/>
        <w:ind w:firstLine="480" w:firstLineChars="200"/>
        <w:rPr>
          <w:rFonts w:ascii="宋体" w:hAnsi="宋体" w:cs="宋体"/>
          <w:color w:val="000000"/>
          <w:sz w:val="24"/>
          <w:szCs w:val="24"/>
        </w:rPr>
      </w:pPr>
      <w:r>
        <w:rPr>
          <w:rFonts w:hint="eastAsia" w:ascii="宋体" w:hAnsi="宋体" w:cs="宋体"/>
          <w:color w:val="000000"/>
          <w:sz w:val="24"/>
          <w:szCs w:val="24"/>
        </w:rPr>
        <w:t>格式请在南通政府采购网“下载中心--有关质疑资料”下载</w:t>
      </w:r>
    </w:p>
    <w:p>
      <w:pPr>
        <w:snapToGrid w:val="0"/>
        <w:spacing w:before="120" w:beforeLines="50" w:after="120" w:afterLines="50" w:line="300" w:lineRule="auto"/>
        <w:ind w:firstLine="496" w:firstLineChars="206"/>
        <w:outlineLvl w:val="1"/>
        <w:rPr>
          <w:rFonts w:ascii="宋体" w:hAnsi="宋体" w:cs="宋体"/>
          <w:b/>
          <w:kern w:val="0"/>
          <w:sz w:val="24"/>
          <w:szCs w:val="24"/>
        </w:rPr>
      </w:pPr>
      <w:r>
        <w:rPr>
          <w:rFonts w:hint="eastAsia" w:ascii="宋体" w:hAnsi="宋体" w:cs="宋体"/>
          <w:b/>
          <w:kern w:val="0"/>
          <w:sz w:val="24"/>
          <w:szCs w:val="24"/>
        </w:rPr>
        <w:t>一、质疑的提出</w:t>
      </w:r>
    </w:p>
    <w:p>
      <w:pPr>
        <w:adjustRightInd w:val="0"/>
        <w:snapToGrid w:val="0"/>
        <w:spacing w:before="120" w:beforeLines="50" w:after="120" w:afterLines="50" w:line="300" w:lineRule="auto"/>
        <w:ind w:firstLine="480" w:firstLineChars="200"/>
        <w:rPr>
          <w:rFonts w:ascii="宋体" w:hAnsi="宋体" w:cs="宋体"/>
          <w:color w:val="000000"/>
          <w:sz w:val="24"/>
          <w:szCs w:val="24"/>
        </w:rPr>
      </w:pPr>
      <w:r>
        <w:rPr>
          <w:rFonts w:hint="eastAsia" w:ascii="宋体" w:hAnsi="宋体" w:cs="宋体"/>
          <w:color w:val="000000"/>
          <w:sz w:val="24"/>
          <w:szCs w:val="24"/>
        </w:rPr>
        <w:t>1、质疑人必须是直接参加本次磋商活动的当事人。</w:t>
      </w:r>
    </w:p>
    <w:p>
      <w:pPr>
        <w:adjustRightInd w:val="0"/>
        <w:snapToGrid w:val="0"/>
        <w:spacing w:before="120" w:beforeLines="50" w:after="120" w:afterLines="50" w:line="300" w:lineRule="auto"/>
        <w:ind w:firstLine="480" w:firstLineChars="200"/>
        <w:rPr>
          <w:rFonts w:ascii="宋体" w:hAnsi="宋体" w:cs="宋体"/>
          <w:sz w:val="24"/>
          <w:szCs w:val="24"/>
        </w:rPr>
      </w:pPr>
      <w:r>
        <w:rPr>
          <w:rFonts w:hint="eastAsia" w:ascii="宋体" w:hAnsi="宋体" w:cs="宋体"/>
          <w:color w:val="000000"/>
          <w:sz w:val="24"/>
          <w:szCs w:val="24"/>
        </w:rPr>
        <w:t>2、下载磋商文件的供应商应</w:t>
      </w:r>
      <w:r>
        <w:rPr>
          <w:rFonts w:hint="eastAsia" w:ascii="宋体" w:hAnsi="宋体" w:cs="宋体"/>
          <w:sz w:val="24"/>
          <w:szCs w:val="24"/>
        </w:rPr>
        <w:t xml:space="preserve">根据第二章“磋商供应商须知”中第一条第4款的约定提出；响应文件接收截止后，供应商未进行磋商登记的，不能就响应文件接收截止后的招投标过程、成交结果提出质疑；在磋商过程中，凡主持人或评审小组明确提出须由供应商确认的事项，供应商当场无异议的，事后不得提出质疑。  </w:t>
      </w:r>
    </w:p>
    <w:p>
      <w:pPr>
        <w:adjustRightInd w:val="0"/>
        <w:snapToGrid w:val="0"/>
        <w:spacing w:before="120" w:beforeLines="50" w:after="120" w:afterLines="50" w:line="300" w:lineRule="auto"/>
        <w:ind w:firstLine="480" w:firstLineChars="200"/>
        <w:rPr>
          <w:rFonts w:ascii="宋体" w:hAnsi="宋体" w:cs="宋体"/>
          <w:sz w:val="24"/>
          <w:szCs w:val="24"/>
        </w:rPr>
      </w:pPr>
      <w:r>
        <w:rPr>
          <w:rFonts w:hint="eastAsia" w:ascii="宋体" w:hAnsi="宋体" w:cs="宋体"/>
          <w:sz w:val="24"/>
          <w:szCs w:val="24"/>
        </w:rPr>
        <w:t>3、提出质疑时，必须坚持“谁主张，谁举证”、“实事求是”的原则，不能臆测。属于须由法定部门调查、侦查或先行作出相关认定的事项，质疑人应当依法申请具有法定职权的部门查清、认定，并将相关结果提供给采购单位。采购单位不具有法定调查、认定权限。</w:t>
      </w:r>
    </w:p>
    <w:p>
      <w:pPr>
        <w:adjustRightInd w:val="0"/>
        <w:snapToGrid w:val="0"/>
        <w:spacing w:before="120" w:beforeLines="50" w:after="120" w:afterLines="50" w:line="300" w:lineRule="auto"/>
        <w:ind w:firstLine="480" w:firstLineChars="200"/>
        <w:rPr>
          <w:rFonts w:ascii="宋体" w:hAnsi="宋体" w:cs="宋体"/>
          <w:sz w:val="24"/>
          <w:szCs w:val="24"/>
        </w:rPr>
      </w:pPr>
      <w:r>
        <w:rPr>
          <w:rFonts w:hint="eastAsia" w:ascii="宋体" w:hAnsi="宋体" w:cs="宋体"/>
          <w:sz w:val="24"/>
          <w:szCs w:val="24"/>
        </w:rPr>
        <w:t>4、对本次招标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pPr>
        <w:adjustRightInd w:val="0"/>
        <w:snapToGrid w:val="0"/>
        <w:spacing w:before="120" w:beforeLines="50" w:after="120" w:afterLines="50" w:line="300" w:lineRule="auto"/>
        <w:ind w:firstLine="480" w:firstLineChars="200"/>
        <w:rPr>
          <w:rFonts w:ascii="宋体" w:hAnsi="宋体" w:cs="宋体"/>
          <w:sz w:val="24"/>
          <w:szCs w:val="24"/>
        </w:rPr>
      </w:pPr>
      <w:r>
        <w:rPr>
          <w:rFonts w:hint="eastAsia" w:ascii="宋体" w:hAnsi="宋体" w:cs="宋体"/>
          <w:sz w:val="24"/>
          <w:szCs w:val="24"/>
        </w:rPr>
        <w:t>对不能提供相关佐证材料的、涉及商业秘密的、非书面形式的、非送达的、匿名的《质疑函》将不予受理。</w:t>
      </w:r>
    </w:p>
    <w:p>
      <w:pPr>
        <w:adjustRightInd w:val="0"/>
        <w:snapToGrid w:val="0"/>
        <w:spacing w:before="120" w:beforeLines="50" w:after="120" w:afterLines="50" w:line="300" w:lineRule="auto"/>
        <w:ind w:firstLine="480" w:firstLineChars="200"/>
        <w:rPr>
          <w:rFonts w:ascii="宋体" w:hAnsi="宋体" w:cs="宋体"/>
          <w:sz w:val="24"/>
          <w:szCs w:val="24"/>
        </w:rPr>
      </w:pPr>
      <w:r>
        <w:rPr>
          <w:rFonts w:hint="eastAsia" w:ascii="宋体" w:hAnsi="宋体" w:cs="宋体"/>
          <w:sz w:val="24"/>
          <w:szCs w:val="24"/>
        </w:rPr>
        <w:t>相关佐证材料要具备客观性、关联性、合法性，无法查实的（如宣传册、媒体报道、猜测、推理等）不能作为佐证材料。</w:t>
      </w:r>
    </w:p>
    <w:p>
      <w:pPr>
        <w:adjustRightInd w:val="0"/>
        <w:snapToGrid w:val="0"/>
        <w:spacing w:before="120" w:beforeLines="50" w:after="120" w:afterLines="50" w:line="300" w:lineRule="auto"/>
        <w:ind w:firstLine="480" w:firstLineChars="200"/>
        <w:rPr>
          <w:rFonts w:ascii="宋体" w:hAnsi="宋体" w:cs="宋体"/>
          <w:sz w:val="24"/>
          <w:szCs w:val="24"/>
        </w:rPr>
      </w:pPr>
      <w:r>
        <w:rPr>
          <w:rFonts w:hint="eastAsia" w:ascii="宋体" w:hAnsi="宋体" w:cs="宋体"/>
          <w:sz w:val="24"/>
          <w:szCs w:val="24"/>
        </w:rPr>
        <w:t>采购单位不负责搜集相关佐证材料等工作。</w:t>
      </w:r>
    </w:p>
    <w:p>
      <w:pPr>
        <w:snapToGrid w:val="0"/>
        <w:spacing w:before="120" w:beforeLines="50" w:after="120" w:afterLines="50" w:line="300" w:lineRule="auto"/>
        <w:ind w:firstLine="496" w:firstLineChars="206"/>
        <w:outlineLvl w:val="1"/>
        <w:rPr>
          <w:rFonts w:ascii="宋体" w:hAnsi="宋体" w:cs="宋体"/>
          <w:b/>
          <w:kern w:val="0"/>
          <w:sz w:val="24"/>
          <w:szCs w:val="24"/>
        </w:rPr>
      </w:pPr>
      <w:r>
        <w:rPr>
          <w:rFonts w:hint="eastAsia" w:ascii="宋体" w:hAnsi="宋体" w:cs="宋体"/>
          <w:b/>
          <w:kern w:val="0"/>
          <w:sz w:val="24"/>
          <w:szCs w:val="24"/>
        </w:rPr>
        <w:t>二、《质疑函》的受理和回复</w:t>
      </w:r>
    </w:p>
    <w:p>
      <w:pPr>
        <w:adjustRightInd w:val="0"/>
        <w:snapToGrid w:val="0"/>
        <w:spacing w:before="120" w:beforeLines="50" w:after="120" w:afterLines="50" w:line="300" w:lineRule="auto"/>
        <w:ind w:firstLine="480" w:firstLineChars="200"/>
        <w:rPr>
          <w:rFonts w:ascii="宋体" w:hAnsi="宋体" w:cs="宋体"/>
          <w:color w:val="000000"/>
          <w:sz w:val="24"/>
          <w:szCs w:val="24"/>
        </w:rPr>
      </w:pPr>
      <w:r>
        <w:rPr>
          <w:rFonts w:hint="eastAsia" w:ascii="宋体" w:hAnsi="宋体" w:cs="宋体"/>
          <w:sz w:val="24"/>
          <w:szCs w:val="24"/>
        </w:rPr>
        <w:t>1、《质疑函》须由质疑人的法定代表人或参加本次磋商被授权人</w:t>
      </w:r>
      <w:r>
        <w:rPr>
          <w:rFonts w:hint="eastAsia" w:ascii="宋体" w:hAnsi="宋体" w:cs="宋体"/>
          <w:color w:val="000000"/>
          <w:sz w:val="24"/>
          <w:szCs w:val="24"/>
        </w:rPr>
        <w:t>送达采购单位。</w:t>
      </w:r>
    </w:p>
    <w:p>
      <w:pPr>
        <w:adjustRightInd w:val="0"/>
        <w:snapToGrid w:val="0"/>
        <w:spacing w:before="120" w:beforeLines="50" w:after="120" w:afterLines="50" w:line="300" w:lineRule="auto"/>
        <w:ind w:firstLine="480" w:firstLineChars="200"/>
        <w:rPr>
          <w:rFonts w:ascii="宋体" w:hAnsi="宋体" w:cs="宋体"/>
          <w:color w:val="000000"/>
          <w:sz w:val="24"/>
          <w:szCs w:val="24"/>
        </w:rPr>
      </w:pPr>
      <w:r>
        <w:rPr>
          <w:rFonts w:hint="eastAsia" w:ascii="宋体" w:hAnsi="宋体" w:cs="宋体"/>
          <w:color w:val="000000"/>
          <w:sz w:val="24"/>
          <w:szCs w:val="24"/>
        </w:rPr>
        <w:t>2、对符合提出质疑要求的，采购单位签收并出具《质疑受理通知书》。在处理过程中，发现需要质疑人进一步补充相关佐证材料的，请质疑人在规定的时间内提供，质疑回复时间相应顺延。质疑人不能按时提供相关佐证材料的，视同放弃质疑。</w:t>
      </w:r>
    </w:p>
    <w:p>
      <w:pPr>
        <w:adjustRightInd w:val="0"/>
        <w:snapToGrid w:val="0"/>
        <w:spacing w:before="120" w:beforeLines="50" w:after="120" w:afterLines="50" w:line="300" w:lineRule="auto"/>
        <w:ind w:firstLine="480" w:firstLineChars="200"/>
        <w:rPr>
          <w:rFonts w:ascii="宋体" w:hAnsi="宋体" w:cs="宋体"/>
          <w:color w:val="000000"/>
          <w:sz w:val="24"/>
          <w:szCs w:val="24"/>
        </w:rPr>
      </w:pPr>
      <w:r>
        <w:rPr>
          <w:rFonts w:hint="eastAsia" w:ascii="宋体" w:hAnsi="宋体" w:cs="宋体"/>
          <w:color w:val="000000"/>
          <w:sz w:val="24"/>
          <w:szCs w:val="24"/>
        </w:rPr>
        <w:t>3、对不符合提出质疑要求的，出具《质疑退回通知书》并提出相关补充材料要求，质疑人未在规定的时间内提供补充佐证材料的，视同放弃质疑。</w:t>
      </w:r>
    </w:p>
    <w:p>
      <w:pPr>
        <w:adjustRightInd w:val="0"/>
        <w:snapToGrid w:val="0"/>
        <w:spacing w:before="120" w:beforeLines="50" w:after="120" w:afterLines="50" w:line="300" w:lineRule="auto"/>
        <w:ind w:firstLine="480" w:firstLineChars="200"/>
        <w:rPr>
          <w:rFonts w:ascii="宋体" w:hAnsi="宋体" w:cs="宋体"/>
          <w:color w:val="000000"/>
          <w:sz w:val="24"/>
          <w:szCs w:val="24"/>
        </w:rPr>
      </w:pPr>
      <w:r>
        <w:rPr>
          <w:rFonts w:hint="eastAsia" w:ascii="宋体" w:hAnsi="宋体" w:cs="宋体"/>
          <w:color w:val="000000"/>
          <w:sz w:val="24"/>
          <w:szCs w:val="24"/>
        </w:rPr>
        <w:t>4、采购单位负责将质疑人提出的质疑相关材料提供给相关专家或评审小组审核，并将审核意见回复质疑人。</w:t>
      </w:r>
    </w:p>
    <w:p>
      <w:pPr>
        <w:adjustRightInd w:val="0"/>
        <w:snapToGrid w:val="0"/>
        <w:spacing w:before="120" w:beforeLines="50" w:after="120" w:afterLines="50" w:line="300" w:lineRule="auto"/>
        <w:ind w:firstLine="480" w:firstLineChars="200"/>
        <w:rPr>
          <w:rFonts w:ascii="宋体" w:hAnsi="宋体" w:cs="宋体"/>
          <w:color w:val="000000"/>
          <w:sz w:val="24"/>
          <w:szCs w:val="24"/>
        </w:rPr>
      </w:pPr>
      <w:r>
        <w:rPr>
          <w:rFonts w:hint="eastAsia" w:ascii="宋体" w:hAnsi="宋体" w:cs="宋体"/>
          <w:color w:val="000000"/>
          <w:sz w:val="24"/>
          <w:szCs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adjustRightInd w:val="0"/>
        <w:snapToGrid w:val="0"/>
        <w:spacing w:before="120" w:beforeLines="50" w:after="120" w:afterLines="50" w:line="300" w:lineRule="auto"/>
        <w:ind w:firstLine="480" w:firstLineChars="200"/>
        <w:rPr>
          <w:rFonts w:ascii="宋体" w:hAnsi="宋体" w:cs="宋体"/>
          <w:color w:val="000000"/>
          <w:sz w:val="24"/>
          <w:szCs w:val="24"/>
        </w:rPr>
      </w:pPr>
      <w:r>
        <w:rPr>
          <w:rFonts w:hint="eastAsia" w:ascii="宋体" w:hAnsi="宋体" w:cs="宋体"/>
          <w:color w:val="000000"/>
          <w:sz w:val="24"/>
          <w:szCs w:val="24"/>
        </w:rPr>
        <w:t>5、因质疑情况复杂，组织论证或审查时间较长的，采购单位以书面形式通知质疑人，可适当延长质疑回复处理时间。</w:t>
      </w:r>
    </w:p>
    <w:p>
      <w:pPr>
        <w:snapToGrid w:val="0"/>
        <w:spacing w:before="120" w:beforeLines="50" w:after="120" w:afterLines="50" w:line="300" w:lineRule="auto"/>
        <w:ind w:firstLine="496" w:firstLineChars="206"/>
        <w:outlineLvl w:val="1"/>
        <w:rPr>
          <w:rFonts w:ascii="宋体" w:hAnsi="宋体" w:cs="宋体"/>
          <w:b/>
          <w:kern w:val="0"/>
          <w:sz w:val="24"/>
          <w:szCs w:val="24"/>
        </w:rPr>
      </w:pPr>
      <w:r>
        <w:rPr>
          <w:rFonts w:hint="eastAsia" w:ascii="宋体" w:hAnsi="宋体" w:cs="宋体"/>
          <w:b/>
          <w:kern w:val="0"/>
          <w:sz w:val="24"/>
          <w:szCs w:val="24"/>
        </w:rPr>
        <w:t>三、质疑处理</w:t>
      </w:r>
    </w:p>
    <w:p>
      <w:pPr>
        <w:adjustRightInd w:val="0"/>
        <w:snapToGrid w:val="0"/>
        <w:spacing w:before="120" w:beforeLines="50" w:after="120" w:afterLines="50" w:line="300" w:lineRule="auto"/>
        <w:ind w:firstLine="480" w:firstLineChars="200"/>
        <w:rPr>
          <w:rFonts w:ascii="宋体" w:hAnsi="宋体" w:cs="宋体"/>
          <w:color w:val="000000"/>
          <w:sz w:val="24"/>
          <w:szCs w:val="24"/>
        </w:rPr>
      </w:pPr>
      <w:r>
        <w:rPr>
          <w:rFonts w:hint="eastAsia" w:ascii="宋体" w:hAnsi="宋体" w:cs="宋体"/>
          <w:color w:val="000000"/>
          <w:sz w:val="24"/>
          <w:szCs w:val="24"/>
        </w:rPr>
        <w:t>1、质疑成立的处理。采购单位终止采购，并建议有关部门给相关当事人予以处理。</w:t>
      </w:r>
    </w:p>
    <w:p>
      <w:pPr>
        <w:adjustRightInd w:val="0"/>
        <w:snapToGrid w:val="0"/>
        <w:spacing w:before="120" w:beforeLines="50" w:after="120" w:afterLines="50" w:line="300" w:lineRule="auto"/>
        <w:ind w:firstLine="480" w:firstLineChars="200"/>
        <w:rPr>
          <w:rFonts w:ascii="宋体" w:hAnsi="宋体" w:cs="宋体"/>
          <w:color w:val="000000"/>
          <w:sz w:val="24"/>
          <w:szCs w:val="24"/>
        </w:rPr>
      </w:pPr>
      <w:r>
        <w:rPr>
          <w:rFonts w:hint="eastAsia" w:ascii="宋体" w:hAnsi="宋体" w:cs="宋体"/>
          <w:color w:val="000000"/>
          <w:sz w:val="24"/>
          <w:szCs w:val="24"/>
        </w:rPr>
        <w:t>2、质疑不成立的处理。</w:t>
      </w:r>
    </w:p>
    <w:p>
      <w:pPr>
        <w:adjustRightInd w:val="0"/>
        <w:snapToGrid w:val="0"/>
        <w:spacing w:before="120" w:beforeLines="50" w:after="120" w:afterLines="50" w:line="300" w:lineRule="auto"/>
        <w:ind w:firstLine="480" w:firstLineChars="200"/>
        <w:rPr>
          <w:rFonts w:ascii="宋体" w:hAnsi="宋体" w:cs="宋体"/>
          <w:color w:val="000000"/>
          <w:sz w:val="24"/>
          <w:szCs w:val="24"/>
        </w:rPr>
      </w:pPr>
      <w:r>
        <w:rPr>
          <w:rFonts w:hint="eastAsia" w:ascii="宋体" w:hAnsi="宋体" w:cs="宋体"/>
          <w:color w:val="000000"/>
          <w:sz w:val="24"/>
          <w:szCs w:val="24"/>
        </w:rPr>
        <w:t>1）质疑人书面《申请撤回质疑函》的，不作违约处理。</w:t>
      </w:r>
    </w:p>
    <w:p>
      <w:pPr>
        <w:adjustRightInd w:val="0"/>
        <w:snapToGrid w:val="0"/>
        <w:spacing w:before="120" w:beforeLines="50" w:after="120" w:afterLines="50" w:line="300" w:lineRule="auto"/>
        <w:ind w:firstLine="480" w:firstLineChars="200"/>
        <w:rPr>
          <w:rFonts w:ascii="宋体" w:hAnsi="宋体" w:cs="宋体"/>
          <w:color w:val="000000"/>
          <w:sz w:val="24"/>
          <w:szCs w:val="24"/>
        </w:rPr>
      </w:pPr>
      <w:r>
        <w:rPr>
          <w:rFonts w:hint="eastAsia" w:ascii="宋体" w:hAnsi="宋体" w:cs="宋体"/>
          <w:color w:val="000000"/>
          <w:sz w:val="24"/>
          <w:szCs w:val="24"/>
        </w:rPr>
        <w:t>2）质疑人在规定的时间内不配合进行质疑调查处理的，按自动撤回《质疑函》处理。</w:t>
      </w:r>
    </w:p>
    <w:p>
      <w:pPr>
        <w:adjustRightInd w:val="0"/>
        <w:snapToGrid w:val="0"/>
        <w:spacing w:before="120" w:beforeLines="50" w:after="120" w:afterLines="50" w:line="300" w:lineRule="auto"/>
        <w:ind w:firstLine="480" w:firstLineChars="200"/>
        <w:rPr>
          <w:rFonts w:ascii="宋体" w:hAnsi="宋体" w:cs="宋体"/>
          <w:color w:val="000000"/>
          <w:sz w:val="24"/>
          <w:szCs w:val="24"/>
        </w:rPr>
      </w:pPr>
      <w:r>
        <w:rPr>
          <w:rFonts w:hint="eastAsia" w:ascii="宋体" w:hAnsi="宋体" w:cs="宋体"/>
          <w:color w:val="000000"/>
          <w:sz w:val="24"/>
          <w:szCs w:val="24"/>
        </w:rPr>
        <w:t>3）质疑人不按《质疑函》格式就提出质疑的，作违约处理。同时，视情列入不良供应商名单。</w:t>
      </w:r>
    </w:p>
    <w:p>
      <w:pPr>
        <w:adjustRightInd w:val="0"/>
        <w:snapToGrid w:val="0"/>
        <w:spacing w:before="120" w:beforeLines="50" w:after="120" w:afterLines="50" w:line="300" w:lineRule="auto"/>
        <w:ind w:firstLine="480" w:firstLineChars="200"/>
        <w:rPr>
          <w:rFonts w:ascii="宋体" w:hAnsi="宋体" w:cs="宋体"/>
          <w:color w:val="000000"/>
          <w:sz w:val="24"/>
          <w:szCs w:val="24"/>
        </w:rPr>
      </w:pPr>
      <w:r>
        <w:rPr>
          <w:rFonts w:hint="eastAsia" w:ascii="宋体" w:hAnsi="宋体" w:cs="宋体"/>
          <w:color w:val="000000"/>
          <w:sz w:val="24"/>
          <w:szCs w:val="24"/>
        </w:rPr>
        <w:t>4）质疑人虽提供了相关佐证材料，但不能证明其质疑成立的，采购单位请质疑人补充相关佐证材料，仍不能证明其质疑成立的，作违约处理。并将其列入不良供应商名单。</w:t>
      </w:r>
    </w:p>
    <w:p>
      <w:pPr>
        <w:adjustRightInd w:val="0"/>
        <w:snapToGrid w:val="0"/>
        <w:spacing w:before="120" w:beforeLines="50" w:after="120" w:afterLines="50" w:line="300" w:lineRule="auto"/>
        <w:ind w:firstLine="480" w:firstLineChars="200"/>
        <w:rPr>
          <w:rFonts w:ascii="宋体" w:hAnsi="宋体" w:cs="宋体"/>
          <w:color w:val="000000"/>
          <w:sz w:val="24"/>
          <w:szCs w:val="24"/>
        </w:rPr>
      </w:pPr>
      <w:r>
        <w:rPr>
          <w:rFonts w:hint="eastAsia" w:ascii="宋体" w:hAnsi="宋体" w:cs="宋体"/>
          <w:color w:val="000000"/>
          <w:sz w:val="24"/>
          <w:szCs w:val="24"/>
        </w:rPr>
        <w:t>5）质疑人不能提供相关佐证材料的，采购单位已指出，质疑人仍然坚持提出质疑的，作违约处理。同时，列入不良供应商名单。</w:t>
      </w:r>
    </w:p>
    <w:p>
      <w:pPr>
        <w:adjustRightInd w:val="0"/>
        <w:snapToGrid w:val="0"/>
        <w:spacing w:before="120" w:beforeLines="50" w:after="120" w:afterLines="50" w:line="300" w:lineRule="auto"/>
        <w:ind w:firstLine="480" w:firstLineChars="200"/>
        <w:rPr>
          <w:rFonts w:ascii="宋体" w:hAnsi="宋体" w:cs="宋体"/>
          <w:color w:val="000000"/>
          <w:sz w:val="24"/>
          <w:szCs w:val="24"/>
        </w:rPr>
      </w:pPr>
      <w:r>
        <w:rPr>
          <w:rFonts w:hint="eastAsia" w:ascii="宋体" w:hAnsi="宋体" w:cs="宋体"/>
          <w:color w:val="000000"/>
          <w:sz w:val="24"/>
          <w:szCs w:val="24"/>
        </w:rPr>
        <w:t>6）对明显有违事实的、经相关专家或评审小组认定无依据的、经其他供应商举证无依据的质疑，作违约处理，列入不良供应商名单。</w:t>
      </w:r>
    </w:p>
    <w:p>
      <w:pPr>
        <w:adjustRightInd w:val="0"/>
        <w:snapToGrid w:val="0"/>
        <w:spacing w:before="120" w:beforeLines="50" w:after="120" w:afterLines="50" w:line="300" w:lineRule="auto"/>
        <w:ind w:firstLine="480" w:firstLineChars="200"/>
        <w:rPr>
          <w:rFonts w:ascii="宋体" w:hAnsi="宋体" w:cs="宋体"/>
          <w:color w:val="000000"/>
          <w:sz w:val="24"/>
          <w:szCs w:val="24"/>
        </w:rPr>
      </w:pPr>
      <w:r>
        <w:rPr>
          <w:rFonts w:hint="eastAsia" w:ascii="宋体" w:hAnsi="宋体" w:cs="宋体"/>
          <w:color w:val="000000"/>
          <w:sz w:val="24"/>
          <w:szCs w:val="24"/>
        </w:rPr>
        <w:t>7）质疑人承担使用虚假材料或恶意方式质疑的法律责任。</w:t>
      </w:r>
    </w:p>
    <w:p>
      <w:pPr>
        <w:snapToGrid w:val="0"/>
        <w:spacing w:before="120" w:beforeLines="50" w:after="120" w:afterLines="50" w:line="300" w:lineRule="auto"/>
        <w:ind w:firstLine="496" w:firstLineChars="206"/>
        <w:outlineLvl w:val="1"/>
        <w:rPr>
          <w:rFonts w:ascii="宋体" w:hAnsi="宋体" w:cs="宋体"/>
          <w:b/>
          <w:kern w:val="0"/>
          <w:sz w:val="24"/>
          <w:szCs w:val="24"/>
        </w:rPr>
      </w:pPr>
      <w:r>
        <w:rPr>
          <w:rFonts w:hint="eastAsia" w:ascii="宋体" w:hAnsi="宋体" w:cs="宋体"/>
          <w:b/>
          <w:kern w:val="0"/>
          <w:sz w:val="24"/>
          <w:szCs w:val="24"/>
        </w:rPr>
        <w:t>四、无佐证材料的举报作违约处理</w:t>
      </w:r>
    </w:p>
    <w:p>
      <w:pPr>
        <w:adjustRightInd w:val="0"/>
        <w:snapToGrid w:val="0"/>
        <w:spacing w:before="120" w:beforeLines="50" w:after="120" w:afterLines="50" w:line="300" w:lineRule="auto"/>
        <w:ind w:firstLine="480" w:firstLineChars="200"/>
        <w:rPr>
          <w:rFonts w:ascii="宋体" w:hAnsi="宋体" w:cs="宋体"/>
          <w:color w:val="000000"/>
          <w:sz w:val="24"/>
          <w:szCs w:val="24"/>
        </w:rPr>
      </w:pPr>
      <w:r>
        <w:rPr>
          <w:rFonts w:hint="eastAsia" w:ascii="宋体" w:hAnsi="宋体" w:cs="宋体"/>
          <w:color w:val="000000"/>
          <w:sz w:val="24"/>
          <w:szCs w:val="24"/>
        </w:rPr>
        <w:t>供应商不得进行不提供相关佐证材料（含无法查实的如宣传册、媒体报道、猜测、推理等）向有关部门的举报，否则作违约处理。同时对其在1至3年内禁入由采购单位组织的采购活动。</w:t>
      </w:r>
    </w:p>
    <w:p>
      <w:pPr>
        <w:snapToGrid w:val="0"/>
        <w:spacing w:before="120" w:beforeLines="50" w:after="120" w:afterLines="50" w:line="300" w:lineRule="auto"/>
        <w:ind w:firstLine="496" w:firstLineChars="206"/>
        <w:outlineLvl w:val="1"/>
        <w:rPr>
          <w:rFonts w:ascii="宋体" w:hAnsi="宋体" w:cs="宋体"/>
          <w:b/>
          <w:kern w:val="0"/>
          <w:sz w:val="24"/>
          <w:szCs w:val="24"/>
        </w:rPr>
      </w:pPr>
      <w:r>
        <w:rPr>
          <w:rFonts w:hint="eastAsia" w:ascii="宋体" w:hAnsi="宋体" w:cs="宋体"/>
          <w:b/>
          <w:kern w:val="0"/>
          <w:sz w:val="24"/>
          <w:szCs w:val="24"/>
        </w:rPr>
        <w:t>五、投诉不成立的作违约处理</w:t>
      </w:r>
    </w:p>
    <w:p>
      <w:pPr>
        <w:adjustRightInd w:val="0"/>
        <w:snapToGrid w:val="0"/>
        <w:spacing w:before="120" w:beforeLines="50" w:after="120" w:afterLines="50" w:line="300" w:lineRule="auto"/>
        <w:ind w:firstLine="480" w:firstLineChars="200"/>
        <w:rPr>
          <w:rFonts w:ascii="宋体" w:hAnsi="宋体" w:cs="宋体"/>
          <w:color w:val="000000"/>
          <w:sz w:val="24"/>
          <w:szCs w:val="24"/>
        </w:rPr>
      </w:pPr>
      <w:r>
        <w:rPr>
          <w:rFonts w:hint="eastAsia" w:ascii="宋体" w:hAnsi="宋体" w:cs="宋体"/>
          <w:color w:val="000000"/>
          <w:sz w:val="24"/>
          <w:szCs w:val="24"/>
        </w:rPr>
        <w:t>供应商进行质疑后，采购单位回复质疑不成立，供应商仍进行投诉的，并最终投诉不成立的，作违约处理。</w:t>
      </w:r>
    </w:p>
    <w:p>
      <w:pPr>
        <w:adjustRightInd w:val="0"/>
        <w:snapToGrid w:val="0"/>
        <w:spacing w:before="120" w:beforeLines="50" w:after="120" w:afterLines="50" w:line="300" w:lineRule="auto"/>
        <w:ind w:firstLine="482" w:firstLineChars="200"/>
        <w:rPr>
          <w:rFonts w:ascii="宋体" w:hAnsi="宋体" w:cs="宋体"/>
          <w:color w:val="000000"/>
          <w:sz w:val="24"/>
          <w:szCs w:val="24"/>
        </w:rPr>
      </w:pPr>
      <w:r>
        <w:rPr>
          <w:rFonts w:hint="eastAsia" w:ascii="宋体" w:hAnsi="宋体" w:cs="宋体"/>
          <w:b/>
          <w:kern w:val="0"/>
          <w:sz w:val="24"/>
          <w:szCs w:val="24"/>
        </w:rPr>
        <w:t>六、</w:t>
      </w:r>
      <w:r>
        <w:rPr>
          <w:rFonts w:hint="eastAsia" w:ascii="宋体" w:hAnsi="宋体" w:cs="宋体"/>
          <w:color w:val="000000"/>
          <w:sz w:val="24"/>
          <w:szCs w:val="24"/>
        </w:rPr>
        <w:t>《质疑函》、《质疑回复函》，质疑、举报、投诉不成立的等相关情况，视情在相关媒体予以披露。并建议相关部门对该供应商同步实施1至3年内禁入。</w:t>
      </w:r>
    </w:p>
    <w:p>
      <w:pPr>
        <w:adjustRightInd w:val="0"/>
        <w:snapToGrid w:val="0"/>
        <w:spacing w:before="120" w:beforeLines="50" w:after="120" w:afterLines="50" w:line="300" w:lineRule="auto"/>
        <w:ind w:firstLine="482" w:firstLineChars="200"/>
        <w:rPr>
          <w:rFonts w:ascii="宋体" w:hAnsi="宋体" w:cs="宋体"/>
          <w:color w:val="000000"/>
          <w:sz w:val="24"/>
          <w:szCs w:val="24"/>
        </w:rPr>
      </w:pPr>
      <w:r>
        <w:rPr>
          <w:rFonts w:hint="eastAsia" w:ascii="宋体" w:hAnsi="宋体" w:cs="宋体"/>
          <w:b/>
          <w:kern w:val="0"/>
          <w:sz w:val="24"/>
          <w:szCs w:val="24"/>
        </w:rPr>
        <w:t>七、</w:t>
      </w:r>
      <w:r>
        <w:rPr>
          <w:rFonts w:hint="eastAsia" w:ascii="宋体" w:hAnsi="宋体" w:cs="宋体"/>
          <w:color w:val="000000"/>
          <w:sz w:val="24"/>
          <w:szCs w:val="24"/>
        </w:rPr>
        <w:t>质疑供应商对采购单位的答复不满意或者采购单位未在规定的时间内作出答复的，可以在答复期满后15个工作日内向相关监督管理部门投诉。</w:t>
      </w:r>
    </w:p>
    <w:bookmarkEnd w:id="68"/>
    <w:bookmarkEnd w:id="69"/>
    <w:p>
      <w:pPr>
        <w:pStyle w:val="3"/>
      </w:pPr>
      <w:bookmarkStart w:id="72" w:name="_Toc363573860"/>
      <w:r>
        <w:rPr>
          <w:color w:val="000000"/>
          <w:sz w:val="24"/>
          <w:szCs w:val="24"/>
        </w:rPr>
        <w:br w:type="page"/>
      </w:r>
      <w:bookmarkStart w:id="73" w:name="_Toc47957226"/>
      <w:r>
        <w:rPr>
          <w:rFonts w:hint="eastAsia"/>
        </w:rPr>
        <w:t>第八章  响应文件组成及格式</w:t>
      </w:r>
      <w:bookmarkEnd w:id="72"/>
      <w:bookmarkEnd w:id="73"/>
    </w:p>
    <w:p>
      <w:pPr>
        <w:snapToGrid w:val="0"/>
        <w:spacing w:line="480" w:lineRule="exact"/>
        <w:ind w:firstLine="482" w:firstLineChars="200"/>
        <w:outlineLvl w:val="1"/>
        <w:rPr>
          <w:b/>
          <w:bCs/>
          <w:color w:val="000000"/>
          <w:sz w:val="24"/>
          <w:szCs w:val="24"/>
        </w:rPr>
      </w:pPr>
      <w:r>
        <w:rPr>
          <w:rFonts w:hint="eastAsia"/>
          <w:b/>
          <w:bCs/>
          <w:color w:val="000000"/>
          <w:sz w:val="24"/>
          <w:szCs w:val="24"/>
        </w:rPr>
        <w:t>磋商响应文件由资格后审材料原件包、资格后审资料文件包、技术响应文件、商务报价响应文件四部分组成。本次磋商项目响应采用资格后审方式，供应商须将资格后审的材料作为响应文件组成部分，按磋商文件要求装订密封后一起递交。</w:t>
      </w:r>
    </w:p>
    <w:p>
      <w:pPr>
        <w:snapToGrid w:val="0"/>
        <w:spacing w:line="480" w:lineRule="exact"/>
        <w:ind w:firstLine="482" w:firstLineChars="200"/>
        <w:outlineLvl w:val="1"/>
        <w:rPr>
          <w:b/>
          <w:bCs/>
          <w:color w:val="000000"/>
          <w:sz w:val="24"/>
          <w:szCs w:val="24"/>
        </w:rPr>
      </w:pPr>
      <w:r>
        <w:rPr>
          <w:rFonts w:hint="eastAsia"/>
          <w:b/>
          <w:bCs/>
          <w:color w:val="000000"/>
          <w:sz w:val="24"/>
          <w:szCs w:val="24"/>
        </w:rPr>
        <w:t>资格后审材料原件包、资格后审资料文件、技术招标响应文件、商务报价招标响应文件请分别装订、分别单独密封后一起递交</w:t>
      </w:r>
    </w:p>
    <w:p>
      <w:pPr>
        <w:snapToGrid w:val="0"/>
        <w:spacing w:line="480" w:lineRule="exact"/>
        <w:ind w:firstLine="482" w:firstLineChars="200"/>
        <w:outlineLvl w:val="1"/>
        <w:rPr>
          <w:b/>
          <w:color w:val="000000"/>
          <w:sz w:val="24"/>
          <w:szCs w:val="24"/>
        </w:rPr>
      </w:pPr>
      <w:r>
        <w:rPr>
          <w:rFonts w:hint="eastAsia"/>
          <w:b/>
          <w:color w:val="000000"/>
          <w:sz w:val="24"/>
          <w:szCs w:val="24"/>
        </w:rPr>
        <w:t>一、磋商响应文件组成：</w:t>
      </w:r>
    </w:p>
    <w:p>
      <w:pPr>
        <w:snapToGrid w:val="0"/>
        <w:spacing w:line="480" w:lineRule="exact"/>
        <w:ind w:firstLine="482" w:firstLineChars="200"/>
        <w:outlineLvl w:val="1"/>
        <w:rPr>
          <w:rFonts w:ascii="宋体" w:hAnsi="宋体" w:cs="宋体"/>
          <w:b/>
          <w:sz w:val="24"/>
          <w:szCs w:val="24"/>
        </w:rPr>
      </w:pPr>
      <w:r>
        <w:rPr>
          <w:rFonts w:hint="eastAsia" w:ascii="宋体" w:hAnsi="宋体" w:cs="宋体"/>
          <w:b/>
          <w:sz w:val="24"/>
          <w:szCs w:val="24"/>
        </w:rPr>
        <w:t>A、资格后审原件包（核查）</w:t>
      </w:r>
    </w:p>
    <w:p>
      <w:pPr>
        <w:snapToGrid w:val="0"/>
        <w:spacing w:line="480" w:lineRule="exact"/>
        <w:ind w:firstLine="480" w:firstLineChars="200"/>
        <w:outlineLvl w:val="1"/>
        <w:rPr>
          <w:rFonts w:ascii="宋体" w:hAnsi="宋体" w:cs="宋体"/>
          <w:sz w:val="24"/>
          <w:szCs w:val="24"/>
        </w:rPr>
      </w:pPr>
      <w:r>
        <w:rPr>
          <w:rFonts w:hint="eastAsia"/>
          <w:color w:val="000000"/>
          <w:sz w:val="24"/>
          <w:szCs w:val="24"/>
        </w:rPr>
        <w:t>【特别提醒】</w:t>
      </w:r>
      <w:r>
        <w:rPr>
          <w:rFonts w:hint="eastAsia" w:ascii="宋体" w:hAnsi="宋体" w:cs="宋体"/>
          <w:sz w:val="24"/>
          <w:szCs w:val="24"/>
        </w:rPr>
        <w:t>未携带要求的原件或因携带原件不齐全而引起的后果，由供应商自负。</w:t>
      </w:r>
    </w:p>
    <w:p>
      <w:pPr>
        <w:adjustRightInd w:val="0"/>
        <w:snapToGrid w:val="0"/>
        <w:spacing w:line="360" w:lineRule="auto"/>
        <w:ind w:firstLine="480" w:firstLineChars="200"/>
        <w:rPr>
          <w:color w:val="000000"/>
          <w:sz w:val="24"/>
          <w:szCs w:val="24"/>
        </w:rPr>
      </w:pPr>
      <w:r>
        <w:rPr>
          <w:rFonts w:hint="eastAsia"/>
          <w:color w:val="000000"/>
          <w:sz w:val="24"/>
          <w:szCs w:val="24"/>
        </w:rPr>
        <w:t>（</w:t>
      </w:r>
      <w:r>
        <w:rPr>
          <w:color w:val="000000"/>
          <w:sz w:val="24"/>
          <w:szCs w:val="24"/>
        </w:rPr>
        <w:t>1</w:t>
      </w:r>
      <w:r>
        <w:rPr>
          <w:rFonts w:hint="eastAsia"/>
          <w:color w:val="000000"/>
          <w:sz w:val="24"/>
          <w:szCs w:val="24"/>
        </w:rPr>
        <w:t>）</w:t>
      </w:r>
      <w:r>
        <w:rPr>
          <w:color w:val="000000"/>
          <w:sz w:val="24"/>
          <w:szCs w:val="24"/>
        </w:rPr>
        <w:t>营业执照副本原件；</w:t>
      </w:r>
    </w:p>
    <w:p>
      <w:pPr>
        <w:adjustRightInd w:val="0"/>
        <w:snapToGrid w:val="0"/>
        <w:spacing w:line="360" w:lineRule="auto"/>
        <w:ind w:firstLine="480" w:firstLineChars="200"/>
        <w:rPr>
          <w:color w:val="000000"/>
          <w:sz w:val="24"/>
          <w:szCs w:val="24"/>
        </w:rPr>
      </w:pPr>
      <w:r>
        <w:rPr>
          <w:rFonts w:hint="eastAsia" w:ascii="宋体" w:hAnsi="宋体" w:cs="宋体"/>
          <w:sz w:val="24"/>
          <w:szCs w:val="24"/>
        </w:rPr>
        <w:t>（</w:t>
      </w:r>
      <w:r>
        <w:rPr>
          <w:rFonts w:hint="eastAsia" w:ascii="宋体" w:hAnsi="宋体" w:cs="宋体"/>
          <w:sz w:val="24"/>
          <w:szCs w:val="24"/>
          <w:lang w:val="en-US" w:eastAsia="zh-CN"/>
        </w:rPr>
        <w:t>2</w:t>
      </w:r>
      <w:r>
        <w:rPr>
          <w:rFonts w:hint="eastAsia" w:ascii="宋体" w:hAnsi="宋体" w:cs="宋体"/>
          <w:sz w:val="24"/>
          <w:szCs w:val="24"/>
        </w:rPr>
        <w:t>）招标公告供应商资格条件要求材料（</w:t>
      </w:r>
      <w:r>
        <w:rPr>
          <w:rFonts w:hint="eastAsia" w:ascii="宋体" w:hAnsi="宋体" w:cs="宋体"/>
          <w:b/>
          <w:bCs/>
          <w:sz w:val="24"/>
          <w:szCs w:val="24"/>
        </w:rPr>
        <w:t>招标公告中第四条</w:t>
      </w:r>
      <w:r>
        <w:rPr>
          <w:rFonts w:hint="eastAsia" w:ascii="宋体" w:hAnsi="宋体" w:cs="宋体"/>
          <w:sz w:val="24"/>
          <w:szCs w:val="24"/>
        </w:rPr>
        <w:t>的相关要求）需要核查的原件；</w:t>
      </w:r>
    </w:p>
    <w:p>
      <w:pPr>
        <w:adjustRightInd w:val="0"/>
        <w:snapToGrid w:val="0"/>
        <w:spacing w:line="360" w:lineRule="auto"/>
        <w:ind w:firstLine="480" w:firstLineChars="200"/>
        <w:rPr>
          <w:color w:val="000000"/>
          <w:sz w:val="24"/>
          <w:szCs w:val="24"/>
        </w:rPr>
      </w:pPr>
      <w:r>
        <w:rPr>
          <w:rFonts w:hint="eastAsia"/>
          <w:color w:val="000000"/>
          <w:sz w:val="24"/>
          <w:szCs w:val="24"/>
        </w:rPr>
        <w:t>（</w:t>
      </w:r>
      <w:r>
        <w:rPr>
          <w:rFonts w:hint="eastAsia"/>
          <w:color w:val="000000"/>
          <w:sz w:val="24"/>
          <w:szCs w:val="24"/>
          <w:lang w:val="en-US" w:eastAsia="zh-CN"/>
        </w:rPr>
        <w:t>3</w:t>
      </w:r>
      <w:r>
        <w:rPr>
          <w:rFonts w:hint="eastAsia"/>
          <w:color w:val="000000"/>
          <w:sz w:val="24"/>
          <w:szCs w:val="24"/>
        </w:rPr>
        <w:t>）</w:t>
      </w:r>
      <w:r>
        <w:rPr>
          <w:color w:val="000000"/>
          <w:sz w:val="24"/>
          <w:szCs w:val="24"/>
        </w:rPr>
        <w:t>技术响应文件中所涉及的事项需提供的证明资料</w:t>
      </w:r>
      <w:r>
        <w:rPr>
          <w:rFonts w:hint="eastAsia"/>
          <w:color w:val="000000"/>
          <w:sz w:val="24"/>
          <w:szCs w:val="24"/>
        </w:rPr>
        <w:t>原件</w:t>
      </w:r>
      <w:r>
        <w:rPr>
          <w:color w:val="000000"/>
          <w:sz w:val="24"/>
          <w:szCs w:val="24"/>
        </w:rPr>
        <w:t>。</w:t>
      </w:r>
    </w:p>
    <w:p>
      <w:pPr>
        <w:snapToGrid w:val="0"/>
        <w:spacing w:line="480" w:lineRule="exact"/>
        <w:ind w:firstLine="482" w:firstLineChars="200"/>
        <w:outlineLvl w:val="1"/>
        <w:rPr>
          <w:rFonts w:ascii="宋体" w:hAnsi="宋体" w:cs="宋体"/>
          <w:b/>
          <w:sz w:val="24"/>
          <w:szCs w:val="24"/>
        </w:rPr>
      </w:pPr>
      <w:r>
        <w:rPr>
          <w:rFonts w:hint="eastAsia" w:ascii="宋体" w:hAnsi="宋体" w:cs="宋体"/>
          <w:b/>
          <w:sz w:val="24"/>
          <w:szCs w:val="24"/>
        </w:rPr>
        <w:t>B、资格后审</w:t>
      </w:r>
      <w:r>
        <w:rPr>
          <w:rFonts w:hint="eastAsia"/>
          <w:b/>
          <w:color w:val="000000"/>
          <w:sz w:val="24"/>
          <w:szCs w:val="24"/>
        </w:rPr>
        <w:t>资料</w:t>
      </w:r>
      <w:r>
        <w:rPr>
          <w:rFonts w:hint="eastAsia" w:ascii="宋体" w:hAnsi="宋体" w:cs="宋体"/>
          <w:b/>
          <w:sz w:val="24"/>
          <w:szCs w:val="24"/>
        </w:rPr>
        <w:t>文件包（格式参见第八章，</w:t>
      </w:r>
      <w:r>
        <w:rPr>
          <w:rFonts w:hint="eastAsia" w:ascii="宋体" w:hAnsi="宋体" w:cs="宋体"/>
          <w:b/>
          <w:sz w:val="24"/>
          <w:szCs w:val="24"/>
          <w:lang w:val="en-US" w:eastAsia="zh-CN"/>
        </w:rPr>
        <w:t>无需分标段，</w:t>
      </w:r>
      <w:r>
        <w:rPr>
          <w:rFonts w:hint="eastAsia" w:ascii="宋体" w:hAnsi="宋体" w:cs="宋体"/>
          <w:b/>
          <w:bCs/>
          <w:sz w:val="24"/>
          <w:szCs w:val="24"/>
        </w:rPr>
        <w:t>单独密封</w:t>
      </w:r>
      <w:r>
        <w:rPr>
          <w:rFonts w:hint="eastAsia" w:ascii="宋体" w:hAnsi="宋体" w:cs="宋体"/>
          <w:b/>
          <w:sz w:val="24"/>
          <w:szCs w:val="24"/>
        </w:rPr>
        <w:t>）</w:t>
      </w:r>
    </w:p>
    <w:p>
      <w:pPr>
        <w:adjustRightInd w:val="0"/>
        <w:snapToGrid w:val="0"/>
        <w:spacing w:line="360" w:lineRule="auto"/>
        <w:ind w:firstLine="480" w:firstLineChars="200"/>
        <w:rPr>
          <w:color w:val="000000"/>
          <w:sz w:val="24"/>
          <w:szCs w:val="24"/>
        </w:rPr>
      </w:pPr>
      <w:r>
        <w:rPr>
          <w:rFonts w:hint="eastAsia"/>
          <w:color w:val="000000"/>
          <w:sz w:val="24"/>
          <w:szCs w:val="24"/>
        </w:rPr>
        <w:t>（</w:t>
      </w:r>
      <w:r>
        <w:rPr>
          <w:color w:val="000000"/>
          <w:sz w:val="24"/>
          <w:szCs w:val="24"/>
        </w:rPr>
        <w:t>1</w:t>
      </w:r>
      <w:r>
        <w:rPr>
          <w:rFonts w:hint="eastAsia"/>
          <w:color w:val="000000"/>
          <w:sz w:val="24"/>
          <w:szCs w:val="24"/>
        </w:rPr>
        <w:t>）</w:t>
      </w:r>
      <w:r>
        <w:rPr>
          <w:color w:val="000000"/>
          <w:sz w:val="24"/>
          <w:szCs w:val="24"/>
        </w:rPr>
        <w:t>营业执照副本复印件</w:t>
      </w:r>
      <w:r>
        <w:rPr>
          <w:rFonts w:hint="eastAsia" w:ascii="宋体" w:hAnsi="宋体" w:cs="宋体"/>
          <w:color w:val="000000"/>
          <w:sz w:val="24"/>
          <w:szCs w:val="24"/>
          <w:lang w:val="zh-CN"/>
        </w:rPr>
        <w:t>（须加盖公章）；</w:t>
      </w:r>
    </w:p>
    <w:p>
      <w:pPr>
        <w:adjustRightInd w:val="0"/>
        <w:snapToGrid w:val="0"/>
        <w:spacing w:line="360" w:lineRule="auto"/>
        <w:ind w:firstLine="480" w:firstLineChars="200"/>
        <w:rPr>
          <w:color w:val="000000"/>
          <w:sz w:val="24"/>
          <w:szCs w:val="24"/>
        </w:rPr>
      </w:pPr>
      <w:r>
        <w:rPr>
          <w:rFonts w:hint="eastAsia"/>
          <w:color w:val="000000"/>
          <w:sz w:val="24"/>
          <w:szCs w:val="24"/>
        </w:rPr>
        <w:t>（</w:t>
      </w:r>
      <w:r>
        <w:rPr>
          <w:rFonts w:hint="eastAsia"/>
          <w:color w:val="000000"/>
          <w:sz w:val="24"/>
          <w:szCs w:val="24"/>
          <w:lang w:val="en-US" w:eastAsia="zh-CN"/>
        </w:rPr>
        <w:t>2</w:t>
      </w:r>
      <w:r>
        <w:rPr>
          <w:rFonts w:hint="eastAsia"/>
          <w:color w:val="000000"/>
          <w:sz w:val="24"/>
          <w:szCs w:val="24"/>
        </w:rPr>
        <w:t>）</w:t>
      </w:r>
      <w:r>
        <w:rPr>
          <w:color w:val="000000"/>
          <w:sz w:val="24"/>
          <w:szCs w:val="24"/>
        </w:rPr>
        <w:t>磋商公告供应商资格要求材料</w:t>
      </w:r>
      <w:r>
        <w:rPr>
          <w:sz w:val="24"/>
          <w:szCs w:val="24"/>
        </w:rPr>
        <w:t>（</w:t>
      </w:r>
      <w:r>
        <w:rPr>
          <w:rFonts w:hint="eastAsia"/>
          <w:b/>
          <w:bCs/>
          <w:sz w:val="24"/>
          <w:szCs w:val="24"/>
        </w:rPr>
        <w:t>磋商公告中第四条</w:t>
      </w:r>
      <w:r>
        <w:rPr>
          <w:sz w:val="24"/>
          <w:szCs w:val="24"/>
        </w:rPr>
        <w:t>的相关要求）</w:t>
      </w:r>
      <w:r>
        <w:rPr>
          <w:color w:val="000000"/>
          <w:sz w:val="24"/>
          <w:szCs w:val="24"/>
        </w:rPr>
        <w:t>；</w:t>
      </w:r>
    </w:p>
    <w:p>
      <w:pPr>
        <w:widowControl/>
        <w:spacing w:line="360" w:lineRule="auto"/>
        <w:ind w:firstLine="470" w:firstLineChars="196"/>
        <w:jc w:val="left"/>
        <w:rPr>
          <w:sz w:val="24"/>
          <w:szCs w:val="24"/>
        </w:rPr>
      </w:pPr>
      <w:r>
        <w:rPr>
          <w:rFonts w:hint="eastAsia"/>
          <w:sz w:val="24"/>
          <w:szCs w:val="24"/>
        </w:rPr>
        <w:t>（</w:t>
      </w:r>
      <w:r>
        <w:rPr>
          <w:rFonts w:hint="eastAsia"/>
          <w:sz w:val="24"/>
          <w:szCs w:val="24"/>
          <w:lang w:val="en-US" w:eastAsia="zh-CN"/>
        </w:rPr>
        <w:t>3</w:t>
      </w:r>
      <w:r>
        <w:rPr>
          <w:rFonts w:hint="eastAsia"/>
          <w:sz w:val="24"/>
          <w:szCs w:val="24"/>
        </w:rPr>
        <w:t>）</w:t>
      </w:r>
      <w:r>
        <w:rPr>
          <w:sz w:val="24"/>
          <w:szCs w:val="24"/>
        </w:rPr>
        <w:t>提供磋商文件第</w:t>
      </w:r>
      <w:r>
        <w:rPr>
          <w:rFonts w:hint="eastAsia"/>
          <w:sz w:val="24"/>
          <w:szCs w:val="24"/>
        </w:rPr>
        <w:t>八</w:t>
      </w:r>
      <w:r>
        <w:rPr>
          <w:sz w:val="24"/>
          <w:szCs w:val="24"/>
        </w:rPr>
        <w:t>章招标响应文件格式中</w:t>
      </w:r>
      <w:r>
        <w:rPr>
          <w:rFonts w:hint="eastAsia"/>
          <w:sz w:val="24"/>
          <w:szCs w:val="24"/>
        </w:rPr>
        <w:t>“三、B.</w:t>
      </w:r>
      <w:r>
        <w:rPr>
          <w:sz w:val="24"/>
          <w:szCs w:val="24"/>
        </w:rPr>
        <w:t>B.2</w:t>
      </w:r>
      <w:r>
        <w:rPr>
          <w:rFonts w:hint="eastAsia"/>
          <w:sz w:val="24"/>
          <w:szCs w:val="24"/>
        </w:rPr>
        <w:t>”中的</w:t>
      </w:r>
      <w:r>
        <w:rPr>
          <w:rFonts w:ascii="宋体" w:hAnsi="宋体"/>
          <w:sz w:val="24"/>
          <w:szCs w:val="24"/>
        </w:rPr>
        <w:t>“资格后审资料文件相关的格式文件及表格”中可能涉及到的</w:t>
      </w:r>
      <w:r>
        <w:rPr>
          <w:sz w:val="24"/>
          <w:szCs w:val="24"/>
        </w:rPr>
        <w:t>相关内容，如：（1）法定代表人身份证明；（2）授权委托书；（3）关于资格文件的声明函</w:t>
      </w:r>
      <w:r>
        <w:rPr>
          <w:rFonts w:hint="eastAsia" w:ascii="宋体" w:hAnsi="宋体" w:cs="宋体"/>
          <w:color w:val="000000"/>
          <w:sz w:val="24"/>
          <w:szCs w:val="24"/>
          <w:lang w:val="zh-CN"/>
        </w:rPr>
        <w:t>（须加盖公章）</w:t>
      </w:r>
      <w:r>
        <w:rPr>
          <w:rFonts w:hint="eastAsia"/>
          <w:sz w:val="24"/>
          <w:szCs w:val="24"/>
        </w:rPr>
        <w:t>。</w:t>
      </w:r>
    </w:p>
    <w:p>
      <w:pPr>
        <w:snapToGrid w:val="0"/>
        <w:spacing w:line="480" w:lineRule="exact"/>
        <w:ind w:firstLine="482" w:firstLineChars="200"/>
        <w:outlineLvl w:val="1"/>
        <w:rPr>
          <w:b/>
          <w:color w:val="000000"/>
          <w:sz w:val="24"/>
          <w:szCs w:val="24"/>
        </w:rPr>
      </w:pPr>
      <w:r>
        <w:rPr>
          <w:rFonts w:hint="eastAsia"/>
          <w:b/>
          <w:color w:val="000000"/>
          <w:sz w:val="24"/>
          <w:szCs w:val="24"/>
        </w:rPr>
        <w:t>C、技术磋商响应文件（不能出现报价，</w:t>
      </w:r>
      <w:r>
        <w:rPr>
          <w:rFonts w:hint="eastAsia"/>
          <w:b/>
          <w:color w:val="000000"/>
          <w:sz w:val="24"/>
          <w:szCs w:val="24"/>
          <w:lang w:val="en-US" w:eastAsia="zh-CN"/>
        </w:rPr>
        <w:t>按标段提供，</w:t>
      </w:r>
      <w:r>
        <w:rPr>
          <w:rFonts w:hint="eastAsia"/>
          <w:b/>
          <w:color w:val="000000"/>
          <w:sz w:val="24"/>
          <w:szCs w:val="24"/>
        </w:rPr>
        <w:t>单独密封）</w:t>
      </w:r>
    </w:p>
    <w:p>
      <w:pPr>
        <w:snapToGrid w:val="0"/>
        <w:spacing w:line="480" w:lineRule="exact"/>
        <w:ind w:firstLine="480" w:firstLineChars="200"/>
        <w:outlineLvl w:val="1"/>
        <w:rPr>
          <w:sz w:val="24"/>
          <w:szCs w:val="24"/>
        </w:rPr>
      </w:pPr>
      <w:r>
        <w:rPr>
          <w:rFonts w:hint="eastAsia"/>
          <w:color w:val="000000"/>
          <w:sz w:val="24"/>
          <w:szCs w:val="24"/>
        </w:rPr>
        <w:t>【特别提醒】以下技术标响应文件的内容，不得有缺项或漏项。否则将有可</w:t>
      </w:r>
      <w:r>
        <w:rPr>
          <w:rFonts w:hint="eastAsia"/>
          <w:sz w:val="24"/>
          <w:szCs w:val="24"/>
        </w:rPr>
        <w:t>能被视为未实质性响应磋商文件要求而作无效投标处理。</w:t>
      </w:r>
    </w:p>
    <w:p>
      <w:pPr>
        <w:widowControl/>
        <w:spacing w:line="360" w:lineRule="auto"/>
        <w:ind w:firstLine="470" w:firstLineChars="196"/>
        <w:jc w:val="left"/>
        <w:rPr>
          <w:sz w:val="24"/>
          <w:szCs w:val="24"/>
        </w:rPr>
      </w:pPr>
      <w:r>
        <w:rPr>
          <w:rFonts w:hint="eastAsia"/>
          <w:sz w:val="24"/>
          <w:szCs w:val="24"/>
        </w:rPr>
        <w:t>1、招标响应函；</w:t>
      </w:r>
    </w:p>
    <w:p>
      <w:pPr>
        <w:spacing w:before="120" w:beforeLines="50" w:after="120" w:afterLines="50" w:line="300" w:lineRule="auto"/>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、廉洁承诺书（格式参见第八章）。</w:t>
      </w:r>
    </w:p>
    <w:p>
      <w:pPr>
        <w:spacing w:before="120" w:beforeLines="50" w:after="120" w:afterLines="50" w:line="300" w:lineRule="auto"/>
        <w:ind w:firstLine="480" w:firstLineChars="200"/>
        <w:rPr>
          <w:rFonts w:ascii="宋体" w:hAnsi="宋体" w:cs="宋体"/>
          <w:sz w:val="24"/>
          <w:szCs w:val="24"/>
        </w:rPr>
      </w:pPr>
      <w:r>
        <w:rPr>
          <w:rFonts w:ascii="宋体" w:hAnsi="宋体" w:cs="宋体"/>
          <w:sz w:val="24"/>
          <w:szCs w:val="24"/>
        </w:rPr>
        <w:t>3</w:t>
      </w:r>
      <w:r>
        <w:rPr>
          <w:rFonts w:hint="eastAsia" w:ascii="宋体" w:hAnsi="宋体" w:cs="宋体"/>
          <w:sz w:val="24"/>
          <w:szCs w:val="24"/>
        </w:rPr>
        <w:t>、食品安全承诺书（格式参见第八章）。</w:t>
      </w:r>
    </w:p>
    <w:p>
      <w:pPr>
        <w:spacing w:before="120" w:beforeLines="50" w:after="120" w:afterLines="50" w:line="300" w:lineRule="auto"/>
        <w:ind w:firstLine="480" w:firstLineChars="200"/>
        <w:rPr>
          <w:rFonts w:ascii="宋体" w:hAnsi="宋体" w:cs="宋体"/>
          <w:color w:val="FF0000"/>
          <w:sz w:val="24"/>
          <w:szCs w:val="24"/>
        </w:rPr>
      </w:pPr>
      <w:r>
        <w:rPr>
          <w:rFonts w:ascii="宋体" w:hAnsi="宋体" w:cs="宋体"/>
          <w:sz w:val="24"/>
          <w:szCs w:val="24"/>
        </w:rPr>
        <w:t>4</w:t>
      </w:r>
      <w:r>
        <w:rPr>
          <w:rFonts w:hint="eastAsia" w:ascii="宋体" w:hAnsi="宋体" w:cs="宋体"/>
          <w:sz w:val="24"/>
          <w:szCs w:val="24"/>
        </w:rPr>
        <w:t>、食品要求（格式参见第八章）</w:t>
      </w:r>
    </w:p>
    <w:p>
      <w:pPr>
        <w:widowControl/>
        <w:spacing w:line="360" w:lineRule="auto"/>
        <w:ind w:firstLine="470" w:firstLineChars="196"/>
        <w:jc w:val="left"/>
        <w:rPr>
          <w:color w:val="000000"/>
          <w:sz w:val="24"/>
          <w:szCs w:val="24"/>
        </w:rPr>
      </w:pPr>
      <w:r>
        <w:rPr>
          <w:rFonts w:hint="eastAsia"/>
          <w:color w:val="000000"/>
          <w:sz w:val="24"/>
          <w:szCs w:val="24"/>
        </w:rPr>
        <w:t>5、评标办法中所涉及的事项需提供的证明资料</w:t>
      </w:r>
    </w:p>
    <w:p>
      <w:pPr>
        <w:snapToGrid w:val="0"/>
        <w:spacing w:line="480" w:lineRule="exact"/>
        <w:ind w:firstLine="480" w:firstLineChars="200"/>
        <w:outlineLvl w:val="1"/>
        <w:rPr>
          <w:color w:val="000000"/>
          <w:sz w:val="24"/>
          <w:szCs w:val="24"/>
        </w:rPr>
      </w:pPr>
      <w:r>
        <w:rPr>
          <w:rFonts w:hint="eastAsia"/>
          <w:color w:val="000000"/>
          <w:sz w:val="24"/>
          <w:szCs w:val="24"/>
        </w:rPr>
        <w:t>6、评标办法中未涉及的事项，供应商认为需要提交的其他资料</w:t>
      </w:r>
    </w:p>
    <w:p>
      <w:pPr>
        <w:snapToGrid w:val="0"/>
        <w:spacing w:line="480" w:lineRule="exact"/>
        <w:ind w:firstLine="482" w:firstLineChars="200"/>
        <w:outlineLvl w:val="1"/>
        <w:rPr>
          <w:b/>
          <w:color w:val="000000"/>
          <w:sz w:val="24"/>
          <w:szCs w:val="24"/>
        </w:rPr>
      </w:pPr>
      <w:r>
        <w:rPr>
          <w:rFonts w:hint="eastAsia"/>
          <w:b/>
          <w:color w:val="000000"/>
          <w:sz w:val="24"/>
          <w:szCs w:val="24"/>
        </w:rPr>
        <w:t>D、商务报价磋商响应文件（格式参见第八章，不得出现在技术标部分，</w:t>
      </w:r>
      <w:r>
        <w:rPr>
          <w:rFonts w:hint="eastAsia"/>
          <w:b/>
          <w:color w:val="000000"/>
          <w:sz w:val="24"/>
          <w:szCs w:val="24"/>
          <w:lang w:val="en-US" w:eastAsia="zh-CN"/>
        </w:rPr>
        <w:t>按标段提供，</w:t>
      </w:r>
      <w:r>
        <w:rPr>
          <w:rFonts w:hint="eastAsia" w:ascii="宋体" w:hAnsi="宋体" w:cs="宋体"/>
          <w:b/>
          <w:bCs/>
          <w:sz w:val="24"/>
          <w:szCs w:val="24"/>
        </w:rPr>
        <w:t>单独密封</w:t>
      </w:r>
      <w:r>
        <w:rPr>
          <w:rFonts w:hint="eastAsia"/>
          <w:b/>
          <w:color w:val="000000"/>
          <w:sz w:val="24"/>
          <w:szCs w:val="24"/>
        </w:rPr>
        <w:t>）</w:t>
      </w:r>
    </w:p>
    <w:p>
      <w:pPr>
        <w:snapToGrid w:val="0"/>
        <w:spacing w:line="480" w:lineRule="exact"/>
        <w:ind w:firstLine="480" w:firstLineChars="200"/>
        <w:outlineLvl w:val="1"/>
        <w:rPr>
          <w:color w:val="000000"/>
          <w:sz w:val="24"/>
          <w:szCs w:val="24"/>
        </w:rPr>
      </w:pPr>
      <w:r>
        <w:rPr>
          <w:rFonts w:hint="eastAsia"/>
          <w:color w:val="000000"/>
          <w:sz w:val="24"/>
          <w:szCs w:val="24"/>
        </w:rPr>
        <w:t>商务报价应包括磋商文件所确定的全部范围及相应说明的全部内容，包括本次项目实施中的所有费用。</w:t>
      </w:r>
    </w:p>
    <w:p>
      <w:pPr>
        <w:widowControl/>
        <w:spacing w:line="360" w:lineRule="auto"/>
        <w:ind w:firstLine="470" w:firstLineChars="196"/>
        <w:jc w:val="left"/>
        <w:rPr>
          <w:sz w:val="24"/>
          <w:szCs w:val="24"/>
        </w:rPr>
      </w:pPr>
      <w:r>
        <w:rPr>
          <w:sz w:val="24"/>
          <w:szCs w:val="24"/>
        </w:rPr>
        <w:t>1、磋商响应报价表（格式参见</w:t>
      </w:r>
      <w:r>
        <w:rPr>
          <w:rFonts w:hint="eastAsia"/>
          <w:sz w:val="24"/>
          <w:szCs w:val="24"/>
        </w:rPr>
        <w:t>第八章</w:t>
      </w:r>
      <w:r>
        <w:rPr>
          <w:sz w:val="24"/>
          <w:szCs w:val="24"/>
        </w:rPr>
        <w:t>）</w:t>
      </w:r>
    </w:p>
    <w:p>
      <w:pPr>
        <w:adjustRightInd w:val="0"/>
        <w:snapToGrid w:val="0"/>
        <w:spacing w:before="120" w:beforeLines="50" w:after="120" w:afterLines="50" w:line="300" w:lineRule="auto"/>
        <w:ind w:firstLine="482" w:firstLineChars="200"/>
        <w:jc w:val="left"/>
        <w:rPr>
          <w:rFonts w:ascii="宋体" w:hAnsi="宋体" w:cs="宋体"/>
          <w:b/>
          <w:bCs/>
          <w:sz w:val="24"/>
          <w:szCs w:val="24"/>
        </w:rPr>
      </w:pPr>
      <w:r>
        <w:rPr>
          <w:rFonts w:hint="eastAsia" w:ascii="宋体" w:hAnsi="宋体" w:cs="宋体"/>
          <w:b/>
          <w:bCs/>
          <w:sz w:val="24"/>
          <w:szCs w:val="24"/>
        </w:rPr>
        <w:t>说明：</w:t>
      </w:r>
    </w:p>
    <w:p>
      <w:pPr>
        <w:adjustRightInd w:val="0"/>
        <w:snapToGrid w:val="0"/>
        <w:spacing w:before="120" w:beforeLines="50" w:after="120" w:afterLines="50" w:line="300" w:lineRule="auto"/>
        <w:ind w:firstLine="482" w:firstLineChars="200"/>
        <w:jc w:val="left"/>
        <w:rPr>
          <w:rFonts w:ascii="宋体" w:hAnsi="宋体" w:cs="宋体"/>
          <w:b/>
          <w:bCs/>
          <w:sz w:val="24"/>
          <w:szCs w:val="24"/>
        </w:rPr>
      </w:pPr>
      <w:r>
        <w:rPr>
          <w:rFonts w:hint="eastAsia" w:ascii="宋体" w:hAnsi="宋体" w:cs="宋体"/>
          <w:b/>
          <w:bCs/>
          <w:sz w:val="24"/>
          <w:szCs w:val="24"/>
        </w:rPr>
        <w:t>1、</w:t>
      </w:r>
      <w:r>
        <w:rPr>
          <w:rFonts w:hint="eastAsia"/>
          <w:b/>
          <w:sz w:val="24"/>
          <w:szCs w:val="24"/>
        </w:rPr>
        <w:t>“</w:t>
      </w:r>
      <w:r>
        <w:rPr>
          <w:rFonts w:hint="eastAsia" w:ascii="宋体" w:hAnsi="宋体" w:cs="宋体"/>
          <w:b/>
          <w:sz w:val="24"/>
          <w:szCs w:val="24"/>
        </w:rPr>
        <w:t>资格后审</w:t>
      </w:r>
      <w:r>
        <w:rPr>
          <w:rFonts w:hint="eastAsia"/>
          <w:b/>
          <w:color w:val="000000"/>
          <w:sz w:val="24"/>
          <w:szCs w:val="24"/>
        </w:rPr>
        <w:t>资料</w:t>
      </w:r>
      <w:r>
        <w:rPr>
          <w:rFonts w:hint="eastAsia" w:ascii="宋体" w:hAnsi="宋体" w:cs="宋体"/>
          <w:b/>
          <w:sz w:val="24"/>
          <w:szCs w:val="24"/>
        </w:rPr>
        <w:t>文件包</w:t>
      </w:r>
      <w:r>
        <w:rPr>
          <w:rFonts w:hint="eastAsia"/>
          <w:b/>
          <w:sz w:val="24"/>
          <w:szCs w:val="24"/>
        </w:rPr>
        <w:t>”、“</w:t>
      </w:r>
      <w:r>
        <w:rPr>
          <w:rFonts w:hint="eastAsia"/>
          <w:b/>
          <w:color w:val="000000"/>
          <w:sz w:val="24"/>
          <w:szCs w:val="24"/>
        </w:rPr>
        <w:t>技术磋商响应文件</w:t>
      </w:r>
      <w:r>
        <w:rPr>
          <w:rFonts w:hint="eastAsia"/>
          <w:b/>
          <w:sz w:val="24"/>
          <w:szCs w:val="24"/>
        </w:rPr>
        <w:t>”、“</w:t>
      </w:r>
      <w:r>
        <w:rPr>
          <w:rFonts w:hint="eastAsia"/>
          <w:b/>
          <w:color w:val="000000"/>
          <w:sz w:val="24"/>
          <w:szCs w:val="24"/>
        </w:rPr>
        <w:t>商务报价磋商响应文件</w:t>
      </w:r>
      <w:r>
        <w:rPr>
          <w:rFonts w:hint="eastAsia"/>
          <w:b/>
          <w:sz w:val="24"/>
          <w:szCs w:val="24"/>
        </w:rPr>
        <w:t>”</w:t>
      </w:r>
      <w:r>
        <w:rPr>
          <w:rFonts w:hint="eastAsia" w:ascii="宋体" w:hAnsi="宋体" w:cs="宋体"/>
          <w:b/>
          <w:bCs/>
          <w:sz w:val="24"/>
          <w:szCs w:val="24"/>
        </w:rPr>
        <w:t>均需加盖单位公章；</w:t>
      </w:r>
    </w:p>
    <w:p>
      <w:pPr>
        <w:adjustRightInd w:val="0"/>
        <w:snapToGrid w:val="0"/>
        <w:spacing w:before="120" w:beforeLines="50" w:after="120" w:afterLines="50" w:line="300" w:lineRule="auto"/>
        <w:ind w:firstLine="482" w:firstLineChars="200"/>
        <w:jc w:val="left"/>
        <w:rPr>
          <w:rFonts w:ascii="宋体" w:hAnsi="宋体" w:cs="宋体"/>
          <w:b/>
          <w:bCs/>
          <w:sz w:val="24"/>
          <w:szCs w:val="24"/>
        </w:rPr>
      </w:pPr>
      <w:r>
        <w:rPr>
          <w:rFonts w:hint="eastAsia" w:ascii="宋体" w:hAnsi="宋体" w:cs="宋体"/>
          <w:b/>
          <w:bCs/>
          <w:sz w:val="24"/>
          <w:szCs w:val="24"/>
        </w:rPr>
        <w:t>2、为方便评委评审，请投标供应商按评标办法中所涉及的内容顺序进行编制，可以补充相关材料，并制作目录。</w:t>
      </w:r>
    </w:p>
    <w:p>
      <w:pPr>
        <w:snapToGrid w:val="0"/>
        <w:spacing w:before="120" w:beforeLines="50" w:after="120" w:afterLines="50" w:line="300" w:lineRule="auto"/>
        <w:outlineLvl w:val="1"/>
        <w:rPr>
          <w:rFonts w:ascii="宋体" w:hAnsi="宋体" w:cs="宋体"/>
          <w:b/>
          <w:kern w:val="0"/>
          <w:sz w:val="24"/>
          <w:szCs w:val="24"/>
        </w:rPr>
      </w:pPr>
      <w:r>
        <w:rPr>
          <w:rFonts w:hint="eastAsia" w:ascii="宋体" w:hAnsi="宋体" w:cs="宋体"/>
          <w:b/>
          <w:color w:val="000000"/>
          <w:sz w:val="28"/>
          <w:szCs w:val="28"/>
        </w:rPr>
        <w:br w:type="page"/>
      </w:r>
      <w:r>
        <w:rPr>
          <w:rFonts w:hint="eastAsia" w:ascii="宋体" w:hAnsi="宋体" w:cs="宋体"/>
          <w:b/>
          <w:kern w:val="0"/>
          <w:sz w:val="24"/>
          <w:szCs w:val="24"/>
        </w:rPr>
        <w:t>二、磋商响应文件封面范例</w:t>
      </w:r>
    </w:p>
    <w:p>
      <w:pPr>
        <w:tabs>
          <w:tab w:val="left" w:pos="6300"/>
        </w:tabs>
        <w:snapToGrid w:val="0"/>
        <w:spacing w:before="120" w:beforeLines="50" w:after="120" w:afterLines="50" w:line="300" w:lineRule="auto"/>
        <w:jc w:val="center"/>
        <w:rPr>
          <w:rFonts w:ascii="黑体" w:hAnsi="黑体" w:eastAsia="黑体" w:cs="宋体"/>
          <w:b/>
          <w:sz w:val="36"/>
          <w:szCs w:val="36"/>
        </w:rPr>
      </w:pPr>
      <w:r>
        <w:rPr>
          <w:rFonts w:hint="eastAsia" w:ascii="黑体" w:hAnsi="黑体" w:eastAsia="黑体" w:cs="宋体"/>
          <w:b/>
          <w:sz w:val="36"/>
          <w:szCs w:val="36"/>
        </w:rPr>
        <w:t>南通市启秀中学食堂食品原材料</w:t>
      </w:r>
    </w:p>
    <w:p>
      <w:pPr>
        <w:tabs>
          <w:tab w:val="left" w:pos="6300"/>
        </w:tabs>
        <w:snapToGrid w:val="0"/>
        <w:spacing w:before="120" w:beforeLines="50" w:after="120" w:afterLines="50" w:line="300" w:lineRule="auto"/>
        <w:jc w:val="center"/>
        <w:rPr>
          <w:rFonts w:ascii="黑体" w:hAnsi="黑体" w:eastAsia="黑体" w:cs="宋体"/>
          <w:b/>
          <w:color w:val="000000"/>
          <w:w w:val="80"/>
          <w:sz w:val="36"/>
          <w:szCs w:val="36"/>
        </w:rPr>
      </w:pPr>
      <w:r>
        <w:rPr>
          <w:rFonts w:hint="eastAsia" w:ascii="黑体" w:hAnsi="黑体" w:eastAsia="黑体" w:cs="宋体"/>
          <w:b/>
          <w:sz w:val="36"/>
          <w:szCs w:val="36"/>
        </w:rPr>
        <w:t>供应商资格准入项目</w:t>
      </w:r>
    </w:p>
    <w:p>
      <w:pPr>
        <w:tabs>
          <w:tab w:val="left" w:pos="6300"/>
        </w:tabs>
        <w:snapToGrid w:val="0"/>
        <w:spacing w:before="120" w:beforeLines="50" w:after="120" w:afterLines="50" w:line="300" w:lineRule="auto"/>
        <w:jc w:val="center"/>
        <w:rPr>
          <w:rFonts w:ascii="宋体" w:hAnsi="宋体" w:cs="宋体"/>
          <w:b/>
          <w:color w:val="000000"/>
          <w:w w:val="80"/>
          <w:sz w:val="96"/>
          <w:szCs w:val="96"/>
        </w:rPr>
      </w:pPr>
    </w:p>
    <w:p>
      <w:pPr>
        <w:tabs>
          <w:tab w:val="left" w:pos="6300"/>
        </w:tabs>
        <w:snapToGrid w:val="0"/>
        <w:spacing w:before="120" w:beforeLines="50" w:after="120" w:afterLines="50" w:line="300" w:lineRule="auto"/>
        <w:jc w:val="center"/>
        <w:rPr>
          <w:rFonts w:ascii="宋体" w:hAnsi="宋体" w:cs="宋体"/>
          <w:b/>
          <w:color w:val="000000"/>
          <w:w w:val="80"/>
          <w:sz w:val="96"/>
          <w:szCs w:val="96"/>
        </w:rPr>
      </w:pPr>
    </w:p>
    <w:p>
      <w:pPr>
        <w:tabs>
          <w:tab w:val="left" w:pos="6300"/>
        </w:tabs>
        <w:snapToGrid w:val="0"/>
        <w:spacing w:before="120" w:beforeLines="50" w:after="120" w:afterLines="50" w:line="300" w:lineRule="auto"/>
        <w:jc w:val="center"/>
        <w:rPr>
          <w:rFonts w:ascii="宋体" w:hAnsi="宋体" w:cs="宋体"/>
          <w:b/>
          <w:color w:val="000000"/>
          <w:w w:val="80"/>
          <w:sz w:val="72"/>
          <w:szCs w:val="72"/>
        </w:rPr>
      </w:pPr>
      <w:r>
        <w:rPr>
          <w:rFonts w:hint="eastAsia" w:ascii="宋体" w:hAnsi="宋体" w:cs="宋体"/>
          <w:b/>
          <w:color w:val="000000"/>
          <w:w w:val="80"/>
          <w:sz w:val="72"/>
          <w:szCs w:val="72"/>
        </w:rPr>
        <w:t>竞争性磋商响应文件</w:t>
      </w:r>
    </w:p>
    <w:p>
      <w:pPr>
        <w:spacing w:before="120" w:beforeLines="50" w:after="120" w:afterLines="50" w:line="300" w:lineRule="auto"/>
        <w:jc w:val="center"/>
        <w:rPr>
          <w:rFonts w:hint="eastAsia" w:ascii="宋体" w:hAnsi="宋体" w:eastAsia="宋体" w:cs="宋体"/>
          <w:b/>
          <w:color w:val="000000"/>
          <w:sz w:val="28"/>
          <w:szCs w:val="28"/>
          <w:lang w:eastAsia="zh-CN"/>
        </w:rPr>
      </w:pPr>
      <w:r>
        <w:rPr>
          <w:rFonts w:hint="eastAsia" w:ascii="宋体" w:hAnsi="宋体" w:cs="宋体"/>
          <w:b/>
          <w:color w:val="000000"/>
          <w:sz w:val="28"/>
          <w:szCs w:val="28"/>
        </w:rPr>
        <w:t>项目编号：</w:t>
      </w:r>
      <w:r>
        <w:rPr>
          <w:rFonts w:hint="eastAsia" w:ascii="宋体" w:hAnsi="宋体" w:cs="宋体"/>
          <w:b/>
          <w:color w:val="000000"/>
          <w:sz w:val="28"/>
          <w:szCs w:val="28"/>
          <w:lang w:eastAsia="zh-CN"/>
        </w:rPr>
        <w:t>M3206010318001373</w:t>
      </w:r>
    </w:p>
    <w:p>
      <w:pPr>
        <w:spacing w:line="520" w:lineRule="exact"/>
        <w:jc w:val="center"/>
        <w:rPr>
          <w:rFonts w:ascii="宋体" w:hAnsi="宋体" w:cs="宋体"/>
          <w:b/>
          <w:sz w:val="44"/>
          <w:szCs w:val="44"/>
        </w:rPr>
      </w:pPr>
    </w:p>
    <w:p>
      <w:pPr>
        <w:spacing w:line="520" w:lineRule="exact"/>
        <w:ind w:firstLine="2240" w:firstLineChars="800"/>
        <w:rPr>
          <w:rFonts w:ascii="宋体" w:hAnsi="宋体" w:cs="宋体"/>
          <w:b/>
          <w:sz w:val="44"/>
          <w:szCs w:val="44"/>
        </w:rPr>
      </w:pPr>
      <w:r>
        <w:rPr>
          <w:rFonts w:hint="eastAsia" w:ascii="宋体" w:hAnsi="宋体" w:cs="宋体"/>
          <w:sz w:val="28"/>
          <w:szCs w:val="28"/>
        </w:rPr>
        <w:t>分别对应填写：资格后审原件包</w:t>
      </w:r>
    </w:p>
    <w:p>
      <w:pPr>
        <w:spacing w:line="520" w:lineRule="exact"/>
        <w:ind w:firstLine="2240" w:firstLineChars="800"/>
        <w:rPr>
          <w:rFonts w:ascii="宋体" w:hAnsi="宋体" w:cs="宋体"/>
          <w:sz w:val="28"/>
          <w:szCs w:val="28"/>
        </w:rPr>
      </w:pPr>
      <w:r>
        <w:rPr>
          <w:rFonts w:hint="eastAsia" w:ascii="宋体" w:hAnsi="宋体" w:cs="宋体"/>
          <w:sz w:val="28"/>
          <w:szCs w:val="28"/>
        </w:rPr>
        <w:t>分别对应填写：资格审查文件</w:t>
      </w:r>
    </w:p>
    <w:p>
      <w:pPr>
        <w:spacing w:line="520" w:lineRule="exact"/>
        <w:ind w:firstLine="2240" w:firstLineChars="800"/>
        <w:rPr>
          <w:rFonts w:ascii="宋体" w:hAnsi="宋体" w:cs="宋体"/>
          <w:sz w:val="28"/>
          <w:szCs w:val="28"/>
        </w:rPr>
      </w:pPr>
      <w:r>
        <w:rPr>
          <w:rFonts w:hint="eastAsia" w:ascii="宋体" w:hAnsi="宋体" w:cs="宋体"/>
          <w:sz w:val="28"/>
          <w:szCs w:val="28"/>
        </w:rPr>
        <w:t>分别对应填写：技术磋商响应文件</w:t>
      </w:r>
    </w:p>
    <w:p>
      <w:pPr>
        <w:spacing w:line="520" w:lineRule="exact"/>
        <w:ind w:firstLine="2240" w:firstLineChars="800"/>
        <w:rPr>
          <w:rFonts w:ascii="宋体" w:hAnsi="宋体" w:cs="宋体"/>
          <w:sz w:val="28"/>
          <w:szCs w:val="28"/>
        </w:rPr>
      </w:pPr>
      <w:r>
        <w:rPr>
          <w:rFonts w:hint="eastAsia" w:ascii="宋体" w:hAnsi="宋体" w:cs="宋体"/>
          <w:sz w:val="28"/>
          <w:szCs w:val="28"/>
        </w:rPr>
        <w:t>分别对应填写：商务报价磋商响应文件</w:t>
      </w:r>
    </w:p>
    <w:p>
      <w:pPr>
        <w:spacing w:line="520" w:lineRule="exact"/>
        <w:ind w:firstLine="2240" w:firstLineChars="800"/>
        <w:rPr>
          <w:rFonts w:ascii="宋体" w:hAnsi="宋体" w:cs="宋体"/>
          <w:sz w:val="28"/>
          <w:szCs w:val="28"/>
        </w:rPr>
      </w:pPr>
    </w:p>
    <w:p>
      <w:pPr>
        <w:jc w:val="center"/>
        <w:rPr>
          <w:rFonts w:ascii="宋体" w:hAnsi="宋体" w:cs="宋体"/>
          <w:b/>
          <w:sz w:val="44"/>
          <w:szCs w:val="44"/>
        </w:rPr>
      </w:pPr>
      <w:r>
        <w:rPr>
          <w:rFonts w:hint="eastAsia" w:ascii="宋体" w:hAnsi="宋体" w:cs="宋体"/>
          <w:b/>
          <w:sz w:val="44"/>
          <w:szCs w:val="44"/>
        </w:rPr>
        <w:t>标段X：XXXX</w:t>
      </w:r>
    </w:p>
    <w:p>
      <w:pPr>
        <w:snapToGrid w:val="0"/>
        <w:spacing w:line="520" w:lineRule="exact"/>
        <w:jc w:val="center"/>
        <w:rPr>
          <w:rFonts w:ascii="宋体" w:hAnsi="宋体" w:cs="宋体"/>
          <w:b/>
          <w:bCs/>
          <w:spacing w:val="20"/>
          <w:sz w:val="44"/>
          <w:szCs w:val="44"/>
        </w:rPr>
      </w:pPr>
    </w:p>
    <w:p>
      <w:pPr>
        <w:snapToGrid w:val="0"/>
        <w:spacing w:line="520" w:lineRule="exact"/>
        <w:jc w:val="center"/>
        <w:rPr>
          <w:rFonts w:ascii="宋体" w:hAnsi="宋体" w:cs="宋体"/>
          <w:b/>
          <w:bCs/>
          <w:spacing w:val="20"/>
          <w:sz w:val="44"/>
          <w:szCs w:val="44"/>
        </w:rPr>
      </w:pPr>
    </w:p>
    <w:p>
      <w:pPr>
        <w:snapToGrid w:val="0"/>
        <w:spacing w:line="520" w:lineRule="exact"/>
        <w:jc w:val="center"/>
        <w:rPr>
          <w:rFonts w:ascii="宋体" w:hAnsi="宋体" w:cs="宋体"/>
          <w:b/>
          <w:bCs/>
          <w:spacing w:val="20"/>
          <w:sz w:val="44"/>
          <w:szCs w:val="44"/>
        </w:rPr>
      </w:pPr>
    </w:p>
    <w:p>
      <w:pPr>
        <w:adjustRightInd w:val="0"/>
        <w:snapToGrid w:val="0"/>
        <w:spacing w:line="520" w:lineRule="exact"/>
        <w:jc w:val="center"/>
        <w:rPr>
          <w:rFonts w:ascii="宋体" w:hAnsi="宋体" w:cs="宋体"/>
          <w:sz w:val="32"/>
          <w:szCs w:val="32"/>
        </w:rPr>
      </w:pPr>
      <w:r>
        <w:rPr>
          <w:rFonts w:hint="eastAsia" w:ascii="宋体" w:hAnsi="宋体" w:cs="宋体"/>
          <w:sz w:val="32"/>
          <w:szCs w:val="32"/>
        </w:rPr>
        <w:t>投标人（供应商）：参加招标单位全称</w:t>
      </w:r>
    </w:p>
    <w:p>
      <w:pPr>
        <w:snapToGrid w:val="0"/>
        <w:spacing w:line="520" w:lineRule="exact"/>
        <w:jc w:val="center"/>
        <w:rPr>
          <w:rFonts w:ascii="宋体" w:hAnsi="宋体" w:cs="宋体"/>
          <w:sz w:val="32"/>
          <w:szCs w:val="32"/>
        </w:rPr>
      </w:pPr>
      <w:r>
        <w:rPr>
          <w:rFonts w:hint="eastAsia" w:ascii="宋体" w:hAnsi="宋体" w:cs="宋体"/>
          <w:sz w:val="32"/>
          <w:szCs w:val="32"/>
        </w:rPr>
        <w:t>二○二○年</w:t>
      </w:r>
      <w:r>
        <w:rPr>
          <w:rFonts w:hint="eastAsia" w:ascii="宋体" w:hAnsi="宋体" w:cs="宋体"/>
          <w:sz w:val="32"/>
          <w:szCs w:val="32"/>
          <w:lang w:val="en-US" w:eastAsia="zh-CN"/>
        </w:rPr>
        <w:t>九</w:t>
      </w:r>
      <w:r>
        <w:rPr>
          <w:rFonts w:hint="eastAsia" w:ascii="宋体" w:hAnsi="宋体" w:cs="宋体"/>
          <w:sz w:val="32"/>
          <w:szCs w:val="32"/>
        </w:rPr>
        <w:t>月      日</w:t>
      </w:r>
    </w:p>
    <w:p>
      <w:pPr>
        <w:widowControl/>
        <w:jc w:val="left"/>
        <w:rPr>
          <w:rFonts w:ascii="宋体" w:hAnsi="宋体" w:cs="宋体"/>
          <w:b/>
          <w:color w:val="000000"/>
          <w:sz w:val="28"/>
          <w:szCs w:val="28"/>
        </w:rPr>
      </w:pPr>
      <w:r>
        <w:rPr>
          <w:rFonts w:ascii="宋体" w:hAnsi="宋体" w:cs="宋体"/>
          <w:b/>
          <w:color w:val="000000"/>
          <w:sz w:val="28"/>
          <w:szCs w:val="28"/>
        </w:rPr>
        <w:br w:type="page"/>
      </w:r>
    </w:p>
    <w:p>
      <w:pPr>
        <w:adjustRightInd w:val="0"/>
        <w:snapToGrid w:val="0"/>
        <w:spacing w:line="360" w:lineRule="auto"/>
        <w:rPr>
          <w:rFonts w:ascii="宋体" w:hAnsi="宋体" w:cs="宋体"/>
          <w:b/>
          <w:sz w:val="24"/>
          <w:szCs w:val="24"/>
        </w:rPr>
      </w:pPr>
      <w:r>
        <w:rPr>
          <w:rFonts w:hint="eastAsia" w:ascii="宋体" w:hAnsi="宋体" w:cs="宋体"/>
          <w:b/>
          <w:sz w:val="24"/>
          <w:szCs w:val="24"/>
        </w:rPr>
        <w:t>三、招标响应文件</w:t>
      </w:r>
    </w:p>
    <w:p>
      <w:pPr>
        <w:adjustRightInd w:val="0"/>
        <w:snapToGrid w:val="0"/>
        <w:spacing w:line="360" w:lineRule="auto"/>
        <w:outlineLvl w:val="2"/>
        <w:rPr>
          <w:rFonts w:ascii="宋体" w:hAnsi="宋体" w:cs="宋体"/>
          <w:b/>
          <w:sz w:val="24"/>
          <w:szCs w:val="24"/>
        </w:rPr>
      </w:pPr>
      <w:r>
        <w:rPr>
          <w:rFonts w:hint="eastAsia" w:ascii="宋体" w:hAnsi="宋体" w:cs="宋体"/>
          <w:b/>
          <w:sz w:val="24"/>
          <w:szCs w:val="24"/>
        </w:rPr>
        <w:t>A、资格后审材料原件包(单独密封)</w:t>
      </w:r>
    </w:p>
    <w:p>
      <w:pPr>
        <w:autoSpaceDE w:val="0"/>
        <w:autoSpaceDN w:val="0"/>
        <w:adjustRightInd w:val="0"/>
        <w:spacing w:line="360" w:lineRule="auto"/>
        <w:jc w:val="left"/>
        <w:rPr>
          <w:rFonts w:ascii="宋体" w:hAnsi="宋体" w:cs="宋体"/>
          <w:b/>
          <w:bCs/>
          <w:sz w:val="24"/>
          <w:szCs w:val="24"/>
        </w:rPr>
      </w:pPr>
      <w:r>
        <w:rPr>
          <w:rFonts w:hint="eastAsia" w:ascii="宋体" w:hAnsi="宋体" w:cs="宋体"/>
          <w:b/>
          <w:sz w:val="24"/>
          <w:szCs w:val="24"/>
        </w:rPr>
        <w:t xml:space="preserve">A.1 </w:t>
      </w:r>
      <w:r>
        <w:rPr>
          <w:rFonts w:hint="eastAsia" w:ascii="宋体" w:hAnsi="宋体" w:cs="宋体"/>
          <w:b/>
          <w:bCs/>
          <w:sz w:val="24"/>
          <w:szCs w:val="24"/>
        </w:rPr>
        <w:t>目  录</w:t>
      </w:r>
    </w:p>
    <w:tbl>
      <w:tblPr>
        <w:tblStyle w:val="50"/>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612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817" w:type="dxa"/>
            <w:vAlign w:val="center"/>
          </w:tcPr>
          <w:p>
            <w:pPr>
              <w:spacing w:line="360" w:lineRule="auto"/>
              <w:jc w:val="center"/>
              <w:rPr>
                <w:rFonts w:ascii="宋体" w:hAnsi="宋体" w:cs="宋体"/>
                <w:b/>
                <w:sz w:val="24"/>
                <w:szCs w:val="24"/>
              </w:rPr>
            </w:pPr>
            <w:r>
              <w:rPr>
                <w:rFonts w:hint="eastAsia" w:ascii="宋体" w:hAnsi="宋体" w:cs="宋体"/>
                <w:b/>
                <w:sz w:val="24"/>
                <w:szCs w:val="24"/>
              </w:rPr>
              <w:t>序号</w:t>
            </w:r>
          </w:p>
        </w:tc>
        <w:tc>
          <w:tcPr>
            <w:tcW w:w="6124" w:type="dxa"/>
            <w:vAlign w:val="center"/>
          </w:tcPr>
          <w:p>
            <w:pPr>
              <w:spacing w:line="360" w:lineRule="auto"/>
              <w:jc w:val="center"/>
              <w:rPr>
                <w:rFonts w:ascii="宋体" w:hAnsi="宋体" w:cs="宋体"/>
                <w:b/>
                <w:sz w:val="24"/>
                <w:szCs w:val="24"/>
              </w:rPr>
            </w:pPr>
            <w:r>
              <w:rPr>
                <w:rFonts w:hint="eastAsia" w:ascii="宋体" w:hAnsi="宋体" w:cs="宋体"/>
                <w:b/>
                <w:sz w:val="24"/>
                <w:szCs w:val="24"/>
              </w:rPr>
              <w:t>资格后审材料原件包 明细</w:t>
            </w:r>
          </w:p>
        </w:tc>
        <w:tc>
          <w:tcPr>
            <w:tcW w:w="1418" w:type="dxa"/>
          </w:tcPr>
          <w:p>
            <w:pPr>
              <w:spacing w:line="360" w:lineRule="auto"/>
              <w:jc w:val="center"/>
              <w:rPr>
                <w:rFonts w:ascii="宋体" w:hAnsi="宋体" w:cs="宋体"/>
                <w:b/>
                <w:sz w:val="24"/>
                <w:szCs w:val="24"/>
              </w:rPr>
            </w:pPr>
            <w:r>
              <w:rPr>
                <w:rFonts w:hint="eastAsia" w:ascii="宋体" w:hAnsi="宋体" w:cs="宋体"/>
                <w:b/>
                <w:sz w:val="24"/>
                <w:szCs w:val="24"/>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sz w:val="24"/>
                <w:szCs w:val="24"/>
              </w:rPr>
            </w:pPr>
            <w:r>
              <w:rPr>
                <w:rFonts w:hint="eastAsia"/>
                <w:sz w:val="24"/>
                <w:szCs w:val="24"/>
              </w:rPr>
              <w:t>1</w:t>
            </w:r>
          </w:p>
        </w:tc>
        <w:tc>
          <w:tcPr>
            <w:tcW w:w="6124" w:type="dxa"/>
          </w:tcPr>
          <w:p>
            <w:pPr>
              <w:spacing w:line="360" w:lineRule="auto"/>
              <w:rPr>
                <w:sz w:val="24"/>
                <w:szCs w:val="24"/>
              </w:rPr>
            </w:pPr>
            <w:r>
              <w:rPr>
                <w:color w:val="000000"/>
                <w:sz w:val="24"/>
                <w:szCs w:val="24"/>
              </w:rPr>
              <w:t>营业执照副本原件；</w:t>
            </w:r>
          </w:p>
        </w:tc>
        <w:tc>
          <w:tcPr>
            <w:tcW w:w="1418" w:type="dxa"/>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sz w:val="24"/>
                <w:szCs w:val="24"/>
              </w:rPr>
            </w:pPr>
            <w:r>
              <w:rPr>
                <w:rFonts w:hint="eastAsia"/>
                <w:sz w:val="24"/>
                <w:szCs w:val="24"/>
              </w:rPr>
              <w:t>2</w:t>
            </w:r>
          </w:p>
        </w:tc>
        <w:tc>
          <w:tcPr>
            <w:tcW w:w="6124" w:type="dxa"/>
            <w:vAlign w:val="top"/>
          </w:tcPr>
          <w:p>
            <w:pPr>
              <w:spacing w:line="360" w:lineRule="auto"/>
              <w:rPr>
                <w:rFonts w:ascii="Times New Roman" w:hAnsi="Times New Roman" w:eastAsia="宋体" w:cs="Times New Roman"/>
                <w:kern w:val="2"/>
                <w:sz w:val="24"/>
                <w:szCs w:val="24"/>
                <w:lang w:val="en-US" w:eastAsia="zh-CN" w:bidi="ar-SA"/>
              </w:rPr>
            </w:pPr>
            <w:r>
              <w:rPr>
                <w:rFonts w:hint="eastAsia" w:ascii="宋体" w:hAnsi="宋体" w:cs="宋体"/>
                <w:sz w:val="24"/>
                <w:szCs w:val="24"/>
              </w:rPr>
              <w:t>招标公告供应商资格条件要求材料（</w:t>
            </w:r>
            <w:r>
              <w:rPr>
                <w:rFonts w:hint="eastAsia" w:ascii="宋体" w:hAnsi="宋体" w:cs="宋体"/>
                <w:b/>
                <w:bCs/>
                <w:sz w:val="24"/>
                <w:szCs w:val="24"/>
              </w:rPr>
              <w:t>招标公告中第四条</w:t>
            </w:r>
            <w:r>
              <w:rPr>
                <w:rFonts w:hint="eastAsia" w:ascii="宋体" w:hAnsi="宋体" w:cs="宋体"/>
                <w:sz w:val="24"/>
                <w:szCs w:val="24"/>
              </w:rPr>
              <w:t>的相关要求）需要核查的原件；</w:t>
            </w:r>
          </w:p>
        </w:tc>
        <w:tc>
          <w:tcPr>
            <w:tcW w:w="1418" w:type="dxa"/>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sz w:val="24"/>
                <w:szCs w:val="24"/>
              </w:rPr>
            </w:pPr>
            <w:r>
              <w:rPr>
                <w:rFonts w:hint="eastAsia"/>
                <w:sz w:val="24"/>
                <w:szCs w:val="24"/>
              </w:rPr>
              <w:t>3</w:t>
            </w:r>
          </w:p>
        </w:tc>
        <w:tc>
          <w:tcPr>
            <w:tcW w:w="6124" w:type="dxa"/>
            <w:vAlign w:val="top"/>
          </w:tcPr>
          <w:p>
            <w:pPr>
              <w:spacing w:line="360" w:lineRule="auto"/>
              <w:rPr>
                <w:rFonts w:ascii="Times New Roman" w:hAnsi="Times New Roman" w:eastAsia="宋体" w:cs="Times New Roman"/>
                <w:kern w:val="2"/>
                <w:sz w:val="24"/>
                <w:szCs w:val="24"/>
                <w:lang w:val="en-US" w:eastAsia="zh-CN" w:bidi="ar-SA"/>
              </w:rPr>
            </w:pPr>
            <w:r>
              <w:rPr>
                <w:color w:val="000000"/>
                <w:sz w:val="24"/>
                <w:szCs w:val="24"/>
              </w:rPr>
              <w:t>技术响应文件中所涉及的事项需提供的证明资料</w:t>
            </w:r>
            <w:r>
              <w:rPr>
                <w:rFonts w:hint="eastAsia"/>
                <w:color w:val="000000"/>
                <w:sz w:val="24"/>
                <w:szCs w:val="24"/>
              </w:rPr>
              <w:t>原件</w:t>
            </w:r>
            <w:r>
              <w:rPr>
                <w:color w:val="000000"/>
                <w:sz w:val="24"/>
                <w:szCs w:val="24"/>
              </w:rPr>
              <w:t>。</w:t>
            </w:r>
          </w:p>
        </w:tc>
        <w:tc>
          <w:tcPr>
            <w:tcW w:w="1418" w:type="dxa"/>
            <w:vAlign w:val="center"/>
          </w:tcPr>
          <w:p>
            <w:pPr>
              <w:spacing w:line="360" w:lineRule="auto"/>
              <w:rPr>
                <w:sz w:val="24"/>
                <w:szCs w:val="24"/>
              </w:rPr>
            </w:pPr>
          </w:p>
        </w:tc>
      </w:tr>
    </w:tbl>
    <w:p>
      <w:pPr>
        <w:adjustRightInd w:val="0"/>
        <w:snapToGrid w:val="0"/>
        <w:spacing w:line="360" w:lineRule="auto"/>
        <w:rPr>
          <w:rFonts w:ascii="宋体" w:hAnsi="宋体" w:cs="宋体"/>
          <w:sz w:val="24"/>
          <w:szCs w:val="24"/>
        </w:rPr>
      </w:pPr>
    </w:p>
    <w:p>
      <w:pPr>
        <w:adjustRightInd w:val="0"/>
        <w:snapToGrid w:val="0"/>
        <w:spacing w:line="360" w:lineRule="auto"/>
        <w:rPr>
          <w:rFonts w:ascii="宋体" w:hAnsi="宋体" w:cs="宋体"/>
          <w:sz w:val="24"/>
          <w:szCs w:val="24"/>
        </w:rPr>
      </w:pPr>
    </w:p>
    <w:p>
      <w:pPr>
        <w:adjustRightInd w:val="0"/>
        <w:snapToGrid w:val="0"/>
        <w:spacing w:line="360" w:lineRule="auto"/>
        <w:rPr>
          <w:rFonts w:ascii="宋体" w:hAnsi="宋体" w:cs="宋体"/>
          <w:sz w:val="24"/>
          <w:szCs w:val="24"/>
        </w:rPr>
      </w:pPr>
    </w:p>
    <w:p>
      <w:pPr>
        <w:adjustRightInd w:val="0"/>
        <w:snapToGrid w:val="0"/>
        <w:spacing w:line="360" w:lineRule="auto"/>
        <w:rPr>
          <w:rFonts w:ascii="宋体" w:hAnsi="宋体" w:cs="宋体"/>
          <w:sz w:val="24"/>
          <w:szCs w:val="24"/>
        </w:rPr>
      </w:pPr>
      <w:r>
        <w:rPr>
          <w:rFonts w:hint="eastAsia" w:ascii="宋体" w:hAnsi="宋体" w:cs="宋体"/>
          <w:sz w:val="24"/>
          <w:szCs w:val="24"/>
        </w:rPr>
        <w:t>法定代表人或受权人签字：</w:t>
      </w:r>
    </w:p>
    <w:p>
      <w:pPr>
        <w:adjustRightInd w:val="0"/>
        <w:snapToGrid w:val="0"/>
        <w:spacing w:line="360" w:lineRule="auto"/>
        <w:rPr>
          <w:rFonts w:ascii="宋体" w:hAnsi="宋体" w:cs="宋体"/>
          <w:sz w:val="24"/>
          <w:szCs w:val="24"/>
        </w:rPr>
      </w:pPr>
      <w:r>
        <w:rPr>
          <w:rFonts w:hint="eastAsia" w:ascii="宋体" w:hAnsi="宋体" w:cs="宋体"/>
          <w:sz w:val="24"/>
          <w:szCs w:val="24"/>
        </w:rPr>
        <w:t>（供应商公章）</w:t>
      </w:r>
    </w:p>
    <w:p>
      <w:pPr>
        <w:adjustRightInd w:val="0"/>
        <w:snapToGrid w:val="0"/>
        <w:spacing w:line="360" w:lineRule="auto"/>
        <w:rPr>
          <w:rFonts w:ascii="宋体" w:hAnsi="宋体" w:cs="宋体"/>
          <w:b/>
          <w:sz w:val="24"/>
          <w:szCs w:val="24"/>
        </w:rPr>
      </w:pPr>
      <w:r>
        <w:rPr>
          <w:rFonts w:hint="eastAsia" w:ascii="宋体" w:hAnsi="宋体" w:cs="宋体"/>
          <w:sz w:val="24"/>
          <w:szCs w:val="24"/>
        </w:rPr>
        <w:t>日期：</w:t>
      </w:r>
    </w:p>
    <w:p>
      <w:pPr>
        <w:adjustRightInd w:val="0"/>
        <w:snapToGrid w:val="0"/>
        <w:spacing w:line="360" w:lineRule="auto"/>
        <w:rPr>
          <w:rFonts w:ascii="宋体" w:hAnsi="宋体" w:cs="宋体"/>
          <w:b/>
          <w:sz w:val="24"/>
          <w:szCs w:val="24"/>
        </w:rPr>
      </w:pPr>
    </w:p>
    <w:p>
      <w:pPr>
        <w:adjustRightInd w:val="0"/>
        <w:snapToGrid w:val="0"/>
        <w:spacing w:line="360" w:lineRule="auto"/>
        <w:rPr>
          <w:rFonts w:ascii="宋体" w:hAnsi="宋体" w:cs="宋体"/>
          <w:b/>
          <w:sz w:val="24"/>
          <w:szCs w:val="24"/>
        </w:rPr>
      </w:pPr>
    </w:p>
    <w:p>
      <w:pPr>
        <w:adjustRightInd w:val="0"/>
        <w:snapToGrid w:val="0"/>
        <w:spacing w:line="360" w:lineRule="auto"/>
        <w:rPr>
          <w:rFonts w:ascii="宋体" w:hAnsi="宋体" w:cs="宋体"/>
          <w:b/>
          <w:sz w:val="24"/>
          <w:szCs w:val="24"/>
        </w:rPr>
      </w:pPr>
    </w:p>
    <w:p>
      <w:pPr>
        <w:adjustRightInd w:val="0"/>
        <w:snapToGrid w:val="0"/>
        <w:spacing w:line="360" w:lineRule="auto"/>
        <w:ind w:firstLine="482" w:firstLineChars="200"/>
        <w:rPr>
          <w:rFonts w:ascii="宋体" w:hAnsi="宋体" w:cs="宋体"/>
          <w:b/>
          <w:sz w:val="24"/>
          <w:szCs w:val="24"/>
        </w:rPr>
      </w:pPr>
      <w:r>
        <w:rPr>
          <w:rFonts w:hint="eastAsia" w:ascii="宋体" w:hAnsi="宋体" w:cs="宋体"/>
          <w:b/>
          <w:sz w:val="24"/>
          <w:szCs w:val="24"/>
        </w:rPr>
        <w:t>注：以上由供应商填写，仅作为资格后审材料原件包内提供的各项原件材料（如资格证明原件及业绩证明合同原件等）的清单目录。</w:t>
      </w:r>
    </w:p>
    <w:p>
      <w:pPr>
        <w:widowControl/>
        <w:jc w:val="left"/>
        <w:rPr>
          <w:rFonts w:ascii="宋体" w:hAnsi="宋体" w:cs="宋体"/>
          <w:b/>
          <w:sz w:val="24"/>
          <w:szCs w:val="24"/>
        </w:rPr>
      </w:pPr>
      <w:r>
        <w:rPr>
          <w:rFonts w:ascii="宋体" w:hAnsi="宋体" w:cs="宋体"/>
          <w:b/>
          <w:sz w:val="24"/>
          <w:szCs w:val="24"/>
        </w:rPr>
        <w:br w:type="page"/>
      </w:r>
    </w:p>
    <w:p>
      <w:pPr>
        <w:adjustRightInd w:val="0"/>
        <w:snapToGrid w:val="0"/>
        <w:spacing w:line="360" w:lineRule="auto"/>
        <w:outlineLvl w:val="2"/>
        <w:rPr>
          <w:rFonts w:ascii="宋体" w:hAnsi="宋体" w:cs="宋体"/>
          <w:b/>
          <w:sz w:val="24"/>
          <w:szCs w:val="24"/>
        </w:rPr>
      </w:pPr>
      <w:r>
        <w:rPr>
          <w:rFonts w:hint="eastAsia" w:ascii="宋体" w:hAnsi="宋体" w:cs="宋体"/>
          <w:b/>
          <w:sz w:val="24"/>
          <w:szCs w:val="24"/>
        </w:rPr>
        <w:t>B、资格后审资料文件(单独密封)</w:t>
      </w:r>
    </w:p>
    <w:p>
      <w:pPr>
        <w:adjustRightInd w:val="0"/>
        <w:snapToGrid w:val="0"/>
        <w:spacing w:line="360" w:lineRule="auto"/>
        <w:jc w:val="left"/>
        <w:rPr>
          <w:rFonts w:ascii="宋体" w:hAnsi="宋体" w:cs="宋体"/>
          <w:b/>
          <w:sz w:val="24"/>
          <w:szCs w:val="24"/>
        </w:rPr>
      </w:pPr>
      <w:r>
        <w:rPr>
          <w:rFonts w:hint="eastAsia" w:ascii="宋体" w:hAnsi="宋体" w:cs="宋体"/>
          <w:b/>
          <w:sz w:val="24"/>
          <w:szCs w:val="24"/>
        </w:rPr>
        <w:t>B.1、目录</w:t>
      </w:r>
    </w:p>
    <w:tbl>
      <w:tblPr>
        <w:tblStyle w:val="50"/>
        <w:tblW w:w="8438" w:type="dxa"/>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627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Align w:val="center"/>
          </w:tcPr>
          <w:p>
            <w:pPr>
              <w:spacing w:line="360" w:lineRule="auto"/>
              <w:jc w:val="center"/>
              <w:rPr>
                <w:rFonts w:ascii="宋体" w:hAnsi="宋体" w:cs="宋体"/>
                <w:b/>
                <w:sz w:val="24"/>
                <w:szCs w:val="24"/>
              </w:rPr>
            </w:pPr>
            <w:r>
              <w:rPr>
                <w:rFonts w:hint="eastAsia" w:ascii="宋体" w:hAnsi="宋体" w:cs="宋体"/>
                <w:b/>
                <w:sz w:val="24"/>
                <w:szCs w:val="24"/>
              </w:rPr>
              <w:t>序号</w:t>
            </w:r>
          </w:p>
        </w:tc>
        <w:tc>
          <w:tcPr>
            <w:tcW w:w="6277" w:type="dxa"/>
            <w:vAlign w:val="center"/>
          </w:tcPr>
          <w:p>
            <w:pPr>
              <w:spacing w:line="360" w:lineRule="auto"/>
              <w:jc w:val="center"/>
              <w:rPr>
                <w:rFonts w:ascii="宋体" w:hAnsi="宋体" w:cs="宋体"/>
                <w:b/>
                <w:bCs/>
                <w:sz w:val="24"/>
                <w:szCs w:val="24"/>
              </w:rPr>
            </w:pPr>
            <w:r>
              <w:rPr>
                <w:rFonts w:hint="eastAsia" w:ascii="宋体" w:hAnsi="宋体" w:cs="宋体"/>
                <w:b/>
                <w:bCs/>
                <w:sz w:val="24"/>
                <w:szCs w:val="24"/>
              </w:rPr>
              <w:t>资格后审资料文件 清单</w:t>
            </w:r>
          </w:p>
        </w:tc>
        <w:tc>
          <w:tcPr>
            <w:tcW w:w="1276" w:type="dxa"/>
            <w:vAlign w:val="center"/>
          </w:tcPr>
          <w:p>
            <w:pPr>
              <w:spacing w:line="360" w:lineRule="auto"/>
              <w:jc w:val="center"/>
              <w:rPr>
                <w:rFonts w:ascii="宋体" w:hAnsi="宋体" w:cs="宋体"/>
                <w:b/>
                <w:sz w:val="24"/>
                <w:szCs w:val="24"/>
              </w:rPr>
            </w:pPr>
            <w:r>
              <w:rPr>
                <w:rFonts w:hint="eastAsia" w:ascii="宋体" w:hAnsi="宋体" w:cs="宋体"/>
                <w:b/>
                <w:sz w:val="24"/>
                <w:szCs w:val="24"/>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885" w:type="dxa"/>
            <w:vAlign w:val="center"/>
          </w:tcPr>
          <w:p>
            <w:pPr>
              <w:spacing w:line="360" w:lineRule="auto"/>
              <w:jc w:val="center"/>
              <w:rPr>
                <w:rFonts w:ascii="宋体" w:hAnsi="宋体" w:cs="宋体"/>
                <w:sz w:val="24"/>
                <w:szCs w:val="24"/>
              </w:rPr>
            </w:pPr>
            <w:r>
              <w:rPr>
                <w:rFonts w:hint="eastAsia" w:ascii="宋体" w:hAnsi="宋体" w:cs="宋体"/>
                <w:sz w:val="24"/>
                <w:szCs w:val="24"/>
              </w:rPr>
              <w:t>1</w:t>
            </w:r>
          </w:p>
        </w:tc>
        <w:tc>
          <w:tcPr>
            <w:tcW w:w="6277" w:type="dxa"/>
          </w:tcPr>
          <w:p>
            <w:pPr>
              <w:spacing w:line="360" w:lineRule="auto"/>
              <w:rPr>
                <w:sz w:val="24"/>
                <w:szCs w:val="24"/>
              </w:rPr>
            </w:pPr>
            <w:r>
              <w:rPr>
                <w:color w:val="000000"/>
                <w:sz w:val="24"/>
                <w:szCs w:val="24"/>
              </w:rPr>
              <w:t>营业执照副本复印件</w:t>
            </w:r>
            <w:r>
              <w:rPr>
                <w:rFonts w:hint="eastAsia" w:ascii="宋体" w:hAnsi="宋体" w:cs="宋体"/>
                <w:color w:val="000000"/>
                <w:sz w:val="24"/>
                <w:szCs w:val="24"/>
                <w:lang w:val="zh-CN"/>
              </w:rPr>
              <w:t>（须加盖公章）；</w:t>
            </w:r>
          </w:p>
        </w:tc>
        <w:tc>
          <w:tcPr>
            <w:tcW w:w="1276"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Align w:val="center"/>
          </w:tcPr>
          <w:p>
            <w:pPr>
              <w:spacing w:line="360" w:lineRule="auto"/>
              <w:jc w:val="center"/>
              <w:rPr>
                <w:rFonts w:ascii="宋体" w:hAnsi="宋体" w:cs="宋体"/>
                <w:sz w:val="24"/>
                <w:szCs w:val="24"/>
              </w:rPr>
            </w:pPr>
            <w:r>
              <w:rPr>
                <w:rFonts w:hint="eastAsia" w:ascii="宋体" w:hAnsi="宋体" w:cs="宋体"/>
                <w:sz w:val="24"/>
                <w:szCs w:val="24"/>
              </w:rPr>
              <w:t>2</w:t>
            </w:r>
          </w:p>
        </w:tc>
        <w:tc>
          <w:tcPr>
            <w:tcW w:w="6277" w:type="dxa"/>
            <w:vAlign w:val="top"/>
          </w:tcPr>
          <w:p>
            <w:pPr>
              <w:spacing w:line="360" w:lineRule="auto"/>
              <w:rPr>
                <w:rFonts w:ascii="Times New Roman" w:hAnsi="Times New Roman" w:eastAsia="宋体" w:cs="Times New Roman"/>
                <w:kern w:val="2"/>
                <w:sz w:val="24"/>
                <w:szCs w:val="24"/>
                <w:lang w:val="en-US" w:eastAsia="zh-CN" w:bidi="ar-SA"/>
              </w:rPr>
            </w:pPr>
            <w:r>
              <w:rPr>
                <w:color w:val="000000"/>
                <w:sz w:val="24"/>
                <w:szCs w:val="24"/>
              </w:rPr>
              <w:t>磋商公告供应商资格要求材料</w:t>
            </w:r>
            <w:r>
              <w:rPr>
                <w:sz w:val="24"/>
                <w:szCs w:val="24"/>
              </w:rPr>
              <w:t>（</w:t>
            </w:r>
            <w:r>
              <w:rPr>
                <w:rFonts w:hint="eastAsia"/>
                <w:b/>
                <w:bCs/>
                <w:sz w:val="24"/>
                <w:szCs w:val="24"/>
              </w:rPr>
              <w:t>磋商公告中第四条</w:t>
            </w:r>
            <w:r>
              <w:rPr>
                <w:sz w:val="24"/>
                <w:szCs w:val="24"/>
              </w:rPr>
              <w:t>的相关要求）</w:t>
            </w:r>
            <w:r>
              <w:rPr>
                <w:color w:val="000000"/>
                <w:sz w:val="24"/>
                <w:szCs w:val="24"/>
              </w:rPr>
              <w:t>；</w:t>
            </w:r>
          </w:p>
        </w:tc>
        <w:tc>
          <w:tcPr>
            <w:tcW w:w="1276" w:type="dxa"/>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Align w:val="center"/>
          </w:tcPr>
          <w:p>
            <w:pPr>
              <w:spacing w:line="360" w:lineRule="auto"/>
              <w:jc w:val="center"/>
              <w:rPr>
                <w:rFonts w:ascii="宋体" w:hAnsi="宋体" w:cs="宋体"/>
                <w:sz w:val="24"/>
                <w:szCs w:val="24"/>
              </w:rPr>
            </w:pPr>
            <w:r>
              <w:rPr>
                <w:rFonts w:hint="eastAsia" w:ascii="宋体" w:hAnsi="宋体" w:cs="宋体"/>
                <w:sz w:val="24"/>
                <w:szCs w:val="24"/>
              </w:rPr>
              <w:t>3</w:t>
            </w:r>
          </w:p>
        </w:tc>
        <w:tc>
          <w:tcPr>
            <w:tcW w:w="6277" w:type="dxa"/>
            <w:vAlign w:val="top"/>
          </w:tcPr>
          <w:p>
            <w:pPr>
              <w:spacing w:line="360" w:lineRule="auto"/>
              <w:rPr>
                <w:rFonts w:ascii="Times New Roman" w:hAnsi="Times New Roman" w:eastAsia="宋体" w:cs="Times New Roman"/>
                <w:kern w:val="2"/>
                <w:sz w:val="24"/>
                <w:szCs w:val="24"/>
                <w:lang w:val="en-US" w:eastAsia="zh-CN" w:bidi="ar-SA"/>
              </w:rPr>
            </w:pPr>
            <w:r>
              <w:rPr>
                <w:sz w:val="24"/>
                <w:szCs w:val="24"/>
              </w:rPr>
              <w:t>提供磋商文件第</w:t>
            </w:r>
            <w:r>
              <w:rPr>
                <w:rFonts w:hint="eastAsia"/>
                <w:sz w:val="24"/>
                <w:szCs w:val="24"/>
              </w:rPr>
              <w:t>八</w:t>
            </w:r>
            <w:r>
              <w:rPr>
                <w:sz w:val="24"/>
                <w:szCs w:val="24"/>
              </w:rPr>
              <w:t>章招标响应文件格式中</w:t>
            </w:r>
            <w:r>
              <w:rPr>
                <w:rFonts w:hint="eastAsia"/>
                <w:sz w:val="24"/>
                <w:szCs w:val="24"/>
              </w:rPr>
              <w:t>“三、B.</w:t>
            </w:r>
            <w:r>
              <w:rPr>
                <w:sz w:val="24"/>
                <w:szCs w:val="24"/>
              </w:rPr>
              <w:t>B.2</w:t>
            </w:r>
            <w:r>
              <w:rPr>
                <w:rFonts w:hint="eastAsia"/>
                <w:sz w:val="24"/>
                <w:szCs w:val="24"/>
              </w:rPr>
              <w:t>”中的</w:t>
            </w:r>
            <w:r>
              <w:rPr>
                <w:rFonts w:ascii="宋体" w:hAnsi="宋体"/>
                <w:sz w:val="24"/>
                <w:szCs w:val="24"/>
              </w:rPr>
              <w:t>“资格后审资料文件相关的格式文件及表格”中可能涉及到的</w:t>
            </w:r>
            <w:r>
              <w:rPr>
                <w:sz w:val="24"/>
                <w:szCs w:val="24"/>
              </w:rPr>
              <w:t>相关内容，如：（1）法定代表人身份证明；（2）授权委托书；（3）关于资格文件的声明函</w:t>
            </w:r>
            <w:r>
              <w:rPr>
                <w:rFonts w:hint="eastAsia" w:ascii="宋体" w:hAnsi="宋体" w:cs="宋体"/>
                <w:color w:val="000000"/>
                <w:sz w:val="24"/>
                <w:szCs w:val="24"/>
                <w:lang w:val="zh-CN"/>
              </w:rPr>
              <w:t>（须加盖公章）</w:t>
            </w:r>
            <w:r>
              <w:rPr>
                <w:rFonts w:hint="eastAsia"/>
                <w:sz w:val="24"/>
                <w:szCs w:val="24"/>
              </w:rPr>
              <w:t>。</w:t>
            </w:r>
          </w:p>
        </w:tc>
        <w:tc>
          <w:tcPr>
            <w:tcW w:w="1276" w:type="dxa"/>
            <w:vAlign w:val="center"/>
          </w:tcPr>
          <w:p>
            <w:pPr>
              <w:spacing w:line="360" w:lineRule="auto"/>
              <w:jc w:val="center"/>
              <w:rPr>
                <w:rFonts w:ascii="宋体" w:hAnsi="宋体" w:cs="宋体"/>
                <w:sz w:val="24"/>
                <w:szCs w:val="24"/>
              </w:rPr>
            </w:pPr>
          </w:p>
        </w:tc>
      </w:tr>
    </w:tbl>
    <w:p>
      <w:pPr>
        <w:adjustRightInd w:val="0"/>
        <w:snapToGrid w:val="0"/>
        <w:spacing w:line="360" w:lineRule="auto"/>
        <w:rPr>
          <w:rFonts w:ascii="宋体" w:hAnsi="宋体" w:cs="宋体"/>
          <w:sz w:val="24"/>
          <w:szCs w:val="24"/>
        </w:rPr>
      </w:pPr>
    </w:p>
    <w:p>
      <w:pPr>
        <w:adjustRightInd w:val="0"/>
        <w:snapToGrid w:val="0"/>
        <w:spacing w:line="360" w:lineRule="auto"/>
        <w:rPr>
          <w:rFonts w:ascii="宋体" w:hAnsi="宋体" w:cs="宋体"/>
          <w:sz w:val="24"/>
          <w:szCs w:val="24"/>
        </w:rPr>
      </w:pPr>
    </w:p>
    <w:p>
      <w:pPr>
        <w:adjustRightInd w:val="0"/>
        <w:snapToGrid w:val="0"/>
        <w:spacing w:line="360" w:lineRule="auto"/>
        <w:rPr>
          <w:rFonts w:ascii="宋体" w:hAnsi="宋体" w:cs="宋体"/>
          <w:sz w:val="24"/>
          <w:szCs w:val="24"/>
        </w:rPr>
      </w:pPr>
      <w:r>
        <w:rPr>
          <w:rFonts w:hint="eastAsia" w:ascii="宋体" w:hAnsi="宋体" w:cs="宋体"/>
          <w:sz w:val="24"/>
          <w:szCs w:val="24"/>
        </w:rPr>
        <w:t>法定代表人或受权人签字：</w:t>
      </w:r>
    </w:p>
    <w:p>
      <w:pPr>
        <w:adjustRightInd w:val="0"/>
        <w:snapToGrid w:val="0"/>
        <w:spacing w:line="360" w:lineRule="auto"/>
        <w:rPr>
          <w:rFonts w:ascii="宋体" w:hAnsi="宋体" w:cs="宋体"/>
          <w:sz w:val="24"/>
          <w:szCs w:val="24"/>
        </w:rPr>
      </w:pPr>
      <w:r>
        <w:rPr>
          <w:rFonts w:hint="eastAsia" w:ascii="宋体" w:hAnsi="宋体" w:cs="宋体"/>
          <w:sz w:val="24"/>
          <w:szCs w:val="24"/>
        </w:rPr>
        <w:t>（单位盖章）</w:t>
      </w:r>
    </w:p>
    <w:p>
      <w:pPr>
        <w:adjustRightInd w:val="0"/>
        <w:snapToGrid w:val="0"/>
        <w:spacing w:line="360" w:lineRule="auto"/>
        <w:rPr>
          <w:rFonts w:ascii="宋体" w:hAnsi="宋体" w:cs="宋体"/>
          <w:sz w:val="24"/>
          <w:szCs w:val="24"/>
        </w:rPr>
      </w:pPr>
      <w:r>
        <w:rPr>
          <w:rFonts w:hint="eastAsia" w:ascii="宋体" w:hAnsi="宋体" w:cs="宋体"/>
          <w:sz w:val="24"/>
          <w:szCs w:val="24"/>
        </w:rPr>
        <w:t>日期：</w:t>
      </w:r>
    </w:p>
    <w:p>
      <w:pPr>
        <w:adjustRightInd w:val="0"/>
        <w:snapToGrid w:val="0"/>
        <w:spacing w:line="360" w:lineRule="auto"/>
        <w:ind w:firstLine="482" w:firstLineChars="200"/>
        <w:rPr>
          <w:rFonts w:ascii="宋体" w:hAnsi="宋体" w:cs="宋体"/>
          <w:b/>
          <w:sz w:val="24"/>
          <w:szCs w:val="24"/>
        </w:rPr>
      </w:pPr>
      <w:r>
        <w:rPr>
          <w:rFonts w:hint="eastAsia" w:ascii="宋体" w:hAnsi="宋体" w:cs="宋体"/>
          <w:b/>
          <w:sz w:val="24"/>
          <w:szCs w:val="24"/>
        </w:rPr>
        <w:t>备注：</w:t>
      </w:r>
    </w:p>
    <w:p>
      <w:pPr>
        <w:adjustRightInd w:val="0"/>
        <w:snapToGrid w:val="0"/>
        <w:spacing w:line="360" w:lineRule="auto"/>
        <w:ind w:firstLine="482" w:firstLineChars="200"/>
        <w:rPr>
          <w:rFonts w:ascii="宋体" w:hAnsi="宋体" w:cs="宋体"/>
          <w:b/>
          <w:sz w:val="24"/>
          <w:szCs w:val="24"/>
        </w:rPr>
      </w:pPr>
      <w:r>
        <w:rPr>
          <w:rFonts w:hint="eastAsia" w:ascii="宋体" w:hAnsi="宋体" w:cs="宋体"/>
          <w:b/>
          <w:sz w:val="24"/>
          <w:szCs w:val="24"/>
        </w:rPr>
        <w:t>1、以上由供应商填写，仅作为提供的资格后审资料文件内的资料首页清单目录。</w:t>
      </w:r>
    </w:p>
    <w:p>
      <w:pPr>
        <w:adjustRightInd w:val="0"/>
        <w:snapToGrid w:val="0"/>
        <w:spacing w:line="360" w:lineRule="auto"/>
        <w:ind w:left="1" w:firstLine="479" w:firstLineChars="199"/>
        <w:rPr>
          <w:rFonts w:ascii="宋体" w:hAnsi="宋体" w:cs="宋体"/>
          <w:b/>
          <w:sz w:val="24"/>
          <w:szCs w:val="24"/>
        </w:rPr>
      </w:pPr>
      <w:r>
        <w:rPr>
          <w:rFonts w:hint="eastAsia" w:ascii="宋体" w:hAnsi="宋体" w:cs="宋体"/>
          <w:b/>
          <w:sz w:val="24"/>
          <w:szCs w:val="24"/>
        </w:rPr>
        <w:t>2、所有资格证明复印件、相关的格式文件、表格及证明文件的复印件，须加盖公章装订成册，</w:t>
      </w:r>
      <w:r>
        <w:rPr>
          <w:rFonts w:hint="eastAsia" w:ascii="宋体" w:hAnsi="宋体" w:cs="宋体"/>
          <w:b/>
          <w:sz w:val="24"/>
          <w:szCs w:val="24"/>
          <w:highlight w:val="yellow"/>
        </w:rPr>
        <w:t>正本1份，副本4份，供审查及留存！</w:t>
      </w:r>
    </w:p>
    <w:p>
      <w:pPr>
        <w:adjustRightInd w:val="0"/>
        <w:snapToGrid w:val="0"/>
        <w:spacing w:line="360" w:lineRule="auto"/>
        <w:rPr>
          <w:rFonts w:ascii="宋体" w:hAnsi="宋体" w:cs="宋体"/>
          <w:b/>
          <w:sz w:val="24"/>
          <w:szCs w:val="24"/>
        </w:rPr>
      </w:pPr>
      <w:r>
        <w:rPr>
          <w:rFonts w:ascii="宋体" w:hAnsi="宋体" w:cs="宋体"/>
          <w:b/>
          <w:sz w:val="24"/>
          <w:szCs w:val="24"/>
        </w:rPr>
        <w:br w:type="page"/>
      </w:r>
      <w:r>
        <w:rPr>
          <w:rFonts w:hint="eastAsia" w:ascii="宋体" w:hAnsi="宋体" w:cs="宋体"/>
          <w:b/>
          <w:sz w:val="24"/>
          <w:szCs w:val="24"/>
        </w:rPr>
        <w:t>B.2、资格后审资料文件相关的格式文件及表格</w:t>
      </w:r>
    </w:p>
    <w:p>
      <w:pPr>
        <w:snapToGrid w:val="0"/>
        <w:spacing w:line="360" w:lineRule="auto"/>
        <w:jc w:val="center"/>
        <w:rPr>
          <w:rFonts w:ascii="宋体" w:hAnsi="宋体" w:cs="宋体"/>
          <w:b/>
          <w:bCs/>
          <w:sz w:val="24"/>
          <w:szCs w:val="24"/>
        </w:rPr>
      </w:pPr>
    </w:p>
    <w:p>
      <w:pPr>
        <w:snapToGrid w:val="0"/>
        <w:spacing w:line="360" w:lineRule="auto"/>
        <w:jc w:val="center"/>
        <w:outlineLvl w:val="3"/>
        <w:rPr>
          <w:rFonts w:ascii="宋体" w:hAnsi="宋体" w:cs="宋体"/>
          <w:b/>
          <w:sz w:val="24"/>
          <w:szCs w:val="24"/>
        </w:rPr>
      </w:pPr>
      <w:r>
        <w:rPr>
          <w:rFonts w:hint="eastAsia" w:ascii="宋体" w:hAnsi="宋体" w:cs="宋体"/>
          <w:b/>
          <w:sz w:val="24"/>
          <w:szCs w:val="24"/>
        </w:rPr>
        <w:t>1、法定代表人身份证明</w:t>
      </w:r>
    </w:p>
    <w:p>
      <w:pPr>
        <w:snapToGrid w:val="0"/>
        <w:spacing w:line="360" w:lineRule="auto"/>
        <w:jc w:val="center"/>
        <w:rPr>
          <w:rFonts w:ascii="宋体" w:hAnsi="宋体" w:cs="宋体"/>
          <w:sz w:val="24"/>
          <w:szCs w:val="24"/>
        </w:rPr>
      </w:pPr>
      <w:r>
        <w:rPr>
          <w:rFonts w:hint="eastAsia" w:ascii="宋体" w:hAnsi="宋体" w:cs="宋体"/>
          <w:sz w:val="24"/>
          <w:szCs w:val="24"/>
        </w:rPr>
        <w:t>（如法定代表人参加招标，须出示此证明）</w:t>
      </w:r>
    </w:p>
    <w:p>
      <w:pPr>
        <w:snapToGrid w:val="0"/>
        <w:spacing w:line="360" w:lineRule="auto"/>
        <w:jc w:val="center"/>
        <w:rPr>
          <w:rFonts w:ascii="宋体" w:hAnsi="宋体" w:cs="宋体"/>
          <w:sz w:val="24"/>
          <w:szCs w:val="24"/>
        </w:rPr>
      </w:pPr>
    </w:p>
    <w:p>
      <w:pPr>
        <w:spacing w:before="120" w:beforeLines="50" w:after="120" w:afterLines="50" w:line="300" w:lineRule="auto"/>
        <w:jc w:val="center"/>
        <w:rPr>
          <w:rFonts w:ascii="宋体" w:hAnsi="宋体" w:cs="宋体"/>
          <w:color w:val="000000"/>
          <w:sz w:val="24"/>
          <w:szCs w:val="24"/>
        </w:rPr>
      </w:pPr>
    </w:p>
    <w:p>
      <w:pPr>
        <w:spacing w:before="120" w:beforeLines="50" w:after="120" w:afterLines="50" w:line="300" w:lineRule="auto"/>
        <w:jc w:val="left"/>
        <w:rPr>
          <w:rFonts w:ascii="宋体" w:hAnsi="宋体" w:cs="宋体"/>
          <w:b/>
          <w:bCs/>
          <w:color w:val="000000"/>
          <w:sz w:val="24"/>
          <w:szCs w:val="24"/>
          <w:u w:val="single"/>
        </w:rPr>
      </w:pPr>
      <w:r>
        <w:rPr>
          <w:rFonts w:hint="eastAsia" w:ascii="宋体" w:hAnsi="宋体" w:cs="宋体"/>
          <w:b/>
          <w:bCs/>
          <w:color w:val="000000"/>
          <w:sz w:val="24"/>
          <w:szCs w:val="24"/>
          <w:u w:val="single"/>
        </w:rPr>
        <w:t>南通市启秀中学:</w:t>
      </w:r>
    </w:p>
    <w:p>
      <w:pPr>
        <w:spacing w:before="120" w:beforeLines="50" w:after="120" w:afterLines="50" w:line="300" w:lineRule="auto"/>
        <w:ind w:firstLine="480" w:firstLineChars="200"/>
        <w:rPr>
          <w:rFonts w:ascii="宋体" w:hAnsi="宋体" w:cs="宋体"/>
          <w:color w:val="000000"/>
          <w:sz w:val="24"/>
          <w:szCs w:val="24"/>
        </w:rPr>
      </w:pPr>
      <w:r>
        <w:rPr>
          <w:rFonts w:hint="eastAsia" w:ascii="宋体" w:hAnsi="宋体" w:cs="宋体"/>
          <w:color w:val="000000"/>
          <w:sz w:val="24"/>
          <w:szCs w:val="24"/>
        </w:rPr>
        <w:t>我公司法定代表人</w:t>
      </w:r>
      <w:r>
        <w:rPr>
          <w:rFonts w:hint="eastAsia" w:ascii="宋体" w:hAnsi="宋体" w:cs="宋体"/>
          <w:color w:val="000000"/>
          <w:sz w:val="24"/>
          <w:szCs w:val="24"/>
          <w:u w:val="single"/>
        </w:rPr>
        <w:t xml:space="preserve">     　　　   </w:t>
      </w:r>
      <w:r>
        <w:rPr>
          <w:rFonts w:hint="eastAsia" w:ascii="宋体" w:hAnsi="宋体" w:cs="宋体"/>
          <w:color w:val="000000"/>
          <w:sz w:val="24"/>
          <w:szCs w:val="24"/>
        </w:rPr>
        <w:t>参加贵单位组织的</w:t>
      </w:r>
      <w:r>
        <w:rPr>
          <w:rFonts w:hint="eastAsia" w:ascii="宋体" w:hAnsi="宋体" w:cs="宋体"/>
          <w:color w:val="000000"/>
          <w:sz w:val="24"/>
          <w:szCs w:val="24"/>
          <w:u w:val="single"/>
        </w:rPr>
        <w:t xml:space="preserve">     </w:t>
      </w:r>
      <w:r>
        <w:rPr>
          <w:rFonts w:hint="eastAsia" w:ascii="宋体" w:hAnsi="宋体" w:cs="宋体"/>
          <w:color w:val="000000"/>
          <w:sz w:val="24"/>
          <w:szCs w:val="24"/>
        </w:rPr>
        <w:t>（竞争性磋商项目名称及项目编号)项目的磋商活动，全权代表我公司处理竞争性磋商的有关事宜。</w:t>
      </w:r>
    </w:p>
    <w:p>
      <w:pPr>
        <w:spacing w:before="120" w:beforeLines="50" w:after="120" w:afterLines="50" w:line="300" w:lineRule="auto"/>
        <w:rPr>
          <w:rFonts w:ascii="宋体" w:hAnsi="宋体" w:cs="宋体"/>
          <w:color w:val="000000"/>
          <w:sz w:val="24"/>
          <w:szCs w:val="24"/>
        </w:rPr>
      </w:pPr>
    </w:p>
    <w:p>
      <w:pPr>
        <w:spacing w:before="120" w:beforeLines="50" w:after="120" w:afterLines="50" w:line="300" w:lineRule="auto"/>
        <w:rPr>
          <w:rFonts w:ascii="宋体" w:hAnsi="宋体" w:cs="宋体"/>
          <w:color w:val="000000"/>
          <w:sz w:val="24"/>
          <w:szCs w:val="24"/>
        </w:rPr>
      </w:pPr>
      <w:r>
        <w:rPr>
          <w:rFonts w:hint="eastAsia" w:ascii="宋体" w:hAnsi="宋体" w:cs="宋体"/>
          <w:color w:val="000000"/>
          <w:sz w:val="24"/>
          <w:szCs w:val="24"/>
        </w:rPr>
        <w:t>附：法定代表人情况：</w:t>
      </w:r>
    </w:p>
    <w:p>
      <w:pPr>
        <w:spacing w:before="120" w:beforeLines="50" w:after="120" w:afterLines="50" w:line="300" w:lineRule="auto"/>
        <w:rPr>
          <w:rFonts w:ascii="宋体" w:hAnsi="宋体" w:cs="宋体"/>
          <w:color w:val="000000"/>
          <w:sz w:val="24"/>
          <w:szCs w:val="24"/>
          <w:u w:val="single"/>
        </w:rPr>
      </w:pPr>
      <w:r>
        <w:rPr>
          <w:rFonts w:hint="eastAsia" w:ascii="宋体" w:hAnsi="宋体" w:cs="宋体"/>
          <w:color w:val="000000"/>
          <w:sz w:val="24"/>
          <w:szCs w:val="24"/>
        </w:rPr>
        <w:t>姓名：</w:t>
      </w:r>
      <w:r>
        <w:rPr>
          <w:rFonts w:hint="eastAsia" w:ascii="宋体" w:hAnsi="宋体" w:cs="宋体"/>
          <w:color w:val="000000"/>
          <w:sz w:val="24"/>
          <w:szCs w:val="24"/>
          <w:u w:val="single"/>
        </w:rPr>
        <w:t xml:space="preserve">         </w:t>
      </w:r>
      <w:r>
        <w:rPr>
          <w:rFonts w:hint="eastAsia" w:ascii="宋体" w:hAnsi="宋体" w:cs="宋体"/>
          <w:color w:val="000000"/>
          <w:sz w:val="24"/>
          <w:szCs w:val="24"/>
        </w:rPr>
        <w:t>性别：</w:t>
      </w:r>
      <w:r>
        <w:rPr>
          <w:rFonts w:hint="eastAsia" w:ascii="宋体" w:hAnsi="宋体" w:cs="宋体"/>
          <w:color w:val="000000"/>
          <w:sz w:val="24"/>
          <w:szCs w:val="24"/>
          <w:u w:val="single"/>
        </w:rPr>
        <w:t xml:space="preserve">    </w:t>
      </w:r>
      <w:r>
        <w:rPr>
          <w:rFonts w:hint="eastAsia" w:ascii="宋体" w:hAnsi="宋体" w:cs="宋体"/>
          <w:color w:val="000000"/>
          <w:sz w:val="24"/>
          <w:szCs w:val="24"/>
        </w:rPr>
        <w:t>年龄：</w:t>
      </w:r>
      <w:r>
        <w:rPr>
          <w:rFonts w:hint="eastAsia" w:ascii="宋体" w:hAnsi="宋体" w:cs="宋体"/>
          <w:color w:val="000000"/>
          <w:sz w:val="24"/>
          <w:szCs w:val="24"/>
          <w:u w:val="single"/>
        </w:rPr>
        <w:t xml:space="preserve">      </w:t>
      </w:r>
      <w:r>
        <w:rPr>
          <w:rFonts w:hint="eastAsia" w:ascii="宋体" w:hAnsi="宋体" w:cs="宋体"/>
          <w:color w:val="000000"/>
          <w:sz w:val="24"/>
          <w:szCs w:val="24"/>
        </w:rPr>
        <w:t>职务：</w:t>
      </w:r>
      <w:r>
        <w:rPr>
          <w:rFonts w:hint="eastAsia" w:ascii="宋体" w:hAnsi="宋体" w:cs="宋体"/>
          <w:color w:val="000000"/>
          <w:sz w:val="24"/>
          <w:szCs w:val="24"/>
          <w:u w:val="single"/>
        </w:rPr>
        <w:t xml:space="preserve">          </w:t>
      </w:r>
    </w:p>
    <w:p>
      <w:pPr>
        <w:spacing w:before="120" w:beforeLines="50" w:after="120" w:afterLines="50" w:line="300" w:lineRule="auto"/>
        <w:rPr>
          <w:rFonts w:ascii="宋体" w:hAnsi="宋体" w:cs="宋体"/>
          <w:color w:val="000000"/>
          <w:sz w:val="24"/>
          <w:szCs w:val="24"/>
        </w:rPr>
      </w:pPr>
      <w:r>
        <w:rPr>
          <w:rFonts w:hint="eastAsia" w:ascii="宋体" w:hAnsi="宋体" w:cs="宋体"/>
          <w:color w:val="000000"/>
          <w:sz w:val="24"/>
          <w:szCs w:val="24"/>
        </w:rPr>
        <w:t>身份证号码：</w:t>
      </w:r>
      <w:r>
        <w:rPr>
          <w:rFonts w:hint="eastAsia" w:ascii="宋体" w:hAnsi="宋体" w:cs="宋体"/>
          <w:color w:val="000000"/>
          <w:sz w:val="24"/>
          <w:szCs w:val="24"/>
          <w:u w:val="single"/>
        </w:rPr>
        <w:t xml:space="preserve">                                         </w:t>
      </w:r>
    </w:p>
    <w:p>
      <w:pPr>
        <w:spacing w:before="120" w:beforeLines="50" w:after="120" w:afterLines="50" w:line="300" w:lineRule="auto"/>
        <w:rPr>
          <w:rFonts w:ascii="宋体" w:hAnsi="宋体" w:cs="宋体"/>
          <w:color w:val="000000"/>
          <w:sz w:val="24"/>
          <w:szCs w:val="24"/>
        </w:rPr>
      </w:pPr>
      <w:r>
        <w:rPr>
          <w:rFonts w:hint="eastAsia" w:ascii="宋体" w:hAnsi="宋体" w:cs="宋体"/>
          <w:color w:val="000000"/>
          <w:sz w:val="24"/>
          <w:szCs w:val="24"/>
        </w:rPr>
        <w:t>手机：</w:t>
      </w: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传真：                      </w:t>
      </w:r>
      <w:r>
        <w:rPr>
          <w:rFonts w:hint="eastAsia" w:ascii="宋体" w:hAnsi="宋体" w:cs="宋体"/>
          <w:color w:val="000000"/>
          <w:sz w:val="24"/>
          <w:szCs w:val="24"/>
          <w:u w:val="single"/>
        </w:rPr>
        <w:t xml:space="preserve"> </w:t>
      </w:r>
    </w:p>
    <w:p>
      <w:pPr>
        <w:spacing w:before="120" w:beforeLines="50" w:after="120" w:afterLines="50" w:line="300" w:lineRule="auto"/>
        <w:rPr>
          <w:rFonts w:ascii="宋体" w:hAnsi="宋体" w:cs="宋体"/>
          <w:color w:val="000000"/>
          <w:sz w:val="24"/>
          <w:szCs w:val="24"/>
        </w:rPr>
      </w:pPr>
      <w:r>
        <w:rPr>
          <w:rFonts w:hint="eastAsia" w:ascii="宋体" w:hAnsi="宋体" w:cs="宋体"/>
          <w:color w:val="000000"/>
          <w:sz w:val="24"/>
          <w:szCs w:val="24"/>
        </w:rPr>
        <w:t> </w:t>
      </w:r>
    </w:p>
    <w:p>
      <w:pPr>
        <w:spacing w:before="120" w:beforeLines="50" w:after="120" w:afterLines="50" w:line="300" w:lineRule="auto"/>
        <w:rPr>
          <w:rFonts w:ascii="宋体" w:hAnsi="宋体" w:cs="宋体"/>
          <w:color w:val="000000"/>
          <w:sz w:val="24"/>
          <w:szCs w:val="24"/>
        </w:rPr>
      </w:pPr>
    </w:p>
    <w:p>
      <w:pPr>
        <w:spacing w:before="120" w:beforeLines="50" w:after="120" w:afterLines="50" w:line="300" w:lineRule="auto"/>
        <w:rPr>
          <w:rFonts w:ascii="宋体" w:hAnsi="宋体" w:cs="宋体"/>
          <w:color w:val="000000"/>
          <w:sz w:val="24"/>
          <w:szCs w:val="24"/>
        </w:rPr>
      </w:pPr>
      <w:r>
        <w:rPr>
          <w:rFonts w:hint="eastAsia" w:ascii="宋体" w:hAnsi="宋体" w:cs="宋体"/>
          <w:color w:val="000000"/>
          <w:sz w:val="24"/>
          <w:szCs w:val="24"/>
        </w:rPr>
        <w:t>单位名称（公章）             法定代表人（签字或盖章）</w:t>
      </w:r>
    </w:p>
    <w:p>
      <w:pPr>
        <w:spacing w:before="120" w:beforeLines="50" w:after="120" w:afterLines="50" w:line="300" w:lineRule="auto"/>
        <w:rPr>
          <w:rFonts w:ascii="宋体" w:hAnsi="宋体" w:cs="宋体"/>
          <w:color w:val="000000"/>
          <w:sz w:val="24"/>
          <w:szCs w:val="24"/>
        </w:rPr>
      </w:pPr>
      <w:r>
        <w:rPr>
          <w:rFonts w:hint="eastAsia" w:ascii="宋体" w:hAnsi="宋体" w:cs="宋体"/>
          <w:color w:val="000000"/>
          <w:sz w:val="24"/>
          <w:szCs w:val="24"/>
        </w:rPr>
        <w:t xml:space="preserve">二○二○年   月   日         二○二○年   月    日  </w:t>
      </w:r>
    </w:p>
    <w:p>
      <w:pPr>
        <w:spacing w:before="120" w:beforeLines="50" w:after="120" w:afterLines="50" w:line="300" w:lineRule="auto"/>
        <w:rPr>
          <w:rFonts w:ascii="宋体" w:hAnsi="宋体" w:cs="宋体"/>
          <w:color w:val="000000"/>
          <w:sz w:val="24"/>
          <w:szCs w:val="24"/>
        </w:rPr>
      </w:pPr>
    </w:p>
    <w:p>
      <w:pPr>
        <w:spacing w:before="120" w:beforeLines="50" w:after="120" w:afterLines="50" w:line="300" w:lineRule="auto"/>
        <w:rPr>
          <w:rFonts w:ascii="宋体" w:hAnsi="宋体" w:cs="宋体"/>
          <w:color w:val="000000"/>
          <w:sz w:val="24"/>
          <w:szCs w:val="24"/>
        </w:rPr>
      </w:pPr>
      <w:r>
        <w:rPr>
          <w:rFonts w:hint="eastAsia" w:ascii="宋体" w:hAnsi="宋体" w:cs="宋体"/>
          <w:color w:val="000000"/>
          <w:sz w:val="24"/>
          <w:szCs w:val="24"/>
        </w:rPr>
        <w:t>法定代表人身份证复印件</w:t>
      </w:r>
    </w:p>
    <w:p>
      <w:pPr>
        <w:spacing w:before="120" w:beforeLines="50" w:after="120" w:afterLines="50" w:line="300" w:lineRule="auto"/>
        <w:rPr>
          <w:rFonts w:ascii="宋体" w:hAnsi="宋体" w:cs="宋体"/>
          <w:color w:val="000000"/>
          <w:sz w:val="24"/>
          <w:szCs w:val="24"/>
        </w:rPr>
      </w:pPr>
    </w:p>
    <w:p>
      <w:pPr>
        <w:spacing w:before="120" w:beforeLines="50" w:after="120" w:afterLines="50" w:line="300" w:lineRule="auto"/>
        <w:rPr>
          <w:rFonts w:ascii="宋体" w:hAnsi="宋体" w:cs="宋体"/>
          <w:color w:val="000000"/>
          <w:sz w:val="24"/>
          <w:szCs w:val="24"/>
        </w:rPr>
      </w:pPr>
    </w:p>
    <w:p>
      <w:pPr>
        <w:spacing w:before="120" w:beforeLines="50" w:after="120" w:afterLines="50" w:line="300" w:lineRule="auto"/>
        <w:ind w:firstLine="2280" w:firstLineChars="950"/>
        <w:rPr>
          <w:rFonts w:ascii="宋体" w:hAnsi="宋体" w:cs="宋体"/>
          <w:color w:val="000000"/>
          <w:sz w:val="24"/>
          <w:szCs w:val="24"/>
        </w:rPr>
      </w:pPr>
      <w:r>
        <w:rPr>
          <w:rFonts w:hint="eastAsia" w:ascii="宋体" w:hAnsi="宋体" w:cs="宋体"/>
          <w:color w:val="000000"/>
          <w:sz w:val="24"/>
          <w:szCs w:val="24"/>
        </w:rPr>
        <w:t>（粘贴此处）</w:t>
      </w:r>
    </w:p>
    <w:p>
      <w:pPr>
        <w:spacing w:before="120" w:beforeLines="50" w:after="120" w:afterLines="50" w:line="300" w:lineRule="auto"/>
        <w:ind w:firstLine="482" w:firstLineChars="200"/>
        <w:rPr>
          <w:rFonts w:ascii="宋体" w:hAnsi="宋体" w:cs="宋体"/>
          <w:b/>
          <w:bCs/>
          <w:color w:val="000000"/>
          <w:sz w:val="24"/>
          <w:szCs w:val="24"/>
        </w:rPr>
      </w:pPr>
    </w:p>
    <w:p>
      <w:pPr>
        <w:spacing w:before="120" w:beforeLines="50" w:after="120" w:afterLines="50" w:line="300" w:lineRule="auto"/>
        <w:ind w:firstLine="482" w:firstLineChars="200"/>
        <w:rPr>
          <w:rFonts w:ascii="宋体" w:hAnsi="宋体" w:cs="宋体"/>
          <w:b/>
          <w:bCs/>
          <w:color w:val="000000"/>
          <w:sz w:val="24"/>
          <w:szCs w:val="24"/>
        </w:rPr>
      </w:pPr>
    </w:p>
    <w:p>
      <w:pPr>
        <w:spacing w:before="120" w:beforeLines="50" w:after="120" w:afterLines="50" w:line="300" w:lineRule="auto"/>
        <w:ind w:firstLine="482" w:firstLineChars="200"/>
        <w:rPr>
          <w:rFonts w:ascii="宋体" w:hAnsi="宋体" w:cs="宋体"/>
          <w:b/>
          <w:bCs/>
          <w:color w:val="000000"/>
          <w:sz w:val="24"/>
          <w:szCs w:val="24"/>
        </w:rPr>
      </w:pPr>
    </w:p>
    <w:p>
      <w:pPr>
        <w:snapToGrid w:val="0"/>
        <w:spacing w:line="360" w:lineRule="auto"/>
        <w:jc w:val="center"/>
        <w:outlineLvl w:val="3"/>
        <w:rPr>
          <w:rFonts w:ascii="宋体" w:hAnsi="宋体" w:cs="宋体"/>
          <w:b/>
          <w:bCs/>
          <w:sz w:val="24"/>
          <w:szCs w:val="24"/>
        </w:rPr>
      </w:pPr>
      <w:r>
        <w:rPr>
          <w:rFonts w:hint="eastAsia" w:ascii="宋体" w:hAnsi="宋体" w:cs="宋体"/>
          <w:b/>
          <w:bCs/>
          <w:color w:val="000000"/>
          <w:sz w:val="24"/>
          <w:szCs w:val="24"/>
        </w:rPr>
        <w:t>注:参加磋商时法定代表人将身份证原件带至磋商现场备查</w:t>
      </w:r>
      <w:r>
        <w:rPr>
          <w:rFonts w:ascii="宋体" w:hAnsi="宋体" w:cs="宋体"/>
          <w:b/>
          <w:bCs/>
          <w:sz w:val="24"/>
          <w:szCs w:val="24"/>
        </w:rPr>
        <w:br w:type="page"/>
      </w:r>
    </w:p>
    <w:p>
      <w:pPr>
        <w:snapToGrid w:val="0"/>
        <w:spacing w:line="360" w:lineRule="auto"/>
        <w:jc w:val="center"/>
        <w:outlineLvl w:val="3"/>
        <w:rPr>
          <w:rFonts w:ascii="宋体" w:hAnsi="宋体" w:cs="宋体"/>
          <w:b/>
          <w:sz w:val="24"/>
          <w:szCs w:val="24"/>
        </w:rPr>
      </w:pPr>
      <w:r>
        <w:rPr>
          <w:rFonts w:hint="eastAsia" w:ascii="宋体" w:hAnsi="宋体" w:cs="宋体"/>
          <w:b/>
          <w:sz w:val="24"/>
          <w:szCs w:val="24"/>
        </w:rPr>
        <w:t>2、授权委托书</w:t>
      </w:r>
    </w:p>
    <w:p>
      <w:pPr>
        <w:snapToGrid w:val="0"/>
        <w:spacing w:line="360" w:lineRule="auto"/>
        <w:jc w:val="center"/>
        <w:rPr>
          <w:rFonts w:ascii="宋体" w:hAnsi="宋体" w:cs="宋体"/>
          <w:bCs/>
          <w:sz w:val="24"/>
          <w:szCs w:val="24"/>
        </w:rPr>
      </w:pPr>
      <w:r>
        <w:rPr>
          <w:rFonts w:hint="eastAsia" w:ascii="宋体" w:hAnsi="宋体" w:cs="宋体"/>
          <w:bCs/>
          <w:sz w:val="24"/>
          <w:szCs w:val="24"/>
        </w:rPr>
        <w:t>（如受权人参加投标，须出示此证明）</w:t>
      </w:r>
    </w:p>
    <w:p>
      <w:pPr>
        <w:snapToGrid w:val="0"/>
        <w:spacing w:line="360" w:lineRule="auto"/>
        <w:jc w:val="center"/>
        <w:rPr>
          <w:rFonts w:ascii="宋体" w:hAnsi="宋体" w:cs="宋体"/>
          <w:bCs/>
          <w:sz w:val="24"/>
          <w:szCs w:val="24"/>
        </w:rPr>
      </w:pPr>
    </w:p>
    <w:p>
      <w:pPr>
        <w:snapToGrid w:val="0"/>
        <w:spacing w:line="360" w:lineRule="auto"/>
        <w:jc w:val="left"/>
        <w:rPr>
          <w:rFonts w:ascii="宋体" w:hAnsi="宋体" w:cs="宋体"/>
          <w:b/>
          <w:sz w:val="24"/>
          <w:szCs w:val="24"/>
          <w:u w:val="single"/>
        </w:rPr>
      </w:pPr>
    </w:p>
    <w:p>
      <w:pPr>
        <w:snapToGrid w:val="0"/>
        <w:spacing w:line="360" w:lineRule="auto"/>
        <w:jc w:val="left"/>
        <w:rPr>
          <w:rFonts w:ascii="宋体" w:hAnsi="宋体" w:cs="宋体"/>
          <w:b/>
          <w:sz w:val="24"/>
          <w:szCs w:val="24"/>
          <w:u w:val="single"/>
        </w:rPr>
      </w:pPr>
      <w:r>
        <w:rPr>
          <w:rFonts w:hint="eastAsia" w:ascii="宋体" w:hAnsi="宋体" w:cs="宋体"/>
          <w:b/>
          <w:sz w:val="24"/>
          <w:szCs w:val="24"/>
          <w:u w:val="single"/>
        </w:rPr>
        <w:t>南通市启秀中学：</w:t>
      </w:r>
    </w:p>
    <w:p>
      <w:pPr>
        <w:spacing w:before="120" w:beforeLines="50" w:after="120" w:afterLines="50" w:line="300" w:lineRule="auto"/>
        <w:ind w:firstLine="480" w:firstLineChars="200"/>
        <w:rPr>
          <w:rFonts w:hAnsi="宋体" w:cs="宋体"/>
          <w:sz w:val="24"/>
          <w:szCs w:val="24"/>
        </w:rPr>
      </w:pPr>
      <w:r>
        <w:rPr>
          <w:rFonts w:hint="eastAsia" w:hAnsi="宋体" w:cs="宋体"/>
          <w:sz w:val="24"/>
          <w:szCs w:val="24"/>
        </w:rPr>
        <w:t>兹授权</w:t>
      </w:r>
      <w:r>
        <w:rPr>
          <w:rFonts w:hint="eastAsia" w:hAnsi="宋体" w:cs="宋体"/>
          <w:sz w:val="24"/>
          <w:szCs w:val="24"/>
          <w:u w:val="single"/>
        </w:rPr>
        <w:t xml:space="preserve">               （</w:t>
      </w:r>
      <w:r>
        <w:rPr>
          <w:rFonts w:hint="eastAsia" w:hAnsi="宋体" w:cs="宋体"/>
          <w:sz w:val="24"/>
          <w:szCs w:val="24"/>
        </w:rPr>
        <w:t>被授权人的姓名）代表我公司参加</w:t>
      </w:r>
      <w:r>
        <w:rPr>
          <w:rFonts w:hint="eastAsia" w:hAnsi="宋体" w:cs="宋体"/>
          <w:sz w:val="24"/>
          <w:szCs w:val="24"/>
          <w:u w:val="single"/>
        </w:rPr>
        <w:t xml:space="preserve">    </w:t>
      </w:r>
      <w:r>
        <w:rPr>
          <w:rFonts w:hint="eastAsia" w:hAnsi="宋体" w:cs="宋体"/>
          <w:sz w:val="24"/>
          <w:szCs w:val="24"/>
        </w:rPr>
        <w:t>（</w:t>
      </w:r>
      <w:r>
        <w:rPr>
          <w:rFonts w:hint="eastAsia" w:ascii="宋体" w:hAnsi="宋体" w:cs="宋体"/>
          <w:color w:val="000000"/>
          <w:sz w:val="24"/>
          <w:szCs w:val="24"/>
        </w:rPr>
        <w:t>竞争性磋商项目名称及项目编号</w:t>
      </w:r>
      <w:r>
        <w:rPr>
          <w:rFonts w:hint="eastAsia" w:hAnsi="宋体" w:cs="宋体"/>
          <w:sz w:val="24"/>
          <w:szCs w:val="24"/>
        </w:rPr>
        <w:t>)项目的政府采购活动，全权处理一切与该项目招标有关的事务。其在办理上述事宜过程中所签署的所有文件我公司均予以承认。</w:t>
      </w:r>
    </w:p>
    <w:p>
      <w:pPr>
        <w:pStyle w:val="23"/>
        <w:adjustRightInd w:val="0"/>
        <w:spacing w:before="120" w:beforeLines="50" w:after="120" w:afterLines="50" w:line="300" w:lineRule="auto"/>
        <w:ind w:firstLine="480" w:firstLineChars="200"/>
        <w:jc w:val="left"/>
        <w:rPr>
          <w:rFonts w:hAnsi="宋体" w:cs="宋体"/>
          <w:kern w:val="0"/>
          <w:sz w:val="24"/>
          <w:szCs w:val="24"/>
        </w:rPr>
      </w:pPr>
      <w:r>
        <w:rPr>
          <w:rFonts w:hint="eastAsia" w:hAnsi="宋体" w:cs="宋体"/>
          <w:kern w:val="0"/>
          <w:sz w:val="24"/>
          <w:szCs w:val="24"/>
        </w:rPr>
        <w:t>被授权人无转委托权，特此委托。</w:t>
      </w:r>
    </w:p>
    <w:p>
      <w:pPr>
        <w:spacing w:before="120" w:beforeLines="50" w:after="120" w:afterLines="50" w:line="300" w:lineRule="auto"/>
        <w:rPr>
          <w:rFonts w:hAnsi="宋体" w:cs="宋体"/>
          <w:sz w:val="24"/>
          <w:szCs w:val="24"/>
        </w:rPr>
      </w:pPr>
      <w:r>
        <w:rPr>
          <w:rFonts w:hint="eastAsia" w:hAnsi="宋体" w:cs="宋体"/>
          <w:sz w:val="24"/>
          <w:szCs w:val="24"/>
        </w:rPr>
        <w:t>附：被授权人情况：</w:t>
      </w:r>
    </w:p>
    <w:p>
      <w:pPr>
        <w:spacing w:before="120" w:beforeLines="50" w:after="120" w:afterLines="50" w:line="300" w:lineRule="auto"/>
        <w:rPr>
          <w:rFonts w:hAnsi="宋体" w:cs="宋体"/>
          <w:sz w:val="24"/>
          <w:szCs w:val="24"/>
          <w:u w:val="single"/>
        </w:rPr>
      </w:pPr>
      <w:r>
        <w:rPr>
          <w:rFonts w:hint="eastAsia" w:hAnsi="宋体" w:cs="宋体"/>
          <w:sz w:val="24"/>
          <w:szCs w:val="24"/>
        </w:rPr>
        <w:t>姓名：</w:t>
      </w:r>
      <w:r>
        <w:rPr>
          <w:rFonts w:hint="eastAsia" w:hAnsi="宋体" w:cs="宋体"/>
          <w:sz w:val="24"/>
          <w:szCs w:val="24"/>
          <w:u w:val="single"/>
        </w:rPr>
        <w:t xml:space="preserve">         </w:t>
      </w:r>
      <w:r>
        <w:rPr>
          <w:rFonts w:hint="eastAsia" w:hAnsi="宋体" w:cs="宋体"/>
          <w:sz w:val="24"/>
          <w:szCs w:val="24"/>
        </w:rPr>
        <w:t xml:space="preserve"> 性别：</w:t>
      </w:r>
      <w:r>
        <w:rPr>
          <w:rFonts w:hint="eastAsia" w:hAnsi="宋体" w:cs="宋体"/>
          <w:sz w:val="24"/>
          <w:szCs w:val="24"/>
          <w:u w:val="single"/>
        </w:rPr>
        <w:t xml:space="preserve">    </w:t>
      </w:r>
      <w:r>
        <w:rPr>
          <w:rFonts w:hint="eastAsia" w:hAnsi="宋体" w:cs="宋体"/>
          <w:sz w:val="24"/>
          <w:szCs w:val="24"/>
        </w:rPr>
        <w:t>年龄：</w:t>
      </w:r>
      <w:r>
        <w:rPr>
          <w:rFonts w:hint="eastAsia" w:hAnsi="宋体" w:cs="宋体"/>
          <w:sz w:val="24"/>
          <w:szCs w:val="24"/>
          <w:u w:val="single"/>
        </w:rPr>
        <w:t xml:space="preserve">      </w:t>
      </w:r>
      <w:r>
        <w:rPr>
          <w:rFonts w:hint="eastAsia" w:hAnsi="宋体" w:cs="宋体"/>
          <w:sz w:val="24"/>
          <w:szCs w:val="24"/>
        </w:rPr>
        <w:t>职务：</w:t>
      </w:r>
      <w:r>
        <w:rPr>
          <w:rFonts w:hint="eastAsia" w:hAnsi="宋体" w:cs="宋体"/>
          <w:sz w:val="24"/>
          <w:szCs w:val="24"/>
          <w:u w:val="single"/>
        </w:rPr>
        <w:t xml:space="preserve">          </w:t>
      </w:r>
    </w:p>
    <w:p>
      <w:pPr>
        <w:spacing w:before="120" w:beforeLines="50" w:after="120" w:afterLines="50" w:line="300" w:lineRule="auto"/>
        <w:rPr>
          <w:rFonts w:hAnsi="宋体" w:cs="宋体"/>
          <w:sz w:val="24"/>
          <w:szCs w:val="24"/>
        </w:rPr>
      </w:pPr>
      <w:r>
        <w:rPr>
          <w:rFonts w:hint="eastAsia" w:hAnsi="宋体" w:cs="宋体"/>
          <w:sz w:val="24"/>
          <w:szCs w:val="24"/>
        </w:rPr>
        <w:t>身份证号码：</w:t>
      </w:r>
      <w:r>
        <w:rPr>
          <w:rFonts w:hint="eastAsia" w:hAnsi="宋体" w:cs="宋体"/>
          <w:sz w:val="24"/>
          <w:szCs w:val="24"/>
          <w:u w:val="single"/>
        </w:rPr>
        <w:t xml:space="preserve">                                          </w:t>
      </w:r>
    </w:p>
    <w:p>
      <w:pPr>
        <w:spacing w:before="120" w:beforeLines="50" w:after="120" w:afterLines="50" w:line="300" w:lineRule="auto"/>
        <w:rPr>
          <w:rFonts w:hAnsi="宋体" w:cs="宋体"/>
          <w:sz w:val="24"/>
          <w:szCs w:val="24"/>
        </w:rPr>
      </w:pPr>
      <w:r>
        <w:rPr>
          <w:rFonts w:hint="eastAsia" w:hAnsi="宋体" w:cs="宋体"/>
          <w:sz w:val="24"/>
          <w:szCs w:val="24"/>
        </w:rPr>
        <w:t>手机：</w:t>
      </w:r>
      <w:r>
        <w:rPr>
          <w:rFonts w:hint="eastAsia" w:hAnsi="宋体" w:cs="宋体"/>
          <w:sz w:val="24"/>
          <w:szCs w:val="24"/>
          <w:u w:val="single"/>
        </w:rPr>
        <w:t xml:space="preserve">                 </w:t>
      </w:r>
      <w:r>
        <w:rPr>
          <w:rFonts w:hint="eastAsia" w:hAnsi="宋体" w:cs="宋体"/>
          <w:sz w:val="24"/>
          <w:szCs w:val="24"/>
        </w:rPr>
        <w:t>传真：</w:t>
      </w:r>
      <w:r>
        <w:rPr>
          <w:rFonts w:hint="eastAsia" w:hAnsi="宋体" w:cs="宋体"/>
          <w:sz w:val="24"/>
          <w:szCs w:val="24"/>
          <w:u w:val="single"/>
        </w:rPr>
        <w:t xml:space="preserve">                        </w:t>
      </w:r>
      <w:r>
        <w:rPr>
          <w:rFonts w:hint="eastAsia" w:hAnsi="宋体" w:cs="宋体"/>
          <w:sz w:val="24"/>
          <w:szCs w:val="24"/>
        </w:rPr>
        <w:t xml:space="preserve"> </w:t>
      </w:r>
    </w:p>
    <w:p>
      <w:pPr>
        <w:spacing w:before="120" w:beforeLines="50" w:after="120" w:afterLines="50" w:line="300" w:lineRule="auto"/>
        <w:rPr>
          <w:rFonts w:hAnsi="宋体" w:cs="宋体"/>
          <w:sz w:val="24"/>
          <w:szCs w:val="24"/>
        </w:rPr>
      </w:pPr>
      <w:r>
        <w:rPr>
          <w:rFonts w:hint="eastAsia" w:hAnsi="宋体" w:cs="宋体"/>
          <w:sz w:val="24"/>
          <w:szCs w:val="24"/>
        </w:rPr>
        <w:t>单位名称（公章）             法定代表人（签字或盖章）</w:t>
      </w:r>
    </w:p>
    <w:p>
      <w:pPr>
        <w:spacing w:before="120" w:beforeLines="50" w:after="120" w:afterLines="50" w:line="300" w:lineRule="auto"/>
        <w:rPr>
          <w:rFonts w:hAnsi="宋体" w:cs="宋体"/>
          <w:sz w:val="24"/>
          <w:szCs w:val="24"/>
        </w:rPr>
      </w:pPr>
      <w:r>
        <w:rPr>
          <w:rFonts w:hint="eastAsia" w:ascii="宋体" w:hAnsi="宋体" w:cs="宋体"/>
          <w:color w:val="000000"/>
          <w:sz w:val="24"/>
          <w:szCs w:val="24"/>
        </w:rPr>
        <w:t>二○二○</w:t>
      </w:r>
      <w:r>
        <w:rPr>
          <w:rFonts w:hint="eastAsia" w:hAnsi="宋体" w:cs="宋体"/>
          <w:sz w:val="24"/>
          <w:szCs w:val="24"/>
        </w:rPr>
        <w:t xml:space="preserve">年   月   日          </w:t>
      </w:r>
      <w:r>
        <w:rPr>
          <w:rFonts w:hint="eastAsia" w:ascii="宋体" w:hAnsi="宋体" w:cs="宋体"/>
          <w:color w:val="000000"/>
          <w:sz w:val="24"/>
          <w:szCs w:val="24"/>
        </w:rPr>
        <w:t>二○二○</w:t>
      </w:r>
      <w:r>
        <w:rPr>
          <w:rFonts w:hint="eastAsia" w:hAnsi="宋体" w:cs="宋体"/>
          <w:sz w:val="24"/>
          <w:szCs w:val="24"/>
        </w:rPr>
        <w:t xml:space="preserve">年   月    日  </w:t>
      </w:r>
    </w:p>
    <w:p>
      <w:pPr>
        <w:spacing w:before="120" w:beforeLines="50" w:after="120" w:afterLines="50" w:line="300" w:lineRule="auto"/>
        <w:rPr>
          <w:rFonts w:hAnsi="宋体" w:cs="宋体"/>
          <w:sz w:val="24"/>
          <w:szCs w:val="24"/>
        </w:rPr>
      </w:pPr>
    </w:p>
    <w:p>
      <w:pPr>
        <w:spacing w:before="120" w:beforeLines="50" w:after="120" w:afterLines="50" w:line="300" w:lineRule="auto"/>
        <w:rPr>
          <w:rFonts w:ascii="宋体" w:hAnsi="宋体" w:cs="宋体"/>
          <w:color w:val="000000"/>
          <w:sz w:val="24"/>
          <w:szCs w:val="24"/>
        </w:rPr>
      </w:pPr>
      <w:r>
        <w:rPr>
          <w:rFonts w:hint="eastAsia" w:ascii="宋体" w:hAnsi="宋体" w:cs="宋体"/>
          <w:color w:val="000000"/>
          <w:sz w:val="24"/>
          <w:szCs w:val="24"/>
        </w:rPr>
        <w:t>法定代表人身份证复印件</w:t>
      </w:r>
    </w:p>
    <w:p>
      <w:pPr>
        <w:spacing w:before="120" w:beforeLines="50" w:after="120" w:afterLines="50" w:line="300" w:lineRule="auto"/>
        <w:rPr>
          <w:rFonts w:ascii="宋体" w:hAnsi="宋体" w:cs="宋体"/>
          <w:color w:val="000000"/>
          <w:sz w:val="24"/>
          <w:szCs w:val="24"/>
        </w:rPr>
      </w:pPr>
    </w:p>
    <w:p>
      <w:pPr>
        <w:spacing w:before="120" w:beforeLines="50" w:after="120" w:afterLines="50" w:line="300" w:lineRule="auto"/>
        <w:rPr>
          <w:rFonts w:ascii="宋体" w:hAnsi="宋体" w:cs="宋体"/>
          <w:color w:val="000000"/>
          <w:sz w:val="24"/>
          <w:szCs w:val="24"/>
        </w:rPr>
      </w:pPr>
    </w:p>
    <w:p>
      <w:pPr>
        <w:spacing w:before="120" w:beforeLines="50" w:after="120" w:afterLines="50" w:line="300" w:lineRule="auto"/>
        <w:ind w:firstLine="2280" w:firstLineChars="950"/>
        <w:rPr>
          <w:rFonts w:ascii="宋体" w:hAnsi="宋体" w:cs="宋体"/>
          <w:color w:val="000000"/>
          <w:sz w:val="24"/>
          <w:szCs w:val="24"/>
        </w:rPr>
      </w:pPr>
      <w:r>
        <w:rPr>
          <w:rFonts w:hint="eastAsia" w:ascii="宋体" w:hAnsi="宋体" w:cs="宋体"/>
          <w:color w:val="000000"/>
          <w:sz w:val="24"/>
          <w:szCs w:val="24"/>
        </w:rPr>
        <w:t>（粘贴此处）</w:t>
      </w:r>
    </w:p>
    <w:p>
      <w:pPr>
        <w:spacing w:before="120" w:beforeLines="50" w:after="120" w:afterLines="50" w:line="300" w:lineRule="auto"/>
        <w:rPr>
          <w:rFonts w:hAnsi="宋体" w:cs="宋体"/>
          <w:sz w:val="24"/>
          <w:szCs w:val="24"/>
        </w:rPr>
      </w:pPr>
    </w:p>
    <w:p>
      <w:pPr>
        <w:spacing w:before="120" w:beforeLines="50" w:after="120" w:afterLines="50" w:line="300" w:lineRule="auto"/>
        <w:rPr>
          <w:rFonts w:hAnsi="宋体" w:cs="宋体"/>
          <w:sz w:val="24"/>
          <w:szCs w:val="24"/>
        </w:rPr>
      </w:pPr>
      <w:r>
        <w:rPr>
          <w:rFonts w:hint="eastAsia" w:hAnsi="宋体" w:cs="宋体"/>
          <w:sz w:val="24"/>
          <w:szCs w:val="24"/>
        </w:rPr>
        <w:t>被授权人身份证复印件</w:t>
      </w:r>
    </w:p>
    <w:p>
      <w:pPr>
        <w:spacing w:before="120" w:beforeLines="50" w:after="120" w:afterLines="50" w:line="300" w:lineRule="auto"/>
        <w:rPr>
          <w:rFonts w:hAnsi="宋体" w:cs="宋体"/>
          <w:sz w:val="24"/>
          <w:szCs w:val="24"/>
        </w:rPr>
      </w:pPr>
    </w:p>
    <w:p>
      <w:pPr>
        <w:spacing w:before="120" w:beforeLines="50" w:after="120" w:afterLines="50" w:line="300" w:lineRule="auto"/>
        <w:rPr>
          <w:rFonts w:hAnsi="宋体" w:cs="宋体"/>
          <w:sz w:val="24"/>
          <w:szCs w:val="24"/>
        </w:rPr>
      </w:pPr>
    </w:p>
    <w:p>
      <w:pPr>
        <w:spacing w:before="120" w:beforeLines="50" w:after="120" w:afterLines="50" w:line="300" w:lineRule="auto"/>
        <w:rPr>
          <w:rFonts w:hAnsi="宋体" w:cs="宋体"/>
          <w:sz w:val="24"/>
          <w:szCs w:val="24"/>
        </w:rPr>
      </w:pPr>
    </w:p>
    <w:p>
      <w:pPr>
        <w:spacing w:before="120" w:beforeLines="50" w:after="120" w:afterLines="50" w:line="300" w:lineRule="auto"/>
        <w:ind w:firstLine="2280" w:firstLineChars="950"/>
        <w:rPr>
          <w:rFonts w:hAnsi="宋体" w:cs="宋体"/>
          <w:b/>
          <w:bCs/>
          <w:sz w:val="24"/>
          <w:szCs w:val="24"/>
        </w:rPr>
      </w:pPr>
      <w:r>
        <w:rPr>
          <w:rFonts w:hint="eastAsia" w:hAnsi="宋体" w:cs="宋体"/>
          <w:sz w:val="24"/>
          <w:szCs w:val="24"/>
        </w:rPr>
        <w:t>（粘贴此处）</w:t>
      </w:r>
    </w:p>
    <w:p>
      <w:pPr>
        <w:spacing w:before="120" w:beforeLines="50" w:after="120" w:afterLines="50" w:line="300" w:lineRule="auto"/>
        <w:ind w:firstLine="482" w:firstLineChars="200"/>
        <w:rPr>
          <w:rFonts w:hAnsi="宋体" w:cs="宋体"/>
          <w:b/>
          <w:bCs/>
          <w:sz w:val="24"/>
          <w:szCs w:val="24"/>
        </w:rPr>
      </w:pPr>
      <w:r>
        <w:rPr>
          <w:rFonts w:hint="eastAsia" w:hAnsi="宋体" w:cs="宋体"/>
          <w:b/>
          <w:bCs/>
          <w:sz w:val="24"/>
          <w:szCs w:val="24"/>
        </w:rPr>
        <w:t>注:参加磋商时被授权人将身份证原件带至磋商现场备查。</w:t>
      </w:r>
    </w:p>
    <w:p>
      <w:pPr>
        <w:snapToGrid w:val="0"/>
        <w:spacing w:line="360" w:lineRule="auto"/>
        <w:jc w:val="center"/>
        <w:outlineLvl w:val="3"/>
        <w:rPr>
          <w:rFonts w:ascii="宋体" w:hAnsi="宋体" w:cs="宋体"/>
          <w:b/>
          <w:sz w:val="24"/>
          <w:szCs w:val="24"/>
        </w:rPr>
      </w:pPr>
      <w:r>
        <w:rPr>
          <w:rFonts w:ascii="宋体" w:hAnsi="宋体" w:cs="宋体"/>
          <w:sz w:val="24"/>
          <w:szCs w:val="24"/>
        </w:rPr>
        <w:br w:type="page"/>
      </w:r>
    </w:p>
    <w:p>
      <w:pPr>
        <w:snapToGrid w:val="0"/>
        <w:spacing w:line="360" w:lineRule="auto"/>
        <w:jc w:val="center"/>
        <w:outlineLvl w:val="3"/>
        <w:rPr>
          <w:rFonts w:ascii="宋体" w:hAnsi="宋体" w:cs="宋体"/>
          <w:b/>
          <w:sz w:val="24"/>
          <w:szCs w:val="24"/>
        </w:rPr>
      </w:pPr>
      <w:r>
        <w:rPr>
          <w:rFonts w:hint="eastAsia" w:ascii="宋体" w:hAnsi="宋体" w:cs="宋体"/>
          <w:b/>
          <w:sz w:val="24"/>
          <w:szCs w:val="24"/>
        </w:rPr>
        <w:t>3、关于资格文件的声明函</w:t>
      </w:r>
    </w:p>
    <w:p>
      <w:pPr>
        <w:overflowPunct w:val="0"/>
        <w:adjustRightInd w:val="0"/>
        <w:spacing w:line="360" w:lineRule="auto"/>
        <w:ind w:firstLine="420"/>
        <w:jc w:val="center"/>
        <w:textAlignment w:val="baseline"/>
        <w:rPr>
          <w:rFonts w:ascii="宋体" w:hAnsi="宋体" w:cs="宋体"/>
          <w:sz w:val="24"/>
          <w:szCs w:val="24"/>
        </w:rPr>
      </w:pPr>
    </w:p>
    <w:p>
      <w:pPr>
        <w:overflowPunct w:val="0"/>
        <w:adjustRightInd w:val="0"/>
        <w:spacing w:line="360" w:lineRule="auto"/>
        <w:jc w:val="left"/>
        <w:textAlignment w:val="baseline"/>
        <w:rPr>
          <w:rFonts w:ascii="宋体" w:hAnsi="宋体" w:cs="宋体"/>
          <w:sz w:val="24"/>
          <w:szCs w:val="24"/>
        </w:rPr>
      </w:pPr>
      <w:r>
        <w:rPr>
          <w:rFonts w:hint="eastAsia" w:ascii="宋体" w:hAnsi="宋体" w:cs="宋体"/>
          <w:b/>
          <w:sz w:val="24"/>
          <w:szCs w:val="24"/>
          <w:u w:val="single"/>
        </w:rPr>
        <w:t>南通市启秀中学：</w:t>
      </w:r>
    </w:p>
    <w:p>
      <w:pPr>
        <w:overflowPunct w:val="0"/>
        <w:adjustRightInd w:val="0"/>
        <w:spacing w:line="360" w:lineRule="auto"/>
        <w:ind w:firstLine="480" w:firstLineChars="200"/>
        <w:jc w:val="left"/>
        <w:textAlignment w:val="baseline"/>
        <w:rPr>
          <w:rFonts w:ascii="宋体" w:hAnsi="宋体" w:cs="宋体"/>
          <w:sz w:val="24"/>
          <w:szCs w:val="24"/>
        </w:rPr>
      </w:pPr>
    </w:p>
    <w:p>
      <w:pPr>
        <w:overflowPunct w:val="0"/>
        <w:adjustRightInd w:val="0"/>
        <w:spacing w:line="360" w:lineRule="auto"/>
        <w:ind w:firstLine="480" w:firstLineChars="200"/>
        <w:jc w:val="left"/>
        <w:textAlignment w:val="baseline"/>
        <w:rPr>
          <w:rFonts w:ascii="宋体" w:hAnsi="宋体" w:cs="宋体"/>
          <w:sz w:val="24"/>
          <w:szCs w:val="24"/>
        </w:rPr>
      </w:pPr>
      <w:r>
        <w:rPr>
          <w:rFonts w:hint="eastAsia" w:ascii="宋体" w:hAnsi="宋体" w:cs="宋体"/>
          <w:sz w:val="24"/>
          <w:szCs w:val="24"/>
        </w:rPr>
        <w:t>本公司愿就由贵校组织实施的南通市启秀中学食堂食品原材料供应商资格准入项目的竞争性磋商活动进行响应。本公司所提交的招标响应文件中所有关于响应招标资格的文件、证明和陈述均是真实的、准确的。若与真实情况不符，本公司愿意承担由此而产生的一切后果。</w:t>
      </w:r>
    </w:p>
    <w:p>
      <w:pPr>
        <w:overflowPunct w:val="0"/>
        <w:adjustRightInd w:val="0"/>
        <w:spacing w:line="360" w:lineRule="auto"/>
        <w:ind w:firstLine="420"/>
        <w:jc w:val="left"/>
        <w:textAlignment w:val="baseline"/>
        <w:rPr>
          <w:rFonts w:ascii="宋体" w:hAnsi="宋体" w:cs="宋体"/>
          <w:sz w:val="24"/>
          <w:szCs w:val="24"/>
        </w:rPr>
      </w:pPr>
    </w:p>
    <w:p>
      <w:pPr>
        <w:overflowPunct w:val="0"/>
        <w:adjustRightInd w:val="0"/>
        <w:spacing w:line="360" w:lineRule="auto"/>
        <w:ind w:firstLine="420"/>
        <w:jc w:val="left"/>
        <w:textAlignment w:val="baseline"/>
        <w:rPr>
          <w:rFonts w:ascii="宋体" w:hAnsi="宋体" w:cs="宋体"/>
          <w:sz w:val="24"/>
          <w:szCs w:val="24"/>
        </w:rPr>
      </w:pPr>
    </w:p>
    <w:p>
      <w:pPr>
        <w:overflowPunct w:val="0"/>
        <w:adjustRightInd w:val="0"/>
        <w:spacing w:line="360" w:lineRule="auto"/>
        <w:ind w:firstLine="420"/>
        <w:jc w:val="left"/>
        <w:textAlignment w:val="baseline"/>
        <w:rPr>
          <w:rFonts w:ascii="宋体" w:hAnsi="宋体" w:cs="宋体"/>
          <w:sz w:val="24"/>
          <w:szCs w:val="24"/>
        </w:rPr>
      </w:pPr>
    </w:p>
    <w:p>
      <w:pPr>
        <w:overflowPunct w:val="0"/>
        <w:adjustRightInd w:val="0"/>
        <w:spacing w:line="360" w:lineRule="auto"/>
        <w:ind w:firstLine="420"/>
        <w:jc w:val="left"/>
        <w:textAlignment w:val="baseline"/>
        <w:rPr>
          <w:rFonts w:ascii="宋体" w:hAnsi="宋体" w:cs="宋体"/>
          <w:sz w:val="24"/>
          <w:szCs w:val="24"/>
        </w:rPr>
      </w:pPr>
    </w:p>
    <w:p>
      <w:pPr>
        <w:overflowPunct w:val="0"/>
        <w:adjustRightInd w:val="0"/>
        <w:spacing w:line="360" w:lineRule="auto"/>
        <w:ind w:firstLine="420"/>
        <w:jc w:val="left"/>
        <w:textAlignment w:val="baseline"/>
        <w:rPr>
          <w:rFonts w:ascii="宋体" w:hAnsi="宋体" w:cs="宋体"/>
          <w:sz w:val="24"/>
          <w:szCs w:val="24"/>
        </w:rPr>
      </w:pPr>
    </w:p>
    <w:p>
      <w:pPr>
        <w:overflowPunct w:val="0"/>
        <w:adjustRightInd w:val="0"/>
        <w:spacing w:line="360" w:lineRule="auto"/>
        <w:ind w:firstLine="420"/>
        <w:jc w:val="left"/>
        <w:textAlignment w:val="baseline"/>
        <w:rPr>
          <w:rFonts w:ascii="宋体" w:hAnsi="宋体" w:cs="宋体"/>
          <w:sz w:val="24"/>
          <w:szCs w:val="24"/>
        </w:rPr>
      </w:pPr>
    </w:p>
    <w:p>
      <w:pPr>
        <w:overflowPunct w:val="0"/>
        <w:adjustRightInd w:val="0"/>
        <w:spacing w:line="360" w:lineRule="auto"/>
        <w:ind w:firstLine="420"/>
        <w:jc w:val="left"/>
        <w:textAlignment w:val="baseline"/>
        <w:rPr>
          <w:rFonts w:ascii="宋体" w:hAnsi="宋体" w:cs="宋体"/>
          <w:sz w:val="24"/>
          <w:szCs w:val="24"/>
        </w:rPr>
      </w:pPr>
    </w:p>
    <w:p>
      <w:pPr>
        <w:overflowPunct w:val="0"/>
        <w:adjustRightInd w:val="0"/>
        <w:spacing w:line="360" w:lineRule="auto"/>
        <w:ind w:firstLine="420"/>
        <w:jc w:val="left"/>
        <w:textAlignment w:val="baseline"/>
        <w:rPr>
          <w:rFonts w:ascii="宋体" w:hAnsi="宋体" w:cs="宋体"/>
          <w:sz w:val="24"/>
          <w:szCs w:val="24"/>
        </w:rPr>
      </w:pPr>
    </w:p>
    <w:p>
      <w:pPr>
        <w:overflowPunct w:val="0"/>
        <w:adjustRightInd w:val="0"/>
        <w:spacing w:line="360" w:lineRule="auto"/>
        <w:ind w:firstLine="420"/>
        <w:jc w:val="left"/>
        <w:textAlignment w:val="baseline"/>
        <w:rPr>
          <w:rFonts w:ascii="宋体" w:hAnsi="宋体" w:cs="宋体"/>
          <w:sz w:val="24"/>
          <w:szCs w:val="24"/>
        </w:rPr>
      </w:pPr>
    </w:p>
    <w:p>
      <w:pPr>
        <w:overflowPunct w:val="0"/>
        <w:adjustRightInd w:val="0"/>
        <w:spacing w:line="360" w:lineRule="auto"/>
        <w:ind w:firstLine="420"/>
        <w:jc w:val="left"/>
        <w:textAlignment w:val="baseline"/>
        <w:rPr>
          <w:rFonts w:ascii="宋体" w:hAnsi="宋体" w:cs="宋体"/>
          <w:sz w:val="24"/>
          <w:szCs w:val="24"/>
        </w:rPr>
      </w:pPr>
    </w:p>
    <w:p>
      <w:pPr>
        <w:overflowPunct w:val="0"/>
        <w:adjustRightInd w:val="0"/>
        <w:spacing w:line="360" w:lineRule="auto"/>
        <w:ind w:firstLine="420"/>
        <w:jc w:val="left"/>
        <w:textAlignment w:val="baseline"/>
        <w:rPr>
          <w:rFonts w:ascii="宋体" w:hAnsi="宋体" w:cs="宋体"/>
          <w:sz w:val="24"/>
          <w:szCs w:val="24"/>
        </w:rPr>
      </w:pPr>
      <w:r>
        <w:rPr>
          <w:rFonts w:hint="eastAsia" w:ascii="宋体" w:hAnsi="宋体" w:cs="宋体"/>
          <w:sz w:val="24"/>
          <w:szCs w:val="24"/>
        </w:rPr>
        <w:t xml:space="preserve"> </w:t>
      </w:r>
      <w:r>
        <w:rPr>
          <w:rFonts w:hint="eastAsia" w:ascii="宋体" w:hAnsi="宋体" w:cs="宋体"/>
          <w:sz w:val="24"/>
          <w:szCs w:val="24"/>
        </w:rPr>
        <w:tab/>
      </w:r>
      <w:r>
        <w:rPr>
          <w:rFonts w:hint="eastAsia" w:ascii="宋体" w:hAnsi="宋体" w:cs="宋体"/>
          <w:sz w:val="24"/>
          <w:szCs w:val="24"/>
        </w:rPr>
        <w:tab/>
      </w:r>
      <w:r>
        <w:rPr>
          <w:rFonts w:hint="eastAsia" w:ascii="宋体" w:hAnsi="宋体" w:cs="宋体"/>
          <w:sz w:val="24"/>
          <w:szCs w:val="24"/>
        </w:rPr>
        <w:tab/>
      </w:r>
      <w:r>
        <w:rPr>
          <w:rFonts w:hint="eastAsia" w:ascii="宋体" w:hAnsi="宋体" w:cs="宋体"/>
          <w:sz w:val="24"/>
          <w:szCs w:val="24"/>
        </w:rPr>
        <w:tab/>
      </w:r>
      <w:r>
        <w:rPr>
          <w:rFonts w:hint="eastAsia" w:ascii="宋体" w:hAnsi="宋体" w:cs="宋体"/>
          <w:sz w:val="24"/>
          <w:szCs w:val="24"/>
        </w:rPr>
        <w:t xml:space="preserve">      （供应商）法定代表人或受权人（签字或盖章）：</w:t>
      </w:r>
    </w:p>
    <w:p>
      <w:pPr>
        <w:overflowPunct w:val="0"/>
        <w:adjustRightInd w:val="0"/>
        <w:spacing w:line="360" w:lineRule="auto"/>
        <w:ind w:left="1700" w:firstLine="425"/>
        <w:jc w:val="left"/>
        <w:textAlignment w:val="baseline"/>
        <w:rPr>
          <w:rFonts w:ascii="宋体" w:hAnsi="宋体" w:cs="宋体"/>
          <w:sz w:val="24"/>
          <w:szCs w:val="24"/>
        </w:rPr>
      </w:pPr>
    </w:p>
    <w:p>
      <w:pPr>
        <w:overflowPunct w:val="0"/>
        <w:adjustRightInd w:val="0"/>
        <w:spacing w:line="360" w:lineRule="auto"/>
        <w:ind w:left="1700" w:firstLine="425"/>
        <w:jc w:val="left"/>
        <w:textAlignment w:val="baseline"/>
        <w:rPr>
          <w:rFonts w:ascii="宋体" w:hAnsi="宋体" w:cs="宋体"/>
          <w:sz w:val="24"/>
          <w:szCs w:val="24"/>
        </w:rPr>
      </w:pPr>
      <w:r>
        <w:rPr>
          <w:rFonts w:hint="eastAsia" w:ascii="宋体" w:hAnsi="宋体" w:cs="宋体"/>
          <w:sz w:val="24"/>
          <w:szCs w:val="24"/>
        </w:rPr>
        <w:t xml:space="preserve">        （供应商）公章：</w:t>
      </w:r>
    </w:p>
    <w:p>
      <w:pPr>
        <w:overflowPunct w:val="0"/>
        <w:adjustRightInd w:val="0"/>
        <w:spacing w:line="360" w:lineRule="auto"/>
        <w:ind w:firstLine="420"/>
        <w:jc w:val="left"/>
        <w:textAlignment w:val="baseline"/>
        <w:rPr>
          <w:rFonts w:ascii="宋体" w:hAnsi="宋体" w:cs="宋体"/>
          <w:sz w:val="24"/>
          <w:szCs w:val="24"/>
        </w:rPr>
      </w:pPr>
      <w:r>
        <w:rPr>
          <w:rFonts w:hint="eastAsia" w:ascii="宋体" w:hAnsi="宋体" w:cs="宋体"/>
          <w:sz w:val="24"/>
          <w:szCs w:val="24"/>
        </w:rPr>
        <w:t xml:space="preserve">               </w:t>
      </w:r>
    </w:p>
    <w:p>
      <w:pPr>
        <w:overflowPunct w:val="0"/>
        <w:adjustRightInd w:val="0"/>
        <w:spacing w:line="360" w:lineRule="auto"/>
        <w:ind w:left="3507" w:firstLine="1145"/>
        <w:jc w:val="right"/>
        <w:textAlignment w:val="baseline"/>
        <w:rPr>
          <w:rFonts w:ascii="宋体" w:hAnsi="宋体" w:cs="宋体"/>
          <w:sz w:val="24"/>
          <w:szCs w:val="24"/>
        </w:rPr>
      </w:pPr>
      <w:r>
        <w:rPr>
          <w:rFonts w:hint="eastAsia" w:ascii="宋体" w:hAnsi="宋体" w:cs="宋体"/>
          <w:sz w:val="24"/>
          <w:szCs w:val="24"/>
        </w:rPr>
        <w:t>2</w:t>
      </w:r>
      <w:r>
        <w:rPr>
          <w:rFonts w:ascii="宋体" w:hAnsi="宋体" w:cs="宋体"/>
          <w:sz w:val="24"/>
          <w:szCs w:val="24"/>
        </w:rPr>
        <w:t>020</w:t>
      </w:r>
      <w:r>
        <w:rPr>
          <w:rFonts w:hint="eastAsia" w:ascii="宋体" w:hAnsi="宋体" w:cs="宋体"/>
          <w:sz w:val="24"/>
          <w:szCs w:val="24"/>
        </w:rPr>
        <w:t>年</w:t>
      </w:r>
      <w:r>
        <w:rPr>
          <w:rFonts w:hint="eastAsia" w:ascii="宋体" w:hAnsi="宋体" w:cs="宋体"/>
          <w:sz w:val="24"/>
          <w:szCs w:val="24"/>
        </w:rPr>
        <w:tab/>
      </w:r>
      <w:r>
        <w:rPr>
          <w:rFonts w:hint="eastAsia" w:ascii="宋体" w:hAnsi="宋体" w:cs="宋体"/>
          <w:sz w:val="24"/>
          <w:szCs w:val="24"/>
        </w:rPr>
        <w:t xml:space="preserve"> 月 </w:t>
      </w:r>
      <w:r>
        <w:rPr>
          <w:rFonts w:hint="eastAsia" w:ascii="宋体" w:hAnsi="宋体" w:cs="宋体"/>
          <w:sz w:val="24"/>
          <w:szCs w:val="24"/>
        </w:rPr>
        <w:tab/>
      </w:r>
      <w:r>
        <w:rPr>
          <w:rFonts w:hint="eastAsia" w:ascii="宋体" w:hAnsi="宋体" w:cs="宋体"/>
          <w:sz w:val="24"/>
          <w:szCs w:val="24"/>
        </w:rPr>
        <w:t>日</w:t>
      </w:r>
    </w:p>
    <w:p>
      <w:pPr>
        <w:adjustRightInd w:val="0"/>
        <w:snapToGrid w:val="0"/>
        <w:spacing w:line="360" w:lineRule="auto"/>
        <w:jc w:val="center"/>
        <w:rPr>
          <w:rFonts w:ascii="宋体" w:hAnsi="宋体" w:cs="宋体"/>
          <w:sz w:val="24"/>
          <w:szCs w:val="24"/>
        </w:rPr>
      </w:pPr>
    </w:p>
    <w:p>
      <w:pPr>
        <w:adjustRightInd w:val="0"/>
        <w:snapToGrid w:val="0"/>
        <w:spacing w:line="360" w:lineRule="auto"/>
        <w:jc w:val="center"/>
        <w:rPr>
          <w:rFonts w:ascii="宋体" w:hAnsi="宋体" w:cs="宋体"/>
          <w:sz w:val="24"/>
          <w:szCs w:val="24"/>
        </w:rPr>
      </w:pPr>
    </w:p>
    <w:p>
      <w:pPr>
        <w:snapToGrid w:val="0"/>
        <w:spacing w:line="360" w:lineRule="auto"/>
        <w:jc w:val="center"/>
        <w:outlineLvl w:val="3"/>
        <w:rPr>
          <w:rFonts w:ascii="宋体" w:hAnsi="宋体" w:cs="宋体"/>
          <w:b/>
          <w:sz w:val="24"/>
          <w:szCs w:val="24"/>
        </w:rPr>
      </w:pPr>
      <w:bookmarkStart w:id="74" w:name="_Toc360526534"/>
    </w:p>
    <w:bookmarkEnd w:id="74"/>
    <w:p>
      <w:pPr>
        <w:snapToGrid w:val="0"/>
        <w:spacing w:line="360" w:lineRule="auto"/>
        <w:outlineLvl w:val="2"/>
        <w:rPr>
          <w:b/>
          <w:bCs/>
          <w:sz w:val="24"/>
          <w:szCs w:val="24"/>
        </w:rPr>
      </w:pPr>
      <w:r>
        <w:rPr>
          <w:rFonts w:ascii="宋体" w:hAnsi="宋体" w:cs="宋体"/>
          <w:b/>
          <w:sz w:val="24"/>
          <w:szCs w:val="24"/>
        </w:rPr>
        <w:br w:type="page"/>
      </w:r>
      <w:r>
        <w:rPr>
          <w:b/>
          <w:sz w:val="24"/>
          <w:szCs w:val="24"/>
        </w:rPr>
        <w:t>C、技术招标响应文件（单独密封）</w:t>
      </w:r>
    </w:p>
    <w:p>
      <w:pPr>
        <w:adjustRightInd w:val="0"/>
        <w:snapToGrid w:val="0"/>
        <w:spacing w:line="360" w:lineRule="auto"/>
        <w:jc w:val="left"/>
        <w:rPr>
          <w:b/>
          <w:sz w:val="24"/>
          <w:szCs w:val="24"/>
        </w:rPr>
      </w:pPr>
      <w:r>
        <w:rPr>
          <w:b/>
          <w:sz w:val="24"/>
          <w:szCs w:val="24"/>
        </w:rPr>
        <w:t>C.1、目录</w:t>
      </w:r>
    </w:p>
    <w:tbl>
      <w:tblPr>
        <w:tblStyle w:val="50"/>
        <w:tblW w:w="8332" w:type="dxa"/>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7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873" w:type="dxa"/>
            <w:vAlign w:val="center"/>
          </w:tcPr>
          <w:p>
            <w:pPr>
              <w:jc w:val="center"/>
              <w:rPr>
                <w:b/>
                <w:bCs/>
                <w:sz w:val="24"/>
                <w:szCs w:val="24"/>
              </w:rPr>
            </w:pPr>
            <w:r>
              <w:rPr>
                <w:b/>
                <w:bCs/>
                <w:sz w:val="24"/>
                <w:szCs w:val="24"/>
              </w:rPr>
              <w:t>序号</w:t>
            </w:r>
          </w:p>
        </w:tc>
        <w:tc>
          <w:tcPr>
            <w:tcW w:w="7459" w:type="dxa"/>
            <w:vAlign w:val="center"/>
          </w:tcPr>
          <w:p>
            <w:pPr>
              <w:jc w:val="center"/>
              <w:rPr>
                <w:b/>
                <w:bCs/>
                <w:sz w:val="24"/>
                <w:szCs w:val="24"/>
              </w:rPr>
            </w:pPr>
            <w:r>
              <w:rPr>
                <w:rFonts w:hint="eastAsia"/>
                <w:b/>
                <w:color w:val="000000"/>
                <w:sz w:val="24"/>
                <w:szCs w:val="24"/>
              </w:rPr>
              <w:t xml:space="preserve">技术磋商响应文件 </w:t>
            </w:r>
            <w:r>
              <w:rPr>
                <w:b/>
                <w:bCs/>
                <w:sz w:val="24"/>
                <w:szCs w:val="24"/>
              </w:rPr>
              <w:t>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8" w:hRule="atLeast"/>
        </w:trPr>
        <w:tc>
          <w:tcPr>
            <w:tcW w:w="873" w:type="dxa"/>
            <w:vAlign w:val="center"/>
          </w:tcPr>
          <w:p>
            <w:pPr>
              <w:jc w:val="center"/>
              <w:rPr>
                <w:sz w:val="24"/>
                <w:szCs w:val="24"/>
              </w:rPr>
            </w:pPr>
            <w:r>
              <w:rPr>
                <w:sz w:val="24"/>
                <w:szCs w:val="24"/>
              </w:rPr>
              <w:t>1</w:t>
            </w:r>
          </w:p>
        </w:tc>
        <w:tc>
          <w:tcPr>
            <w:tcW w:w="7459" w:type="dxa"/>
            <w:vAlign w:val="center"/>
          </w:tcPr>
          <w:p>
            <w:pPr>
              <w:rPr>
                <w:sz w:val="24"/>
                <w:szCs w:val="24"/>
              </w:rPr>
            </w:pPr>
            <w:r>
              <w:rPr>
                <w:rFonts w:hint="eastAsia"/>
                <w:sz w:val="24"/>
                <w:szCs w:val="24"/>
              </w:rPr>
              <w:t>招标响应函C.2.</w:t>
            </w:r>
            <w:r>
              <w:rPr>
                <w:sz w:val="24"/>
                <w:szCs w:val="24"/>
              </w:rPr>
              <w:t>1</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873" w:type="dxa"/>
            <w:vAlign w:val="center"/>
          </w:tcPr>
          <w:p>
            <w:pPr>
              <w:jc w:val="center"/>
              <w:rPr>
                <w:sz w:val="24"/>
                <w:szCs w:val="24"/>
              </w:rPr>
            </w:pPr>
            <w:r>
              <w:rPr>
                <w:sz w:val="24"/>
                <w:szCs w:val="24"/>
              </w:rPr>
              <w:t>2</w:t>
            </w:r>
          </w:p>
        </w:tc>
        <w:tc>
          <w:tcPr>
            <w:tcW w:w="7459" w:type="dxa"/>
            <w:vAlign w:val="center"/>
          </w:tcPr>
          <w:p>
            <w:pPr>
              <w:rPr>
                <w:sz w:val="24"/>
                <w:szCs w:val="24"/>
              </w:rPr>
            </w:pPr>
            <w:r>
              <w:rPr>
                <w:rFonts w:hint="eastAsia"/>
                <w:sz w:val="24"/>
                <w:szCs w:val="24"/>
              </w:rPr>
              <w:t>廉洁承诺书（格式参见第八章C.2.</w:t>
            </w:r>
            <w:r>
              <w:rPr>
                <w:sz w:val="24"/>
                <w:szCs w:val="24"/>
              </w:rPr>
              <w:t>2</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8" w:hRule="atLeast"/>
        </w:trPr>
        <w:tc>
          <w:tcPr>
            <w:tcW w:w="873" w:type="dxa"/>
            <w:vAlign w:val="center"/>
          </w:tcPr>
          <w:p>
            <w:pPr>
              <w:jc w:val="center"/>
              <w:rPr>
                <w:sz w:val="24"/>
                <w:szCs w:val="24"/>
              </w:rPr>
            </w:pPr>
            <w:r>
              <w:rPr>
                <w:sz w:val="24"/>
                <w:szCs w:val="24"/>
              </w:rPr>
              <w:t>3</w:t>
            </w:r>
          </w:p>
        </w:tc>
        <w:tc>
          <w:tcPr>
            <w:tcW w:w="7459" w:type="dxa"/>
            <w:vAlign w:val="center"/>
          </w:tcPr>
          <w:p>
            <w:pPr>
              <w:rPr>
                <w:sz w:val="24"/>
                <w:szCs w:val="24"/>
              </w:rPr>
            </w:pPr>
            <w:r>
              <w:rPr>
                <w:rFonts w:hint="eastAsia"/>
                <w:sz w:val="24"/>
                <w:szCs w:val="24"/>
              </w:rPr>
              <w:t>食品安全承诺书（格式参见第八章C.2.</w:t>
            </w:r>
            <w:r>
              <w:rPr>
                <w:sz w:val="24"/>
                <w:szCs w:val="24"/>
              </w:rPr>
              <w:t>3</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873" w:type="dxa"/>
            <w:vAlign w:val="center"/>
          </w:tcPr>
          <w:p>
            <w:pPr>
              <w:jc w:val="center"/>
              <w:rPr>
                <w:sz w:val="24"/>
                <w:szCs w:val="24"/>
              </w:rPr>
            </w:pPr>
            <w:r>
              <w:rPr>
                <w:sz w:val="24"/>
                <w:szCs w:val="24"/>
              </w:rPr>
              <w:t>4</w:t>
            </w:r>
          </w:p>
        </w:tc>
        <w:tc>
          <w:tcPr>
            <w:tcW w:w="7459" w:type="dxa"/>
            <w:vAlign w:val="center"/>
          </w:tcPr>
          <w:p>
            <w:pPr>
              <w:rPr>
                <w:sz w:val="24"/>
                <w:szCs w:val="24"/>
              </w:rPr>
            </w:pPr>
            <w:r>
              <w:rPr>
                <w:rFonts w:hint="eastAsia"/>
                <w:sz w:val="24"/>
                <w:szCs w:val="24"/>
              </w:rPr>
              <w:t>食品要求（格式参见第八章C.2.</w:t>
            </w:r>
            <w:r>
              <w:rPr>
                <w:sz w:val="24"/>
                <w:szCs w:val="24"/>
              </w:rPr>
              <w:t>4</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73" w:type="dxa"/>
            <w:vAlign w:val="center"/>
          </w:tcPr>
          <w:p>
            <w:pPr>
              <w:jc w:val="center"/>
              <w:rPr>
                <w:sz w:val="24"/>
                <w:szCs w:val="24"/>
              </w:rPr>
            </w:pPr>
            <w:r>
              <w:rPr>
                <w:rFonts w:hint="eastAsia"/>
                <w:sz w:val="24"/>
                <w:szCs w:val="24"/>
              </w:rPr>
              <w:t>5</w:t>
            </w:r>
          </w:p>
        </w:tc>
        <w:tc>
          <w:tcPr>
            <w:tcW w:w="7459" w:type="dxa"/>
            <w:vAlign w:val="center"/>
          </w:tcPr>
          <w:p>
            <w:pPr>
              <w:rPr>
                <w:sz w:val="24"/>
                <w:szCs w:val="24"/>
              </w:rPr>
            </w:pPr>
            <w:r>
              <w:rPr>
                <w:rFonts w:hint="eastAsia"/>
                <w:sz w:val="24"/>
                <w:szCs w:val="24"/>
              </w:rPr>
              <w:t>评标办法中所涉及的事项需提供的证明资料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73" w:type="dxa"/>
            <w:vAlign w:val="center"/>
          </w:tcPr>
          <w:p>
            <w:pPr>
              <w:jc w:val="center"/>
              <w:rPr>
                <w:sz w:val="24"/>
                <w:szCs w:val="24"/>
              </w:rPr>
            </w:pPr>
            <w:r>
              <w:rPr>
                <w:rFonts w:hint="eastAsia"/>
                <w:sz w:val="24"/>
                <w:szCs w:val="24"/>
              </w:rPr>
              <w:t>6</w:t>
            </w:r>
          </w:p>
        </w:tc>
        <w:tc>
          <w:tcPr>
            <w:tcW w:w="7459" w:type="dxa"/>
            <w:vAlign w:val="center"/>
          </w:tcPr>
          <w:p>
            <w:pPr>
              <w:rPr>
                <w:sz w:val="24"/>
                <w:szCs w:val="24"/>
              </w:rPr>
            </w:pPr>
            <w:r>
              <w:rPr>
                <w:rFonts w:hint="eastAsia"/>
                <w:sz w:val="24"/>
                <w:szCs w:val="24"/>
              </w:rPr>
              <w:t>评标办法中未涉及的事项，供应商认为需要提交的其他资料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8" w:hRule="atLeast"/>
        </w:trPr>
        <w:tc>
          <w:tcPr>
            <w:tcW w:w="873" w:type="dxa"/>
            <w:vAlign w:val="center"/>
          </w:tcPr>
          <w:p>
            <w:pPr>
              <w:jc w:val="center"/>
              <w:rPr>
                <w:sz w:val="24"/>
                <w:szCs w:val="24"/>
              </w:rPr>
            </w:pPr>
          </w:p>
        </w:tc>
        <w:tc>
          <w:tcPr>
            <w:tcW w:w="7459"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873" w:type="dxa"/>
            <w:vAlign w:val="center"/>
          </w:tcPr>
          <w:p>
            <w:pPr>
              <w:jc w:val="center"/>
              <w:rPr>
                <w:sz w:val="24"/>
                <w:szCs w:val="24"/>
              </w:rPr>
            </w:pPr>
          </w:p>
        </w:tc>
        <w:tc>
          <w:tcPr>
            <w:tcW w:w="7459"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873" w:type="dxa"/>
            <w:vAlign w:val="center"/>
          </w:tcPr>
          <w:p>
            <w:pPr>
              <w:jc w:val="center"/>
              <w:rPr>
                <w:sz w:val="24"/>
                <w:szCs w:val="24"/>
              </w:rPr>
            </w:pPr>
          </w:p>
        </w:tc>
        <w:tc>
          <w:tcPr>
            <w:tcW w:w="7459"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873" w:type="dxa"/>
            <w:vAlign w:val="center"/>
          </w:tcPr>
          <w:p>
            <w:pPr>
              <w:jc w:val="center"/>
              <w:rPr>
                <w:sz w:val="24"/>
                <w:szCs w:val="24"/>
              </w:rPr>
            </w:pPr>
          </w:p>
        </w:tc>
        <w:tc>
          <w:tcPr>
            <w:tcW w:w="7459"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8" w:hRule="atLeast"/>
        </w:trPr>
        <w:tc>
          <w:tcPr>
            <w:tcW w:w="873" w:type="dxa"/>
            <w:vAlign w:val="center"/>
          </w:tcPr>
          <w:p>
            <w:pPr>
              <w:jc w:val="center"/>
              <w:rPr>
                <w:sz w:val="24"/>
                <w:szCs w:val="24"/>
              </w:rPr>
            </w:pPr>
          </w:p>
        </w:tc>
        <w:tc>
          <w:tcPr>
            <w:tcW w:w="7459"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73" w:type="dxa"/>
            <w:vAlign w:val="center"/>
          </w:tcPr>
          <w:p>
            <w:pPr>
              <w:jc w:val="center"/>
              <w:rPr>
                <w:sz w:val="24"/>
                <w:szCs w:val="24"/>
              </w:rPr>
            </w:pPr>
          </w:p>
        </w:tc>
        <w:tc>
          <w:tcPr>
            <w:tcW w:w="7459" w:type="dxa"/>
            <w:vAlign w:val="center"/>
          </w:tcPr>
          <w:p>
            <w:pPr>
              <w:rPr>
                <w:sz w:val="24"/>
                <w:szCs w:val="24"/>
              </w:rPr>
            </w:pPr>
          </w:p>
        </w:tc>
      </w:tr>
    </w:tbl>
    <w:p>
      <w:pPr>
        <w:widowControl/>
        <w:jc w:val="left"/>
        <w:rPr>
          <w:rFonts w:ascii="宋体" w:hAnsi="宋体" w:cs="宋体"/>
          <w:b/>
          <w:sz w:val="24"/>
          <w:szCs w:val="24"/>
        </w:rPr>
      </w:pPr>
      <w:r>
        <w:rPr>
          <w:rFonts w:ascii="宋体" w:hAnsi="宋体" w:cs="宋体"/>
          <w:b/>
          <w:sz w:val="24"/>
          <w:szCs w:val="24"/>
        </w:rPr>
        <w:br w:type="page"/>
      </w:r>
    </w:p>
    <w:p>
      <w:pPr>
        <w:snapToGrid w:val="0"/>
        <w:spacing w:line="360" w:lineRule="auto"/>
        <w:jc w:val="left"/>
        <w:outlineLvl w:val="3"/>
        <w:rPr>
          <w:b/>
          <w:bCs/>
          <w:sz w:val="24"/>
          <w:szCs w:val="24"/>
        </w:rPr>
      </w:pPr>
      <w:r>
        <w:rPr>
          <w:b/>
          <w:sz w:val="24"/>
          <w:szCs w:val="24"/>
        </w:rPr>
        <w:t>C.2.1</w:t>
      </w:r>
      <w:r>
        <w:rPr>
          <w:b/>
          <w:bCs/>
          <w:sz w:val="24"/>
          <w:szCs w:val="24"/>
        </w:rPr>
        <w:t>、</w:t>
      </w:r>
      <w:r>
        <w:rPr>
          <w:rFonts w:hint="eastAsia"/>
          <w:b/>
          <w:bCs/>
          <w:sz w:val="24"/>
          <w:szCs w:val="24"/>
        </w:rPr>
        <w:t>竞争性磋商</w:t>
      </w:r>
      <w:r>
        <w:rPr>
          <w:b/>
          <w:bCs/>
          <w:sz w:val="24"/>
          <w:szCs w:val="24"/>
        </w:rPr>
        <w:t>响应函</w:t>
      </w:r>
      <w:r>
        <w:rPr>
          <w:bCs/>
          <w:sz w:val="24"/>
          <w:szCs w:val="24"/>
        </w:rPr>
        <w:t>（</w:t>
      </w:r>
      <w:r>
        <w:rPr>
          <w:bCs/>
          <w:sz w:val="24"/>
          <w:szCs w:val="24"/>
          <w:u w:val="single"/>
        </w:rPr>
        <w:t>格式不得变动</w:t>
      </w:r>
      <w:r>
        <w:rPr>
          <w:bCs/>
          <w:sz w:val="24"/>
          <w:szCs w:val="24"/>
        </w:rPr>
        <w:t>）</w:t>
      </w:r>
    </w:p>
    <w:p>
      <w:pPr>
        <w:overflowPunct w:val="0"/>
        <w:adjustRightInd w:val="0"/>
        <w:spacing w:line="360" w:lineRule="auto"/>
        <w:jc w:val="left"/>
        <w:textAlignment w:val="baseline"/>
        <w:rPr>
          <w:rFonts w:ascii="宋体" w:hAnsi="宋体" w:cs="宋体"/>
          <w:sz w:val="24"/>
          <w:szCs w:val="24"/>
        </w:rPr>
      </w:pPr>
      <w:r>
        <w:rPr>
          <w:rFonts w:hint="eastAsia" w:ascii="宋体" w:hAnsi="宋体" w:cs="宋体"/>
          <w:b/>
          <w:sz w:val="24"/>
          <w:szCs w:val="24"/>
          <w:u w:val="single"/>
        </w:rPr>
        <w:t>南通市启秀中学：</w:t>
      </w:r>
    </w:p>
    <w:p>
      <w:pPr>
        <w:spacing w:before="120" w:beforeLines="50" w:after="120" w:afterLines="50" w:line="300" w:lineRule="auto"/>
        <w:ind w:firstLine="480" w:firstLineChars="200"/>
        <w:rPr>
          <w:rFonts w:ascii="宋体" w:hAnsi="宋体" w:cs="宋体"/>
          <w:color w:val="000000"/>
          <w:sz w:val="24"/>
          <w:szCs w:val="24"/>
        </w:rPr>
      </w:pPr>
      <w:r>
        <w:rPr>
          <w:rFonts w:hint="eastAsia" w:ascii="宋体" w:hAnsi="宋体" w:cs="宋体"/>
          <w:color w:val="000000"/>
          <w:sz w:val="24"/>
          <w:szCs w:val="24"/>
        </w:rPr>
        <w:t>依据贵单位组织的</w:t>
      </w:r>
      <w:r>
        <w:rPr>
          <w:rFonts w:hint="eastAsia" w:ascii="宋体" w:hAnsi="宋体" w:cs="宋体"/>
          <w:color w:val="000000"/>
          <w:sz w:val="24"/>
          <w:szCs w:val="24"/>
          <w:u w:val="single"/>
        </w:rPr>
        <w:t xml:space="preserve">           </w:t>
      </w:r>
      <w:r>
        <w:rPr>
          <w:rFonts w:ascii="宋体" w:hAnsi="宋体" w:cs="宋体"/>
          <w:color w:val="000000"/>
          <w:sz w:val="24"/>
          <w:szCs w:val="24"/>
          <w:u w:val="single"/>
        </w:rPr>
        <w:t xml:space="preserve">                      </w:t>
      </w:r>
      <w:r>
        <w:rPr>
          <w:rFonts w:hint="eastAsia" w:ascii="宋体" w:hAnsi="宋体" w:cs="宋体"/>
          <w:color w:val="000000"/>
          <w:sz w:val="24"/>
          <w:szCs w:val="24"/>
          <w:u w:val="single"/>
        </w:rPr>
        <w:t xml:space="preserve">    </w:t>
      </w:r>
      <w:r>
        <w:rPr>
          <w:rFonts w:hint="eastAsia" w:ascii="宋体" w:hAnsi="宋体" w:cs="宋体"/>
          <w:color w:val="000000"/>
          <w:sz w:val="24"/>
          <w:szCs w:val="24"/>
        </w:rPr>
        <w:t>（磋商项目名称及项目编号)项目竞争性磋商的邀请，我方授权</w:t>
      </w:r>
      <w:r>
        <w:rPr>
          <w:rFonts w:hint="eastAsia" w:ascii="宋体" w:hAnsi="宋体" w:cs="宋体"/>
          <w:color w:val="000000"/>
          <w:sz w:val="24"/>
          <w:szCs w:val="24"/>
          <w:u w:val="single"/>
        </w:rPr>
        <w:t xml:space="preserve">    </w:t>
      </w:r>
      <w:r>
        <w:rPr>
          <w:rFonts w:hint="eastAsia" w:ascii="宋体" w:hAnsi="宋体" w:cs="宋体"/>
          <w:color w:val="000000"/>
          <w:sz w:val="24"/>
          <w:szCs w:val="24"/>
        </w:rPr>
        <w:t>（姓名）</w:t>
      </w:r>
      <w:r>
        <w:rPr>
          <w:rFonts w:hint="eastAsia" w:ascii="宋体" w:hAnsi="宋体" w:cs="宋体"/>
          <w:color w:val="000000"/>
          <w:sz w:val="24"/>
          <w:szCs w:val="24"/>
          <w:u w:val="single"/>
        </w:rPr>
        <w:t xml:space="preserve">    </w:t>
      </w:r>
      <w:r>
        <w:rPr>
          <w:rFonts w:hint="eastAsia" w:ascii="宋体" w:hAnsi="宋体" w:cs="宋体"/>
          <w:color w:val="000000"/>
          <w:sz w:val="24"/>
          <w:szCs w:val="24"/>
        </w:rPr>
        <w:t>（职务）为全权代表参加该项目的磋商工作，全权处理本次竞争性磋商的有关事宜。同时，我公司声明如下：</w:t>
      </w:r>
    </w:p>
    <w:p>
      <w:pPr>
        <w:spacing w:before="120" w:beforeLines="50" w:after="120" w:afterLines="50" w:line="300" w:lineRule="auto"/>
        <w:ind w:firstLine="480" w:firstLineChars="200"/>
        <w:rPr>
          <w:rFonts w:ascii="宋体" w:hAnsi="宋体" w:cs="宋体"/>
          <w:color w:val="000000"/>
          <w:sz w:val="24"/>
          <w:szCs w:val="24"/>
        </w:rPr>
      </w:pPr>
      <w:r>
        <w:rPr>
          <w:rFonts w:hint="eastAsia" w:ascii="宋体" w:hAnsi="宋体" w:cs="宋体"/>
          <w:color w:val="000000"/>
          <w:sz w:val="24"/>
          <w:szCs w:val="24"/>
        </w:rPr>
        <w:t>1、同意并接受竞争性磋商文件的各项要求，遵守竞争性磋商文件中的各项规定，按竞争性磋商文件的要求提供报价。</w:t>
      </w:r>
    </w:p>
    <w:p>
      <w:pPr>
        <w:spacing w:before="120" w:beforeLines="50" w:after="120" w:afterLines="50" w:line="300" w:lineRule="auto"/>
        <w:ind w:firstLine="480" w:firstLineChars="200"/>
        <w:rPr>
          <w:rFonts w:ascii="宋体" w:hAnsi="宋体" w:cs="宋体"/>
          <w:color w:val="000000"/>
          <w:sz w:val="24"/>
          <w:szCs w:val="24"/>
        </w:rPr>
      </w:pPr>
      <w:r>
        <w:rPr>
          <w:rFonts w:hint="eastAsia" w:ascii="宋体" w:hAnsi="宋体" w:cs="宋体"/>
          <w:color w:val="000000"/>
          <w:sz w:val="24"/>
          <w:szCs w:val="24"/>
        </w:rPr>
        <w:t>2、我公司已经详细阅读了竞争性磋商文件的全部内容，我方已完全清晰理解竞争性磋商文件的要求，不存在任何含糊不清和误解之处，同意放弃对竞争性磋商文件所表述的内容提出异议和质疑的权利。</w:t>
      </w:r>
    </w:p>
    <w:p>
      <w:pPr>
        <w:spacing w:before="120" w:beforeLines="50" w:after="120" w:afterLines="50" w:line="300" w:lineRule="auto"/>
        <w:ind w:firstLine="480" w:firstLineChars="200"/>
        <w:rPr>
          <w:rFonts w:ascii="宋体" w:hAnsi="宋体" w:cs="宋体"/>
          <w:color w:val="000000"/>
          <w:sz w:val="24"/>
          <w:szCs w:val="24"/>
        </w:rPr>
      </w:pPr>
      <w:r>
        <w:rPr>
          <w:rFonts w:hint="eastAsia" w:ascii="宋体" w:hAnsi="宋体" w:cs="宋体"/>
          <w:color w:val="000000"/>
          <w:sz w:val="24"/>
          <w:szCs w:val="24"/>
        </w:rPr>
        <w:t>3、我公司已毫无保留地向贵方提供一切所需的证明材料。</w:t>
      </w:r>
    </w:p>
    <w:p>
      <w:pPr>
        <w:spacing w:before="120" w:beforeLines="50" w:after="120" w:afterLines="50" w:line="300" w:lineRule="auto"/>
        <w:ind w:firstLine="480" w:firstLineChars="200"/>
        <w:rPr>
          <w:rFonts w:ascii="宋体" w:hAnsi="宋体" w:cs="宋体"/>
          <w:color w:val="000000"/>
          <w:sz w:val="24"/>
          <w:szCs w:val="24"/>
        </w:rPr>
      </w:pPr>
      <w:r>
        <w:rPr>
          <w:rFonts w:hint="eastAsia" w:ascii="宋体" w:hAnsi="宋体" w:cs="宋体"/>
          <w:color w:val="000000"/>
          <w:sz w:val="24"/>
          <w:szCs w:val="24"/>
        </w:rPr>
        <w:t>4、我公司承诺在本次磋商响应中提供的一切文件，无论是原件还是复印件均真实有效，绝无任何虚假、伪造和夸大的成份。否则，愿承担相应的后果和法律责任。</w:t>
      </w:r>
    </w:p>
    <w:p>
      <w:pPr>
        <w:spacing w:before="120" w:beforeLines="50" w:after="120" w:afterLines="50" w:line="300" w:lineRule="auto"/>
        <w:ind w:firstLine="480" w:firstLineChars="200"/>
        <w:rPr>
          <w:rFonts w:ascii="宋体" w:hAnsi="宋体" w:cs="宋体"/>
          <w:color w:val="000000"/>
          <w:sz w:val="24"/>
          <w:szCs w:val="24"/>
        </w:rPr>
      </w:pPr>
      <w:r>
        <w:rPr>
          <w:rFonts w:hint="eastAsia" w:ascii="宋体" w:hAnsi="宋体" w:cs="宋体"/>
          <w:color w:val="000000"/>
          <w:sz w:val="24"/>
          <w:szCs w:val="24"/>
        </w:rPr>
        <w:t>5、一旦成交，我方承诺无正当理由拒绝签订合同，将被贵方取消成交资格，同意贵方将磋商保证金作为违约金全额不予退还的处理。</w:t>
      </w:r>
    </w:p>
    <w:p>
      <w:pPr>
        <w:spacing w:before="120" w:beforeLines="50" w:after="120" w:afterLines="50" w:line="300" w:lineRule="auto"/>
        <w:ind w:firstLine="480" w:firstLineChars="200"/>
        <w:rPr>
          <w:rFonts w:ascii="宋体" w:hAnsi="宋体" w:cs="宋体"/>
          <w:color w:val="000000"/>
          <w:sz w:val="24"/>
          <w:szCs w:val="24"/>
        </w:rPr>
      </w:pPr>
      <w:r>
        <w:rPr>
          <w:rFonts w:hint="eastAsia" w:ascii="宋体" w:hAnsi="宋体" w:cs="宋体"/>
          <w:color w:val="000000"/>
          <w:sz w:val="24"/>
          <w:szCs w:val="24"/>
        </w:rPr>
        <w:t>6、</w:t>
      </w:r>
      <w:r>
        <w:rPr>
          <w:rFonts w:hint="eastAsia" w:ascii="宋体" w:hAnsi="宋体" w:cs="宋体"/>
          <w:b/>
          <w:color w:val="000000"/>
          <w:sz w:val="24"/>
          <w:szCs w:val="24"/>
        </w:rPr>
        <w:t>一旦成交，我方将根据竞争性磋商文件的规定，严格履行合同规定的责任和义务，并保证在竞争性磋商文件中规定的时间期限内完成合同项目。</w:t>
      </w:r>
    </w:p>
    <w:p>
      <w:pPr>
        <w:spacing w:before="120" w:beforeLines="50" w:after="120" w:afterLines="50" w:line="300" w:lineRule="auto"/>
        <w:rPr>
          <w:rFonts w:ascii="宋体" w:hAnsi="宋体" w:cs="宋体"/>
          <w:color w:val="000000"/>
          <w:sz w:val="24"/>
          <w:szCs w:val="24"/>
        </w:rPr>
      </w:pPr>
    </w:p>
    <w:p>
      <w:pPr>
        <w:spacing w:before="120" w:beforeLines="50" w:after="120" w:afterLines="50" w:line="300" w:lineRule="auto"/>
        <w:ind w:firstLine="480" w:firstLineChars="200"/>
        <w:rPr>
          <w:rFonts w:ascii="宋体" w:hAnsi="宋体" w:cs="宋体"/>
          <w:color w:val="000000"/>
          <w:sz w:val="24"/>
          <w:szCs w:val="24"/>
        </w:rPr>
      </w:pPr>
    </w:p>
    <w:p>
      <w:pPr>
        <w:spacing w:before="120" w:beforeLines="50" w:after="120" w:afterLines="50" w:line="300" w:lineRule="auto"/>
        <w:ind w:firstLine="480" w:firstLineChars="200"/>
        <w:rPr>
          <w:rFonts w:ascii="宋体" w:hAnsi="宋体" w:cs="宋体"/>
          <w:color w:val="000000"/>
          <w:sz w:val="24"/>
          <w:szCs w:val="24"/>
        </w:rPr>
      </w:pPr>
    </w:p>
    <w:p>
      <w:pPr>
        <w:spacing w:before="120" w:beforeLines="50" w:after="120" w:afterLines="50" w:line="300" w:lineRule="auto"/>
        <w:ind w:firstLine="480" w:firstLineChars="200"/>
        <w:rPr>
          <w:rFonts w:ascii="宋体" w:hAnsi="宋体" w:cs="宋体"/>
          <w:color w:val="000000"/>
          <w:sz w:val="24"/>
          <w:szCs w:val="24"/>
        </w:rPr>
      </w:pPr>
    </w:p>
    <w:p>
      <w:pPr>
        <w:spacing w:before="120" w:beforeLines="50" w:after="120" w:afterLines="50" w:line="300" w:lineRule="auto"/>
        <w:jc w:val="right"/>
        <w:rPr>
          <w:rFonts w:ascii="宋体" w:hAnsi="宋体" w:cs="宋体"/>
          <w:color w:val="000000"/>
          <w:sz w:val="24"/>
          <w:szCs w:val="24"/>
        </w:rPr>
      </w:pPr>
      <w:r>
        <w:rPr>
          <w:rFonts w:hint="eastAsia" w:ascii="宋体" w:hAnsi="宋体" w:cs="宋体"/>
          <w:color w:val="000000"/>
          <w:sz w:val="24"/>
          <w:szCs w:val="24"/>
        </w:rPr>
        <w:t>竞争性磋商响应单位：</w:t>
      </w:r>
      <w:r>
        <w:rPr>
          <w:rFonts w:hint="eastAsia" w:ascii="宋体" w:hAnsi="宋体" w:cs="宋体"/>
          <w:color w:val="000000"/>
          <w:sz w:val="24"/>
          <w:szCs w:val="24"/>
          <w:u w:val="single"/>
        </w:rPr>
        <w:t xml:space="preserve">                    </w:t>
      </w:r>
      <w:r>
        <w:rPr>
          <w:rFonts w:hint="eastAsia" w:ascii="宋体" w:hAnsi="宋体" w:cs="宋体"/>
          <w:color w:val="000000"/>
          <w:sz w:val="24"/>
          <w:szCs w:val="24"/>
        </w:rPr>
        <w:t>（加盖公章）</w:t>
      </w:r>
    </w:p>
    <w:p>
      <w:pPr>
        <w:spacing w:before="120" w:beforeLines="50" w:after="120" w:afterLines="50" w:line="300" w:lineRule="auto"/>
        <w:ind w:firstLine="2400" w:firstLineChars="1000"/>
        <w:jc w:val="right"/>
        <w:rPr>
          <w:rFonts w:ascii="宋体" w:hAnsi="宋体" w:cs="宋体"/>
          <w:color w:val="000000"/>
          <w:sz w:val="24"/>
          <w:szCs w:val="24"/>
        </w:rPr>
      </w:pPr>
      <w:r>
        <w:rPr>
          <w:rFonts w:hint="eastAsia" w:ascii="宋体" w:hAnsi="宋体" w:cs="宋体"/>
          <w:color w:val="000000"/>
          <w:sz w:val="24"/>
          <w:szCs w:val="24"/>
        </w:rPr>
        <w:t>法定代表人或被授权人：</w:t>
      </w:r>
      <w:r>
        <w:rPr>
          <w:rFonts w:hint="eastAsia" w:ascii="宋体" w:hAnsi="宋体" w:cs="宋体"/>
          <w:color w:val="000000"/>
          <w:sz w:val="24"/>
          <w:szCs w:val="24"/>
          <w:u w:val="single"/>
        </w:rPr>
        <w:t xml:space="preserve">         </w:t>
      </w:r>
      <w:r>
        <w:rPr>
          <w:rFonts w:hint="eastAsia" w:ascii="宋体" w:hAnsi="宋体" w:cs="宋体"/>
          <w:color w:val="000000"/>
          <w:sz w:val="24"/>
          <w:szCs w:val="24"/>
        </w:rPr>
        <w:t>（签字或盖章）</w:t>
      </w:r>
    </w:p>
    <w:p>
      <w:pPr>
        <w:spacing w:before="120" w:beforeLines="50" w:after="120" w:afterLines="50" w:line="300" w:lineRule="auto"/>
        <w:jc w:val="right"/>
        <w:rPr>
          <w:rFonts w:ascii="宋体" w:hAnsi="宋体" w:cs="宋体"/>
          <w:color w:val="000000"/>
          <w:sz w:val="24"/>
          <w:szCs w:val="24"/>
        </w:rPr>
      </w:pPr>
      <w:r>
        <w:rPr>
          <w:rFonts w:hint="eastAsia" w:ascii="宋体" w:hAnsi="宋体" w:cs="宋体"/>
          <w:color w:val="000000"/>
          <w:sz w:val="24"/>
          <w:szCs w:val="24"/>
        </w:rPr>
        <w:t>二○二○年      月     日</w:t>
      </w:r>
    </w:p>
    <w:p>
      <w:pPr>
        <w:widowControl/>
        <w:jc w:val="left"/>
        <w:rPr>
          <w:rFonts w:ascii="宋体" w:hAnsi="宋体" w:cs="宋体"/>
          <w:sz w:val="24"/>
          <w:szCs w:val="24"/>
        </w:rPr>
      </w:pPr>
      <w:r>
        <w:rPr>
          <w:rFonts w:ascii="宋体" w:hAnsi="宋体" w:cs="宋体"/>
          <w:sz w:val="24"/>
          <w:szCs w:val="24"/>
        </w:rPr>
        <w:br w:type="page"/>
      </w:r>
    </w:p>
    <w:p>
      <w:pPr>
        <w:spacing w:before="120" w:beforeLines="50" w:after="120" w:afterLines="50" w:line="300" w:lineRule="auto"/>
        <w:jc w:val="left"/>
        <w:outlineLvl w:val="2"/>
        <w:rPr>
          <w:rFonts w:cs="宋体"/>
          <w:color w:val="000000"/>
          <w:sz w:val="24"/>
          <w:szCs w:val="24"/>
        </w:rPr>
      </w:pPr>
      <w:r>
        <w:rPr>
          <w:b/>
          <w:sz w:val="24"/>
          <w:szCs w:val="24"/>
        </w:rPr>
        <w:t>C.2.2</w:t>
      </w:r>
      <w:r>
        <w:rPr>
          <w:b/>
          <w:bCs/>
          <w:sz w:val="24"/>
          <w:szCs w:val="24"/>
        </w:rPr>
        <w:t>、</w:t>
      </w:r>
      <w:r>
        <w:rPr>
          <w:rFonts w:hint="eastAsia" w:ascii="宋体" w:hAnsi="宋体" w:cs="宋体"/>
          <w:b/>
          <w:color w:val="000000"/>
          <w:sz w:val="24"/>
          <w:szCs w:val="24"/>
        </w:rPr>
        <w:t>廉洁承诺书</w:t>
      </w:r>
    </w:p>
    <w:p>
      <w:pPr>
        <w:pStyle w:val="78"/>
        <w:tabs>
          <w:tab w:val="left" w:pos="5665"/>
          <w:tab w:val="right" w:pos="8360"/>
        </w:tabs>
        <w:spacing w:before="120" w:beforeLines="50" w:after="120" w:afterLines="50" w:line="300" w:lineRule="auto"/>
        <w:ind w:right="40"/>
        <w:jc w:val="left"/>
        <w:rPr>
          <w:rFonts w:hAnsi="宋体" w:cs="宋体"/>
          <w:sz w:val="24"/>
          <w:u w:val="single"/>
        </w:rPr>
      </w:pPr>
      <w:r>
        <w:rPr>
          <w:rFonts w:hint="eastAsia" w:hAnsi="宋体" w:cs="宋体"/>
          <w:color w:val="000000"/>
          <w:sz w:val="24"/>
          <w:u w:val="single"/>
        </w:rPr>
        <w:t>南通市启秀中学</w:t>
      </w:r>
      <w:r>
        <w:rPr>
          <w:rFonts w:hint="eastAsia" w:hAnsi="宋体" w:cs="宋体"/>
          <w:sz w:val="24"/>
          <w:u w:val="single"/>
        </w:rPr>
        <w:t>：</w:t>
      </w:r>
    </w:p>
    <w:p>
      <w:pPr>
        <w:pStyle w:val="78"/>
        <w:tabs>
          <w:tab w:val="left" w:pos="5665"/>
          <w:tab w:val="right" w:pos="8360"/>
        </w:tabs>
        <w:spacing w:before="120" w:beforeLines="50" w:after="120" w:afterLines="50" w:line="300" w:lineRule="auto"/>
        <w:ind w:right="40" w:firstLine="480" w:firstLineChars="200"/>
        <w:jc w:val="left"/>
        <w:rPr>
          <w:rFonts w:hAnsi="宋体" w:cs="宋体"/>
          <w:sz w:val="24"/>
        </w:rPr>
      </w:pPr>
      <w:r>
        <w:rPr>
          <w:rFonts w:hint="eastAsia" w:hAnsi="宋体" w:cs="宋体"/>
          <w:sz w:val="24"/>
        </w:rPr>
        <w:t>一、为了保证招标活动的公平竞争，促进廉政建设，我单位承诺在参加招标活动时做到遵守纪律、法规和廉政建设各项规定，诚实守信，坚决拒绝商业贿赂，不发生以下违纪行为：</w:t>
      </w:r>
    </w:p>
    <w:p>
      <w:pPr>
        <w:pStyle w:val="78"/>
        <w:tabs>
          <w:tab w:val="left" w:pos="5665"/>
          <w:tab w:val="right" w:pos="8360"/>
        </w:tabs>
        <w:spacing w:before="120" w:beforeLines="50" w:after="120" w:afterLines="50" w:line="300" w:lineRule="auto"/>
        <w:ind w:right="40" w:firstLine="480" w:firstLineChars="200"/>
        <w:jc w:val="left"/>
        <w:rPr>
          <w:rFonts w:hAnsi="宋体" w:cs="宋体"/>
          <w:sz w:val="24"/>
        </w:rPr>
      </w:pPr>
      <w:r>
        <w:rPr>
          <w:rFonts w:hint="eastAsia" w:hAnsi="宋体" w:cs="宋体"/>
          <w:sz w:val="24"/>
        </w:rPr>
        <w:t>（一）不向招标方工作人员及其家属提供以下不当利益：</w:t>
      </w:r>
    </w:p>
    <w:p>
      <w:pPr>
        <w:pStyle w:val="78"/>
        <w:tabs>
          <w:tab w:val="left" w:pos="5665"/>
          <w:tab w:val="right" w:pos="8360"/>
        </w:tabs>
        <w:spacing w:before="120" w:beforeLines="50" w:after="120" w:afterLines="50" w:line="300" w:lineRule="auto"/>
        <w:ind w:right="40" w:firstLine="480" w:firstLineChars="200"/>
        <w:jc w:val="left"/>
        <w:rPr>
          <w:rFonts w:hAnsi="宋体" w:cs="宋体"/>
          <w:sz w:val="24"/>
        </w:rPr>
      </w:pPr>
      <w:r>
        <w:rPr>
          <w:rFonts w:hint="eastAsia" w:hAnsi="宋体" w:cs="宋体"/>
          <w:sz w:val="24"/>
        </w:rPr>
        <w:t>1、以任何理由送给现金、有价证券和礼品；</w:t>
      </w:r>
    </w:p>
    <w:p>
      <w:pPr>
        <w:pStyle w:val="78"/>
        <w:tabs>
          <w:tab w:val="left" w:pos="5665"/>
          <w:tab w:val="right" w:pos="8360"/>
        </w:tabs>
        <w:spacing w:before="120" w:beforeLines="50" w:after="120" w:afterLines="50" w:line="300" w:lineRule="auto"/>
        <w:ind w:right="40" w:firstLine="480" w:firstLineChars="200"/>
        <w:jc w:val="left"/>
        <w:rPr>
          <w:rFonts w:hAnsi="宋体" w:cs="宋体"/>
          <w:sz w:val="24"/>
        </w:rPr>
      </w:pPr>
      <w:r>
        <w:rPr>
          <w:rFonts w:hint="eastAsia" w:hAnsi="宋体" w:cs="宋体"/>
          <w:sz w:val="24"/>
        </w:rPr>
        <w:t>2、报销或者支付应由个人负担的费用；</w:t>
      </w:r>
    </w:p>
    <w:p>
      <w:pPr>
        <w:pStyle w:val="78"/>
        <w:tabs>
          <w:tab w:val="left" w:pos="5665"/>
          <w:tab w:val="right" w:pos="8360"/>
        </w:tabs>
        <w:spacing w:before="120" w:beforeLines="50" w:after="120" w:afterLines="50" w:line="300" w:lineRule="auto"/>
        <w:ind w:right="40" w:firstLine="480" w:firstLineChars="200"/>
        <w:jc w:val="left"/>
        <w:rPr>
          <w:rFonts w:hAnsi="宋体" w:cs="宋体"/>
          <w:sz w:val="24"/>
        </w:rPr>
      </w:pPr>
      <w:r>
        <w:rPr>
          <w:rFonts w:hint="eastAsia" w:hAnsi="宋体" w:cs="宋体"/>
          <w:sz w:val="24"/>
        </w:rPr>
        <w:t>3、宴请或邀请到娱乐场所活动；</w:t>
      </w:r>
    </w:p>
    <w:p>
      <w:pPr>
        <w:pStyle w:val="78"/>
        <w:tabs>
          <w:tab w:val="left" w:pos="5665"/>
          <w:tab w:val="right" w:pos="8360"/>
        </w:tabs>
        <w:spacing w:before="120" w:beforeLines="50" w:after="120" w:afterLines="50" w:line="300" w:lineRule="auto"/>
        <w:ind w:right="40" w:firstLine="480" w:firstLineChars="200"/>
        <w:jc w:val="left"/>
        <w:rPr>
          <w:rFonts w:hAnsi="宋体" w:cs="宋体"/>
          <w:sz w:val="24"/>
        </w:rPr>
      </w:pPr>
      <w:r>
        <w:rPr>
          <w:rFonts w:hint="eastAsia" w:hAnsi="宋体" w:cs="宋体"/>
          <w:sz w:val="24"/>
        </w:rPr>
        <w:t>4、其他行贿及不正当行为。</w:t>
      </w:r>
    </w:p>
    <w:p>
      <w:pPr>
        <w:pStyle w:val="78"/>
        <w:tabs>
          <w:tab w:val="left" w:pos="5665"/>
          <w:tab w:val="right" w:pos="8360"/>
        </w:tabs>
        <w:spacing w:before="120" w:beforeLines="50" w:after="120" w:afterLines="50" w:line="300" w:lineRule="auto"/>
        <w:ind w:right="40" w:firstLine="480" w:firstLineChars="200"/>
        <w:jc w:val="left"/>
        <w:rPr>
          <w:rFonts w:hAnsi="宋体" w:cs="宋体"/>
          <w:sz w:val="24"/>
        </w:rPr>
      </w:pPr>
      <w:r>
        <w:rPr>
          <w:rFonts w:hint="eastAsia" w:hAnsi="宋体" w:cs="宋体"/>
          <w:sz w:val="24"/>
        </w:rPr>
        <w:t>(二)不和他人串标或者利用不正当手段谋取中标。</w:t>
      </w:r>
    </w:p>
    <w:p>
      <w:pPr>
        <w:pStyle w:val="78"/>
        <w:tabs>
          <w:tab w:val="left" w:pos="5665"/>
          <w:tab w:val="right" w:pos="8360"/>
        </w:tabs>
        <w:spacing w:before="120" w:beforeLines="50" w:after="120" w:afterLines="50" w:line="300" w:lineRule="auto"/>
        <w:ind w:right="40" w:firstLine="480" w:firstLineChars="200"/>
        <w:jc w:val="left"/>
        <w:rPr>
          <w:rFonts w:hAnsi="宋体" w:cs="宋体"/>
          <w:sz w:val="24"/>
        </w:rPr>
      </w:pPr>
      <w:r>
        <w:rPr>
          <w:rFonts w:hint="eastAsia" w:hAnsi="宋体" w:cs="宋体"/>
          <w:sz w:val="24"/>
        </w:rPr>
        <w:t>二、我单位如实施了上述行为，自愿接受《政府采购法》、《南通市市场廉政准入暂行规定》给予的如下处罚：</w:t>
      </w:r>
    </w:p>
    <w:p>
      <w:pPr>
        <w:pStyle w:val="78"/>
        <w:tabs>
          <w:tab w:val="left" w:pos="5665"/>
          <w:tab w:val="right" w:pos="8360"/>
        </w:tabs>
        <w:spacing w:before="120" w:beforeLines="50" w:after="120" w:afterLines="50" w:line="300" w:lineRule="auto"/>
        <w:ind w:right="40" w:firstLine="480" w:firstLineChars="200"/>
        <w:jc w:val="left"/>
        <w:rPr>
          <w:rFonts w:hAnsi="宋体" w:cs="宋体"/>
          <w:sz w:val="24"/>
        </w:rPr>
      </w:pPr>
      <w:r>
        <w:rPr>
          <w:rFonts w:hint="eastAsia" w:hAnsi="宋体" w:cs="宋体"/>
          <w:sz w:val="24"/>
        </w:rPr>
        <w:t>1、中标无效；</w:t>
      </w:r>
    </w:p>
    <w:p>
      <w:pPr>
        <w:pStyle w:val="78"/>
        <w:tabs>
          <w:tab w:val="left" w:pos="5665"/>
          <w:tab w:val="right" w:pos="8360"/>
        </w:tabs>
        <w:spacing w:before="120" w:beforeLines="50" w:after="120" w:afterLines="50" w:line="300" w:lineRule="auto"/>
        <w:ind w:right="40" w:firstLine="480" w:firstLineChars="200"/>
        <w:jc w:val="left"/>
        <w:rPr>
          <w:rFonts w:hAnsi="宋体" w:cs="宋体"/>
          <w:sz w:val="24"/>
        </w:rPr>
      </w:pPr>
      <w:r>
        <w:rPr>
          <w:rFonts w:hint="eastAsia" w:hAnsi="宋体" w:cs="宋体"/>
          <w:sz w:val="24"/>
        </w:rPr>
        <w:t>2、处以采购额千分之五以上的罚款；</w:t>
      </w:r>
    </w:p>
    <w:p>
      <w:pPr>
        <w:pStyle w:val="78"/>
        <w:tabs>
          <w:tab w:val="left" w:pos="5665"/>
          <w:tab w:val="right" w:pos="8360"/>
        </w:tabs>
        <w:spacing w:before="120" w:beforeLines="50" w:after="120" w:afterLines="50" w:line="300" w:lineRule="auto"/>
        <w:ind w:right="40" w:firstLine="480" w:firstLineChars="200"/>
        <w:jc w:val="left"/>
        <w:rPr>
          <w:rFonts w:hAnsi="宋体" w:cs="宋体"/>
          <w:sz w:val="24"/>
        </w:rPr>
      </w:pPr>
      <w:r>
        <w:rPr>
          <w:rFonts w:hint="eastAsia" w:hAnsi="宋体" w:cs="宋体"/>
          <w:sz w:val="24"/>
        </w:rPr>
        <w:t>3、半年内禁止参加投标；</w:t>
      </w:r>
    </w:p>
    <w:p>
      <w:pPr>
        <w:pStyle w:val="78"/>
        <w:tabs>
          <w:tab w:val="left" w:pos="5665"/>
          <w:tab w:val="right" w:pos="8360"/>
        </w:tabs>
        <w:spacing w:before="120" w:beforeLines="50" w:after="120" w:afterLines="50" w:line="300" w:lineRule="auto"/>
        <w:ind w:right="40" w:firstLine="480" w:firstLineChars="200"/>
        <w:jc w:val="left"/>
        <w:rPr>
          <w:rFonts w:hAnsi="宋体" w:cs="宋体"/>
          <w:sz w:val="24"/>
        </w:rPr>
      </w:pPr>
      <w:r>
        <w:rPr>
          <w:rFonts w:hint="eastAsia" w:hAnsi="宋体" w:cs="宋体"/>
          <w:sz w:val="24"/>
        </w:rPr>
        <w:t>4、情节严重的将报有关部门追究责任。</w:t>
      </w:r>
    </w:p>
    <w:p>
      <w:pPr>
        <w:pStyle w:val="78"/>
        <w:tabs>
          <w:tab w:val="left" w:pos="5665"/>
          <w:tab w:val="right" w:pos="8360"/>
        </w:tabs>
        <w:spacing w:before="120" w:beforeLines="50" w:after="120" w:afterLines="50" w:line="300" w:lineRule="auto"/>
        <w:ind w:right="42" w:firstLine="240" w:firstLineChars="100"/>
        <w:jc w:val="left"/>
        <w:rPr>
          <w:rFonts w:hAnsi="宋体" w:cs="宋体"/>
          <w:sz w:val="24"/>
        </w:rPr>
      </w:pPr>
    </w:p>
    <w:p>
      <w:pPr>
        <w:pStyle w:val="78"/>
        <w:tabs>
          <w:tab w:val="left" w:pos="5665"/>
          <w:tab w:val="right" w:pos="8360"/>
        </w:tabs>
        <w:spacing w:before="120" w:beforeLines="50" w:after="120" w:afterLines="50" w:line="300" w:lineRule="auto"/>
        <w:ind w:right="42" w:firstLine="240" w:firstLineChars="100"/>
        <w:jc w:val="left"/>
        <w:rPr>
          <w:rFonts w:hAnsi="宋体" w:cs="宋体"/>
          <w:sz w:val="24"/>
          <w:u w:val="single"/>
        </w:rPr>
      </w:pPr>
    </w:p>
    <w:p>
      <w:pPr>
        <w:pStyle w:val="78"/>
        <w:tabs>
          <w:tab w:val="left" w:pos="5665"/>
          <w:tab w:val="right" w:pos="8360"/>
        </w:tabs>
        <w:spacing w:before="120" w:beforeLines="50" w:after="120" w:afterLines="50" w:line="300" w:lineRule="auto"/>
        <w:ind w:right="42" w:firstLine="240" w:firstLineChars="100"/>
        <w:jc w:val="left"/>
        <w:rPr>
          <w:rFonts w:hAnsi="宋体" w:cs="宋体"/>
          <w:sz w:val="24"/>
          <w:u w:val="single"/>
        </w:rPr>
      </w:pPr>
    </w:p>
    <w:p>
      <w:pPr>
        <w:pStyle w:val="78"/>
        <w:tabs>
          <w:tab w:val="left" w:pos="5665"/>
          <w:tab w:val="right" w:pos="8360"/>
        </w:tabs>
        <w:spacing w:before="120" w:beforeLines="50" w:after="120" w:afterLines="50" w:line="300" w:lineRule="auto"/>
        <w:ind w:right="42" w:firstLine="240" w:firstLineChars="100"/>
        <w:jc w:val="left"/>
        <w:rPr>
          <w:rFonts w:hAnsi="宋体" w:cs="宋体"/>
          <w:sz w:val="24"/>
          <w:u w:val="single"/>
        </w:rPr>
      </w:pPr>
    </w:p>
    <w:p>
      <w:pPr>
        <w:pStyle w:val="78"/>
        <w:tabs>
          <w:tab w:val="left" w:pos="5665"/>
          <w:tab w:val="right" w:pos="8360"/>
        </w:tabs>
        <w:spacing w:before="120" w:beforeLines="50" w:after="120" w:afterLines="50" w:line="300" w:lineRule="auto"/>
        <w:ind w:right="42" w:firstLine="240" w:firstLineChars="100"/>
        <w:jc w:val="left"/>
        <w:rPr>
          <w:rFonts w:hAnsi="宋体" w:cs="宋体"/>
          <w:sz w:val="24"/>
          <w:u w:val="single"/>
        </w:rPr>
      </w:pPr>
    </w:p>
    <w:p>
      <w:pPr>
        <w:pStyle w:val="78"/>
        <w:tabs>
          <w:tab w:val="left" w:pos="5665"/>
          <w:tab w:val="right" w:pos="8360"/>
        </w:tabs>
        <w:spacing w:before="120" w:beforeLines="50" w:after="120" w:afterLines="50" w:line="300" w:lineRule="auto"/>
        <w:ind w:right="42" w:firstLine="240" w:firstLineChars="100"/>
        <w:jc w:val="left"/>
        <w:rPr>
          <w:rFonts w:hAnsi="宋体" w:cs="宋体"/>
          <w:sz w:val="24"/>
          <w:u w:val="single"/>
        </w:rPr>
      </w:pPr>
    </w:p>
    <w:p>
      <w:pPr>
        <w:spacing w:before="120" w:beforeLines="50" w:after="120" w:afterLines="50" w:line="300" w:lineRule="auto"/>
        <w:ind w:firstLine="4108" w:firstLineChars="1712"/>
        <w:rPr>
          <w:rFonts w:ascii="宋体" w:hAnsi="宋体" w:cs="宋体"/>
          <w:bCs/>
          <w:kern w:val="0"/>
          <w:sz w:val="24"/>
          <w:szCs w:val="24"/>
        </w:rPr>
      </w:pPr>
      <w:r>
        <w:rPr>
          <w:rFonts w:hint="eastAsia" w:ascii="宋体" w:hAnsi="宋体" w:cs="宋体"/>
          <w:bCs/>
          <w:kern w:val="0"/>
          <w:sz w:val="24"/>
          <w:szCs w:val="24"/>
        </w:rPr>
        <w:t>承诺企业（盖章）：</w:t>
      </w:r>
    </w:p>
    <w:p>
      <w:pPr>
        <w:spacing w:before="120" w:beforeLines="50" w:after="120" w:afterLines="50" w:line="300" w:lineRule="auto"/>
        <w:ind w:firstLine="4108" w:firstLineChars="1712"/>
        <w:rPr>
          <w:rFonts w:ascii="宋体" w:hAnsi="宋体" w:cs="宋体"/>
          <w:bCs/>
          <w:kern w:val="0"/>
          <w:sz w:val="24"/>
          <w:szCs w:val="24"/>
        </w:rPr>
      </w:pPr>
      <w:r>
        <w:rPr>
          <w:rFonts w:hint="eastAsia" w:ascii="宋体" w:hAnsi="宋体" w:cs="宋体"/>
          <w:bCs/>
          <w:kern w:val="0"/>
          <w:sz w:val="24"/>
          <w:szCs w:val="24"/>
        </w:rPr>
        <w:t>承诺人（签字或盖章）：</w:t>
      </w:r>
    </w:p>
    <w:p>
      <w:pPr>
        <w:spacing w:before="120" w:beforeLines="50" w:after="120" w:afterLines="50" w:line="300" w:lineRule="auto"/>
        <w:ind w:firstLine="4108" w:firstLineChars="1712"/>
        <w:rPr>
          <w:rFonts w:ascii="宋体" w:hAnsi="宋体" w:cs="宋体"/>
          <w:bCs/>
          <w:kern w:val="0"/>
          <w:sz w:val="24"/>
          <w:szCs w:val="24"/>
        </w:rPr>
      </w:pPr>
      <w:r>
        <w:rPr>
          <w:rFonts w:hint="eastAsia" w:ascii="宋体" w:hAnsi="宋体" w:cs="宋体"/>
          <w:color w:val="000000"/>
          <w:sz w:val="24"/>
          <w:szCs w:val="24"/>
        </w:rPr>
        <w:t>二○二○</w:t>
      </w:r>
      <w:r>
        <w:rPr>
          <w:rFonts w:hint="eastAsia" w:ascii="宋体" w:hAnsi="宋体" w:cs="宋体"/>
          <w:bCs/>
          <w:kern w:val="0"/>
          <w:sz w:val="24"/>
          <w:szCs w:val="24"/>
        </w:rPr>
        <w:t>年     月    日</w:t>
      </w:r>
    </w:p>
    <w:p>
      <w:pPr>
        <w:spacing w:before="120" w:beforeLines="50" w:after="120" w:afterLines="50" w:line="300" w:lineRule="auto"/>
        <w:outlineLvl w:val="2"/>
        <w:rPr>
          <w:rFonts w:ascii="宋体" w:hAnsi="宋体" w:cs="宋体"/>
          <w:b/>
          <w:color w:val="000000"/>
          <w:sz w:val="24"/>
          <w:szCs w:val="24"/>
        </w:rPr>
      </w:pPr>
      <w:bookmarkStart w:id="75" w:name="_Toc425960678"/>
      <w:bookmarkStart w:id="76" w:name="_Toc312608863"/>
      <w:bookmarkStart w:id="77" w:name="_Toc420058378"/>
      <w:r>
        <w:rPr>
          <w:rFonts w:ascii="宋体" w:hAnsi="宋体"/>
          <w:b/>
          <w:sz w:val="24"/>
          <w:szCs w:val="24"/>
        </w:rPr>
        <w:br w:type="page"/>
      </w:r>
      <w:bookmarkEnd w:id="75"/>
      <w:bookmarkEnd w:id="76"/>
      <w:bookmarkEnd w:id="77"/>
      <w:r>
        <w:rPr>
          <w:b/>
          <w:sz w:val="24"/>
          <w:szCs w:val="24"/>
        </w:rPr>
        <w:t>C.2.3</w:t>
      </w:r>
      <w:r>
        <w:rPr>
          <w:b/>
          <w:bCs/>
          <w:sz w:val="24"/>
          <w:szCs w:val="24"/>
        </w:rPr>
        <w:t>、</w:t>
      </w:r>
      <w:r>
        <w:rPr>
          <w:rFonts w:hint="eastAsia" w:ascii="宋体" w:hAnsi="宋体" w:cs="宋体"/>
          <w:b/>
          <w:color w:val="000000"/>
          <w:sz w:val="24"/>
          <w:szCs w:val="24"/>
        </w:rPr>
        <w:t>食品安全承诺书</w:t>
      </w:r>
    </w:p>
    <w:p>
      <w:pPr>
        <w:spacing w:before="120" w:beforeLines="50" w:after="120" w:afterLines="50" w:line="300" w:lineRule="auto"/>
        <w:rPr>
          <w:rFonts w:ascii="宋体" w:hAnsi="宋体" w:cs="宋体"/>
          <w:sz w:val="24"/>
          <w:szCs w:val="24"/>
        </w:rPr>
      </w:pPr>
    </w:p>
    <w:p>
      <w:pPr>
        <w:spacing w:before="120" w:beforeLines="50" w:after="120" w:afterLines="50" w:line="300" w:lineRule="auto"/>
        <w:rPr>
          <w:rFonts w:ascii="宋体" w:hAnsi="宋体" w:cs="宋体"/>
          <w:b/>
          <w:bCs/>
          <w:sz w:val="24"/>
          <w:szCs w:val="24"/>
        </w:rPr>
      </w:pPr>
      <w:r>
        <w:rPr>
          <w:rFonts w:hint="eastAsia" w:ascii="宋体" w:hAnsi="宋体" w:cs="宋体"/>
          <w:b/>
          <w:bCs/>
          <w:color w:val="000000"/>
          <w:sz w:val="24"/>
          <w:szCs w:val="24"/>
          <w:u w:val="single"/>
        </w:rPr>
        <w:t>南通市启秀中学</w:t>
      </w:r>
      <w:r>
        <w:rPr>
          <w:rFonts w:hint="eastAsia" w:ascii="宋体" w:hAnsi="宋体" w:cs="宋体"/>
          <w:b/>
          <w:bCs/>
          <w:sz w:val="24"/>
          <w:szCs w:val="24"/>
        </w:rPr>
        <w:t>：</w:t>
      </w:r>
    </w:p>
    <w:p>
      <w:pPr>
        <w:spacing w:before="120" w:beforeLines="50" w:after="120" w:afterLines="50" w:line="300" w:lineRule="auto"/>
        <w:ind w:firstLine="480" w:firstLineChars="200"/>
        <w:rPr>
          <w:rFonts w:ascii="宋体" w:hAnsi="宋体" w:cs="宋体"/>
          <w:sz w:val="24"/>
          <w:szCs w:val="24"/>
        </w:rPr>
      </w:pPr>
      <w:r>
        <w:rPr>
          <w:rFonts w:hint="eastAsia" w:ascii="宋体" w:hAnsi="宋体" w:cs="宋体"/>
          <w:sz w:val="24"/>
          <w:szCs w:val="24"/>
        </w:rPr>
        <w:t>食品安全是涉及国计民生的大事，食品生产、经营者是食品安全的第一责任人，必须时刻牢记食品安全重于泰山并倡导讲诚信、保质量、树新风的经营理念，为保障南通市启秀中学师生的身心健康，我们郑重承诺：</w:t>
      </w:r>
    </w:p>
    <w:p>
      <w:pPr>
        <w:spacing w:before="120" w:beforeLines="50" w:after="120" w:afterLines="50" w:line="300" w:lineRule="auto"/>
        <w:ind w:firstLine="480" w:firstLineChars="200"/>
        <w:rPr>
          <w:rFonts w:ascii="宋体" w:hAnsi="宋体" w:cs="宋体"/>
          <w:sz w:val="24"/>
          <w:szCs w:val="24"/>
        </w:rPr>
      </w:pPr>
      <w:r>
        <w:rPr>
          <w:rFonts w:hint="eastAsia" w:ascii="宋体" w:hAnsi="宋体" w:cs="宋体"/>
          <w:sz w:val="24"/>
          <w:szCs w:val="24"/>
        </w:rPr>
        <w:t>1、严格遵守《食品安全法》、《加强食品质量安全监督管理工作实施意见》，以及相关法律、法规的规定，在对学校食品配送工作中体现服务社会、服务学生、服务发展，为构建和谐社会贡献力量。</w:t>
      </w:r>
    </w:p>
    <w:p>
      <w:pPr>
        <w:spacing w:before="120" w:beforeLines="50" w:after="120" w:afterLines="50" w:line="300" w:lineRule="auto"/>
        <w:ind w:firstLine="480" w:firstLineChars="200"/>
        <w:rPr>
          <w:rFonts w:ascii="宋体" w:hAnsi="宋体" w:cs="宋体"/>
          <w:sz w:val="24"/>
          <w:szCs w:val="24"/>
        </w:rPr>
      </w:pPr>
      <w:r>
        <w:rPr>
          <w:rFonts w:hint="eastAsia" w:ascii="宋体" w:hAnsi="宋体" w:cs="宋体"/>
          <w:sz w:val="24"/>
          <w:szCs w:val="24"/>
        </w:rPr>
        <w:t>2、食品生产、经营企业法定代表人和主要管理人员掌握食品安全的相关法律、法规，在生产、经营中切实提高对食品质量安全要义的认识，不断强化食品安全第一责任人意识。建立健全食品生产、经营管理体系，建立完善各项规章制度，保证在生产、经营全过程实行标准化管理。</w:t>
      </w:r>
    </w:p>
    <w:p>
      <w:pPr>
        <w:spacing w:before="120" w:beforeLines="50" w:after="120" w:afterLines="50" w:line="300" w:lineRule="auto"/>
        <w:ind w:firstLine="480" w:firstLineChars="200"/>
        <w:rPr>
          <w:rFonts w:ascii="宋体" w:hAnsi="宋体" w:cs="宋体"/>
          <w:sz w:val="24"/>
          <w:szCs w:val="24"/>
        </w:rPr>
      </w:pPr>
      <w:r>
        <w:rPr>
          <w:rFonts w:hint="eastAsia" w:ascii="宋体" w:hAnsi="宋体" w:cs="宋体"/>
          <w:sz w:val="24"/>
          <w:szCs w:val="24"/>
        </w:rPr>
        <w:t>3、为确保安全，食品生产、经营企业保证具备持续保证产品质量的环境条件、生产设备、工艺设备和相关辅助设备，具备与确保产品质量相适应的原材料处理、加工、包装、储存、运输等设施。</w:t>
      </w:r>
    </w:p>
    <w:p>
      <w:pPr>
        <w:spacing w:before="120" w:beforeLines="50" w:after="120" w:afterLines="50" w:line="300" w:lineRule="auto"/>
        <w:ind w:firstLine="480" w:firstLineChars="200"/>
        <w:rPr>
          <w:rFonts w:ascii="宋体" w:hAnsi="宋体" w:cs="宋体"/>
          <w:sz w:val="24"/>
          <w:szCs w:val="24"/>
        </w:rPr>
      </w:pPr>
      <w:r>
        <w:rPr>
          <w:rFonts w:hint="eastAsia" w:ascii="宋体" w:hAnsi="宋体" w:cs="宋体"/>
          <w:sz w:val="24"/>
          <w:szCs w:val="24"/>
        </w:rPr>
        <w:t>4、保证配送到学校的食品、原材料经过严格的检验，保证配送到学校的食品符合国家最新相关规定和标准，杜绝配送不合格食品及国家禁止使用的“瘦肉精”、“添加剂”、色素，农药、抗生素等制作品。</w:t>
      </w:r>
    </w:p>
    <w:p>
      <w:pPr>
        <w:spacing w:before="120" w:beforeLines="50" w:after="120" w:afterLines="50" w:line="300" w:lineRule="auto"/>
        <w:ind w:firstLine="480" w:firstLineChars="200"/>
        <w:rPr>
          <w:rFonts w:ascii="宋体" w:hAnsi="宋体" w:cs="宋体"/>
          <w:sz w:val="24"/>
          <w:szCs w:val="24"/>
        </w:rPr>
      </w:pPr>
      <w:r>
        <w:rPr>
          <w:rFonts w:hint="eastAsia" w:ascii="宋体" w:hAnsi="宋体" w:cs="宋体"/>
          <w:sz w:val="24"/>
          <w:szCs w:val="24"/>
        </w:rPr>
        <w:t>5、严格落实进货查验、进货台账等制度，对配送学校的食品做到检测、检疫证书、税后发票随货发送，证货同行、证货相符。坚决杜绝中标后由非中标户配送、运送食品，坚持食品配送的严格性、严肃性、严密性。</w:t>
      </w:r>
    </w:p>
    <w:p>
      <w:pPr>
        <w:spacing w:before="120" w:beforeLines="50" w:after="120" w:afterLines="50" w:line="300" w:lineRule="auto"/>
        <w:ind w:firstLine="480" w:firstLineChars="200"/>
        <w:rPr>
          <w:rFonts w:ascii="宋体" w:hAnsi="宋体" w:cs="宋体"/>
          <w:sz w:val="24"/>
          <w:szCs w:val="24"/>
        </w:rPr>
      </w:pPr>
      <w:r>
        <w:rPr>
          <w:rFonts w:hint="eastAsia" w:ascii="宋体" w:hAnsi="宋体" w:cs="宋体"/>
          <w:sz w:val="24"/>
          <w:szCs w:val="24"/>
        </w:rPr>
        <w:t>6、积极配合学校的管理和监督，自觉接受社会、家长、群众的管理和监督。积极参加食品安全体系建设工作，提高从业人员安全防范意识、自我约束意识和职业道德休养。</w:t>
      </w:r>
    </w:p>
    <w:p>
      <w:pPr>
        <w:spacing w:before="120" w:beforeLines="50" w:after="120" w:afterLines="50" w:line="300" w:lineRule="auto"/>
        <w:rPr>
          <w:rFonts w:ascii="宋体" w:hAnsi="宋体" w:cs="宋体"/>
          <w:bCs/>
          <w:kern w:val="0"/>
          <w:sz w:val="24"/>
          <w:szCs w:val="24"/>
        </w:rPr>
      </w:pPr>
    </w:p>
    <w:p>
      <w:pPr>
        <w:pStyle w:val="78"/>
        <w:tabs>
          <w:tab w:val="left" w:pos="5665"/>
          <w:tab w:val="right" w:pos="8360"/>
        </w:tabs>
        <w:spacing w:before="120" w:beforeLines="50" w:after="120" w:afterLines="50" w:line="300" w:lineRule="auto"/>
        <w:ind w:right="42" w:firstLine="240" w:firstLineChars="100"/>
        <w:jc w:val="left"/>
        <w:rPr>
          <w:rFonts w:hAnsi="宋体" w:cs="宋体"/>
          <w:sz w:val="24"/>
          <w:u w:val="single"/>
        </w:rPr>
      </w:pPr>
    </w:p>
    <w:p>
      <w:pPr>
        <w:spacing w:before="120" w:beforeLines="50" w:after="120" w:afterLines="50" w:line="300" w:lineRule="auto"/>
        <w:ind w:firstLine="4108" w:firstLineChars="1712"/>
        <w:rPr>
          <w:rFonts w:ascii="宋体" w:hAnsi="宋体" w:cs="宋体"/>
          <w:bCs/>
          <w:kern w:val="0"/>
          <w:sz w:val="24"/>
          <w:szCs w:val="24"/>
        </w:rPr>
      </w:pPr>
      <w:r>
        <w:rPr>
          <w:rFonts w:hint="eastAsia" w:ascii="宋体" w:hAnsi="宋体" w:cs="宋体"/>
          <w:bCs/>
          <w:kern w:val="0"/>
          <w:sz w:val="24"/>
          <w:szCs w:val="24"/>
        </w:rPr>
        <w:t>承诺企业（盖章）：</w:t>
      </w:r>
    </w:p>
    <w:p>
      <w:pPr>
        <w:spacing w:before="120" w:beforeLines="50" w:after="120" w:afterLines="50" w:line="300" w:lineRule="auto"/>
        <w:ind w:firstLine="4108" w:firstLineChars="1712"/>
        <w:rPr>
          <w:rFonts w:ascii="宋体" w:hAnsi="宋体" w:cs="宋体"/>
          <w:bCs/>
          <w:kern w:val="0"/>
          <w:sz w:val="24"/>
          <w:szCs w:val="24"/>
        </w:rPr>
      </w:pPr>
      <w:r>
        <w:rPr>
          <w:rFonts w:hint="eastAsia" w:ascii="宋体" w:hAnsi="宋体" w:cs="宋体"/>
          <w:bCs/>
          <w:kern w:val="0"/>
          <w:sz w:val="24"/>
          <w:szCs w:val="24"/>
        </w:rPr>
        <w:t>承诺人（签字或盖章）：</w:t>
      </w:r>
    </w:p>
    <w:p>
      <w:pPr>
        <w:spacing w:before="120" w:beforeLines="50" w:after="120" w:afterLines="50" w:line="300" w:lineRule="auto"/>
        <w:ind w:firstLine="4108" w:firstLineChars="1712"/>
        <w:rPr>
          <w:rFonts w:ascii="宋体" w:hAnsi="宋体" w:cs="宋体"/>
          <w:bCs/>
          <w:kern w:val="0"/>
          <w:sz w:val="24"/>
          <w:szCs w:val="24"/>
        </w:rPr>
      </w:pPr>
      <w:r>
        <w:rPr>
          <w:rFonts w:hint="eastAsia" w:ascii="宋体" w:hAnsi="宋体" w:cs="宋体"/>
          <w:color w:val="000000"/>
          <w:sz w:val="24"/>
          <w:szCs w:val="24"/>
        </w:rPr>
        <w:t>二○二○</w:t>
      </w:r>
      <w:r>
        <w:rPr>
          <w:rFonts w:hint="eastAsia" w:ascii="宋体" w:hAnsi="宋体" w:cs="宋体"/>
          <w:bCs/>
          <w:kern w:val="0"/>
          <w:sz w:val="24"/>
          <w:szCs w:val="24"/>
        </w:rPr>
        <w:t>年     月    日</w:t>
      </w:r>
    </w:p>
    <w:p>
      <w:pPr>
        <w:widowControl/>
        <w:spacing w:before="50" w:after="50" w:line="300" w:lineRule="auto"/>
        <w:jc w:val="left"/>
        <w:rPr>
          <w:rFonts w:ascii="宋体" w:hAnsi="宋体" w:cs="宋体"/>
          <w:bCs/>
          <w:kern w:val="0"/>
          <w:sz w:val="24"/>
          <w:szCs w:val="24"/>
        </w:rPr>
      </w:pPr>
      <w:r>
        <w:rPr>
          <w:rFonts w:ascii="宋体" w:hAnsi="宋体" w:cs="宋体"/>
          <w:bCs/>
          <w:kern w:val="0"/>
          <w:sz w:val="24"/>
          <w:szCs w:val="24"/>
        </w:rPr>
        <w:br w:type="page"/>
      </w:r>
    </w:p>
    <w:p>
      <w:pPr>
        <w:spacing w:before="120" w:beforeLines="50" w:after="120" w:afterLines="50" w:line="300" w:lineRule="auto"/>
        <w:rPr>
          <w:rFonts w:ascii="宋体" w:hAnsi="宋体" w:cs="宋体"/>
          <w:b/>
          <w:bCs/>
          <w:kern w:val="0"/>
          <w:sz w:val="24"/>
          <w:szCs w:val="24"/>
        </w:rPr>
      </w:pPr>
      <w:r>
        <w:rPr>
          <w:b/>
          <w:sz w:val="24"/>
          <w:szCs w:val="24"/>
        </w:rPr>
        <w:t>C.2.4</w:t>
      </w:r>
      <w:r>
        <w:rPr>
          <w:b/>
          <w:bCs/>
          <w:sz w:val="24"/>
          <w:szCs w:val="24"/>
        </w:rPr>
        <w:t>、</w:t>
      </w:r>
      <w:r>
        <w:rPr>
          <w:rFonts w:hint="eastAsia" w:ascii="宋体" w:hAnsi="宋体" w:cs="宋体"/>
          <w:b/>
          <w:sz w:val="24"/>
          <w:szCs w:val="24"/>
        </w:rPr>
        <w:t>食品要求</w:t>
      </w:r>
    </w:p>
    <w:p>
      <w:pPr>
        <w:spacing w:before="120" w:beforeLines="50" w:after="120" w:afterLines="50" w:line="300" w:lineRule="auto"/>
        <w:jc w:val="center"/>
        <w:rPr>
          <w:rFonts w:ascii="宋体" w:hAnsi="宋体" w:cs="宋体"/>
          <w:b/>
          <w:bCs/>
          <w:kern w:val="0"/>
          <w:sz w:val="24"/>
          <w:szCs w:val="24"/>
        </w:rPr>
      </w:pPr>
    </w:p>
    <w:p>
      <w:pPr>
        <w:spacing w:before="120" w:beforeLines="50" w:after="120" w:afterLines="50" w:line="300" w:lineRule="auto"/>
        <w:jc w:val="center"/>
        <w:rPr>
          <w:rFonts w:ascii="宋体" w:hAnsi="宋体" w:cs="宋体"/>
          <w:b/>
          <w:bCs/>
          <w:kern w:val="0"/>
          <w:sz w:val="24"/>
          <w:szCs w:val="24"/>
        </w:rPr>
      </w:pPr>
      <w:r>
        <w:rPr>
          <w:rFonts w:hint="eastAsia" w:ascii="宋体" w:hAnsi="宋体" w:cs="宋体"/>
          <w:b/>
          <w:bCs/>
          <w:kern w:val="0"/>
          <w:sz w:val="24"/>
          <w:szCs w:val="24"/>
        </w:rPr>
        <w:t>标段一：米、面</w:t>
      </w:r>
    </w:p>
    <w:p>
      <w:pPr>
        <w:spacing w:line="360" w:lineRule="auto"/>
        <w:rPr>
          <w:rFonts w:ascii="仿宋_GB2312" w:hAnsi="宋体" w:eastAsia="仿宋_GB2312" w:cs="宋体"/>
          <w:b/>
          <w:kern w:val="0"/>
          <w:sz w:val="24"/>
          <w:szCs w:val="24"/>
        </w:rPr>
      </w:pPr>
      <w:r>
        <w:rPr>
          <w:rFonts w:hint="eastAsia" w:ascii="仿宋_GB2312" w:hAnsi="宋体" w:eastAsia="仿宋_GB2312" w:cs="宋体"/>
          <w:b/>
          <w:kern w:val="0"/>
          <w:sz w:val="24"/>
          <w:szCs w:val="24"/>
        </w:rPr>
        <w:t>米、面类食品要求</w:t>
      </w:r>
    </w:p>
    <w:tbl>
      <w:tblPr>
        <w:tblStyle w:val="50"/>
        <w:tblW w:w="9356"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709"/>
        <w:gridCol w:w="1843"/>
        <w:gridCol w:w="709"/>
        <w:gridCol w:w="850"/>
        <w:gridCol w:w="709"/>
        <w:gridCol w:w="1134"/>
        <w:gridCol w:w="850"/>
        <w:gridCol w:w="70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09" w:type="dxa"/>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709"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品名</w:t>
            </w:r>
          </w:p>
        </w:tc>
        <w:tc>
          <w:tcPr>
            <w:tcW w:w="1843"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质量标准</w:t>
            </w:r>
          </w:p>
        </w:tc>
        <w:tc>
          <w:tcPr>
            <w:tcW w:w="709" w:type="dxa"/>
            <w:vAlign w:val="center"/>
          </w:tcPr>
          <w:p>
            <w:pPr>
              <w:widowControl/>
              <w:jc w:val="center"/>
              <w:rPr>
                <w:rFonts w:ascii="宋体" w:hAnsi="宋体" w:cs="宋体"/>
                <w:b/>
                <w:bCs/>
                <w:kern w:val="0"/>
                <w:szCs w:val="21"/>
              </w:rPr>
            </w:pPr>
            <w:r>
              <w:rPr>
                <w:rFonts w:hint="eastAsia" w:ascii="宋体" w:hAnsi="宋体" w:cs="宋体"/>
                <w:b/>
                <w:bCs/>
                <w:kern w:val="0"/>
                <w:szCs w:val="21"/>
              </w:rPr>
              <w:t>生长周期</w:t>
            </w:r>
          </w:p>
        </w:tc>
        <w:tc>
          <w:tcPr>
            <w:tcW w:w="850" w:type="dxa"/>
            <w:vAlign w:val="center"/>
          </w:tcPr>
          <w:p>
            <w:pPr>
              <w:widowControl/>
              <w:jc w:val="center"/>
              <w:rPr>
                <w:rFonts w:ascii="宋体" w:hAnsi="宋体" w:cs="宋体"/>
                <w:b/>
                <w:bCs/>
                <w:kern w:val="0"/>
                <w:szCs w:val="21"/>
              </w:rPr>
            </w:pPr>
            <w:r>
              <w:rPr>
                <w:rFonts w:hint="eastAsia" w:ascii="宋体" w:hAnsi="宋体" w:cs="宋体"/>
                <w:b/>
                <w:bCs/>
                <w:kern w:val="0"/>
                <w:szCs w:val="21"/>
              </w:rPr>
              <w:t>质量等级</w:t>
            </w:r>
          </w:p>
        </w:tc>
        <w:tc>
          <w:tcPr>
            <w:tcW w:w="709" w:type="dxa"/>
            <w:vAlign w:val="center"/>
          </w:tcPr>
          <w:p>
            <w:pPr>
              <w:widowControl/>
              <w:jc w:val="center"/>
              <w:rPr>
                <w:rFonts w:ascii="宋体" w:hAnsi="宋体" w:cs="宋体"/>
                <w:b/>
                <w:bCs/>
                <w:kern w:val="0"/>
                <w:szCs w:val="21"/>
              </w:rPr>
            </w:pPr>
            <w:r>
              <w:rPr>
                <w:rFonts w:hint="eastAsia" w:ascii="宋体" w:hAnsi="宋体" w:cs="宋体"/>
                <w:b/>
                <w:bCs/>
                <w:kern w:val="0"/>
                <w:szCs w:val="21"/>
              </w:rPr>
              <w:t>种类</w:t>
            </w:r>
          </w:p>
        </w:tc>
        <w:tc>
          <w:tcPr>
            <w:tcW w:w="1134"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规格</w:t>
            </w:r>
          </w:p>
        </w:tc>
        <w:tc>
          <w:tcPr>
            <w:tcW w:w="850"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品牌</w:t>
            </w:r>
          </w:p>
        </w:tc>
        <w:tc>
          <w:tcPr>
            <w:tcW w:w="709" w:type="dxa"/>
            <w:vAlign w:val="center"/>
          </w:tcPr>
          <w:p>
            <w:pPr>
              <w:widowControl/>
              <w:jc w:val="center"/>
              <w:rPr>
                <w:rFonts w:ascii="宋体" w:hAnsi="宋体" w:cs="宋体"/>
                <w:b/>
                <w:bCs/>
                <w:kern w:val="0"/>
                <w:szCs w:val="21"/>
              </w:rPr>
            </w:pPr>
            <w:r>
              <w:rPr>
                <w:rFonts w:hint="eastAsia" w:ascii="宋体" w:hAnsi="宋体" w:cs="宋体"/>
                <w:b/>
                <w:bCs/>
                <w:kern w:val="0"/>
                <w:szCs w:val="21"/>
              </w:rPr>
              <w:t>产地</w:t>
            </w:r>
          </w:p>
        </w:tc>
        <w:tc>
          <w:tcPr>
            <w:tcW w:w="1134"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09" w:type="dxa"/>
            <w:shd w:val="clear" w:color="auto" w:fill="auto"/>
            <w:vAlign w:val="center"/>
          </w:tcPr>
          <w:p>
            <w:pPr>
              <w:widowControl/>
              <w:jc w:val="center"/>
              <w:rPr>
                <w:color w:val="000000"/>
                <w:kern w:val="0"/>
                <w:szCs w:val="21"/>
              </w:rPr>
            </w:pPr>
            <w:r>
              <w:rPr>
                <w:color w:val="000000"/>
                <w:kern w:val="0"/>
                <w:szCs w:val="21"/>
              </w:rPr>
              <w:t>1</w:t>
            </w:r>
          </w:p>
        </w:tc>
        <w:tc>
          <w:tcPr>
            <w:tcW w:w="709" w:type="dxa"/>
            <w:shd w:val="clear" w:color="auto" w:fill="auto"/>
            <w:vAlign w:val="center"/>
          </w:tcPr>
          <w:p>
            <w:pPr>
              <w:widowControl/>
              <w:jc w:val="center"/>
              <w:rPr>
                <w:kern w:val="0"/>
                <w:szCs w:val="21"/>
              </w:rPr>
            </w:pPr>
            <w:r>
              <w:rPr>
                <w:rFonts w:hint="eastAsia"/>
                <w:kern w:val="0"/>
                <w:szCs w:val="21"/>
              </w:rPr>
              <w:t>米</w:t>
            </w:r>
          </w:p>
        </w:tc>
        <w:tc>
          <w:tcPr>
            <w:tcW w:w="1843" w:type="dxa"/>
            <w:shd w:val="clear" w:color="auto" w:fill="auto"/>
            <w:vAlign w:val="center"/>
          </w:tcPr>
          <w:p>
            <w:pPr>
              <w:widowControl/>
              <w:jc w:val="center"/>
              <w:rPr>
                <w:kern w:val="0"/>
                <w:szCs w:val="21"/>
              </w:rPr>
            </w:pPr>
            <w:r>
              <w:rPr>
                <w:kern w:val="0"/>
                <w:szCs w:val="21"/>
              </w:rPr>
              <w:t>符合GB1354-2009标准</w:t>
            </w:r>
          </w:p>
        </w:tc>
        <w:tc>
          <w:tcPr>
            <w:tcW w:w="709" w:type="dxa"/>
            <w:vAlign w:val="center"/>
          </w:tcPr>
          <w:p>
            <w:pPr>
              <w:widowControl/>
              <w:jc w:val="center"/>
              <w:rPr>
                <w:kern w:val="0"/>
                <w:szCs w:val="21"/>
              </w:rPr>
            </w:pPr>
            <w:r>
              <w:rPr>
                <w:rFonts w:hint="eastAsia"/>
                <w:kern w:val="0"/>
                <w:szCs w:val="21"/>
              </w:rPr>
              <w:t>一年一季</w:t>
            </w:r>
          </w:p>
        </w:tc>
        <w:tc>
          <w:tcPr>
            <w:tcW w:w="850" w:type="dxa"/>
            <w:vAlign w:val="center"/>
          </w:tcPr>
          <w:p>
            <w:pPr>
              <w:widowControl/>
              <w:jc w:val="center"/>
              <w:rPr>
                <w:kern w:val="0"/>
                <w:szCs w:val="21"/>
              </w:rPr>
            </w:pPr>
            <w:r>
              <w:rPr>
                <w:rFonts w:hint="eastAsia"/>
                <w:kern w:val="0"/>
                <w:szCs w:val="21"/>
              </w:rPr>
              <w:t>一级或二级</w:t>
            </w:r>
          </w:p>
        </w:tc>
        <w:tc>
          <w:tcPr>
            <w:tcW w:w="709" w:type="dxa"/>
            <w:vAlign w:val="center"/>
          </w:tcPr>
          <w:p>
            <w:pPr>
              <w:jc w:val="center"/>
              <w:rPr>
                <w:kern w:val="0"/>
                <w:szCs w:val="21"/>
              </w:rPr>
            </w:pPr>
            <w:r>
              <w:rPr>
                <w:rFonts w:hint="eastAsia"/>
                <w:kern w:val="0"/>
                <w:szCs w:val="21"/>
              </w:rPr>
              <w:t>粳米</w:t>
            </w:r>
          </w:p>
        </w:tc>
        <w:tc>
          <w:tcPr>
            <w:tcW w:w="1134" w:type="dxa"/>
            <w:shd w:val="clear" w:color="auto" w:fill="auto"/>
            <w:vAlign w:val="center"/>
          </w:tcPr>
          <w:p>
            <w:pPr>
              <w:jc w:val="center"/>
            </w:pPr>
            <w:r>
              <w:rPr>
                <w:kern w:val="0"/>
                <w:szCs w:val="21"/>
              </w:rPr>
              <w:t>50KG/袋</w:t>
            </w:r>
          </w:p>
        </w:tc>
        <w:tc>
          <w:tcPr>
            <w:tcW w:w="850" w:type="dxa"/>
            <w:shd w:val="clear" w:color="auto" w:fill="auto"/>
            <w:vAlign w:val="center"/>
          </w:tcPr>
          <w:p>
            <w:pPr>
              <w:widowControl/>
              <w:jc w:val="center"/>
              <w:rPr>
                <w:kern w:val="0"/>
                <w:szCs w:val="21"/>
              </w:rPr>
            </w:pPr>
            <w:r>
              <w:rPr>
                <w:rFonts w:hint="eastAsia"/>
                <w:kern w:val="0"/>
                <w:szCs w:val="21"/>
              </w:rPr>
              <w:t>福临门</w:t>
            </w:r>
          </w:p>
        </w:tc>
        <w:tc>
          <w:tcPr>
            <w:tcW w:w="709" w:type="dxa"/>
            <w:vAlign w:val="center"/>
          </w:tcPr>
          <w:p>
            <w:pPr>
              <w:widowControl/>
              <w:jc w:val="center"/>
              <w:rPr>
                <w:kern w:val="0"/>
                <w:szCs w:val="21"/>
              </w:rPr>
            </w:pPr>
          </w:p>
        </w:tc>
        <w:tc>
          <w:tcPr>
            <w:tcW w:w="1134" w:type="dxa"/>
            <w:shd w:val="clear" w:color="auto" w:fill="auto"/>
            <w:vAlign w:val="center"/>
          </w:tcPr>
          <w:p>
            <w:pPr>
              <w:widowControl/>
              <w:jc w:val="center"/>
              <w:rPr>
                <w:kern w:val="0"/>
                <w:szCs w:val="21"/>
              </w:rPr>
            </w:pPr>
            <w:r>
              <w:rPr>
                <w:kern w:val="0"/>
                <w:szCs w:val="21"/>
              </w:rPr>
              <w:t>按质量标准送货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09" w:type="dxa"/>
            <w:shd w:val="clear" w:color="auto" w:fill="auto"/>
            <w:vAlign w:val="center"/>
          </w:tcPr>
          <w:p>
            <w:pPr>
              <w:widowControl/>
              <w:jc w:val="center"/>
              <w:rPr>
                <w:color w:val="000000"/>
                <w:kern w:val="0"/>
                <w:szCs w:val="21"/>
              </w:rPr>
            </w:pPr>
            <w:r>
              <w:rPr>
                <w:color w:val="000000"/>
                <w:kern w:val="0"/>
                <w:szCs w:val="21"/>
              </w:rPr>
              <w:t>2</w:t>
            </w:r>
          </w:p>
        </w:tc>
        <w:tc>
          <w:tcPr>
            <w:tcW w:w="709" w:type="dxa"/>
            <w:shd w:val="clear" w:color="auto" w:fill="auto"/>
            <w:vAlign w:val="center"/>
          </w:tcPr>
          <w:p>
            <w:pPr>
              <w:widowControl/>
              <w:jc w:val="center"/>
              <w:rPr>
                <w:kern w:val="0"/>
                <w:szCs w:val="21"/>
              </w:rPr>
            </w:pPr>
            <w:r>
              <w:rPr>
                <w:rFonts w:hint="eastAsia"/>
                <w:kern w:val="0"/>
                <w:szCs w:val="21"/>
              </w:rPr>
              <w:t>米</w:t>
            </w:r>
          </w:p>
        </w:tc>
        <w:tc>
          <w:tcPr>
            <w:tcW w:w="1843" w:type="dxa"/>
            <w:shd w:val="clear" w:color="auto" w:fill="auto"/>
          </w:tcPr>
          <w:p>
            <w:pPr>
              <w:jc w:val="center"/>
            </w:pPr>
            <w:r>
              <w:rPr>
                <w:kern w:val="0"/>
                <w:szCs w:val="21"/>
              </w:rPr>
              <w:t>符合GB1354-2009标准</w:t>
            </w:r>
          </w:p>
        </w:tc>
        <w:tc>
          <w:tcPr>
            <w:tcW w:w="709" w:type="dxa"/>
            <w:vAlign w:val="center"/>
          </w:tcPr>
          <w:p>
            <w:pPr>
              <w:jc w:val="center"/>
            </w:pPr>
            <w:r>
              <w:rPr>
                <w:rFonts w:hint="eastAsia"/>
                <w:kern w:val="0"/>
                <w:szCs w:val="21"/>
              </w:rPr>
              <w:t>一年一季</w:t>
            </w:r>
          </w:p>
        </w:tc>
        <w:tc>
          <w:tcPr>
            <w:tcW w:w="850" w:type="dxa"/>
          </w:tcPr>
          <w:p>
            <w:r>
              <w:rPr>
                <w:rFonts w:hint="eastAsia"/>
                <w:kern w:val="0"/>
                <w:szCs w:val="21"/>
              </w:rPr>
              <w:t>一级或二级</w:t>
            </w:r>
          </w:p>
        </w:tc>
        <w:tc>
          <w:tcPr>
            <w:tcW w:w="709" w:type="dxa"/>
            <w:vAlign w:val="center"/>
          </w:tcPr>
          <w:p>
            <w:pPr>
              <w:jc w:val="center"/>
            </w:pPr>
            <w:r>
              <w:rPr>
                <w:rFonts w:hint="eastAsia"/>
                <w:kern w:val="0"/>
                <w:szCs w:val="21"/>
              </w:rPr>
              <w:t>粳米</w:t>
            </w:r>
          </w:p>
        </w:tc>
        <w:tc>
          <w:tcPr>
            <w:tcW w:w="1134" w:type="dxa"/>
            <w:shd w:val="clear" w:color="auto" w:fill="auto"/>
            <w:vAlign w:val="center"/>
          </w:tcPr>
          <w:p>
            <w:pPr>
              <w:jc w:val="center"/>
            </w:pPr>
            <w:r>
              <w:rPr>
                <w:kern w:val="0"/>
                <w:szCs w:val="21"/>
              </w:rPr>
              <w:t>50KG/袋</w:t>
            </w:r>
          </w:p>
        </w:tc>
        <w:tc>
          <w:tcPr>
            <w:tcW w:w="850" w:type="dxa"/>
            <w:shd w:val="clear" w:color="auto" w:fill="auto"/>
            <w:vAlign w:val="center"/>
          </w:tcPr>
          <w:p>
            <w:pPr>
              <w:widowControl/>
              <w:jc w:val="center"/>
              <w:rPr>
                <w:kern w:val="0"/>
                <w:szCs w:val="21"/>
              </w:rPr>
            </w:pPr>
            <w:r>
              <w:rPr>
                <w:rFonts w:hint="eastAsia"/>
                <w:kern w:val="0"/>
                <w:szCs w:val="21"/>
              </w:rPr>
              <w:t>金龙鱼</w:t>
            </w:r>
          </w:p>
        </w:tc>
        <w:tc>
          <w:tcPr>
            <w:tcW w:w="709" w:type="dxa"/>
            <w:vAlign w:val="center"/>
          </w:tcPr>
          <w:p>
            <w:pPr>
              <w:jc w:val="center"/>
              <w:rPr>
                <w:kern w:val="0"/>
                <w:szCs w:val="21"/>
              </w:rPr>
            </w:pPr>
          </w:p>
        </w:tc>
        <w:tc>
          <w:tcPr>
            <w:tcW w:w="1134" w:type="dxa"/>
            <w:shd w:val="clear" w:color="auto" w:fill="auto"/>
          </w:tcPr>
          <w:p>
            <w:pPr>
              <w:jc w:val="center"/>
            </w:pPr>
            <w:r>
              <w:rPr>
                <w:kern w:val="0"/>
                <w:szCs w:val="21"/>
              </w:rPr>
              <w:t>按质量标准送货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09" w:type="dxa"/>
            <w:shd w:val="clear" w:color="auto" w:fill="auto"/>
            <w:vAlign w:val="center"/>
          </w:tcPr>
          <w:p>
            <w:pPr>
              <w:widowControl/>
              <w:jc w:val="center"/>
              <w:rPr>
                <w:color w:val="000000"/>
                <w:kern w:val="0"/>
                <w:szCs w:val="21"/>
              </w:rPr>
            </w:pPr>
            <w:r>
              <w:rPr>
                <w:color w:val="000000"/>
                <w:kern w:val="0"/>
                <w:szCs w:val="21"/>
              </w:rPr>
              <w:t>3</w:t>
            </w:r>
          </w:p>
        </w:tc>
        <w:tc>
          <w:tcPr>
            <w:tcW w:w="709" w:type="dxa"/>
            <w:shd w:val="clear" w:color="auto" w:fill="auto"/>
            <w:vAlign w:val="center"/>
          </w:tcPr>
          <w:p>
            <w:pPr>
              <w:widowControl/>
              <w:jc w:val="center"/>
              <w:rPr>
                <w:kern w:val="0"/>
                <w:szCs w:val="21"/>
              </w:rPr>
            </w:pPr>
            <w:r>
              <w:rPr>
                <w:rFonts w:hint="eastAsia"/>
                <w:kern w:val="0"/>
                <w:szCs w:val="21"/>
              </w:rPr>
              <w:t>米</w:t>
            </w:r>
          </w:p>
        </w:tc>
        <w:tc>
          <w:tcPr>
            <w:tcW w:w="1843" w:type="dxa"/>
            <w:shd w:val="clear" w:color="auto" w:fill="auto"/>
          </w:tcPr>
          <w:p>
            <w:pPr>
              <w:jc w:val="center"/>
            </w:pPr>
            <w:r>
              <w:rPr>
                <w:kern w:val="0"/>
                <w:szCs w:val="21"/>
              </w:rPr>
              <w:t>符合GB1354-2009标准</w:t>
            </w:r>
          </w:p>
        </w:tc>
        <w:tc>
          <w:tcPr>
            <w:tcW w:w="709" w:type="dxa"/>
            <w:vAlign w:val="center"/>
          </w:tcPr>
          <w:p>
            <w:pPr>
              <w:jc w:val="center"/>
            </w:pPr>
            <w:r>
              <w:rPr>
                <w:rFonts w:hint="eastAsia"/>
                <w:kern w:val="0"/>
                <w:szCs w:val="21"/>
              </w:rPr>
              <w:t>一年一季</w:t>
            </w:r>
          </w:p>
        </w:tc>
        <w:tc>
          <w:tcPr>
            <w:tcW w:w="850" w:type="dxa"/>
          </w:tcPr>
          <w:p>
            <w:r>
              <w:rPr>
                <w:rFonts w:hint="eastAsia"/>
                <w:kern w:val="0"/>
                <w:szCs w:val="21"/>
              </w:rPr>
              <w:t>一级或二级</w:t>
            </w:r>
          </w:p>
        </w:tc>
        <w:tc>
          <w:tcPr>
            <w:tcW w:w="709" w:type="dxa"/>
            <w:vAlign w:val="center"/>
          </w:tcPr>
          <w:p>
            <w:pPr>
              <w:jc w:val="center"/>
            </w:pPr>
            <w:r>
              <w:rPr>
                <w:rFonts w:hint="eastAsia"/>
                <w:kern w:val="0"/>
                <w:szCs w:val="21"/>
              </w:rPr>
              <w:t>粳米</w:t>
            </w:r>
          </w:p>
        </w:tc>
        <w:tc>
          <w:tcPr>
            <w:tcW w:w="1134" w:type="dxa"/>
            <w:shd w:val="clear" w:color="auto" w:fill="auto"/>
            <w:vAlign w:val="center"/>
          </w:tcPr>
          <w:p>
            <w:pPr>
              <w:jc w:val="center"/>
            </w:pPr>
            <w:r>
              <w:rPr>
                <w:kern w:val="0"/>
                <w:szCs w:val="21"/>
              </w:rPr>
              <w:t>50KG/袋</w:t>
            </w:r>
          </w:p>
        </w:tc>
        <w:tc>
          <w:tcPr>
            <w:tcW w:w="850" w:type="dxa"/>
            <w:shd w:val="clear" w:color="auto" w:fill="auto"/>
            <w:vAlign w:val="center"/>
          </w:tcPr>
          <w:p>
            <w:pPr>
              <w:widowControl/>
              <w:jc w:val="center"/>
              <w:rPr>
                <w:kern w:val="0"/>
                <w:szCs w:val="21"/>
              </w:rPr>
            </w:pPr>
            <w:r>
              <w:rPr>
                <w:rFonts w:hint="eastAsia"/>
                <w:kern w:val="0"/>
                <w:szCs w:val="21"/>
              </w:rPr>
              <w:t>贤人美</w:t>
            </w:r>
          </w:p>
        </w:tc>
        <w:tc>
          <w:tcPr>
            <w:tcW w:w="709" w:type="dxa"/>
            <w:vAlign w:val="center"/>
          </w:tcPr>
          <w:p>
            <w:pPr>
              <w:jc w:val="center"/>
              <w:rPr>
                <w:kern w:val="0"/>
                <w:szCs w:val="21"/>
              </w:rPr>
            </w:pPr>
          </w:p>
        </w:tc>
        <w:tc>
          <w:tcPr>
            <w:tcW w:w="1134" w:type="dxa"/>
            <w:shd w:val="clear" w:color="auto" w:fill="auto"/>
          </w:tcPr>
          <w:p>
            <w:pPr>
              <w:jc w:val="center"/>
            </w:pPr>
            <w:r>
              <w:rPr>
                <w:kern w:val="0"/>
                <w:szCs w:val="21"/>
              </w:rPr>
              <w:t>按质量标准送货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09" w:type="dxa"/>
            <w:shd w:val="clear" w:color="auto" w:fill="auto"/>
            <w:vAlign w:val="center"/>
          </w:tcPr>
          <w:p>
            <w:pPr>
              <w:widowControl/>
              <w:jc w:val="center"/>
              <w:rPr>
                <w:color w:val="000000"/>
                <w:kern w:val="0"/>
                <w:szCs w:val="21"/>
              </w:rPr>
            </w:pPr>
            <w:r>
              <w:rPr>
                <w:color w:val="000000"/>
                <w:kern w:val="0"/>
                <w:szCs w:val="21"/>
              </w:rPr>
              <w:t>4</w:t>
            </w:r>
          </w:p>
        </w:tc>
        <w:tc>
          <w:tcPr>
            <w:tcW w:w="709" w:type="dxa"/>
            <w:shd w:val="clear" w:color="auto" w:fill="auto"/>
            <w:vAlign w:val="center"/>
          </w:tcPr>
          <w:p>
            <w:pPr>
              <w:widowControl/>
              <w:jc w:val="center"/>
              <w:rPr>
                <w:kern w:val="0"/>
                <w:szCs w:val="21"/>
              </w:rPr>
            </w:pPr>
            <w:r>
              <w:rPr>
                <w:rFonts w:hint="eastAsia"/>
                <w:kern w:val="0"/>
                <w:szCs w:val="21"/>
              </w:rPr>
              <w:t>米</w:t>
            </w:r>
          </w:p>
        </w:tc>
        <w:tc>
          <w:tcPr>
            <w:tcW w:w="1843" w:type="dxa"/>
            <w:shd w:val="clear" w:color="auto" w:fill="auto"/>
          </w:tcPr>
          <w:p>
            <w:pPr>
              <w:jc w:val="center"/>
            </w:pPr>
            <w:r>
              <w:rPr>
                <w:kern w:val="0"/>
                <w:szCs w:val="21"/>
              </w:rPr>
              <w:t>符合GB1354-2009标准</w:t>
            </w:r>
          </w:p>
        </w:tc>
        <w:tc>
          <w:tcPr>
            <w:tcW w:w="709" w:type="dxa"/>
            <w:vAlign w:val="center"/>
          </w:tcPr>
          <w:p>
            <w:pPr>
              <w:jc w:val="center"/>
            </w:pPr>
            <w:r>
              <w:rPr>
                <w:rFonts w:hint="eastAsia"/>
                <w:kern w:val="0"/>
                <w:szCs w:val="21"/>
              </w:rPr>
              <w:t>一年一季</w:t>
            </w:r>
          </w:p>
        </w:tc>
        <w:tc>
          <w:tcPr>
            <w:tcW w:w="850" w:type="dxa"/>
          </w:tcPr>
          <w:p>
            <w:r>
              <w:rPr>
                <w:rFonts w:hint="eastAsia"/>
                <w:kern w:val="0"/>
                <w:szCs w:val="21"/>
              </w:rPr>
              <w:t>一级或二级</w:t>
            </w:r>
          </w:p>
        </w:tc>
        <w:tc>
          <w:tcPr>
            <w:tcW w:w="709" w:type="dxa"/>
            <w:vAlign w:val="center"/>
          </w:tcPr>
          <w:p>
            <w:pPr>
              <w:jc w:val="center"/>
            </w:pPr>
            <w:r>
              <w:rPr>
                <w:rFonts w:hint="eastAsia"/>
                <w:kern w:val="0"/>
                <w:szCs w:val="21"/>
              </w:rPr>
              <w:t>粳米</w:t>
            </w:r>
          </w:p>
        </w:tc>
        <w:tc>
          <w:tcPr>
            <w:tcW w:w="1134" w:type="dxa"/>
            <w:shd w:val="clear" w:color="auto" w:fill="auto"/>
            <w:vAlign w:val="center"/>
          </w:tcPr>
          <w:p>
            <w:pPr>
              <w:jc w:val="center"/>
            </w:pPr>
            <w:r>
              <w:rPr>
                <w:kern w:val="0"/>
                <w:szCs w:val="21"/>
              </w:rPr>
              <w:t>50KG/袋</w:t>
            </w:r>
          </w:p>
        </w:tc>
        <w:tc>
          <w:tcPr>
            <w:tcW w:w="850" w:type="dxa"/>
            <w:shd w:val="clear" w:color="auto" w:fill="auto"/>
            <w:vAlign w:val="center"/>
          </w:tcPr>
          <w:p>
            <w:pPr>
              <w:widowControl/>
              <w:jc w:val="center"/>
              <w:rPr>
                <w:kern w:val="0"/>
                <w:szCs w:val="21"/>
              </w:rPr>
            </w:pPr>
          </w:p>
        </w:tc>
        <w:tc>
          <w:tcPr>
            <w:tcW w:w="709" w:type="dxa"/>
            <w:vAlign w:val="center"/>
          </w:tcPr>
          <w:p>
            <w:pPr>
              <w:jc w:val="center"/>
              <w:rPr>
                <w:kern w:val="0"/>
                <w:szCs w:val="21"/>
              </w:rPr>
            </w:pPr>
          </w:p>
        </w:tc>
        <w:tc>
          <w:tcPr>
            <w:tcW w:w="1134" w:type="dxa"/>
            <w:shd w:val="clear" w:color="auto" w:fill="auto"/>
          </w:tcPr>
          <w:p>
            <w:pPr>
              <w:jc w:val="center"/>
            </w:pPr>
            <w:r>
              <w:rPr>
                <w:kern w:val="0"/>
                <w:szCs w:val="21"/>
              </w:rPr>
              <w:t>按质量标准送货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09" w:type="dxa"/>
            <w:shd w:val="clear" w:color="auto" w:fill="auto"/>
            <w:vAlign w:val="center"/>
          </w:tcPr>
          <w:p>
            <w:pPr>
              <w:widowControl/>
              <w:jc w:val="center"/>
              <w:rPr>
                <w:color w:val="000000"/>
                <w:kern w:val="0"/>
                <w:szCs w:val="21"/>
              </w:rPr>
            </w:pPr>
            <w:r>
              <w:rPr>
                <w:color w:val="000000"/>
                <w:kern w:val="0"/>
                <w:szCs w:val="21"/>
              </w:rPr>
              <w:t>5</w:t>
            </w:r>
          </w:p>
        </w:tc>
        <w:tc>
          <w:tcPr>
            <w:tcW w:w="709" w:type="dxa"/>
            <w:shd w:val="clear" w:color="auto" w:fill="auto"/>
            <w:vAlign w:val="center"/>
          </w:tcPr>
          <w:p>
            <w:pPr>
              <w:widowControl/>
              <w:jc w:val="center"/>
              <w:rPr>
                <w:kern w:val="0"/>
                <w:szCs w:val="21"/>
              </w:rPr>
            </w:pPr>
            <w:r>
              <w:rPr>
                <w:rFonts w:hint="eastAsia"/>
                <w:kern w:val="0"/>
                <w:szCs w:val="21"/>
              </w:rPr>
              <w:t>面</w:t>
            </w:r>
          </w:p>
        </w:tc>
        <w:tc>
          <w:tcPr>
            <w:tcW w:w="1843" w:type="dxa"/>
            <w:shd w:val="clear" w:color="auto" w:fill="auto"/>
            <w:vAlign w:val="center"/>
          </w:tcPr>
          <w:p>
            <w:pPr>
              <w:jc w:val="center"/>
            </w:pPr>
            <w:r>
              <w:rPr>
                <w:kern w:val="0"/>
                <w:szCs w:val="21"/>
              </w:rPr>
              <w:t>符合GB1355-2005标准</w:t>
            </w:r>
          </w:p>
        </w:tc>
        <w:tc>
          <w:tcPr>
            <w:tcW w:w="709" w:type="dxa"/>
            <w:vAlign w:val="center"/>
          </w:tcPr>
          <w:p>
            <w:pPr>
              <w:jc w:val="center"/>
            </w:pPr>
          </w:p>
        </w:tc>
        <w:tc>
          <w:tcPr>
            <w:tcW w:w="850" w:type="dxa"/>
          </w:tcPr>
          <w:p>
            <w:r>
              <w:rPr>
                <w:rFonts w:hint="eastAsia"/>
                <w:kern w:val="0"/>
                <w:szCs w:val="21"/>
              </w:rPr>
              <w:t>一级或二级</w:t>
            </w:r>
          </w:p>
        </w:tc>
        <w:tc>
          <w:tcPr>
            <w:tcW w:w="709" w:type="dxa"/>
            <w:vAlign w:val="center"/>
          </w:tcPr>
          <w:p>
            <w:pPr>
              <w:widowControl/>
              <w:jc w:val="center"/>
              <w:rPr>
                <w:kern w:val="0"/>
                <w:szCs w:val="21"/>
              </w:rPr>
            </w:pPr>
          </w:p>
        </w:tc>
        <w:tc>
          <w:tcPr>
            <w:tcW w:w="1134" w:type="dxa"/>
            <w:shd w:val="clear" w:color="auto" w:fill="auto"/>
            <w:vAlign w:val="center"/>
          </w:tcPr>
          <w:p>
            <w:pPr>
              <w:widowControl/>
              <w:jc w:val="center"/>
              <w:rPr>
                <w:kern w:val="0"/>
                <w:szCs w:val="21"/>
              </w:rPr>
            </w:pPr>
            <w:r>
              <w:rPr>
                <w:kern w:val="0"/>
                <w:szCs w:val="21"/>
              </w:rPr>
              <w:t>50KG/袋</w:t>
            </w:r>
          </w:p>
        </w:tc>
        <w:tc>
          <w:tcPr>
            <w:tcW w:w="850" w:type="dxa"/>
            <w:shd w:val="clear" w:color="auto" w:fill="auto"/>
            <w:vAlign w:val="center"/>
          </w:tcPr>
          <w:p>
            <w:pPr>
              <w:widowControl/>
              <w:jc w:val="center"/>
              <w:rPr>
                <w:kern w:val="0"/>
                <w:szCs w:val="21"/>
              </w:rPr>
            </w:pPr>
            <w:r>
              <w:rPr>
                <w:rFonts w:hint="eastAsia"/>
                <w:kern w:val="0"/>
                <w:szCs w:val="21"/>
              </w:rPr>
              <w:t>福临门</w:t>
            </w:r>
          </w:p>
        </w:tc>
        <w:tc>
          <w:tcPr>
            <w:tcW w:w="709" w:type="dxa"/>
            <w:vAlign w:val="center"/>
          </w:tcPr>
          <w:p>
            <w:pPr>
              <w:jc w:val="center"/>
              <w:rPr>
                <w:kern w:val="0"/>
                <w:szCs w:val="21"/>
              </w:rPr>
            </w:pPr>
          </w:p>
        </w:tc>
        <w:tc>
          <w:tcPr>
            <w:tcW w:w="1134" w:type="dxa"/>
            <w:shd w:val="clear" w:color="auto" w:fill="auto"/>
          </w:tcPr>
          <w:p>
            <w:pPr>
              <w:jc w:val="center"/>
            </w:pPr>
            <w:r>
              <w:rPr>
                <w:kern w:val="0"/>
                <w:szCs w:val="21"/>
              </w:rPr>
              <w:t>按质量标准送货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709" w:type="dxa"/>
            <w:shd w:val="clear" w:color="auto" w:fill="auto"/>
            <w:vAlign w:val="center"/>
          </w:tcPr>
          <w:p>
            <w:pPr>
              <w:widowControl/>
              <w:jc w:val="center"/>
              <w:rPr>
                <w:color w:val="000000"/>
                <w:kern w:val="0"/>
                <w:szCs w:val="21"/>
              </w:rPr>
            </w:pPr>
            <w:r>
              <w:rPr>
                <w:color w:val="000000"/>
                <w:kern w:val="0"/>
                <w:szCs w:val="21"/>
              </w:rPr>
              <w:t>6</w:t>
            </w:r>
          </w:p>
        </w:tc>
        <w:tc>
          <w:tcPr>
            <w:tcW w:w="709" w:type="dxa"/>
            <w:shd w:val="clear" w:color="auto" w:fill="auto"/>
            <w:vAlign w:val="center"/>
          </w:tcPr>
          <w:p>
            <w:pPr>
              <w:widowControl/>
              <w:jc w:val="center"/>
              <w:rPr>
                <w:kern w:val="0"/>
                <w:szCs w:val="21"/>
              </w:rPr>
            </w:pPr>
            <w:r>
              <w:rPr>
                <w:rFonts w:hint="eastAsia"/>
                <w:kern w:val="0"/>
                <w:szCs w:val="21"/>
              </w:rPr>
              <w:t>面</w:t>
            </w:r>
          </w:p>
        </w:tc>
        <w:tc>
          <w:tcPr>
            <w:tcW w:w="1843" w:type="dxa"/>
            <w:shd w:val="clear" w:color="auto" w:fill="auto"/>
            <w:vAlign w:val="center"/>
          </w:tcPr>
          <w:p>
            <w:pPr>
              <w:jc w:val="center"/>
            </w:pPr>
            <w:r>
              <w:rPr>
                <w:kern w:val="0"/>
                <w:szCs w:val="21"/>
              </w:rPr>
              <w:t>符合GB1355-2005标准</w:t>
            </w:r>
          </w:p>
        </w:tc>
        <w:tc>
          <w:tcPr>
            <w:tcW w:w="709" w:type="dxa"/>
            <w:vAlign w:val="center"/>
          </w:tcPr>
          <w:p>
            <w:pPr>
              <w:jc w:val="center"/>
            </w:pPr>
          </w:p>
        </w:tc>
        <w:tc>
          <w:tcPr>
            <w:tcW w:w="850" w:type="dxa"/>
          </w:tcPr>
          <w:p>
            <w:r>
              <w:rPr>
                <w:rFonts w:hint="eastAsia"/>
                <w:kern w:val="0"/>
                <w:szCs w:val="21"/>
              </w:rPr>
              <w:t>一级或二级</w:t>
            </w:r>
          </w:p>
        </w:tc>
        <w:tc>
          <w:tcPr>
            <w:tcW w:w="709" w:type="dxa"/>
            <w:vAlign w:val="center"/>
          </w:tcPr>
          <w:p>
            <w:pPr>
              <w:widowControl/>
              <w:jc w:val="center"/>
              <w:rPr>
                <w:kern w:val="0"/>
                <w:szCs w:val="21"/>
              </w:rPr>
            </w:pPr>
          </w:p>
        </w:tc>
        <w:tc>
          <w:tcPr>
            <w:tcW w:w="1134" w:type="dxa"/>
            <w:shd w:val="clear" w:color="auto" w:fill="auto"/>
            <w:vAlign w:val="center"/>
          </w:tcPr>
          <w:p>
            <w:pPr>
              <w:widowControl/>
              <w:jc w:val="center"/>
              <w:rPr>
                <w:kern w:val="0"/>
                <w:szCs w:val="21"/>
              </w:rPr>
            </w:pPr>
            <w:r>
              <w:rPr>
                <w:kern w:val="0"/>
                <w:szCs w:val="21"/>
              </w:rPr>
              <w:t>50KG/袋</w:t>
            </w:r>
          </w:p>
        </w:tc>
        <w:tc>
          <w:tcPr>
            <w:tcW w:w="850" w:type="dxa"/>
            <w:shd w:val="clear" w:color="auto" w:fill="auto"/>
            <w:vAlign w:val="center"/>
          </w:tcPr>
          <w:p>
            <w:pPr>
              <w:widowControl/>
              <w:jc w:val="center"/>
              <w:rPr>
                <w:kern w:val="0"/>
                <w:szCs w:val="21"/>
              </w:rPr>
            </w:pPr>
            <w:r>
              <w:rPr>
                <w:rFonts w:hint="eastAsia"/>
                <w:kern w:val="0"/>
                <w:szCs w:val="21"/>
              </w:rPr>
              <w:t>金龙鱼</w:t>
            </w:r>
          </w:p>
        </w:tc>
        <w:tc>
          <w:tcPr>
            <w:tcW w:w="709" w:type="dxa"/>
            <w:vAlign w:val="center"/>
          </w:tcPr>
          <w:p>
            <w:pPr>
              <w:jc w:val="center"/>
              <w:rPr>
                <w:kern w:val="0"/>
                <w:szCs w:val="21"/>
              </w:rPr>
            </w:pPr>
          </w:p>
        </w:tc>
        <w:tc>
          <w:tcPr>
            <w:tcW w:w="1134" w:type="dxa"/>
            <w:shd w:val="clear" w:color="auto" w:fill="auto"/>
          </w:tcPr>
          <w:p>
            <w:pPr>
              <w:jc w:val="center"/>
            </w:pPr>
            <w:r>
              <w:rPr>
                <w:kern w:val="0"/>
                <w:szCs w:val="21"/>
              </w:rPr>
              <w:t>按质量标准送货</w:t>
            </w:r>
          </w:p>
        </w:tc>
      </w:tr>
    </w:tbl>
    <w:p>
      <w:pPr>
        <w:spacing w:line="400" w:lineRule="exact"/>
        <w:ind w:left="661" w:leftChars="200" w:hanging="241" w:hangingChars="100"/>
        <w:jc w:val="left"/>
        <w:rPr>
          <w:rFonts w:ascii="仿宋" w:hAnsi="仿宋" w:eastAsia="仿宋" w:cs="宋体"/>
          <w:b/>
          <w:color w:val="000000"/>
          <w:kern w:val="0"/>
          <w:sz w:val="24"/>
          <w:szCs w:val="24"/>
        </w:rPr>
      </w:pPr>
    </w:p>
    <w:p>
      <w:pPr>
        <w:spacing w:line="400" w:lineRule="exact"/>
        <w:ind w:left="661" w:leftChars="200" w:hanging="241" w:hangingChars="100"/>
        <w:jc w:val="left"/>
        <w:rPr>
          <w:rFonts w:ascii="仿宋" w:hAnsi="仿宋" w:eastAsia="仿宋" w:cs="宋体"/>
          <w:b/>
          <w:color w:val="000000"/>
          <w:kern w:val="0"/>
          <w:sz w:val="24"/>
          <w:szCs w:val="24"/>
        </w:rPr>
      </w:pPr>
    </w:p>
    <w:p>
      <w:pPr>
        <w:spacing w:line="400" w:lineRule="exact"/>
        <w:ind w:left="661" w:leftChars="200" w:hanging="241" w:hangingChars="100"/>
        <w:jc w:val="left"/>
        <w:rPr>
          <w:rFonts w:ascii="仿宋" w:hAnsi="仿宋" w:eastAsia="仿宋" w:cs="宋体"/>
          <w:b/>
          <w:color w:val="000000"/>
          <w:kern w:val="0"/>
          <w:sz w:val="24"/>
          <w:szCs w:val="24"/>
        </w:rPr>
      </w:pPr>
    </w:p>
    <w:p>
      <w:pPr>
        <w:spacing w:line="400" w:lineRule="exact"/>
        <w:ind w:left="661" w:leftChars="200" w:hanging="241" w:hangingChars="100"/>
        <w:jc w:val="left"/>
        <w:rPr>
          <w:rFonts w:ascii="仿宋" w:hAnsi="仿宋" w:eastAsia="仿宋" w:cs="宋体"/>
          <w:b/>
          <w:color w:val="000000"/>
          <w:kern w:val="0"/>
          <w:sz w:val="24"/>
          <w:szCs w:val="24"/>
        </w:rPr>
      </w:pPr>
      <w:r>
        <w:rPr>
          <w:rFonts w:hint="eastAsia" w:ascii="仿宋" w:hAnsi="仿宋" w:eastAsia="仿宋" w:cs="宋体"/>
          <w:b/>
          <w:color w:val="000000"/>
          <w:kern w:val="0"/>
          <w:sz w:val="24"/>
          <w:szCs w:val="24"/>
        </w:rPr>
        <w:t>提醒：</w:t>
      </w:r>
    </w:p>
    <w:p>
      <w:pPr>
        <w:spacing w:line="400" w:lineRule="exact"/>
        <w:ind w:left="1" w:firstLine="420" w:firstLineChars="175"/>
        <w:jc w:val="left"/>
        <w:rPr>
          <w:rFonts w:ascii="仿宋" w:hAnsi="仿宋" w:eastAsia="仿宋"/>
          <w:color w:val="FF0000"/>
          <w:sz w:val="24"/>
          <w:szCs w:val="24"/>
        </w:rPr>
      </w:pPr>
      <w:r>
        <w:rPr>
          <w:rFonts w:hint="eastAsia" w:ascii="仿宋" w:hAnsi="仿宋" w:eastAsia="仿宋" w:cs="宋体"/>
          <w:color w:val="000000"/>
          <w:kern w:val="0"/>
          <w:sz w:val="24"/>
          <w:szCs w:val="24"/>
        </w:rPr>
        <w:t>如未按磋商文件和合同要求履行相关要求的，发生一次罚款200</w:t>
      </w:r>
      <w:r>
        <w:rPr>
          <w:rFonts w:ascii="仿宋" w:hAnsi="仿宋" w:eastAsia="仿宋" w:cs="宋体"/>
          <w:color w:val="000000"/>
          <w:kern w:val="0"/>
          <w:sz w:val="24"/>
          <w:szCs w:val="24"/>
        </w:rPr>
        <w:t>—</w:t>
      </w:r>
      <w:r>
        <w:rPr>
          <w:rFonts w:hint="eastAsia" w:ascii="仿宋" w:hAnsi="仿宋" w:eastAsia="仿宋" w:cs="宋体"/>
          <w:color w:val="000000"/>
          <w:kern w:val="0"/>
          <w:sz w:val="24"/>
          <w:szCs w:val="24"/>
        </w:rPr>
        <w:t>2000元；2次以上的，学校有权单方面终止合同（提前一周通知中标单位）；情节严重的学校有权单方面立即终止合同。一切责任均由中标单位负责并承担。</w:t>
      </w:r>
    </w:p>
    <w:p>
      <w:pPr>
        <w:adjustRightInd w:val="0"/>
        <w:snapToGrid w:val="0"/>
        <w:rPr>
          <w:rFonts w:ascii="仿宋" w:hAnsi="仿宋" w:eastAsia="仿宋"/>
          <w:color w:val="000000"/>
          <w:sz w:val="28"/>
          <w:szCs w:val="28"/>
        </w:rPr>
      </w:pPr>
    </w:p>
    <w:p>
      <w:pPr>
        <w:adjustRightInd w:val="0"/>
        <w:snapToGrid w:val="0"/>
        <w:rPr>
          <w:rFonts w:ascii="宋体" w:hAnsi="宋体"/>
          <w:color w:val="000000"/>
          <w:sz w:val="28"/>
          <w:szCs w:val="28"/>
        </w:rPr>
      </w:pPr>
    </w:p>
    <w:p>
      <w:pPr>
        <w:adjustRightInd w:val="0"/>
        <w:snapToGrid w:val="0"/>
        <w:ind w:right="560" w:firstLine="4252" w:firstLineChars="1772"/>
        <w:jc w:val="left"/>
        <w:rPr>
          <w:rFonts w:ascii="宋体" w:hAnsi="宋体"/>
          <w:color w:val="000000"/>
          <w:sz w:val="24"/>
          <w:szCs w:val="24"/>
        </w:rPr>
      </w:pPr>
      <w:r>
        <w:rPr>
          <w:rFonts w:hint="eastAsia" w:ascii="宋体" w:hAnsi="宋体"/>
          <w:color w:val="000000"/>
          <w:sz w:val="24"/>
          <w:szCs w:val="24"/>
        </w:rPr>
        <w:t>投标单位（盖章）：</w:t>
      </w:r>
    </w:p>
    <w:p>
      <w:pPr>
        <w:adjustRightInd w:val="0"/>
        <w:snapToGrid w:val="0"/>
        <w:ind w:right="560" w:firstLine="4252" w:firstLineChars="1772"/>
        <w:jc w:val="center"/>
        <w:rPr>
          <w:rFonts w:ascii="宋体" w:hAnsi="宋体"/>
          <w:color w:val="000000"/>
          <w:sz w:val="24"/>
          <w:szCs w:val="24"/>
        </w:rPr>
      </w:pPr>
    </w:p>
    <w:p>
      <w:pPr>
        <w:adjustRightInd w:val="0"/>
        <w:snapToGrid w:val="0"/>
        <w:ind w:right="560" w:firstLine="4252" w:firstLineChars="1772"/>
        <w:jc w:val="left"/>
        <w:rPr>
          <w:rFonts w:ascii="宋体" w:hAnsi="宋体"/>
          <w:color w:val="000000"/>
          <w:sz w:val="24"/>
          <w:szCs w:val="24"/>
        </w:rPr>
      </w:pPr>
      <w:r>
        <w:rPr>
          <w:rFonts w:hint="eastAsia" w:ascii="宋体" w:hAnsi="宋体"/>
          <w:color w:val="000000"/>
          <w:sz w:val="24"/>
          <w:szCs w:val="24"/>
        </w:rPr>
        <w:t>法人代表人（签字）：</w:t>
      </w:r>
    </w:p>
    <w:p>
      <w:pPr>
        <w:adjustRightInd w:val="0"/>
        <w:snapToGrid w:val="0"/>
        <w:ind w:right="560" w:firstLine="4252" w:firstLineChars="1772"/>
        <w:jc w:val="left"/>
        <w:rPr>
          <w:rFonts w:ascii="宋体" w:hAnsi="宋体"/>
          <w:color w:val="000000"/>
          <w:sz w:val="24"/>
          <w:szCs w:val="24"/>
        </w:rPr>
      </w:pPr>
    </w:p>
    <w:p>
      <w:pPr>
        <w:adjustRightInd w:val="0"/>
        <w:snapToGrid w:val="0"/>
        <w:ind w:right="560" w:firstLine="4252" w:firstLineChars="1772"/>
        <w:jc w:val="left"/>
        <w:rPr>
          <w:rFonts w:ascii="宋体" w:hAnsi="宋体"/>
          <w:color w:val="000000"/>
          <w:sz w:val="24"/>
          <w:szCs w:val="24"/>
        </w:rPr>
      </w:pPr>
      <w:r>
        <w:rPr>
          <w:rFonts w:ascii="宋体" w:hAnsi="宋体"/>
          <w:color w:val="000000"/>
          <w:sz w:val="24"/>
          <w:szCs w:val="24"/>
        </w:rPr>
        <w:t>2020年</w:t>
      </w:r>
      <w:r>
        <w:rPr>
          <w:rFonts w:hint="eastAsia" w:ascii="宋体" w:hAnsi="宋体"/>
          <w:color w:val="000000"/>
          <w:sz w:val="24"/>
          <w:szCs w:val="24"/>
        </w:rPr>
        <w:t xml:space="preserve">    </w:t>
      </w:r>
      <w:r>
        <w:rPr>
          <w:rFonts w:ascii="宋体" w:hAnsi="宋体"/>
          <w:color w:val="000000"/>
          <w:sz w:val="24"/>
          <w:szCs w:val="24"/>
        </w:rPr>
        <w:t>月</w:t>
      </w:r>
      <w:r>
        <w:rPr>
          <w:rFonts w:hint="eastAsia" w:ascii="宋体" w:hAnsi="宋体"/>
          <w:color w:val="000000"/>
          <w:sz w:val="24"/>
          <w:szCs w:val="24"/>
        </w:rPr>
        <w:t xml:space="preserve">    </w:t>
      </w:r>
      <w:r>
        <w:rPr>
          <w:rFonts w:ascii="宋体" w:hAnsi="宋体"/>
          <w:color w:val="000000"/>
          <w:sz w:val="24"/>
          <w:szCs w:val="24"/>
        </w:rPr>
        <w:t>日</w:t>
      </w:r>
    </w:p>
    <w:p>
      <w:pPr>
        <w:rPr>
          <w:rFonts w:ascii="宋体" w:hAnsi="宋体" w:cs="宋体"/>
          <w:b/>
          <w:bCs/>
          <w:kern w:val="0"/>
          <w:sz w:val="24"/>
          <w:szCs w:val="24"/>
        </w:rPr>
      </w:pPr>
      <w:r>
        <w:rPr>
          <w:rFonts w:ascii="宋体" w:hAnsi="宋体" w:cs="宋体"/>
          <w:b/>
          <w:bCs/>
          <w:kern w:val="0"/>
          <w:sz w:val="28"/>
          <w:szCs w:val="28"/>
        </w:rPr>
        <w:br w:type="page"/>
      </w:r>
      <w:r>
        <w:rPr>
          <w:b/>
          <w:sz w:val="24"/>
          <w:szCs w:val="24"/>
        </w:rPr>
        <w:t>C.2.4</w:t>
      </w:r>
      <w:r>
        <w:rPr>
          <w:b/>
          <w:bCs/>
          <w:sz w:val="24"/>
          <w:szCs w:val="24"/>
        </w:rPr>
        <w:t>、</w:t>
      </w:r>
      <w:r>
        <w:rPr>
          <w:rFonts w:hint="eastAsia" w:ascii="宋体" w:hAnsi="宋体" w:cs="宋体"/>
          <w:b/>
          <w:sz w:val="24"/>
          <w:szCs w:val="24"/>
        </w:rPr>
        <w:t>食品要求</w:t>
      </w:r>
    </w:p>
    <w:p>
      <w:pPr>
        <w:spacing w:before="120" w:beforeLines="50" w:after="120" w:afterLines="50" w:line="300" w:lineRule="auto"/>
        <w:jc w:val="center"/>
        <w:rPr>
          <w:rFonts w:ascii="宋体" w:hAnsi="宋体" w:cs="宋体"/>
          <w:b/>
          <w:bCs/>
          <w:kern w:val="0"/>
          <w:sz w:val="24"/>
          <w:szCs w:val="24"/>
        </w:rPr>
      </w:pPr>
      <w:r>
        <w:rPr>
          <w:rFonts w:hint="eastAsia" w:ascii="宋体" w:hAnsi="宋体" w:cs="宋体"/>
          <w:b/>
          <w:bCs/>
          <w:kern w:val="0"/>
          <w:sz w:val="24"/>
          <w:szCs w:val="24"/>
        </w:rPr>
        <w:t>标段六：水产品（鲜、冻）</w:t>
      </w:r>
    </w:p>
    <w:p>
      <w:pPr>
        <w:spacing w:line="360" w:lineRule="auto"/>
        <w:rPr>
          <w:rFonts w:ascii="仿宋_GB2312" w:hAnsi="宋体" w:eastAsia="仿宋_GB2312" w:cs="宋体"/>
          <w:b/>
          <w:kern w:val="0"/>
          <w:sz w:val="24"/>
          <w:szCs w:val="24"/>
        </w:rPr>
      </w:pPr>
      <w:r>
        <w:rPr>
          <w:rFonts w:hint="eastAsia" w:ascii="仿宋_GB2312" w:hAnsi="宋体" w:eastAsia="仿宋_GB2312" w:cs="宋体"/>
          <w:b/>
          <w:kern w:val="0"/>
          <w:sz w:val="24"/>
          <w:szCs w:val="24"/>
        </w:rPr>
        <w:t>水产品类（鲜、冻）食品要求</w:t>
      </w:r>
    </w:p>
    <w:tbl>
      <w:tblPr>
        <w:tblStyle w:val="50"/>
        <w:tblW w:w="9325" w:type="dxa"/>
        <w:tblInd w:w="93" w:type="dxa"/>
        <w:tblLayout w:type="autofit"/>
        <w:tblCellMar>
          <w:top w:w="0" w:type="dxa"/>
          <w:left w:w="108" w:type="dxa"/>
          <w:bottom w:w="0" w:type="dxa"/>
          <w:right w:w="108" w:type="dxa"/>
        </w:tblCellMar>
      </w:tblPr>
      <w:tblGrid>
        <w:gridCol w:w="641"/>
        <w:gridCol w:w="937"/>
        <w:gridCol w:w="4389"/>
        <w:gridCol w:w="1767"/>
        <w:gridCol w:w="1591"/>
      </w:tblGrid>
      <w:tr>
        <w:tblPrEx>
          <w:tblCellMar>
            <w:top w:w="0" w:type="dxa"/>
            <w:left w:w="108" w:type="dxa"/>
            <w:bottom w:w="0" w:type="dxa"/>
            <w:right w:w="108" w:type="dxa"/>
          </w:tblCellMar>
        </w:tblPrEx>
        <w:trPr>
          <w:trHeight w:val="486" w:hRule="atLeast"/>
        </w:trPr>
        <w:tc>
          <w:tcPr>
            <w:tcW w:w="6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品名</w:t>
            </w:r>
          </w:p>
        </w:tc>
        <w:tc>
          <w:tcPr>
            <w:tcW w:w="438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质量标准</w:t>
            </w:r>
          </w:p>
        </w:tc>
        <w:tc>
          <w:tcPr>
            <w:tcW w:w="17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服务承诺</w:t>
            </w:r>
          </w:p>
        </w:tc>
        <w:tc>
          <w:tcPr>
            <w:tcW w:w="159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备注</w:t>
            </w:r>
          </w:p>
        </w:tc>
      </w:tr>
      <w:tr>
        <w:tblPrEx>
          <w:tblCellMar>
            <w:top w:w="0" w:type="dxa"/>
            <w:left w:w="108" w:type="dxa"/>
            <w:bottom w:w="0" w:type="dxa"/>
            <w:right w:w="108" w:type="dxa"/>
          </w:tblCellMar>
        </w:tblPrEx>
        <w:trPr>
          <w:trHeight w:val="804" w:hRule="atLeast"/>
        </w:trPr>
        <w:tc>
          <w:tcPr>
            <w:tcW w:w="6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37"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淡水鱼</w:t>
            </w:r>
          </w:p>
        </w:tc>
        <w:tc>
          <w:tcPr>
            <w:tcW w:w="4389"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GB2733-2005《鲜、冻动物性水产品卫生标准》</w:t>
            </w:r>
          </w:p>
        </w:tc>
        <w:tc>
          <w:tcPr>
            <w:tcW w:w="17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按质量标准送货</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1108" w:hRule="atLeast"/>
        </w:trPr>
        <w:tc>
          <w:tcPr>
            <w:tcW w:w="6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937"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海水鱼</w:t>
            </w:r>
          </w:p>
        </w:tc>
        <w:tc>
          <w:tcPr>
            <w:tcW w:w="4389"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GB/T 18108-2008《鲜海水鱼》</w:t>
            </w:r>
          </w:p>
          <w:p>
            <w:pPr>
              <w:widowControl/>
              <w:jc w:val="center"/>
              <w:rPr>
                <w:kern w:val="0"/>
                <w:szCs w:val="21"/>
              </w:rPr>
            </w:pPr>
            <w:r>
              <w:rPr>
                <w:kern w:val="0"/>
                <w:szCs w:val="21"/>
              </w:rPr>
              <w:t>GB/T 18109-2000《冻海水鱼》</w:t>
            </w:r>
          </w:p>
        </w:tc>
        <w:tc>
          <w:tcPr>
            <w:tcW w:w="17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按质量标准送货</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83" w:hRule="atLeast"/>
        </w:trPr>
        <w:tc>
          <w:tcPr>
            <w:tcW w:w="6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937"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虾</w:t>
            </w:r>
          </w:p>
        </w:tc>
        <w:tc>
          <w:tcPr>
            <w:tcW w:w="4389"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GB2733-2005《鲜、冻动物性水产品卫生标准》</w:t>
            </w:r>
          </w:p>
        </w:tc>
        <w:tc>
          <w:tcPr>
            <w:tcW w:w="17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按质量标准送货</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37" w:hRule="atLeast"/>
        </w:trPr>
        <w:tc>
          <w:tcPr>
            <w:tcW w:w="6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937"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蟹</w:t>
            </w:r>
          </w:p>
        </w:tc>
        <w:tc>
          <w:tcPr>
            <w:tcW w:w="4389"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GB2733-2005《鲜、冻动物性水产品卫生标准》</w:t>
            </w:r>
          </w:p>
        </w:tc>
        <w:tc>
          <w:tcPr>
            <w:tcW w:w="17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按质量标准送货</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37" w:hRule="atLeast"/>
        </w:trPr>
        <w:tc>
          <w:tcPr>
            <w:tcW w:w="6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937"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贝类</w:t>
            </w:r>
          </w:p>
        </w:tc>
        <w:tc>
          <w:tcPr>
            <w:tcW w:w="4389"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GB2733-2005《鲜、冻动物性水产品卫生标准》</w:t>
            </w:r>
          </w:p>
        </w:tc>
        <w:tc>
          <w:tcPr>
            <w:tcW w:w="17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按质量标准送货</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713" w:hRule="atLeast"/>
        </w:trPr>
        <w:tc>
          <w:tcPr>
            <w:tcW w:w="6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9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藻类</w:t>
            </w:r>
          </w:p>
        </w:tc>
        <w:tc>
          <w:tcPr>
            <w:tcW w:w="4389"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GB19643-2005《藻类制品卫生标准》 </w:t>
            </w:r>
          </w:p>
        </w:tc>
        <w:tc>
          <w:tcPr>
            <w:tcW w:w="17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按质量标准送货</w:t>
            </w:r>
          </w:p>
        </w:tc>
        <w:tc>
          <w:tcPr>
            <w:tcW w:w="15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bl>
    <w:p>
      <w:pPr>
        <w:spacing w:line="400" w:lineRule="exact"/>
        <w:ind w:left="661" w:leftChars="200" w:hanging="241" w:hangingChars="100"/>
        <w:jc w:val="left"/>
        <w:rPr>
          <w:rFonts w:ascii="仿宋" w:hAnsi="仿宋" w:eastAsia="仿宋" w:cs="宋体"/>
          <w:b/>
          <w:color w:val="000000"/>
          <w:kern w:val="0"/>
          <w:sz w:val="24"/>
          <w:szCs w:val="24"/>
        </w:rPr>
      </w:pPr>
    </w:p>
    <w:p>
      <w:pPr>
        <w:spacing w:line="400" w:lineRule="exact"/>
        <w:jc w:val="left"/>
        <w:rPr>
          <w:rFonts w:ascii="仿宋" w:hAnsi="仿宋" w:eastAsia="仿宋" w:cs="宋体"/>
          <w:b/>
          <w:color w:val="000000"/>
          <w:kern w:val="0"/>
          <w:sz w:val="24"/>
          <w:szCs w:val="24"/>
        </w:rPr>
      </w:pPr>
    </w:p>
    <w:p>
      <w:pPr>
        <w:spacing w:line="400" w:lineRule="exact"/>
        <w:ind w:left="661" w:leftChars="200" w:hanging="241" w:hangingChars="100"/>
        <w:jc w:val="left"/>
        <w:rPr>
          <w:rFonts w:ascii="仿宋" w:hAnsi="仿宋" w:eastAsia="仿宋" w:cs="宋体"/>
          <w:b/>
          <w:color w:val="000000"/>
          <w:kern w:val="0"/>
          <w:sz w:val="24"/>
          <w:szCs w:val="24"/>
        </w:rPr>
      </w:pPr>
    </w:p>
    <w:p>
      <w:pPr>
        <w:spacing w:line="400" w:lineRule="exact"/>
        <w:ind w:left="661" w:leftChars="200" w:hanging="241" w:hangingChars="100"/>
        <w:jc w:val="left"/>
        <w:rPr>
          <w:rFonts w:ascii="仿宋" w:hAnsi="仿宋" w:eastAsia="仿宋" w:cs="宋体"/>
          <w:b/>
          <w:color w:val="000000"/>
          <w:kern w:val="0"/>
          <w:sz w:val="24"/>
          <w:szCs w:val="24"/>
        </w:rPr>
      </w:pPr>
      <w:r>
        <w:rPr>
          <w:rFonts w:hint="eastAsia" w:ascii="仿宋" w:hAnsi="仿宋" w:eastAsia="仿宋" w:cs="宋体"/>
          <w:b/>
          <w:color w:val="000000"/>
          <w:kern w:val="0"/>
          <w:sz w:val="24"/>
          <w:szCs w:val="24"/>
        </w:rPr>
        <w:t>提醒：</w:t>
      </w:r>
    </w:p>
    <w:p>
      <w:pPr>
        <w:spacing w:line="400" w:lineRule="exact"/>
        <w:ind w:left="1" w:firstLine="420" w:firstLineChars="175"/>
        <w:jc w:val="left"/>
        <w:rPr>
          <w:rFonts w:ascii="仿宋" w:hAnsi="仿宋" w:eastAsia="仿宋"/>
          <w:color w:val="FF0000"/>
          <w:sz w:val="24"/>
          <w:szCs w:val="24"/>
        </w:rPr>
      </w:pPr>
      <w:r>
        <w:rPr>
          <w:rFonts w:hint="eastAsia" w:ascii="仿宋" w:hAnsi="仿宋" w:eastAsia="仿宋" w:cs="宋体"/>
          <w:color w:val="000000"/>
          <w:kern w:val="0"/>
          <w:sz w:val="24"/>
          <w:szCs w:val="24"/>
        </w:rPr>
        <w:t>如未按磋商问价和合同要求履行相关要求的，发生一次罚款200</w:t>
      </w:r>
      <w:r>
        <w:rPr>
          <w:rFonts w:ascii="仿宋" w:hAnsi="仿宋" w:eastAsia="仿宋" w:cs="宋体"/>
          <w:color w:val="000000"/>
          <w:kern w:val="0"/>
          <w:sz w:val="24"/>
          <w:szCs w:val="24"/>
        </w:rPr>
        <w:t>—</w:t>
      </w:r>
      <w:r>
        <w:rPr>
          <w:rFonts w:hint="eastAsia" w:ascii="仿宋" w:hAnsi="仿宋" w:eastAsia="仿宋" w:cs="宋体"/>
          <w:color w:val="000000"/>
          <w:kern w:val="0"/>
          <w:sz w:val="24"/>
          <w:szCs w:val="24"/>
        </w:rPr>
        <w:t>2000元；2次以上的，学校有权单方面终止合同（提前一周通知中标单位）；情节严重的学校有权单方面立即终止合同。一切责任均由中标单位负责并承担。</w:t>
      </w:r>
    </w:p>
    <w:p>
      <w:pPr>
        <w:adjustRightInd w:val="0"/>
        <w:snapToGrid w:val="0"/>
        <w:rPr>
          <w:rFonts w:ascii="仿宋" w:hAnsi="仿宋" w:eastAsia="仿宋"/>
          <w:color w:val="000000"/>
          <w:sz w:val="28"/>
          <w:szCs w:val="28"/>
        </w:rPr>
      </w:pPr>
    </w:p>
    <w:p>
      <w:pPr>
        <w:adjustRightInd w:val="0"/>
        <w:snapToGrid w:val="0"/>
        <w:rPr>
          <w:rFonts w:ascii="宋体" w:hAnsi="宋体"/>
          <w:color w:val="000000"/>
          <w:sz w:val="28"/>
          <w:szCs w:val="28"/>
        </w:rPr>
      </w:pPr>
    </w:p>
    <w:p>
      <w:pPr>
        <w:adjustRightInd w:val="0"/>
        <w:snapToGrid w:val="0"/>
        <w:ind w:right="560" w:firstLine="4252" w:firstLineChars="1772"/>
        <w:jc w:val="left"/>
        <w:rPr>
          <w:rFonts w:ascii="宋体" w:hAnsi="宋体"/>
          <w:color w:val="000000"/>
          <w:sz w:val="24"/>
          <w:szCs w:val="24"/>
        </w:rPr>
      </w:pPr>
      <w:r>
        <w:rPr>
          <w:rFonts w:hint="eastAsia" w:ascii="宋体" w:hAnsi="宋体"/>
          <w:color w:val="000000"/>
          <w:sz w:val="24"/>
          <w:szCs w:val="24"/>
        </w:rPr>
        <w:t>投标单位（盖章）：</w:t>
      </w:r>
    </w:p>
    <w:p>
      <w:pPr>
        <w:adjustRightInd w:val="0"/>
        <w:snapToGrid w:val="0"/>
        <w:ind w:right="560" w:firstLine="4252" w:firstLineChars="1772"/>
        <w:jc w:val="center"/>
        <w:rPr>
          <w:rFonts w:ascii="宋体" w:hAnsi="宋体"/>
          <w:color w:val="000000"/>
          <w:sz w:val="24"/>
          <w:szCs w:val="24"/>
        </w:rPr>
      </w:pPr>
    </w:p>
    <w:p>
      <w:pPr>
        <w:adjustRightInd w:val="0"/>
        <w:snapToGrid w:val="0"/>
        <w:ind w:right="560" w:firstLine="4252" w:firstLineChars="1772"/>
        <w:jc w:val="left"/>
        <w:rPr>
          <w:rFonts w:ascii="宋体" w:hAnsi="宋体"/>
          <w:color w:val="000000"/>
          <w:sz w:val="24"/>
          <w:szCs w:val="24"/>
        </w:rPr>
      </w:pPr>
      <w:r>
        <w:rPr>
          <w:rFonts w:hint="eastAsia" w:ascii="宋体" w:hAnsi="宋体"/>
          <w:color w:val="000000"/>
          <w:sz w:val="24"/>
          <w:szCs w:val="24"/>
        </w:rPr>
        <w:t>法人代表人（签字）：</w:t>
      </w:r>
    </w:p>
    <w:p>
      <w:pPr>
        <w:adjustRightInd w:val="0"/>
        <w:snapToGrid w:val="0"/>
        <w:ind w:right="560" w:firstLine="4252" w:firstLineChars="1772"/>
        <w:jc w:val="left"/>
        <w:rPr>
          <w:rFonts w:ascii="宋体" w:hAnsi="宋体"/>
          <w:color w:val="000000"/>
          <w:sz w:val="24"/>
          <w:szCs w:val="24"/>
        </w:rPr>
      </w:pPr>
    </w:p>
    <w:p>
      <w:pPr>
        <w:adjustRightInd w:val="0"/>
        <w:snapToGrid w:val="0"/>
        <w:ind w:right="560" w:firstLine="4252" w:firstLineChars="1772"/>
        <w:jc w:val="left"/>
        <w:rPr>
          <w:rFonts w:ascii="宋体" w:hAnsi="宋体"/>
          <w:color w:val="000000"/>
          <w:sz w:val="24"/>
          <w:szCs w:val="24"/>
        </w:rPr>
      </w:pPr>
      <w:r>
        <w:rPr>
          <w:rFonts w:ascii="宋体" w:hAnsi="宋体"/>
          <w:color w:val="000000"/>
          <w:sz w:val="24"/>
          <w:szCs w:val="24"/>
        </w:rPr>
        <w:t>2020年</w:t>
      </w:r>
      <w:r>
        <w:rPr>
          <w:rFonts w:hint="eastAsia" w:ascii="宋体" w:hAnsi="宋体"/>
          <w:color w:val="000000"/>
          <w:sz w:val="24"/>
          <w:szCs w:val="24"/>
        </w:rPr>
        <w:t xml:space="preserve">    </w:t>
      </w:r>
      <w:r>
        <w:rPr>
          <w:rFonts w:ascii="宋体" w:hAnsi="宋体"/>
          <w:color w:val="000000"/>
          <w:sz w:val="24"/>
          <w:szCs w:val="24"/>
        </w:rPr>
        <w:t>月</w:t>
      </w:r>
      <w:r>
        <w:rPr>
          <w:rFonts w:hint="eastAsia" w:ascii="宋体" w:hAnsi="宋体"/>
          <w:color w:val="000000"/>
          <w:sz w:val="24"/>
          <w:szCs w:val="24"/>
        </w:rPr>
        <w:t xml:space="preserve">    </w:t>
      </w:r>
      <w:r>
        <w:rPr>
          <w:rFonts w:ascii="宋体" w:hAnsi="宋体"/>
          <w:color w:val="000000"/>
          <w:sz w:val="24"/>
          <w:szCs w:val="24"/>
        </w:rPr>
        <w:t>日</w:t>
      </w:r>
    </w:p>
    <w:p>
      <w:pPr>
        <w:widowControl/>
        <w:topLinePunct/>
        <w:spacing w:before="120" w:beforeLines="50" w:after="120" w:afterLines="50" w:line="300" w:lineRule="auto"/>
        <w:ind w:right="960"/>
        <w:jc w:val="center"/>
        <w:rPr>
          <w:rFonts w:ascii="宋体" w:hAnsi="宋体" w:cs="宋体"/>
          <w:b/>
          <w:sz w:val="24"/>
          <w:szCs w:val="24"/>
        </w:rPr>
      </w:pPr>
      <w:r>
        <w:rPr>
          <w:rFonts w:ascii="宋体" w:hAnsi="宋体" w:cs="宋体"/>
          <w:b/>
          <w:bCs/>
          <w:kern w:val="0"/>
          <w:sz w:val="28"/>
          <w:szCs w:val="28"/>
        </w:rPr>
        <w:br w:type="page"/>
      </w:r>
    </w:p>
    <w:p>
      <w:pPr>
        <w:spacing w:before="120" w:beforeLines="50" w:after="120" w:afterLines="50" w:line="300" w:lineRule="auto"/>
        <w:rPr>
          <w:rFonts w:ascii="宋体" w:hAnsi="宋体" w:cs="宋体"/>
          <w:b/>
          <w:bCs/>
          <w:kern w:val="0"/>
          <w:sz w:val="24"/>
          <w:szCs w:val="24"/>
        </w:rPr>
      </w:pPr>
      <w:r>
        <w:rPr>
          <w:b/>
          <w:sz w:val="24"/>
          <w:szCs w:val="24"/>
        </w:rPr>
        <w:t>C.2.4</w:t>
      </w:r>
      <w:r>
        <w:rPr>
          <w:b/>
          <w:bCs/>
          <w:sz w:val="24"/>
          <w:szCs w:val="24"/>
        </w:rPr>
        <w:t>、</w:t>
      </w:r>
      <w:r>
        <w:rPr>
          <w:rFonts w:hint="eastAsia" w:ascii="宋体" w:hAnsi="宋体" w:cs="宋体"/>
          <w:b/>
          <w:sz w:val="24"/>
          <w:szCs w:val="24"/>
        </w:rPr>
        <w:t>食品要求</w:t>
      </w:r>
    </w:p>
    <w:p>
      <w:pPr>
        <w:spacing w:before="120" w:beforeLines="50" w:after="120" w:afterLines="50" w:line="300" w:lineRule="auto"/>
        <w:jc w:val="center"/>
        <w:rPr>
          <w:rFonts w:ascii="宋体" w:hAnsi="宋体" w:cs="宋体"/>
          <w:b/>
          <w:bCs/>
          <w:kern w:val="0"/>
          <w:sz w:val="24"/>
          <w:szCs w:val="24"/>
        </w:rPr>
      </w:pPr>
      <w:r>
        <w:rPr>
          <w:rFonts w:hint="eastAsia" w:ascii="宋体" w:hAnsi="宋体" w:cs="宋体"/>
          <w:b/>
          <w:bCs/>
          <w:kern w:val="0"/>
          <w:sz w:val="24"/>
          <w:szCs w:val="24"/>
        </w:rPr>
        <w:t>标段八：调味品、干货类</w:t>
      </w:r>
    </w:p>
    <w:p>
      <w:pPr>
        <w:spacing w:line="360" w:lineRule="auto"/>
        <w:rPr>
          <w:rFonts w:ascii="仿宋_GB2312" w:hAnsi="宋体" w:eastAsia="仿宋_GB2312" w:cs="宋体"/>
          <w:b/>
          <w:kern w:val="0"/>
          <w:sz w:val="24"/>
          <w:szCs w:val="24"/>
        </w:rPr>
      </w:pPr>
      <w:r>
        <w:rPr>
          <w:rFonts w:hint="eastAsia" w:ascii="仿宋_GB2312" w:hAnsi="宋体" w:eastAsia="仿宋_GB2312" w:cs="宋体"/>
          <w:b/>
          <w:kern w:val="0"/>
          <w:sz w:val="24"/>
          <w:szCs w:val="24"/>
        </w:rPr>
        <w:t>调料、干货类食品要求</w:t>
      </w:r>
    </w:p>
    <w:tbl>
      <w:tblPr>
        <w:tblStyle w:val="50"/>
        <w:tblW w:w="9857"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8"/>
        <w:gridCol w:w="1048"/>
        <w:gridCol w:w="2851"/>
        <w:gridCol w:w="1808"/>
        <w:gridCol w:w="1684"/>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658" w:type="dxa"/>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1048" w:type="dxa"/>
            <w:vAlign w:val="center"/>
          </w:tcPr>
          <w:p>
            <w:pPr>
              <w:widowControl/>
              <w:jc w:val="center"/>
              <w:rPr>
                <w:rFonts w:ascii="宋体" w:hAnsi="宋体" w:cs="宋体"/>
                <w:b/>
                <w:bCs/>
                <w:kern w:val="0"/>
                <w:szCs w:val="21"/>
              </w:rPr>
            </w:pPr>
            <w:r>
              <w:rPr>
                <w:rFonts w:hint="eastAsia" w:ascii="宋体" w:hAnsi="宋体" w:cs="宋体"/>
                <w:b/>
                <w:bCs/>
                <w:kern w:val="0"/>
                <w:szCs w:val="21"/>
              </w:rPr>
              <w:t>品名</w:t>
            </w:r>
          </w:p>
        </w:tc>
        <w:tc>
          <w:tcPr>
            <w:tcW w:w="2851" w:type="dxa"/>
            <w:vAlign w:val="center"/>
          </w:tcPr>
          <w:p>
            <w:pPr>
              <w:widowControl/>
              <w:jc w:val="center"/>
              <w:rPr>
                <w:rFonts w:ascii="宋体" w:hAnsi="宋体" w:cs="宋体"/>
                <w:b/>
                <w:bCs/>
                <w:kern w:val="0"/>
                <w:szCs w:val="21"/>
              </w:rPr>
            </w:pPr>
            <w:r>
              <w:rPr>
                <w:rFonts w:hint="eastAsia" w:ascii="宋体" w:hAnsi="宋体" w:cs="宋体"/>
                <w:b/>
                <w:bCs/>
                <w:kern w:val="0"/>
                <w:szCs w:val="21"/>
              </w:rPr>
              <w:t>质量标准</w:t>
            </w:r>
          </w:p>
        </w:tc>
        <w:tc>
          <w:tcPr>
            <w:tcW w:w="1808" w:type="dxa"/>
            <w:vAlign w:val="center"/>
          </w:tcPr>
          <w:p>
            <w:pPr>
              <w:widowControl/>
              <w:jc w:val="center"/>
              <w:rPr>
                <w:rFonts w:ascii="宋体" w:hAnsi="宋体" w:cs="宋体"/>
                <w:b/>
                <w:bCs/>
                <w:kern w:val="0"/>
                <w:szCs w:val="21"/>
              </w:rPr>
            </w:pPr>
            <w:r>
              <w:rPr>
                <w:rFonts w:hint="eastAsia" w:ascii="宋体" w:hAnsi="宋体" w:cs="宋体"/>
                <w:b/>
                <w:bCs/>
                <w:kern w:val="0"/>
                <w:szCs w:val="21"/>
              </w:rPr>
              <w:t>规格</w:t>
            </w:r>
          </w:p>
        </w:tc>
        <w:tc>
          <w:tcPr>
            <w:tcW w:w="1684" w:type="dxa"/>
            <w:vAlign w:val="center"/>
          </w:tcPr>
          <w:p>
            <w:pPr>
              <w:widowControl/>
              <w:jc w:val="center"/>
              <w:rPr>
                <w:rFonts w:ascii="宋体" w:hAnsi="宋体" w:cs="宋体"/>
                <w:b/>
                <w:bCs/>
                <w:kern w:val="0"/>
                <w:szCs w:val="21"/>
              </w:rPr>
            </w:pPr>
            <w:r>
              <w:rPr>
                <w:rFonts w:hint="eastAsia" w:ascii="宋体" w:hAnsi="宋体" w:cs="宋体"/>
                <w:b/>
                <w:bCs/>
                <w:kern w:val="0"/>
                <w:szCs w:val="21"/>
              </w:rPr>
              <w:t>建议品牌</w:t>
            </w:r>
          </w:p>
        </w:tc>
        <w:tc>
          <w:tcPr>
            <w:tcW w:w="1808" w:type="dxa"/>
            <w:vAlign w:val="center"/>
          </w:tcPr>
          <w:p>
            <w:pPr>
              <w:widowControl/>
              <w:jc w:val="center"/>
              <w:rPr>
                <w:rFonts w:ascii="宋体" w:hAnsi="宋体" w:cs="宋体"/>
                <w:b/>
                <w:bCs/>
                <w:kern w:val="0"/>
                <w:szCs w:val="21"/>
              </w:rPr>
            </w:pPr>
            <w:r>
              <w:rPr>
                <w:rFonts w:hint="eastAsia" w:ascii="宋体" w:hAnsi="宋体" w:cs="宋体"/>
                <w:b/>
                <w:bCs/>
                <w:kern w:val="0"/>
                <w:szCs w:val="21"/>
              </w:rPr>
              <w:t>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658" w:type="dxa"/>
            <w:vAlign w:val="center"/>
          </w:tcPr>
          <w:p>
            <w:pPr>
              <w:widowControl/>
              <w:jc w:val="center"/>
              <w:rPr>
                <w:color w:val="000000"/>
                <w:kern w:val="0"/>
                <w:szCs w:val="21"/>
              </w:rPr>
            </w:pPr>
            <w:r>
              <w:rPr>
                <w:color w:val="000000"/>
                <w:kern w:val="0"/>
                <w:szCs w:val="21"/>
              </w:rPr>
              <w:t>1</w:t>
            </w:r>
          </w:p>
        </w:tc>
        <w:tc>
          <w:tcPr>
            <w:tcW w:w="1048" w:type="dxa"/>
            <w:vAlign w:val="center"/>
          </w:tcPr>
          <w:p>
            <w:pPr>
              <w:widowControl/>
              <w:jc w:val="center"/>
              <w:rPr>
                <w:kern w:val="0"/>
                <w:szCs w:val="21"/>
              </w:rPr>
            </w:pPr>
            <w:r>
              <w:rPr>
                <w:kern w:val="0"/>
                <w:szCs w:val="21"/>
              </w:rPr>
              <w:t>酱油</w:t>
            </w:r>
          </w:p>
        </w:tc>
        <w:tc>
          <w:tcPr>
            <w:tcW w:w="2851" w:type="dxa"/>
            <w:vAlign w:val="center"/>
          </w:tcPr>
          <w:p>
            <w:pPr>
              <w:widowControl/>
              <w:jc w:val="center"/>
              <w:rPr>
                <w:kern w:val="0"/>
                <w:szCs w:val="21"/>
              </w:rPr>
            </w:pPr>
            <w:r>
              <w:rPr>
                <w:kern w:val="0"/>
                <w:szCs w:val="21"/>
              </w:rPr>
              <w:t>符合GB2717-2003标准</w:t>
            </w:r>
            <w:r>
              <w:rPr>
                <w:rFonts w:hint="eastAsia"/>
                <w:kern w:val="0"/>
                <w:szCs w:val="21"/>
              </w:rPr>
              <w:t>或GB</w:t>
            </w:r>
            <w:r>
              <w:rPr>
                <w:kern w:val="0"/>
                <w:szCs w:val="21"/>
              </w:rPr>
              <w:t>1816</w:t>
            </w:r>
            <w:r>
              <w:rPr>
                <w:rFonts w:hint="eastAsia"/>
                <w:kern w:val="0"/>
                <w:szCs w:val="21"/>
              </w:rPr>
              <w:t>标准</w:t>
            </w:r>
          </w:p>
        </w:tc>
        <w:tc>
          <w:tcPr>
            <w:tcW w:w="1808" w:type="dxa"/>
            <w:vAlign w:val="center"/>
          </w:tcPr>
          <w:p>
            <w:pPr>
              <w:widowControl/>
              <w:jc w:val="center"/>
              <w:rPr>
                <w:kern w:val="0"/>
                <w:szCs w:val="21"/>
              </w:rPr>
            </w:pPr>
            <w:r>
              <w:rPr>
                <w:kern w:val="0"/>
                <w:szCs w:val="21"/>
              </w:rPr>
              <w:t>1.9升/桶</w:t>
            </w:r>
          </w:p>
        </w:tc>
        <w:tc>
          <w:tcPr>
            <w:tcW w:w="1684" w:type="dxa"/>
            <w:vAlign w:val="center"/>
          </w:tcPr>
          <w:p>
            <w:pPr>
              <w:widowControl/>
              <w:jc w:val="center"/>
              <w:rPr>
                <w:kern w:val="0"/>
                <w:szCs w:val="21"/>
              </w:rPr>
            </w:pPr>
            <w:r>
              <w:rPr>
                <w:kern w:val="0"/>
                <w:szCs w:val="21"/>
              </w:rPr>
              <w:t>海天草菇老抽</w:t>
            </w:r>
          </w:p>
        </w:tc>
        <w:tc>
          <w:tcPr>
            <w:tcW w:w="1808" w:type="dxa"/>
            <w:vAlign w:val="center"/>
          </w:tcPr>
          <w:p>
            <w:pPr>
              <w:widowControl/>
              <w:jc w:val="center"/>
              <w:rPr>
                <w:kern w:val="0"/>
                <w:szCs w:val="21"/>
              </w:rPr>
            </w:pPr>
            <w:r>
              <w:rPr>
                <w:kern w:val="0"/>
                <w:szCs w:val="21"/>
              </w:rPr>
              <w:t>按质量标准送货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658" w:type="dxa"/>
            <w:vAlign w:val="center"/>
          </w:tcPr>
          <w:p>
            <w:pPr>
              <w:widowControl/>
              <w:jc w:val="center"/>
              <w:rPr>
                <w:color w:val="000000"/>
                <w:kern w:val="0"/>
                <w:szCs w:val="21"/>
              </w:rPr>
            </w:pPr>
            <w:r>
              <w:rPr>
                <w:color w:val="000000"/>
                <w:kern w:val="0"/>
                <w:szCs w:val="21"/>
              </w:rPr>
              <w:t>2</w:t>
            </w:r>
          </w:p>
        </w:tc>
        <w:tc>
          <w:tcPr>
            <w:tcW w:w="1048" w:type="dxa"/>
            <w:vAlign w:val="center"/>
          </w:tcPr>
          <w:p>
            <w:pPr>
              <w:widowControl/>
              <w:jc w:val="center"/>
              <w:rPr>
                <w:kern w:val="0"/>
                <w:szCs w:val="21"/>
              </w:rPr>
            </w:pPr>
            <w:r>
              <w:rPr>
                <w:kern w:val="0"/>
                <w:szCs w:val="21"/>
              </w:rPr>
              <w:t>酱油</w:t>
            </w:r>
          </w:p>
        </w:tc>
        <w:tc>
          <w:tcPr>
            <w:tcW w:w="2851" w:type="dxa"/>
            <w:vAlign w:val="center"/>
          </w:tcPr>
          <w:p>
            <w:pPr>
              <w:widowControl/>
              <w:jc w:val="center"/>
              <w:rPr>
                <w:kern w:val="0"/>
                <w:szCs w:val="21"/>
              </w:rPr>
            </w:pPr>
            <w:r>
              <w:rPr>
                <w:kern w:val="0"/>
                <w:szCs w:val="21"/>
              </w:rPr>
              <w:t>符合GB2717-2003标准</w:t>
            </w:r>
            <w:r>
              <w:rPr>
                <w:rFonts w:hint="eastAsia"/>
                <w:kern w:val="0"/>
                <w:szCs w:val="21"/>
              </w:rPr>
              <w:t>或GB</w:t>
            </w:r>
            <w:r>
              <w:rPr>
                <w:kern w:val="0"/>
                <w:szCs w:val="21"/>
              </w:rPr>
              <w:t>1816</w:t>
            </w:r>
            <w:r>
              <w:rPr>
                <w:rFonts w:hint="eastAsia"/>
                <w:kern w:val="0"/>
                <w:szCs w:val="21"/>
              </w:rPr>
              <w:t>标准</w:t>
            </w:r>
          </w:p>
        </w:tc>
        <w:tc>
          <w:tcPr>
            <w:tcW w:w="1808" w:type="dxa"/>
            <w:vAlign w:val="center"/>
          </w:tcPr>
          <w:p>
            <w:pPr>
              <w:widowControl/>
              <w:jc w:val="center"/>
              <w:rPr>
                <w:kern w:val="0"/>
                <w:szCs w:val="21"/>
              </w:rPr>
            </w:pPr>
            <w:r>
              <w:rPr>
                <w:kern w:val="0"/>
                <w:szCs w:val="21"/>
              </w:rPr>
              <w:t>4.9升/桶</w:t>
            </w:r>
          </w:p>
        </w:tc>
        <w:tc>
          <w:tcPr>
            <w:tcW w:w="1684" w:type="dxa"/>
            <w:vAlign w:val="center"/>
          </w:tcPr>
          <w:p>
            <w:pPr>
              <w:widowControl/>
              <w:jc w:val="center"/>
              <w:rPr>
                <w:kern w:val="0"/>
                <w:szCs w:val="21"/>
              </w:rPr>
            </w:pPr>
            <w:r>
              <w:rPr>
                <w:kern w:val="0"/>
                <w:szCs w:val="21"/>
              </w:rPr>
              <w:t>海天老抽王</w:t>
            </w:r>
          </w:p>
        </w:tc>
        <w:tc>
          <w:tcPr>
            <w:tcW w:w="1808" w:type="dxa"/>
          </w:tcPr>
          <w:p>
            <w:pPr>
              <w:jc w:val="center"/>
            </w:pPr>
            <w:r>
              <w:rPr>
                <w:kern w:val="0"/>
                <w:szCs w:val="21"/>
              </w:rPr>
              <w:t>按质量标准送货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658" w:type="dxa"/>
            <w:vAlign w:val="center"/>
          </w:tcPr>
          <w:p>
            <w:pPr>
              <w:widowControl/>
              <w:jc w:val="center"/>
              <w:rPr>
                <w:color w:val="000000"/>
                <w:kern w:val="0"/>
                <w:szCs w:val="21"/>
              </w:rPr>
            </w:pPr>
            <w:r>
              <w:rPr>
                <w:color w:val="000000"/>
                <w:kern w:val="0"/>
                <w:szCs w:val="21"/>
              </w:rPr>
              <w:t>3</w:t>
            </w:r>
          </w:p>
        </w:tc>
        <w:tc>
          <w:tcPr>
            <w:tcW w:w="1048" w:type="dxa"/>
            <w:vAlign w:val="center"/>
          </w:tcPr>
          <w:p>
            <w:pPr>
              <w:widowControl/>
              <w:jc w:val="center"/>
              <w:rPr>
                <w:kern w:val="0"/>
                <w:szCs w:val="21"/>
              </w:rPr>
            </w:pPr>
            <w:r>
              <w:rPr>
                <w:kern w:val="0"/>
                <w:szCs w:val="21"/>
              </w:rPr>
              <w:t>香醋</w:t>
            </w:r>
          </w:p>
        </w:tc>
        <w:tc>
          <w:tcPr>
            <w:tcW w:w="2851" w:type="dxa"/>
            <w:vAlign w:val="center"/>
          </w:tcPr>
          <w:p>
            <w:pPr>
              <w:widowControl/>
              <w:jc w:val="center"/>
              <w:rPr>
                <w:kern w:val="0"/>
                <w:szCs w:val="21"/>
              </w:rPr>
            </w:pPr>
            <w:r>
              <w:rPr>
                <w:kern w:val="0"/>
                <w:szCs w:val="21"/>
              </w:rPr>
              <w:t>符合GB2719-2003标准</w:t>
            </w:r>
            <w:r>
              <w:rPr>
                <w:rFonts w:hint="eastAsia"/>
                <w:kern w:val="0"/>
                <w:szCs w:val="21"/>
              </w:rPr>
              <w:t>或GB/T</w:t>
            </w:r>
            <w:r>
              <w:rPr>
                <w:kern w:val="0"/>
                <w:szCs w:val="21"/>
              </w:rPr>
              <w:t xml:space="preserve"> 18623</w:t>
            </w:r>
          </w:p>
        </w:tc>
        <w:tc>
          <w:tcPr>
            <w:tcW w:w="1808" w:type="dxa"/>
            <w:vAlign w:val="center"/>
          </w:tcPr>
          <w:p>
            <w:pPr>
              <w:widowControl/>
              <w:jc w:val="center"/>
              <w:rPr>
                <w:kern w:val="0"/>
                <w:szCs w:val="21"/>
              </w:rPr>
            </w:pPr>
            <w:r>
              <w:rPr>
                <w:kern w:val="0"/>
                <w:szCs w:val="21"/>
              </w:rPr>
              <w:t>500ml/瓶</w:t>
            </w:r>
          </w:p>
        </w:tc>
        <w:tc>
          <w:tcPr>
            <w:tcW w:w="1684" w:type="dxa"/>
            <w:vAlign w:val="center"/>
          </w:tcPr>
          <w:p>
            <w:pPr>
              <w:widowControl/>
              <w:jc w:val="center"/>
              <w:rPr>
                <w:kern w:val="0"/>
                <w:szCs w:val="21"/>
              </w:rPr>
            </w:pPr>
            <w:r>
              <w:rPr>
                <w:kern w:val="0"/>
                <w:szCs w:val="21"/>
              </w:rPr>
              <w:t>恒顺</w:t>
            </w:r>
          </w:p>
        </w:tc>
        <w:tc>
          <w:tcPr>
            <w:tcW w:w="1808" w:type="dxa"/>
          </w:tcPr>
          <w:p>
            <w:pPr>
              <w:jc w:val="center"/>
            </w:pPr>
            <w:r>
              <w:rPr>
                <w:kern w:val="0"/>
                <w:szCs w:val="21"/>
              </w:rPr>
              <w:t>按质量标准送货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658" w:type="dxa"/>
            <w:vAlign w:val="center"/>
          </w:tcPr>
          <w:p>
            <w:pPr>
              <w:widowControl/>
              <w:jc w:val="center"/>
              <w:rPr>
                <w:color w:val="000000"/>
                <w:kern w:val="0"/>
                <w:szCs w:val="21"/>
              </w:rPr>
            </w:pPr>
            <w:r>
              <w:rPr>
                <w:color w:val="000000"/>
                <w:kern w:val="0"/>
                <w:szCs w:val="21"/>
              </w:rPr>
              <w:t>4</w:t>
            </w:r>
          </w:p>
        </w:tc>
        <w:tc>
          <w:tcPr>
            <w:tcW w:w="1048" w:type="dxa"/>
            <w:vAlign w:val="center"/>
          </w:tcPr>
          <w:p>
            <w:pPr>
              <w:widowControl/>
              <w:jc w:val="center"/>
              <w:rPr>
                <w:kern w:val="0"/>
                <w:szCs w:val="21"/>
              </w:rPr>
            </w:pPr>
            <w:r>
              <w:rPr>
                <w:kern w:val="0"/>
                <w:szCs w:val="21"/>
              </w:rPr>
              <w:t>香醋</w:t>
            </w:r>
          </w:p>
        </w:tc>
        <w:tc>
          <w:tcPr>
            <w:tcW w:w="2851" w:type="dxa"/>
            <w:vAlign w:val="center"/>
          </w:tcPr>
          <w:p>
            <w:pPr>
              <w:widowControl/>
              <w:jc w:val="center"/>
              <w:rPr>
                <w:kern w:val="0"/>
                <w:szCs w:val="21"/>
              </w:rPr>
            </w:pPr>
            <w:r>
              <w:rPr>
                <w:kern w:val="0"/>
                <w:szCs w:val="21"/>
              </w:rPr>
              <w:t>符合GB2719-2003标准</w:t>
            </w:r>
            <w:r>
              <w:rPr>
                <w:rFonts w:hint="eastAsia"/>
                <w:kern w:val="0"/>
                <w:szCs w:val="21"/>
              </w:rPr>
              <w:t>或GB/T</w:t>
            </w:r>
            <w:r>
              <w:rPr>
                <w:kern w:val="0"/>
                <w:szCs w:val="21"/>
              </w:rPr>
              <w:t xml:space="preserve"> 18623</w:t>
            </w:r>
          </w:p>
        </w:tc>
        <w:tc>
          <w:tcPr>
            <w:tcW w:w="1808" w:type="dxa"/>
            <w:vAlign w:val="center"/>
          </w:tcPr>
          <w:p>
            <w:pPr>
              <w:widowControl/>
              <w:jc w:val="center"/>
              <w:rPr>
                <w:kern w:val="0"/>
                <w:szCs w:val="21"/>
              </w:rPr>
            </w:pPr>
            <w:r>
              <w:rPr>
                <w:kern w:val="0"/>
                <w:szCs w:val="21"/>
              </w:rPr>
              <w:t>500ml/瓶</w:t>
            </w:r>
          </w:p>
        </w:tc>
        <w:tc>
          <w:tcPr>
            <w:tcW w:w="1684" w:type="dxa"/>
            <w:vAlign w:val="center"/>
          </w:tcPr>
          <w:p>
            <w:pPr>
              <w:widowControl/>
              <w:jc w:val="center"/>
              <w:rPr>
                <w:kern w:val="0"/>
                <w:szCs w:val="21"/>
              </w:rPr>
            </w:pPr>
            <w:r>
              <w:rPr>
                <w:kern w:val="0"/>
                <w:szCs w:val="21"/>
              </w:rPr>
              <w:t>五山</w:t>
            </w:r>
          </w:p>
        </w:tc>
        <w:tc>
          <w:tcPr>
            <w:tcW w:w="1808" w:type="dxa"/>
          </w:tcPr>
          <w:p>
            <w:pPr>
              <w:jc w:val="center"/>
            </w:pPr>
            <w:r>
              <w:rPr>
                <w:kern w:val="0"/>
                <w:szCs w:val="21"/>
              </w:rPr>
              <w:t>按质量标准送货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658" w:type="dxa"/>
            <w:vAlign w:val="center"/>
          </w:tcPr>
          <w:p>
            <w:pPr>
              <w:widowControl/>
              <w:jc w:val="center"/>
              <w:rPr>
                <w:color w:val="000000"/>
                <w:kern w:val="0"/>
                <w:szCs w:val="21"/>
              </w:rPr>
            </w:pPr>
            <w:r>
              <w:rPr>
                <w:color w:val="000000"/>
                <w:kern w:val="0"/>
                <w:szCs w:val="21"/>
              </w:rPr>
              <w:t>5</w:t>
            </w:r>
          </w:p>
        </w:tc>
        <w:tc>
          <w:tcPr>
            <w:tcW w:w="1048" w:type="dxa"/>
            <w:vAlign w:val="center"/>
          </w:tcPr>
          <w:p>
            <w:pPr>
              <w:widowControl/>
              <w:jc w:val="center"/>
              <w:rPr>
                <w:kern w:val="0"/>
                <w:szCs w:val="21"/>
              </w:rPr>
            </w:pPr>
            <w:r>
              <w:rPr>
                <w:kern w:val="0"/>
                <w:szCs w:val="21"/>
              </w:rPr>
              <w:t>绵白糖</w:t>
            </w:r>
          </w:p>
        </w:tc>
        <w:tc>
          <w:tcPr>
            <w:tcW w:w="2851" w:type="dxa"/>
            <w:vAlign w:val="center"/>
          </w:tcPr>
          <w:p>
            <w:pPr>
              <w:widowControl/>
              <w:jc w:val="center"/>
              <w:rPr>
                <w:kern w:val="0"/>
                <w:szCs w:val="21"/>
              </w:rPr>
            </w:pPr>
            <w:r>
              <w:rPr>
                <w:kern w:val="0"/>
                <w:szCs w:val="21"/>
              </w:rPr>
              <w:t>符合GB/445-2000标准</w:t>
            </w:r>
          </w:p>
        </w:tc>
        <w:tc>
          <w:tcPr>
            <w:tcW w:w="1808" w:type="dxa"/>
            <w:vAlign w:val="center"/>
          </w:tcPr>
          <w:p>
            <w:pPr>
              <w:widowControl/>
              <w:jc w:val="center"/>
              <w:rPr>
                <w:kern w:val="0"/>
                <w:szCs w:val="21"/>
              </w:rPr>
            </w:pPr>
            <w:r>
              <w:rPr>
                <w:kern w:val="0"/>
                <w:szCs w:val="21"/>
              </w:rPr>
              <w:t>50KG/袋</w:t>
            </w:r>
          </w:p>
        </w:tc>
        <w:tc>
          <w:tcPr>
            <w:tcW w:w="1684" w:type="dxa"/>
            <w:vAlign w:val="center"/>
          </w:tcPr>
          <w:p>
            <w:pPr>
              <w:widowControl/>
              <w:jc w:val="center"/>
              <w:rPr>
                <w:kern w:val="0"/>
                <w:szCs w:val="21"/>
              </w:rPr>
            </w:pPr>
          </w:p>
        </w:tc>
        <w:tc>
          <w:tcPr>
            <w:tcW w:w="1808" w:type="dxa"/>
          </w:tcPr>
          <w:p>
            <w:pPr>
              <w:jc w:val="center"/>
            </w:pPr>
            <w:r>
              <w:rPr>
                <w:kern w:val="0"/>
                <w:szCs w:val="21"/>
              </w:rPr>
              <w:t>按质量标准送货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658" w:type="dxa"/>
            <w:vAlign w:val="center"/>
          </w:tcPr>
          <w:p>
            <w:pPr>
              <w:widowControl/>
              <w:jc w:val="center"/>
              <w:rPr>
                <w:color w:val="000000"/>
                <w:kern w:val="0"/>
                <w:szCs w:val="21"/>
              </w:rPr>
            </w:pPr>
            <w:r>
              <w:rPr>
                <w:color w:val="000000"/>
                <w:kern w:val="0"/>
                <w:szCs w:val="21"/>
              </w:rPr>
              <w:t>6</w:t>
            </w:r>
          </w:p>
        </w:tc>
        <w:tc>
          <w:tcPr>
            <w:tcW w:w="1048" w:type="dxa"/>
            <w:vAlign w:val="center"/>
          </w:tcPr>
          <w:p>
            <w:pPr>
              <w:widowControl/>
              <w:jc w:val="center"/>
              <w:rPr>
                <w:kern w:val="0"/>
                <w:szCs w:val="21"/>
              </w:rPr>
            </w:pPr>
            <w:r>
              <w:rPr>
                <w:kern w:val="0"/>
                <w:szCs w:val="21"/>
              </w:rPr>
              <w:t>料酒</w:t>
            </w:r>
          </w:p>
        </w:tc>
        <w:tc>
          <w:tcPr>
            <w:tcW w:w="2851" w:type="dxa"/>
            <w:vAlign w:val="center"/>
          </w:tcPr>
          <w:p>
            <w:pPr>
              <w:widowControl/>
              <w:jc w:val="center"/>
              <w:rPr>
                <w:kern w:val="0"/>
                <w:szCs w:val="21"/>
              </w:rPr>
            </w:pPr>
            <w:r>
              <w:rPr>
                <w:kern w:val="0"/>
                <w:szCs w:val="21"/>
              </w:rPr>
              <w:t>符合GB/TB662-2008黄酒标准</w:t>
            </w:r>
          </w:p>
        </w:tc>
        <w:tc>
          <w:tcPr>
            <w:tcW w:w="1808" w:type="dxa"/>
            <w:vAlign w:val="center"/>
          </w:tcPr>
          <w:p>
            <w:pPr>
              <w:widowControl/>
              <w:jc w:val="center"/>
              <w:rPr>
                <w:kern w:val="0"/>
                <w:szCs w:val="21"/>
              </w:rPr>
            </w:pPr>
            <w:r>
              <w:rPr>
                <w:kern w:val="0"/>
                <w:szCs w:val="21"/>
              </w:rPr>
              <w:t>4L/桶</w:t>
            </w:r>
          </w:p>
        </w:tc>
        <w:tc>
          <w:tcPr>
            <w:tcW w:w="1684" w:type="dxa"/>
            <w:vAlign w:val="center"/>
          </w:tcPr>
          <w:p>
            <w:pPr>
              <w:widowControl/>
              <w:jc w:val="center"/>
              <w:rPr>
                <w:kern w:val="0"/>
                <w:szCs w:val="21"/>
              </w:rPr>
            </w:pPr>
            <w:r>
              <w:rPr>
                <w:kern w:val="0"/>
                <w:szCs w:val="21"/>
              </w:rPr>
              <w:t>白蒲米黄酒</w:t>
            </w:r>
          </w:p>
        </w:tc>
        <w:tc>
          <w:tcPr>
            <w:tcW w:w="1808" w:type="dxa"/>
          </w:tcPr>
          <w:p>
            <w:pPr>
              <w:jc w:val="center"/>
            </w:pPr>
            <w:r>
              <w:rPr>
                <w:kern w:val="0"/>
                <w:szCs w:val="21"/>
              </w:rPr>
              <w:t>按质量标准送货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658" w:type="dxa"/>
            <w:vAlign w:val="center"/>
          </w:tcPr>
          <w:p>
            <w:pPr>
              <w:widowControl/>
              <w:jc w:val="center"/>
              <w:rPr>
                <w:color w:val="000000"/>
                <w:kern w:val="0"/>
                <w:szCs w:val="21"/>
              </w:rPr>
            </w:pPr>
            <w:r>
              <w:rPr>
                <w:color w:val="000000"/>
                <w:kern w:val="0"/>
                <w:szCs w:val="21"/>
              </w:rPr>
              <w:t>7</w:t>
            </w:r>
          </w:p>
        </w:tc>
        <w:tc>
          <w:tcPr>
            <w:tcW w:w="1048" w:type="dxa"/>
            <w:vAlign w:val="center"/>
          </w:tcPr>
          <w:p>
            <w:pPr>
              <w:widowControl/>
              <w:jc w:val="center"/>
              <w:rPr>
                <w:kern w:val="0"/>
                <w:szCs w:val="21"/>
              </w:rPr>
            </w:pPr>
            <w:r>
              <w:rPr>
                <w:kern w:val="0"/>
                <w:szCs w:val="21"/>
              </w:rPr>
              <w:t>味精</w:t>
            </w:r>
          </w:p>
        </w:tc>
        <w:tc>
          <w:tcPr>
            <w:tcW w:w="2851" w:type="dxa"/>
            <w:vAlign w:val="center"/>
          </w:tcPr>
          <w:p>
            <w:pPr>
              <w:widowControl/>
              <w:jc w:val="center"/>
              <w:rPr>
                <w:kern w:val="0"/>
                <w:szCs w:val="21"/>
              </w:rPr>
            </w:pPr>
            <w:r>
              <w:rPr>
                <w:kern w:val="0"/>
                <w:szCs w:val="21"/>
              </w:rPr>
              <w:t>GB/t8967标准，99%无盐味精</w:t>
            </w:r>
          </w:p>
        </w:tc>
        <w:tc>
          <w:tcPr>
            <w:tcW w:w="1808" w:type="dxa"/>
            <w:vAlign w:val="center"/>
          </w:tcPr>
          <w:p>
            <w:pPr>
              <w:widowControl/>
              <w:jc w:val="center"/>
              <w:rPr>
                <w:kern w:val="0"/>
                <w:szCs w:val="21"/>
              </w:rPr>
            </w:pPr>
            <w:r>
              <w:rPr>
                <w:kern w:val="0"/>
                <w:szCs w:val="21"/>
              </w:rPr>
              <w:t>1000g/袋</w:t>
            </w:r>
          </w:p>
        </w:tc>
        <w:tc>
          <w:tcPr>
            <w:tcW w:w="1684" w:type="dxa"/>
            <w:vAlign w:val="center"/>
          </w:tcPr>
          <w:p>
            <w:pPr>
              <w:widowControl/>
              <w:jc w:val="center"/>
              <w:rPr>
                <w:kern w:val="0"/>
                <w:szCs w:val="21"/>
              </w:rPr>
            </w:pPr>
            <w:r>
              <w:rPr>
                <w:kern w:val="0"/>
                <w:szCs w:val="21"/>
              </w:rPr>
              <w:t>天字，白存</w:t>
            </w:r>
          </w:p>
        </w:tc>
        <w:tc>
          <w:tcPr>
            <w:tcW w:w="1808" w:type="dxa"/>
          </w:tcPr>
          <w:p>
            <w:pPr>
              <w:jc w:val="center"/>
            </w:pPr>
            <w:r>
              <w:rPr>
                <w:kern w:val="0"/>
                <w:szCs w:val="21"/>
              </w:rPr>
              <w:t>按质量标准送货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658" w:type="dxa"/>
            <w:vAlign w:val="center"/>
          </w:tcPr>
          <w:p>
            <w:pPr>
              <w:widowControl/>
              <w:jc w:val="center"/>
              <w:rPr>
                <w:color w:val="000000"/>
                <w:kern w:val="0"/>
                <w:szCs w:val="21"/>
              </w:rPr>
            </w:pPr>
            <w:r>
              <w:rPr>
                <w:color w:val="000000"/>
                <w:kern w:val="0"/>
                <w:szCs w:val="21"/>
              </w:rPr>
              <w:t>8</w:t>
            </w:r>
          </w:p>
        </w:tc>
        <w:tc>
          <w:tcPr>
            <w:tcW w:w="1048" w:type="dxa"/>
            <w:vAlign w:val="center"/>
          </w:tcPr>
          <w:p>
            <w:pPr>
              <w:widowControl/>
              <w:jc w:val="center"/>
              <w:rPr>
                <w:kern w:val="0"/>
                <w:szCs w:val="21"/>
              </w:rPr>
            </w:pPr>
            <w:r>
              <w:rPr>
                <w:kern w:val="0"/>
                <w:szCs w:val="21"/>
              </w:rPr>
              <w:t>食用盐</w:t>
            </w:r>
          </w:p>
        </w:tc>
        <w:tc>
          <w:tcPr>
            <w:tcW w:w="2851" w:type="dxa"/>
            <w:vAlign w:val="center"/>
          </w:tcPr>
          <w:p>
            <w:pPr>
              <w:widowControl/>
              <w:jc w:val="center"/>
              <w:rPr>
                <w:kern w:val="0"/>
                <w:szCs w:val="21"/>
              </w:rPr>
            </w:pPr>
            <w:r>
              <w:rPr>
                <w:kern w:val="0"/>
                <w:szCs w:val="21"/>
              </w:rPr>
              <w:t>Q/JSYY00055</w:t>
            </w:r>
          </w:p>
        </w:tc>
        <w:tc>
          <w:tcPr>
            <w:tcW w:w="1808" w:type="dxa"/>
            <w:vAlign w:val="center"/>
          </w:tcPr>
          <w:p>
            <w:pPr>
              <w:widowControl/>
              <w:jc w:val="center"/>
              <w:rPr>
                <w:kern w:val="0"/>
                <w:szCs w:val="21"/>
              </w:rPr>
            </w:pPr>
            <w:r>
              <w:rPr>
                <w:kern w:val="0"/>
                <w:szCs w:val="21"/>
              </w:rPr>
              <w:t>400g/袋</w:t>
            </w:r>
          </w:p>
        </w:tc>
        <w:tc>
          <w:tcPr>
            <w:tcW w:w="1684" w:type="dxa"/>
            <w:vAlign w:val="center"/>
          </w:tcPr>
          <w:p>
            <w:pPr>
              <w:widowControl/>
              <w:jc w:val="center"/>
              <w:rPr>
                <w:kern w:val="0"/>
                <w:szCs w:val="21"/>
              </w:rPr>
            </w:pPr>
            <w:r>
              <w:rPr>
                <w:kern w:val="0"/>
                <w:szCs w:val="21"/>
              </w:rPr>
              <w:t>淮盐</w:t>
            </w:r>
          </w:p>
        </w:tc>
        <w:tc>
          <w:tcPr>
            <w:tcW w:w="1808" w:type="dxa"/>
          </w:tcPr>
          <w:p>
            <w:pPr>
              <w:jc w:val="center"/>
            </w:pPr>
            <w:r>
              <w:rPr>
                <w:kern w:val="0"/>
                <w:szCs w:val="21"/>
              </w:rPr>
              <w:t>按质量标准送货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58" w:type="dxa"/>
            <w:vAlign w:val="center"/>
          </w:tcPr>
          <w:p>
            <w:pPr>
              <w:widowControl/>
              <w:jc w:val="center"/>
              <w:rPr>
                <w:color w:val="000000"/>
                <w:kern w:val="0"/>
                <w:szCs w:val="21"/>
              </w:rPr>
            </w:pPr>
            <w:r>
              <w:rPr>
                <w:color w:val="000000"/>
                <w:kern w:val="0"/>
                <w:szCs w:val="21"/>
              </w:rPr>
              <w:t>9</w:t>
            </w:r>
          </w:p>
        </w:tc>
        <w:tc>
          <w:tcPr>
            <w:tcW w:w="1048" w:type="dxa"/>
            <w:vAlign w:val="center"/>
          </w:tcPr>
          <w:p>
            <w:pPr>
              <w:widowControl/>
              <w:jc w:val="center"/>
              <w:rPr>
                <w:kern w:val="0"/>
                <w:szCs w:val="21"/>
              </w:rPr>
            </w:pPr>
            <w:r>
              <w:rPr>
                <w:kern w:val="0"/>
                <w:szCs w:val="21"/>
              </w:rPr>
              <w:t>香菇菌种</w:t>
            </w:r>
          </w:p>
        </w:tc>
        <w:tc>
          <w:tcPr>
            <w:tcW w:w="2851" w:type="dxa"/>
            <w:vAlign w:val="center"/>
          </w:tcPr>
          <w:p>
            <w:pPr>
              <w:widowControl/>
              <w:jc w:val="center"/>
              <w:rPr>
                <w:kern w:val="0"/>
                <w:szCs w:val="21"/>
              </w:rPr>
            </w:pPr>
            <w:r>
              <w:rPr>
                <w:kern w:val="0"/>
                <w:szCs w:val="21"/>
              </w:rPr>
              <w:t>符合GB/9170-2003标准</w:t>
            </w:r>
          </w:p>
        </w:tc>
        <w:tc>
          <w:tcPr>
            <w:tcW w:w="1808" w:type="dxa"/>
            <w:vAlign w:val="center"/>
          </w:tcPr>
          <w:p>
            <w:pPr>
              <w:widowControl/>
              <w:jc w:val="center"/>
              <w:rPr>
                <w:kern w:val="0"/>
                <w:szCs w:val="21"/>
              </w:rPr>
            </w:pPr>
            <w:r>
              <w:rPr>
                <w:kern w:val="0"/>
                <w:szCs w:val="21"/>
              </w:rPr>
              <w:t>公斤</w:t>
            </w:r>
          </w:p>
        </w:tc>
        <w:tc>
          <w:tcPr>
            <w:tcW w:w="1684" w:type="dxa"/>
            <w:vAlign w:val="center"/>
          </w:tcPr>
          <w:p>
            <w:pPr>
              <w:widowControl/>
              <w:jc w:val="center"/>
              <w:rPr>
                <w:kern w:val="0"/>
                <w:szCs w:val="21"/>
              </w:rPr>
            </w:pPr>
          </w:p>
        </w:tc>
        <w:tc>
          <w:tcPr>
            <w:tcW w:w="1808" w:type="dxa"/>
          </w:tcPr>
          <w:p>
            <w:pPr>
              <w:jc w:val="center"/>
            </w:pPr>
            <w:r>
              <w:rPr>
                <w:kern w:val="0"/>
                <w:szCs w:val="21"/>
              </w:rPr>
              <w:t>按质量标准送货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658" w:type="dxa"/>
            <w:vAlign w:val="center"/>
          </w:tcPr>
          <w:p>
            <w:pPr>
              <w:widowControl/>
              <w:jc w:val="center"/>
              <w:rPr>
                <w:color w:val="000000"/>
                <w:kern w:val="0"/>
                <w:szCs w:val="21"/>
              </w:rPr>
            </w:pPr>
            <w:r>
              <w:rPr>
                <w:color w:val="000000"/>
                <w:kern w:val="0"/>
                <w:szCs w:val="21"/>
              </w:rPr>
              <w:t>10</w:t>
            </w:r>
          </w:p>
        </w:tc>
        <w:tc>
          <w:tcPr>
            <w:tcW w:w="1048" w:type="dxa"/>
            <w:vAlign w:val="center"/>
          </w:tcPr>
          <w:p>
            <w:pPr>
              <w:widowControl/>
              <w:jc w:val="center"/>
              <w:rPr>
                <w:kern w:val="0"/>
                <w:szCs w:val="21"/>
              </w:rPr>
            </w:pPr>
            <w:r>
              <w:rPr>
                <w:kern w:val="0"/>
                <w:szCs w:val="21"/>
              </w:rPr>
              <w:t>黑木耳菌种</w:t>
            </w:r>
          </w:p>
        </w:tc>
        <w:tc>
          <w:tcPr>
            <w:tcW w:w="2851" w:type="dxa"/>
            <w:vAlign w:val="center"/>
          </w:tcPr>
          <w:p>
            <w:pPr>
              <w:widowControl/>
              <w:jc w:val="center"/>
              <w:rPr>
                <w:kern w:val="0"/>
                <w:szCs w:val="21"/>
              </w:rPr>
            </w:pPr>
            <w:r>
              <w:rPr>
                <w:kern w:val="0"/>
                <w:szCs w:val="21"/>
              </w:rPr>
              <w:t>符合GB/9169-2003标准</w:t>
            </w:r>
          </w:p>
        </w:tc>
        <w:tc>
          <w:tcPr>
            <w:tcW w:w="1808" w:type="dxa"/>
            <w:vAlign w:val="center"/>
          </w:tcPr>
          <w:p>
            <w:pPr>
              <w:widowControl/>
              <w:jc w:val="center"/>
              <w:rPr>
                <w:kern w:val="0"/>
                <w:szCs w:val="21"/>
              </w:rPr>
            </w:pPr>
            <w:r>
              <w:rPr>
                <w:kern w:val="0"/>
                <w:szCs w:val="21"/>
              </w:rPr>
              <w:t>公斤</w:t>
            </w:r>
          </w:p>
        </w:tc>
        <w:tc>
          <w:tcPr>
            <w:tcW w:w="1684" w:type="dxa"/>
            <w:vAlign w:val="center"/>
          </w:tcPr>
          <w:p>
            <w:pPr>
              <w:widowControl/>
              <w:jc w:val="center"/>
              <w:rPr>
                <w:kern w:val="0"/>
                <w:szCs w:val="21"/>
              </w:rPr>
            </w:pPr>
          </w:p>
        </w:tc>
        <w:tc>
          <w:tcPr>
            <w:tcW w:w="1808" w:type="dxa"/>
          </w:tcPr>
          <w:p>
            <w:pPr>
              <w:jc w:val="center"/>
            </w:pPr>
            <w:r>
              <w:rPr>
                <w:kern w:val="0"/>
                <w:szCs w:val="21"/>
              </w:rPr>
              <w:t>按质量标准送货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58" w:type="dxa"/>
            <w:vAlign w:val="center"/>
          </w:tcPr>
          <w:p>
            <w:pPr>
              <w:widowControl/>
              <w:jc w:val="center"/>
              <w:rPr>
                <w:color w:val="000000"/>
                <w:kern w:val="0"/>
                <w:szCs w:val="21"/>
              </w:rPr>
            </w:pPr>
            <w:r>
              <w:rPr>
                <w:color w:val="000000"/>
                <w:kern w:val="0"/>
                <w:szCs w:val="21"/>
              </w:rPr>
              <w:t>11</w:t>
            </w:r>
          </w:p>
        </w:tc>
        <w:tc>
          <w:tcPr>
            <w:tcW w:w="1048" w:type="dxa"/>
            <w:vAlign w:val="center"/>
          </w:tcPr>
          <w:p>
            <w:pPr>
              <w:widowControl/>
              <w:jc w:val="center"/>
              <w:rPr>
                <w:kern w:val="0"/>
                <w:szCs w:val="21"/>
              </w:rPr>
            </w:pPr>
            <w:r>
              <w:rPr>
                <w:kern w:val="0"/>
                <w:szCs w:val="21"/>
              </w:rPr>
              <w:t>桂皮</w:t>
            </w:r>
            <w:r>
              <w:rPr>
                <w:rFonts w:hint="eastAsia"/>
                <w:kern w:val="0"/>
                <w:szCs w:val="21"/>
              </w:rPr>
              <w:t>、</w:t>
            </w:r>
            <w:r>
              <w:rPr>
                <w:kern w:val="0"/>
                <w:szCs w:val="21"/>
              </w:rPr>
              <w:t>八角</w:t>
            </w:r>
          </w:p>
        </w:tc>
        <w:tc>
          <w:tcPr>
            <w:tcW w:w="2851" w:type="dxa"/>
            <w:vAlign w:val="center"/>
          </w:tcPr>
          <w:p>
            <w:pPr>
              <w:widowControl/>
              <w:jc w:val="center"/>
              <w:rPr>
                <w:kern w:val="0"/>
                <w:szCs w:val="21"/>
              </w:rPr>
            </w:pPr>
            <w:r>
              <w:rPr>
                <w:kern w:val="0"/>
                <w:szCs w:val="21"/>
              </w:rPr>
              <w:t>符合GB/T7652-2006标准</w:t>
            </w:r>
          </w:p>
        </w:tc>
        <w:tc>
          <w:tcPr>
            <w:tcW w:w="1808" w:type="dxa"/>
            <w:vAlign w:val="center"/>
          </w:tcPr>
          <w:p>
            <w:pPr>
              <w:widowControl/>
              <w:jc w:val="center"/>
              <w:rPr>
                <w:kern w:val="0"/>
                <w:szCs w:val="21"/>
              </w:rPr>
            </w:pPr>
            <w:r>
              <w:rPr>
                <w:kern w:val="0"/>
                <w:szCs w:val="21"/>
              </w:rPr>
              <w:t>公斤</w:t>
            </w:r>
          </w:p>
        </w:tc>
        <w:tc>
          <w:tcPr>
            <w:tcW w:w="1684" w:type="dxa"/>
            <w:vAlign w:val="center"/>
          </w:tcPr>
          <w:p>
            <w:pPr>
              <w:widowControl/>
              <w:jc w:val="center"/>
              <w:rPr>
                <w:kern w:val="0"/>
                <w:szCs w:val="21"/>
              </w:rPr>
            </w:pPr>
          </w:p>
        </w:tc>
        <w:tc>
          <w:tcPr>
            <w:tcW w:w="1808" w:type="dxa"/>
          </w:tcPr>
          <w:p>
            <w:pPr>
              <w:jc w:val="center"/>
            </w:pPr>
            <w:r>
              <w:rPr>
                <w:kern w:val="0"/>
                <w:szCs w:val="21"/>
              </w:rPr>
              <w:t>按质量标准送货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658" w:type="dxa"/>
            <w:vAlign w:val="center"/>
          </w:tcPr>
          <w:p>
            <w:pPr>
              <w:widowControl/>
              <w:jc w:val="center"/>
              <w:rPr>
                <w:color w:val="000000"/>
                <w:kern w:val="0"/>
                <w:szCs w:val="21"/>
              </w:rPr>
            </w:pPr>
            <w:r>
              <w:rPr>
                <w:color w:val="000000"/>
                <w:kern w:val="0"/>
                <w:szCs w:val="21"/>
              </w:rPr>
              <w:t>12</w:t>
            </w:r>
          </w:p>
        </w:tc>
        <w:tc>
          <w:tcPr>
            <w:tcW w:w="1048" w:type="dxa"/>
            <w:vAlign w:val="center"/>
          </w:tcPr>
          <w:p>
            <w:pPr>
              <w:widowControl/>
              <w:jc w:val="center"/>
              <w:rPr>
                <w:kern w:val="0"/>
                <w:szCs w:val="21"/>
              </w:rPr>
            </w:pPr>
            <w:r>
              <w:rPr>
                <w:kern w:val="0"/>
                <w:szCs w:val="21"/>
              </w:rPr>
              <w:t>干辣椒</w:t>
            </w:r>
          </w:p>
        </w:tc>
        <w:tc>
          <w:tcPr>
            <w:tcW w:w="2851" w:type="dxa"/>
            <w:vAlign w:val="center"/>
          </w:tcPr>
          <w:p>
            <w:pPr>
              <w:widowControl/>
              <w:jc w:val="center"/>
              <w:rPr>
                <w:kern w:val="0"/>
                <w:szCs w:val="21"/>
              </w:rPr>
            </w:pPr>
            <w:r>
              <w:rPr>
                <w:kern w:val="0"/>
                <w:szCs w:val="21"/>
              </w:rPr>
              <w:t>符合PB43/T267-2005标准</w:t>
            </w:r>
          </w:p>
        </w:tc>
        <w:tc>
          <w:tcPr>
            <w:tcW w:w="1808" w:type="dxa"/>
            <w:vAlign w:val="center"/>
          </w:tcPr>
          <w:p>
            <w:pPr>
              <w:widowControl/>
              <w:jc w:val="center"/>
              <w:rPr>
                <w:kern w:val="0"/>
                <w:szCs w:val="21"/>
              </w:rPr>
            </w:pPr>
            <w:r>
              <w:rPr>
                <w:kern w:val="0"/>
                <w:szCs w:val="21"/>
              </w:rPr>
              <w:t>元/公斤</w:t>
            </w:r>
          </w:p>
        </w:tc>
        <w:tc>
          <w:tcPr>
            <w:tcW w:w="1684" w:type="dxa"/>
            <w:vAlign w:val="center"/>
          </w:tcPr>
          <w:p>
            <w:pPr>
              <w:widowControl/>
              <w:jc w:val="center"/>
              <w:rPr>
                <w:kern w:val="0"/>
                <w:szCs w:val="21"/>
              </w:rPr>
            </w:pPr>
          </w:p>
        </w:tc>
        <w:tc>
          <w:tcPr>
            <w:tcW w:w="1808" w:type="dxa"/>
          </w:tcPr>
          <w:p>
            <w:pPr>
              <w:jc w:val="center"/>
            </w:pPr>
            <w:r>
              <w:rPr>
                <w:kern w:val="0"/>
                <w:szCs w:val="21"/>
              </w:rPr>
              <w:t>按质量标准送货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58" w:type="dxa"/>
            <w:vAlign w:val="center"/>
          </w:tcPr>
          <w:p>
            <w:pPr>
              <w:widowControl/>
              <w:jc w:val="center"/>
              <w:rPr>
                <w:color w:val="000000"/>
                <w:kern w:val="0"/>
                <w:szCs w:val="21"/>
              </w:rPr>
            </w:pPr>
            <w:r>
              <w:rPr>
                <w:color w:val="000000"/>
                <w:kern w:val="0"/>
                <w:szCs w:val="21"/>
              </w:rPr>
              <w:t>13</w:t>
            </w:r>
          </w:p>
        </w:tc>
        <w:tc>
          <w:tcPr>
            <w:tcW w:w="1048" w:type="dxa"/>
            <w:vAlign w:val="center"/>
          </w:tcPr>
          <w:p>
            <w:pPr>
              <w:widowControl/>
              <w:jc w:val="center"/>
              <w:rPr>
                <w:kern w:val="0"/>
                <w:szCs w:val="21"/>
              </w:rPr>
            </w:pPr>
            <w:r>
              <w:rPr>
                <w:kern w:val="0"/>
                <w:szCs w:val="21"/>
              </w:rPr>
              <w:t>红薯粉丝.粉条</w:t>
            </w:r>
          </w:p>
        </w:tc>
        <w:tc>
          <w:tcPr>
            <w:tcW w:w="2851" w:type="dxa"/>
            <w:vAlign w:val="center"/>
          </w:tcPr>
          <w:p>
            <w:pPr>
              <w:widowControl/>
              <w:jc w:val="center"/>
              <w:rPr>
                <w:kern w:val="0"/>
                <w:szCs w:val="21"/>
              </w:rPr>
            </w:pPr>
            <w:r>
              <w:rPr>
                <w:kern w:val="0"/>
                <w:szCs w:val="21"/>
              </w:rPr>
              <w:t>符合GB/T23587-2009标准</w:t>
            </w:r>
          </w:p>
        </w:tc>
        <w:tc>
          <w:tcPr>
            <w:tcW w:w="1808" w:type="dxa"/>
            <w:vAlign w:val="center"/>
          </w:tcPr>
          <w:p>
            <w:pPr>
              <w:widowControl/>
              <w:jc w:val="center"/>
              <w:rPr>
                <w:kern w:val="0"/>
                <w:szCs w:val="21"/>
              </w:rPr>
            </w:pPr>
            <w:r>
              <w:rPr>
                <w:kern w:val="0"/>
                <w:szCs w:val="21"/>
              </w:rPr>
              <w:t>元/公斤</w:t>
            </w:r>
          </w:p>
        </w:tc>
        <w:tc>
          <w:tcPr>
            <w:tcW w:w="1684" w:type="dxa"/>
            <w:vAlign w:val="center"/>
          </w:tcPr>
          <w:p>
            <w:pPr>
              <w:widowControl/>
              <w:jc w:val="center"/>
              <w:rPr>
                <w:kern w:val="0"/>
                <w:szCs w:val="21"/>
              </w:rPr>
            </w:pPr>
          </w:p>
        </w:tc>
        <w:tc>
          <w:tcPr>
            <w:tcW w:w="1808" w:type="dxa"/>
          </w:tcPr>
          <w:p>
            <w:pPr>
              <w:jc w:val="center"/>
            </w:pPr>
            <w:r>
              <w:rPr>
                <w:kern w:val="0"/>
                <w:szCs w:val="21"/>
              </w:rPr>
              <w:t>按质量标准送货</w:t>
            </w:r>
          </w:p>
        </w:tc>
      </w:tr>
    </w:tbl>
    <w:p>
      <w:pPr>
        <w:spacing w:line="400" w:lineRule="exact"/>
        <w:ind w:left="661" w:leftChars="200" w:hanging="241" w:hangingChars="100"/>
        <w:jc w:val="left"/>
        <w:rPr>
          <w:rFonts w:ascii="仿宋" w:hAnsi="仿宋" w:eastAsia="仿宋" w:cs="宋体"/>
          <w:b/>
          <w:color w:val="000000"/>
          <w:kern w:val="0"/>
          <w:sz w:val="24"/>
          <w:szCs w:val="24"/>
        </w:rPr>
      </w:pPr>
    </w:p>
    <w:p>
      <w:pPr>
        <w:spacing w:line="400" w:lineRule="exact"/>
        <w:ind w:left="661" w:leftChars="200" w:hanging="241" w:hangingChars="100"/>
        <w:jc w:val="left"/>
        <w:rPr>
          <w:rFonts w:ascii="仿宋" w:hAnsi="仿宋" w:eastAsia="仿宋" w:cs="宋体"/>
          <w:b/>
          <w:color w:val="000000"/>
          <w:kern w:val="0"/>
          <w:sz w:val="24"/>
          <w:szCs w:val="24"/>
        </w:rPr>
      </w:pPr>
      <w:r>
        <w:rPr>
          <w:rFonts w:hint="eastAsia" w:ascii="仿宋" w:hAnsi="仿宋" w:eastAsia="仿宋" w:cs="宋体"/>
          <w:b/>
          <w:color w:val="000000"/>
          <w:kern w:val="0"/>
          <w:sz w:val="24"/>
          <w:szCs w:val="24"/>
        </w:rPr>
        <w:t>提醒：</w:t>
      </w:r>
    </w:p>
    <w:p>
      <w:pPr>
        <w:spacing w:line="400" w:lineRule="exact"/>
        <w:ind w:left="1" w:firstLine="420" w:firstLineChars="175"/>
        <w:jc w:val="left"/>
        <w:rPr>
          <w:rFonts w:ascii="仿宋" w:hAnsi="仿宋" w:eastAsia="仿宋"/>
          <w:color w:val="FF0000"/>
          <w:sz w:val="24"/>
          <w:szCs w:val="24"/>
        </w:rPr>
      </w:pPr>
      <w:r>
        <w:rPr>
          <w:rFonts w:hint="eastAsia" w:ascii="仿宋" w:hAnsi="仿宋" w:eastAsia="仿宋" w:cs="宋体"/>
          <w:color w:val="000000"/>
          <w:kern w:val="0"/>
          <w:sz w:val="24"/>
          <w:szCs w:val="24"/>
        </w:rPr>
        <w:t>如未按磋商文件和合同要求履行相关要求的，发生一次罚款200</w:t>
      </w:r>
      <w:r>
        <w:rPr>
          <w:rFonts w:ascii="仿宋" w:hAnsi="仿宋" w:eastAsia="仿宋" w:cs="宋体"/>
          <w:color w:val="000000"/>
          <w:kern w:val="0"/>
          <w:sz w:val="24"/>
          <w:szCs w:val="24"/>
        </w:rPr>
        <w:t>—</w:t>
      </w:r>
      <w:r>
        <w:rPr>
          <w:rFonts w:hint="eastAsia" w:ascii="仿宋" w:hAnsi="仿宋" w:eastAsia="仿宋" w:cs="宋体"/>
          <w:color w:val="000000"/>
          <w:kern w:val="0"/>
          <w:sz w:val="24"/>
          <w:szCs w:val="24"/>
        </w:rPr>
        <w:t>2000元；2次以上的，学校有权单方面终止合同（提前一周通知中标单位）；情节严重的学校有权单方面立即终止合同。一切责任均由中标单位负责并承担。</w:t>
      </w:r>
    </w:p>
    <w:p>
      <w:pPr>
        <w:adjustRightInd w:val="0"/>
        <w:snapToGrid w:val="0"/>
        <w:rPr>
          <w:rFonts w:ascii="仿宋" w:hAnsi="仿宋" w:eastAsia="仿宋"/>
          <w:color w:val="000000"/>
          <w:sz w:val="28"/>
          <w:szCs w:val="28"/>
        </w:rPr>
      </w:pPr>
    </w:p>
    <w:p>
      <w:pPr>
        <w:adjustRightInd w:val="0"/>
        <w:snapToGrid w:val="0"/>
        <w:rPr>
          <w:rFonts w:ascii="宋体" w:hAnsi="宋体"/>
          <w:color w:val="000000"/>
          <w:sz w:val="28"/>
          <w:szCs w:val="28"/>
        </w:rPr>
      </w:pPr>
    </w:p>
    <w:p>
      <w:pPr>
        <w:adjustRightInd w:val="0"/>
        <w:snapToGrid w:val="0"/>
        <w:ind w:right="560" w:firstLine="4252" w:firstLineChars="1772"/>
        <w:jc w:val="left"/>
        <w:rPr>
          <w:rFonts w:ascii="宋体" w:hAnsi="宋体"/>
          <w:color w:val="000000"/>
          <w:sz w:val="24"/>
          <w:szCs w:val="24"/>
        </w:rPr>
      </w:pPr>
      <w:r>
        <w:rPr>
          <w:rFonts w:hint="eastAsia" w:ascii="宋体" w:hAnsi="宋体"/>
          <w:color w:val="000000"/>
          <w:sz w:val="24"/>
          <w:szCs w:val="24"/>
        </w:rPr>
        <w:t>投标单位（盖章）：</w:t>
      </w:r>
    </w:p>
    <w:p>
      <w:pPr>
        <w:adjustRightInd w:val="0"/>
        <w:snapToGrid w:val="0"/>
        <w:ind w:right="560" w:firstLine="4252" w:firstLineChars="1772"/>
        <w:jc w:val="center"/>
        <w:rPr>
          <w:rFonts w:ascii="宋体" w:hAnsi="宋体"/>
          <w:color w:val="000000"/>
          <w:sz w:val="24"/>
          <w:szCs w:val="24"/>
        </w:rPr>
      </w:pPr>
    </w:p>
    <w:p>
      <w:pPr>
        <w:adjustRightInd w:val="0"/>
        <w:snapToGrid w:val="0"/>
        <w:ind w:right="560" w:firstLine="4252" w:firstLineChars="1772"/>
        <w:jc w:val="left"/>
        <w:rPr>
          <w:rFonts w:ascii="宋体" w:hAnsi="宋体"/>
          <w:color w:val="000000"/>
          <w:sz w:val="24"/>
          <w:szCs w:val="24"/>
        </w:rPr>
      </w:pPr>
      <w:r>
        <w:rPr>
          <w:rFonts w:hint="eastAsia" w:ascii="宋体" w:hAnsi="宋体"/>
          <w:color w:val="000000"/>
          <w:sz w:val="24"/>
          <w:szCs w:val="24"/>
        </w:rPr>
        <w:t>法人代表人（签字）：</w:t>
      </w:r>
    </w:p>
    <w:p>
      <w:pPr>
        <w:adjustRightInd w:val="0"/>
        <w:snapToGrid w:val="0"/>
        <w:ind w:right="560" w:firstLine="4252" w:firstLineChars="1772"/>
        <w:jc w:val="left"/>
        <w:rPr>
          <w:rFonts w:ascii="宋体" w:hAnsi="宋体"/>
          <w:color w:val="000000"/>
          <w:sz w:val="24"/>
          <w:szCs w:val="24"/>
        </w:rPr>
      </w:pPr>
    </w:p>
    <w:p>
      <w:pPr>
        <w:adjustRightInd w:val="0"/>
        <w:snapToGrid w:val="0"/>
        <w:ind w:right="560" w:firstLine="4252" w:firstLineChars="1772"/>
        <w:jc w:val="left"/>
        <w:rPr>
          <w:rFonts w:ascii="宋体" w:hAnsi="宋体"/>
          <w:color w:val="000000"/>
          <w:sz w:val="24"/>
          <w:szCs w:val="24"/>
        </w:rPr>
      </w:pPr>
      <w:r>
        <w:rPr>
          <w:rFonts w:ascii="宋体" w:hAnsi="宋体"/>
          <w:color w:val="000000"/>
          <w:sz w:val="24"/>
          <w:szCs w:val="24"/>
        </w:rPr>
        <w:t>2020年</w:t>
      </w:r>
      <w:r>
        <w:rPr>
          <w:rFonts w:hint="eastAsia" w:ascii="宋体" w:hAnsi="宋体"/>
          <w:color w:val="000000"/>
          <w:sz w:val="24"/>
          <w:szCs w:val="24"/>
        </w:rPr>
        <w:t xml:space="preserve">    </w:t>
      </w:r>
      <w:r>
        <w:rPr>
          <w:rFonts w:ascii="宋体" w:hAnsi="宋体"/>
          <w:color w:val="000000"/>
          <w:sz w:val="24"/>
          <w:szCs w:val="24"/>
        </w:rPr>
        <w:t>月</w:t>
      </w:r>
      <w:r>
        <w:rPr>
          <w:rFonts w:hint="eastAsia" w:ascii="宋体" w:hAnsi="宋体"/>
          <w:color w:val="000000"/>
          <w:sz w:val="24"/>
          <w:szCs w:val="24"/>
        </w:rPr>
        <w:t xml:space="preserve">    </w:t>
      </w:r>
      <w:r>
        <w:rPr>
          <w:rFonts w:ascii="宋体" w:hAnsi="宋体"/>
          <w:color w:val="000000"/>
          <w:sz w:val="24"/>
          <w:szCs w:val="24"/>
        </w:rPr>
        <w:t>日</w:t>
      </w:r>
    </w:p>
    <w:p>
      <w:pPr>
        <w:spacing w:before="120" w:beforeLines="50" w:after="120" w:afterLines="50" w:line="300" w:lineRule="auto"/>
        <w:jc w:val="center"/>
        <w:outlineLvl w:val="2"/>
        <w:rPr>
          <w:rFonts w:ascii="宋体" w:hAnsi="宋体" w:cs="宋体"/>
          <w:b/>
          <w:color w:val="000000"/>
          <w:sz w:val="24"/>
          <w:szCs w:val="24"/>
        </w:rPr>
      </w:pPr>
      <w:r>
        <w:rPr>
          <w:rFonts w:ascii="宋体" w:hAnsi="宋体" w:cs="宋体"/>
          <w:b/>
          <w:bCs/>
          <w:kern w:val="0"/>
          <w:sz w:val="28"/>
          <w:szCs w:val="28"/>
        </w:rPr>
        <w:br w:type="page"/>
      </w:r>
    </w:p>
    <w:p>
      <w:pPr>
        <w:spacing w:before="120" w:beforeLines="50" w:after="120" w:afterLines="50" w:line="300" w:lineRule="auto"/>
        <w:rPr>
          <w:rFonts w:ascii="宋体" w:hAnsi="宋体" w:cs="宋体"/>
          <w:b/>
          <w:bCs/>
          <w:kern w:val="0"/>
          <w:sz w:val="24"/>
          <w:szCs w:val="24"/>
        </w:rPr>
      </w:pPr>
      <w:r>
        <w:rPr>
          <w:b/>
          <w:sz w:val="24"/>
          <w:szCs w:val="24"/>
        </w:rPr>
        <w:t>C.2.4</w:t>
      </w:r>
      <w:r>
        <w:rPr>
          <w:b/>
          <w:bCs/>
          <w:sz w:val="24"/>
          <w:szCs w:val="24"/>
        </w:rPr>
        <w:t>、</w:t>
      </w:r>
      <w:r>
        <w:rPr>
          <w:rFonts w:hint="eastAsia" w:ascii="宋体" w:hAnsi="宋体" w:cs="宋体"/>
          <w:b/>
          <w:sz w:val="24"/>
          <w:szCs w:val="24"/>
        </w:rPr>
        <w:t>食品要求</w:t>
      </w:r>
    </w:p>
    <w:p>
      <w:pPr>
        <w:spacing w:before="120" w:beforeLines="50" w:after="120" w:afterLines="50" w:line="300" w:lineRule="auto"/>
        <w:jc w:val="center"/>
        <w:rPr>
          <w:rFonts w:ascii="宋体" w:hAnsi="宋体" w:cs="宋体"/>
          <w:b/>
          <w:bCs/>
          <w:kern w:val="0"/>
          <w:sz w:val="24"/>
          <w:szCs w:val="24"/>
        </w:rPr>
      </w:pPr>
      <w:r>
        <w:rPr>
          <w:rFonts w:hint="eastAsia" w:ascii="宋体" w:hAnsi="宋体" w:cs="宋体"/>
          <w:b/>
          <w:bCs/>
          <w:kern w:val="0"/>
          <w:sz w:val="24"/>
          <w:szCs w:val="24"/>
        </w:rPr>
        <w:t>标段九：豆制品类</w:t>
      </w:r>
    </w:p>
    <w:p>
      <w:pPr>
        <w:spacing w:line="360" w:lineRule="auto"/>
        <w:rPr>
          <w:rFonts w:ascii="仿宋_GB2312" w:hAnsi="宋体" w:eastAsia="仿宋_GB2312" w:cs="宋体"/>
          <w:b/>
          <w:kern w:val="0"/>
          <w:sz w:val="24"/>
          <w:szCs w:val="24"/>
        </w:rPr>
      </w:pPr>
      <w:r>
        <w:rPr>
          <w:rFonts w:hint="eastAsia" w:ascii="仿宋_GB2312" w:hAnsi="宋体" w:eastAsia="仿宋_GB2312" w:cs="宋体"/>
          <w:b/>
          <w:kern w:val="0"/>
          <w:sz w:val="24"/>
          <w:szCs w:val="24"/>
        </w:rPr>
        <w:t>豆制品类食品要求</w:t>
      </w:r>
    </w:p>
    <w:tbl>
      <w:tblPr>
        <w:tblStyle w:val="50"/>
        <w:tblW w:w="8875" w:type="dxa"/>
        <w:tblInd w:w="93" w:type="dxa"/>
        <w:tblLayout w:type="autofit"/>
        <w:tblCellMar>
          <w:top w:w="0" w:type="dxa"/>
          <w:left w:w="108" w:type="dxa"/>
          <w:bottom w:w="0" w:type="dxa"/>
          <w:right w:w="108" w:type="dxa"/>
        </w:tblCellMar>
      </w:tblPr>
      <w:tblGrid>
        <w:gridCol w:w="753"/>
        <w:gridCol w:w="970"/>
        <w:gridCol w:w="4002"/>
        <w:gridCol w:w="1825"/>
        <w:gridCol w:w="1325"/>
      </w:tblGrid>
      <w:tr>
        <w:tblPrEx>
          <w:tblCellMar>
            <w:top w:w="0" w:type="dxa"/>
            <w:left w:w="108" w:type="dxa"/>
            <w:bottom w:w="0" w:type="dxa"/>
            <w:right w:w="108" w:type="dxa"/>
          </w:tblCellMar>
        </w:tblPrEx>
        <w:trPr>
          <w:trHeight w:val="684" w:hRule="atLeast"/>
        </w:trPr>
        <w:tc>
          <w:tcPr>
            <w:tcW w:w="7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97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品名</w:t>
            </w:r>
          </w:p>
        </w:tc>
        <w:tc>
          <w:tcPr>
            <w:tcW w:w="400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质量标准</w:t>
            </w:r>
          </w:p>
        </w:tc>
        <w:tc>
          <w:tcPr>
            <w:tcW w:w="182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服务承诺</w:t>
            </w:r>
          </w:p>
        </w:tc>
        <w:tc>
          <w:tcPr>
            <w:tcW w:w="132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备注</w:t>
            </w:r>
          </w:p>
        </w:tc>
      </w:tr>
      <w:tr>
        <w:tblPrEx>
          <w:tblCellMar>
            <w:top w:w="0" w:type="dxa"/>
            <w:left w:w="108" w:type="dxa"/>
            <w:bottom w:w="0" w:type="dxa"/>
            <w:right w:w="108" w:type="dxa"/>
          </w:tblCellMar>
        </w:tblPrEx>
        <w:trPr>
          <w:trHeight w:val="775" w:hRule="atLeast"/>
        </w:trPr>
        <w:tc>
          <w:tcPr>
            <w:tcW w:w="75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7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中豆腐</w:t>
            </w:r>
          </w:p>
        </w:tc>
        <w:tc>
          <w:tcPr>
            <w:tcW w:w="4002"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符合GB2711-2003非发酵性豆制品及面筋标准</w:t>
            </w:r>
          </w:p>
        </w:tc>
        <w:tc>
          <w:tcPr>
            <w:tcW w:w="182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按质量标准送货</w:t>
            </w:r>
          </w:p>
        </w:tc>
        <w:tc>
          <w:tcPr>
            <w:tcW w:w="132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当日生产</w:t>
            </w:r>
          </w:p>
        </w:tc>
      </w:tr>
      <w:tr>
        <w:tblPrEx>
          <w:tblCellMar>
            <w:top w:w="0" w:type="dxa"/>
            <w:left w:w="108" w:type="dxa"/>
            <w:bottom w:w="0" w:type="dxa"/>
            <w:right w:w="108" w:type="dxa"/>
          </w:tblCellMar>
        </w:tblPrEx>
        <w:trPr>
          <w:trHeight w:val="653" w:hRule="atLeast"/>
        </w:trPr>
        <w:tc>
          <w:tcPr>
            <w:tcW w:w="75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97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白干丝</w:t>
            </w:r>
          </w:p>
        </w:tc>
        <w:tc>
          <w:tcPr>
            <w:tcW w:w="4002"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符合GB2711-2003非发酵性豆制品及面筋标准</w:t>
            </w:r>
          </w:p>
        </w:tc>
        <w:tc>
          <w:tcPr>
            <w:tcW w:w="182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按质量标准送货</w:t>
            </w:r>
          </w:p>
        </w:tc>
        <w:tc>
          <w:tcPr>
            <w:tcW w:w="132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当日生产</w:t>
            </w:r>
          </w:p>
        </w:tc>
      </w:tr>
      <w:tr>
        <w:trPr>
          <w:trHeight w:val="699" w:hRule="atLeast"/>
        </w:trPr>
        <w:tc>
          <w:tcPr>
            <w:tcW w:w="75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97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百页</w:t>
            </w:r>
          </w:p>
        </w:tc>
        <w:tc>
          <w:tcPr>
            <w:tcW w:w="4002"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符合GB2711-2003非发酵性豆制品及面筋标准</w:t>
            </w:r>
          </w:p>
        </w:tc>
        <w:tc>
          <w:tcPr>
            <w:tcW w:w="182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按质量标准送货</w:t>
            </w:r>
          </w:p>
        </w:tc>
        <w:tc>
          <w:tcPr>
            <w:tcW w:w="132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当日生产</w:t>
            </w:r>
          </w:p>
        </w:tc>
      </w:tr>
      <w:tr>
        <w:tblPrEx>
          <w:tblCellMar>
            <w:top w:w="0" w:type="dxa"/>
            <w:left w:w="108" w:type="dxa"/>
            <w:bottom w:w="0" w:type="dxa"/>
            <w:right w:w="108" w:type="dxa"/>
          </w:tblCellMar>
        </w:tblPrEx>
        <w:trPr>
          <w:trHeight w:val="638" w:hRule="atLeast"/>
        </w:trPr>
        <w:tc>
          <w:tcPr>
            <w:tcW w:w="75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97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素鸡</w:t>
            </w:r>
          </w:p>
        </w:tc>
        <w:tc>
          <w:tcPr>
            <w:tcW w:w="4002"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符合GB2711-2003非发酵性豆制品及面筋标准</w:t>
            </w:r>
          </w:p>
        </w:tc>
        <w:tc>
          <w:tcPr>
            <w:tcW w:w="182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按质量标准送货</w:t>
            </w:r>
          </w:p>
        </w:tc>
        <w:tc>
          <w:tcPr>
            <w:tcW w:w="132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当日生产</w:t>
            </w:r>
          </w:p>
        </w:tc>
      </w:tr>
      <w:tr>
        <w:tblPrEx>
          <w:tblCellMar>
            <w:top w:w="0" w:type="dxa"/>
            <w:left w:w="108" w:type="dxa"/>
            <w:bottom w:w="0" w:type="dxa"/>
            <w:right w:w="108" w:type="dxa"/>
          </w:tblCellMar>
        </w:tblPrEx>
        <w:trPr>
          <w:trHeight w:val="608" w:hRule="atLeast"/>
        </w:trPr>
        <w:tc>
          <w:tcPr>
            <w:tcW w:w="75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97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粉皮</w:t>
            </w:r>
          </w:p>
        </w:tc>
        <w:tc>
          <w:tcPr>
            <w:tcW w:w="4002"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符合GB2711-2003非发酵性豆制品及面筋标准</w:t>
            </w:r>
          </w:p>
        </w:tc>
        <w:tc>
          <w:tcPr>
            <w:tcW w:w="182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按质量标准送货</w:t>
            </w:r>
          </w:p>
        </w:tc>
        <w:tc>
          <w:tcPr>
            <w:tcW w:w="132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当日生产</w:t>
            </w:r>
          </w:p>
        </w:tc>
      </w:tr>
      <w:tr>
        <w:trPr>
          <w:trHeight w:val="486" w:hRule="atLeast"/>
        </w:trPr>
        <w:tc>
          <w:tcPr>
            <w:tcW w:w="75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97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油豆腐</w:t>
            </w:r>
          </w:p>
        </w:tc>
        <w:tc>
          <w:tcPr>
            <w:tcW w:w="4002"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符合GB2711-2003非发酵性豆制品及面筋标准</w:t>
            </w:r>
          </w:p>
        </w:tc>
        <w:tc>
          <w:tcPr>
            <w:tcW w:w="182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按质量标准送货</w:t>
            </w:r>
          </w:p>
        </w:tc>
        <w:tc>
          <w:tcPr>
            <w:tcW w:w="132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当日生产</w:t>
            </w:r>
          </w:p>
        </w:tc>
      </w:tr>
      <w:tr>
        <w:tblPrEx>
          <w:tblCellMar>
            <w:top w:w="0" w:type="dxa"/>
            <w:left w:w="108" w:type="dxa"/>
            <w:bottom w:w="0" w:type="dxa"/>
            <w:right w:w="108" w:type="dxa"/>
          </w:tblCellMar>
        </w:tblPrEx>
        <w:trPr>
          <w:trHeight w:val="669" w:hRule="atLeast"/>
        </w:trPr>
        <w:tc>
          <w:tcPr>
            <w:tcW w:w="75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97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油干</w:t>
            </w:r>
          </w:p>
        </w:tc>
        <w:tc>
          <w:tcPr>
            <w:tcW w:w="4002"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符合GB2711-2003非发酵性豆制品及面筋标准</w:t>
            </w:r>
          </w:p>
        </w:tc>
        <w:tc>
          <w:tcPr>
            <w:tcW w:w="182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按质量标准送货</w:t>
            </w:r>
          </w:p>
        </w:tc>
        <w:tc>
          <w:tcPr>
            <w:tcW w:w="132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当日生产</w:t>
            </w:r>
          </w:p>
        </w:tc>
      </w:tr>
      <w:tr>
        <w:tblPrEx>
          <w:tblCellMar>
            <w:top w:w="0" w:type="dxa"/>
            <w:left w:w="108" w:type="dxa"/>
            <w:bottom w:w="0" w:type="dxa"/>
            <w:right w:w="108" w:type="dxa"/>
          </w:tblCellMar>
        </w:tblPrEx>
        <w:trPr>
          <w:trHeight w:val="669" w:hRule="atLeast"/>
        </w:trPr>
        <w:tc>
          <w:tcPr>
            <w:tcW w:w="75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97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面筋泡</w:t>
            </w:r>
          </w:p>
        </w:tc>
        <w:tc>
          <w:tcPr>
            <w:tcW w:w="4002"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符合GB2711-2003非发酵性豆制品及面筋标准</w:t>
            </w:r>
          </w:p>
        </w:tc>
        <w:tc>
          <w:tcPr>
            <w:tcW w:w="182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按质量标准送货</w:t>
            </w:r>
          </w:p>
        </w:tc>
        <w:tc>
          <w:tcPr>
            <w:tcW w:w="132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当日生产</w:t>
            </w:r>
          </w:p>
        </w:tc>
      </w:tr>
    </w:tbl>
    <w:p>
      <w:pPr>
        <w:spacing w:line="400" w:lineRule="exact"/>
        <w:ind w:left="661" w:leftChars="200" w:hanging="241" w:hangingChars="100"/>
        <w:jc w:val="left"/>
        <w:rPr>
          <w:rFonts w:ascii="仿宋" w:hAnsi="仿宋" w:eastAsia="仿宋" w:cs="宋体"/>
          <w:b/>
          <w:color w:val="000000"/>
          <w:kern w:val="0"/>
          <w:sz w:val="24"/>
          <w:szCs w:val="24"/>
        </w:rPr>
      </w:pPr>
      <w:r>
        <w:rPr>
          <w:rFonts w:hint="eastAsia" w:ascii="仿宋" w:hAnsi="仿宋" w:eastAsia="仿宋" w:cs="宋体"/>
          <w:b/>
          <w:color w:val="000000"/>
          <w:kern w:val="0"/>
          <w:sz w:val="24"/>
          <w:szCs w:val="24"/>
        </w:rPr>
        <w:t>提醒：</w:t>
      </w:r>
    </w:p>
    <w:p>
      <w:pPr>
        <w:spacing w:line="400" w:lineRule="exact"/>
        <w:ind w:left="1" w:firstLine="420" w:firstLineChars="175"/>
        <w:jc w:val="left"/>
        <w:rPr>
          <w:rFonts w:ascii="仿宋" w:hAnsi="仿宋" w:eastAsia="仿宋"/>
          <w:color w:val="FF0000"/>
          <w:sz w:val="24"/>
          <w:szCs w:val="24"/>
        </w:rPr>
      </w:pPr>
      <w:r>
        <w:rPr>
          <w:rFonts w:hint="eastAsia" w:ascii="仿宋" w:hAnsi="仿宋" w:eastAsia="仿宋" w:cs="宋体"/>
          <w:color w:val="000000"/>
          <w:kern w:val="0"/>
          <w:sz w:val="24"/>
          <w:szCs w:val="24"/>
        </w:rPr>
        <w:t>如未按磋商文件和合同要求履行相关要求的，发生一次罚款200</w:t>
      </w:r>
      <w:r>
        <w:rPr>
          <w:rFonts w:ascii="仿宋" w:hAnsi="仿宋" w:eastAsia="仿宋" w:cs="宋体"/>
          <w:color w:val="000000"/>
          <w:kern w:val="0"/>
          <w:sz w:val="24"/>
          <w:szCs w:val="24"/>
        </w:rPr>
        <w:t>—</w:t>
      </w:r>
      <w:r>
        <w:rPr>
          <w:rFonts w:hint="eastAsia" w:ascii="仿宋" w:hAnsi="仿宋" w:eastAsia="仿宋" w:cs="宋体"/>
          <w:color w:val="000000"/>
          <w:kern w:val="0"/>
          <w:sz w:val="24"/>
          <w:szCs w:val="24"/>
        </w:rPr>
        <w:t>2000元；2次以上的，学校有权单方面终止合同（提前一周通知中标单位）；情节严重的学校有权单方面立即终止合同。一切责任均由中标单位负责并承担。</w:t>
      </w:r>
    </w:p>
    <w:p>
      <w:pPr>
        <w:adjustRightInd w:val="0"/>
        <w:snapToGrid w:val="0"/>
        <w:rPr>
          <w:rFonts w:ascii="仿宋" w:hAnsi="仿宋" w:eastAsia="仿宋"/>
          <w:color w:val="000000"/>
          <w:sz w:val="28"/>
          <w:szCs w:val="28"/>
        </w:rPr>
      </w:pPr>
    </w:p>
    <w:p>
      <w:pPr>
        <w:adjustRightInd w:val="0"/>
        <w:snapToGrid w:val="0"/>
        <w:ind w:right="560" w:firstLine="4252" w:firstLineChars="1772"/>
        <w:jc w:val="left"/>
        <w:rPr>
          <w:rFonts w:ascii="宋体" w:hAnsi="宋体"/>
          <w:color w:val="000000"/>
          <w:sz w:val="24"/>
          <w:szCs w:val="24"/>
        </w:rPr>
      </w:pPr>
      <w:r>
        <w:rPr>
          <w:rFonts w:hint="eastAsia" w:ascii="宋体" w:hAnsi="宋体"/>
          <w:color w:val="000000"/>
          <w:sz w:val="24"/>
          <w:szCs w:val="24"/>
        </w:rPr>
        <w:t>投标单位（盖章）：</w:t>
      </w:r>
    </w:p>
    <w:p>
      <w:pPr>
        <w:adjustRightInd w:val="0"/>
        <w:snapToGrid w:val="0"/>
        <w:ind w:right="560" w:firstLine="4252" w:firstLineChars="1772"/>
        <w:jc w:val="center"/>
        <w:rPr>
          <w:rFonts w:ascii="宋体" w:hAnsi="宋体"/>
          <w:color w:val="000000"/>
          <w:sz w:val="24"/>
          <w:szCs w:val="24"/>
        </w:rPr>
      </w:pPr>
    </w:p>
    <w:p>
      <w:pPr>
        <w:adjustRightInd w:val="0"/>
        <w:snapToGrid w:val="0"/>
        <w:ind w:right="560" w:firstLine="4252" w:firstLineChars="1772"/>
        <w:jc w:val="left"/>
        <w:rPr>
          <w:rFonts w:ascii="宋体" w:hAnsi="宋体"/>
          <w:color w:val="000000"/>
          <w:sz w:val="24"/>
          <w:szCs w:val="24"/>
        </w:rPr>
      </w:pPr>
      <w:r>
        <w:rPr>
          <w:rFonts w:hint="eastAsia" w:ascii="宋体" w:hAnsi="宋体"/>
          <w:color w:val="000000"/>
          <w:sz w:val="24"/>
          <w:szCs w:val="24"/>
        </w:rPr>
        <w:t>法人代表人（签字）：</w:t>
      </w:r>
    </w:p>
    <w:p>
      <w:pPr>
        <w:adjustRightInd w:val="0"/>
        <w:snapToGrid w:val="0"/>
        <w:ind w:right="560" w:firstLine="4252" w:firstLineChars="1772"/>
        <w:jc w:val="left"/>
        <w:rPr>
          <w:rFonts w:ascii="宋体" w:hAnsi="宋体"/>
          <w:color w:val="000000"/>
          <w:sz w:val="24"/>
          <w:szCs w:val="24"/>
        </w:rPr>
      </w:pPr>
    </w:p>
    <w:p>
      <w:pPr>
        <w:adjustRightInd w:val="0"/>
        <w:snapToGrid w:val="0"/>
        <w:ind w:right="560" w:firstLine="4252" w:firstLineChars="1772"/>
        <w:jc w:val="left"/>
        <w:rPr>
          <w:rFonts w:ascii="宋体" w:hAnsi="宋体"/>
          <w:color w:val="000000"/>
          <w:sz w:val="24"/>
          <w:szCs w:val="24"/>
        </w:rPr>
      </w:pPr>
      <w:r>
        <w:rPr>
          <w:rFonts w:ascii="宋体" w:hAnsi="宋体"/>
          <w:color w:val="000000"/>
          <w:sz w:val="24"/>
          <w:szCs w:val="24"/>
        </w:rPr>
        <w:t>2020年</w:t>
      </w:r>
      <w:r>
        <w:rPr>
          <w:rFonts w:hint="eastAsia" w:ascii="宋体" w:hAnsi="宋体"/>
          <w:color w:val="000000"/>
          <w:sz w:val="24"/>
          <w:szCs w:val="24"/>
        </w:rPr>
        <w:t xml:space="preserve">    </w:t>
      </w:r>
      <w:r>
        <w:rPr>
          <w:rFonts w:ascii="宋体" w:hAnsi="宋体"/>
          <w:color w:val="000000"/>
          <w:sz w:val="24"/>
          <w:szCs w:val="24"/>
        </w:rPr>
        <w:t>月</w:t>
      </w:r>
      <w:r>
        <w:rPr>
          <w:rFonts w:hint="eastAsia" w:ascii="宋体" w:hAnsi="宋体"/>
          <w:color w:val="000000"/>
          <w:sz w:val="24"/>
          <w:szCs w:val="24"/>
        </w:rPr>
        <w:t xml:space="preserve">    </w:t>
      </w:r>
      <w:r>
        <w:rPr>
          <w:rFonts w:ascii="宋体" w:hAnsi="宋体"/>
          <w:color w:val="000000"/>
          <w:sz w:val="24"/>
          <w:szCs w:val="24"/>
        </w:rPr>
        <w:t>日</w:t>
      </w:r>
    </w:p>
    <w:p>
      <w:pPr>
        <w:spacing w:before="120" w:beforeLines="50" w:after="120" w:afterLines="50" w:line="300" w:lineRule="auto"/>
        <w:jc w:val="center"/>
        <w:outlineLvl w:val="2"/>
        <w:rPr>
          <w:rFonts w:ascii="宋体" w:hAnsi="宋体" w:cs="宋体"/>
          <w:b/>
          <w:color w:val="000000"/>
          <w:sz w:val="24"/>
          <w:szCs w:val="24"/>
        </w:rPr>
      </w:pPr>
      <w:r>
        <w:rPr>
          <w:rFonts w:ascii="宋体" w:hAnsi="宋体" w:cs="宋体"/>
          <w:b/>
          <w:bCs/>
          <w:kern w:val="0"/>
          <w:sz w:val="28"/>
          <w:szCs w:val="28"/>
        </w:rPr>
        <w:br w:type="page"/>
      </w:r>
    </w:p>
    <w:p>
      <w:pPr>
        <w:spacing w:before="120" w:beforeLines="50" w:after="120" w:afterLines="50" w:line="300" w:lineRule="auto"/>
        <w:rPr>
          <w:rFonts w:ascii="宋体" w:hAnsi="宋体" w:cs="宋体"/>
          <w:b/>
          <w:bCs/>
          <w:kern w:val="0"/>
          <w:sz w:val="24"/>
          <w:szCs w:val="24"/>
        </w:rPr>
      </w:pPr>
      <w:r>
        <w:rPr>
          <w:b/>
          <w:sz w:val="24"/>
          <w:szCs w:val="24"/>
        </w:rPr>
        <w:t>C.2.4</w:t>
      </w:r>
      <w:r>
        <w:rPr>
          <w:b/>
          <w:bCs/>
          <w:sz w:val="24"/>
          <w:szCs w:val="24"/>
        </w:rPr>
        <w:t>、</w:t>
      </w:r>
      <w:r>
        <w:rPr>
          <w:rFonts w:hint="eastAsia" w:ascii="宋体" w:hAnsi="宋体" w:cs="宋体"/>
          <w:b/>
          <w:sz w:val="24"/>
          <w:szCs w:val="24"/>
        </w:rPr>
        <w:t>食品要求</w:t>
      </w:r>
    </w:p>
    <w:p>
      <w:pPr>
        <w:spacing w:before="120" w:beforeLines="50" w:after="120" w:afterLines="50" w:line="300" w:lineRule="auto"/>
        <w:jc w:val="center"/>
        <w:rPr>
          <w:rFonts w:ascii="宋体" w:hAnsi="宋体" w:cs="宋体"/>
          <w:b/>
          <w:bCs/>
          <w:kern w:val="0"/>
          <w:sz w:val="24"/>
          <w:szCs w:val="24"/>
        </w:rPr>
      </w:pPr>
    </w:p>
    <w:p>
      <w:pPr>
        <w:adjustRightInd w:val="0"/>
        <w:snapToGrid w:val="0"/>
        <w:jc w:val="center"/>
        <w:rPr>
          <w:rFonts w:ascii="宋体" w:hAnsi="宋体" w:cs="宋体"/>
          <w:b/>
          <w:sz w:val="24"/>
          <w:szCs w:val="24"/>
        </w:rPr>
      </w:pPr>
      <w:r>
        <w:rPr>
          <w:rFonts w:hint="eastAsia" w:ascii="宋体" w:hAnsi="宋体" w:cs="宋体"/>
          <w:b/>
          <w:sz w:val="24"/>
          <w:szCs w:val="24"/>
        </w:rPr>
        <w:t>标段十一：饮品、点心类</w:t>
      </w:r>
    </w:p>
    <w:p>
      <w:pPr>
        <w:spacing w:line="360" w:lineRule="auto"/>
        <w:rPr>
          <w:rFonts w:ascii="仿宋_GB2312" w:hAnsi="宋体" w:eastAsia="仿宋_GB2312" w:cs="宋体"/>
          <w:b/>
          <w:kern w:val="0"/>
          <w:sz w:val="24"/>
          <w:szCs w:val="24"/>
        </w:rPr>
      </w:pPr>
      <w:r>
        <w:rPr>
          <w:rFonts w:hint="eastAsia" w:ascii="仿宋_GB2312" w:hAnsi="宋体" w:eastAsia="仿宋_GB2312" w:cs="宋体"/>
          <w:b/>
          <w:kern w:val="0"/>
          <w:sz w:val="24"/>
          <w:szCs w:val="24"/>
        </w:rPr>
        <w:t>饮品点心类食品要求</w:t>
      </w:r>
    </w:p>
    <w:tbl>
      <w:tblPr>
        <w:tblStyle w:val="50"/>
        <w:tblW w:w="8426" w:type="dxa"/>
        <w:tblInd w:w="93" w:type="dxa"/>
        <w:tblLayout w:type="fixed"/>
        <w:tblCellMar>
          <w:top w:w="0" w:type="dxa"/>
          <w:left w:w="108" w:type="dxa"/>
          <w:bottom w:w="0" w:type="dxa"/>
          <w:right w:w="108" w:type="dxa"/>
        </w:tblCellMar>
      </w:tblPr>
      <w:tblGrid>
        <w:gridCol w:w="633"/>
        <w:gridCol w:w="1315"/>
        <w:gridCol w:w="2955"/>
        <w:gridCol w:w="1155"/>
        <w:gridCol w:w="1260"/>
        <w:gridCol w:w="1108"/>
      </w:tblGrid>
      <w:tr>
        <w:tblPrEx>
          <w:tblCellMar>
            <w:top w:w="0" w:type="dxa"/>
            <w:left w:w="108" w:type="dxa"/>
            <w:bottom w:w="0" w:type="dxa"/>
            <w:right w:w="108" w:type="dxa"/>
          </w:tblCellMar>
        </w:tblPrEx>
        <w:trPr>
          <w:trHeight w:val="684" w:hRule="atLeast"/>
        </w:trPr>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131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品名</w:t>
            </w:r>
          </w:p>
        </w:tc>
        <w:tc>
          <w:tcPr>
            <w:tcW w:w="295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质量标准</w:t>
            </w:r>
          </w:p>
        </w:tc>
        <w:tc>
          <w:tcPr>
            <w:tcW w:w="115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规格</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服务承诺</w:t>
            </w:r>
          </w:p>
        </w:tc>
        <w:tc>
          <w:tcPr>
            <w:tcW w:w="110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备注</w:t>
            </w:r>
          </w:p>
        </w:tc>
      </w:tr>
      <w:tr>
        <w:tblPrEx>
          <w:tblCellMar>
            <w:top w:w="0" w:type="dxa"/>
            <w:left w:w="108" w:type="dxa"/>
            <w:bottom w:w="0" w:type="dxa"/>
            <w:right w:w="108" w:type="dxa"/>
          </w:tblCellMar>
        </w:tblPrEx>
        <w:trPr>
          <w:trHeight w:val="775" w:hRule="atLeast"/>
        </w:trPr>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315"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豆浆</w:t>
            </w:r>
          </w:p>
          <w:p>
            <w:pPr>
              <w:pStyle w:val="2"/>
            </w:pPr>
            <w:r>
              <w:rPr>
                <w:rFonts w:hint="eastAsia" w:ascii="宋体" w:hAnsi="宋体" w:cs="宋体"/>
                <w:kern w:val="0"/>
                <w:szCs w:val="21"/>
              </w:rPr>
              <w:t>（便携装杯）</w:t>
            </w:r>
          </w:p>
        </w:tc>
        <w:tc>
          <w:tcPr>
            <w:tcW w:w="2955" w:type="dxa"/>
            <w:tcBorders>
              <w:top w:val="single" w:color="auto" w:sz="4" w:space="0"/>
              <w:left w:val="single" w:color="auto" w:sz="4" w:space="0"/>
              <w:bottom w:val="single" w:color="auto" w:sz="4" w:space="0"/>
              <w:right w:val="single" w:color="auto" w:sz="4" w:space="0"/>
            </w:tcBorders>
            <w:vAlign w:val="center"/>
          </w:tcPr>
          <w:p>
            <w:pPr>
              <w:widowControl/>
              <w:jc w:val="left"/>
            </w:pPr>
            <w:r>
              <w:rPr>
                <w:rFonts w:hint="eastAsia"/>
              </w:rPr>
              <w:t>原料及辅料符合国家食品安全标准，产品符合豆浆形态，色泽均匀，无异味，有豆香味，成均匀一致液体，无异物。</w:t>
            </w:r>
          </w:p>
          <w:p>
            <w:pPr>
              <w:pStyle w:val="2"/>
            </w:pPr>
            <w:r>
              <w:rPr>
                <w:rFonts w:hint="eastAsia" w:ascii="宋体" w:hAnsi="宋体" w:cs="宋体"/>
                <w:kern w:val="0"/>
                <w:szCs w:val="21"/>
              </w:rPr>
              <w:t>包装材料应清洁、无毒、无异味，符合相应的食品卫生标准。</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250ml/杯</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按质量标准送货</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当日生产</w:t>
            </w:r>
          </w:p>
        </w:tc>
      </w:tr>
      <w:tr>
        <w:tblPrEx>
          <w:tblCellMar>
            <w:top w:w="0" w:type="dxa"/>
            <w:left w:w="108" w:type="dxa"/>
            <w:bottom w:w="0" w:type="dxa"/>
            <w:right w:w="108" w:type="dxa"/>
          </w:tblCellMar>
        </w:tblPrEx>
        <w:trPr>
          <w:trHeight w:val="653" w:hRule="atLeast"/>
        </w:trPr>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13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点心</w:t>
            </w:r>
          </w:p>
          <w:p>
            <w:pPr>
              <w:widowControl/>
              <w:jc w:val="center"/>
              <w:rPr>
                <w:rFonts w:ascii="宋体" w:hAnsi="宋体" w:cs="宋体"/>
                <w:kern w:val="0"/>
                <w:szCs w:val="21"/>
              </w:rPr>
            </w:pPr>
            <w:r>
              <w:rPr>
                <w:rFonts w:hint="eastAsia" w:ascii="宋体" w:hAnsi="宋体" w:cs="宋体"/>
                <w:kern w:val="0"/>
                <w:szCs w:val="21"/>
              </w:rPr>
              <w:t>（火腿三明治类）</w:t>
            </w:r>
          </w:p>
        </w:tc>
        <w:tc>
          <w:tcPr>
            <w:tcW w:w="2955" w:type="dxa"/>
            <w:tcBorders>
              <w:top w:val="single" w:color="auto" w:sz="4" w:space="0"/>
              <w:left w:val="single" w:color="auto" w:sz="4" w:space="0"/>
              <w:bottom w:val="single" w:color="auto" w:sz="4" w:space="0"/>
              <w:right w:val="single" w:color="auto" w:sz="4" w:space="0"/>
            </w:tcBorders>
            <w:vAlign w:val="center"/>
          </w:tcPr>
          <w:p>
            <w:pPr>
              <w:widowControl/>
              <w:jc w:val="left"/>
              <w:rPr>
                <w:szCs w:val="22"/>
              </w:rPr>
            </w:pPr>
            <w:r>
              <w:rPr>
                <w:rFonts w:hint="eastAsia"/>
                <w:szCs w:val="22"/>
              </w:rPr>
              <w:t>产品原料及辅料需符合国家食品安全标准。</w:t>
            </w:r>
          </w:p>
          <w:p>
            <w:pPr>
              <w:widowControl/>
              <w:jc w:val="left"/>
            </w:pPr>
            <w:r>
              <w:rPr>
                <w:rFonts w:hint="eastAsia"/>
                <w:szCs w:val="22"/>
              </w:rPr>
              <w:t>包装材料应清洁、无毒、无异味，符合相应的食品卫生标准。</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szCs w:val="22"/>
              </w:rPr>
            </w:pPr>
            <w:r>
              <w:rPr>
                <w:rFonts w:hint="eastAsia"/>
                <w:szCs w:val="22"/>
              </w:rPr>
              <w:t>净含量</w:t>
            </w:r>
          </w:p>
          <w:p>
            <w:pPr>
              <w:widowControl/>
              <w:jc w:val="center"/>
            </w:pPr>
            <w:r>
              <w:rPr>
                <w:rFonts w:hint="eastAsia"/>
                <w:szCs w:val="22"/>
              </w:rPr>
              <w:t>约200g</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按质量标准送货</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当日生产</w:t>
            </w:r>
          </w:p>
        </w:tc>
      </w:tr>
      <w:tr>
        <w:tblPrEx>
          <w:tblCellMar>
            <w:top w:w="0" w:type="dxa"/>
            <w:left w:w="108" w:type="dxa"/>
            <w:bottom w:w="0" w:type="dxa"/>
            <w:right w:w="108" w:type="dxa"/>
          </w:tblCellMar>
        </w:tblPrEx>
        <w:trPr>
          <w:trHeight w:val="653" w:hRule="atLeast"/>
        </w:trPr>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3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点心</w:t>
            </w:r>
          </w:p>
          <w:p>
            <w:pPr>
              <w:widowControl/>
              <w:jc w:val="center"/>
              <w:rPr>
                <w:rFonts w:ascii="宋体" w:hAnsi="宋体" w:cs="宋体"/>
                <w:kern w:val="0"/>
                <w:szCs w:val="21"/>
              </w:rPr>
            </w:pPr>
            <w:r>
              <w:rPr>
                <w:rFonts w:hint="eastAsia" w:ascii="宋体" w:hAnsi="宋体" w:cs="宋体"/>
                <w:kern w:val="0"/>
                <w:szCs w:val="21"/>
              </w:rPr>
              <w:t>（鸡肉卷、鸡肉汉堡类）</w:t>
            </w:r>
          </w:p>
        </w:tc>
        <w:tc>
          <w:tcPr>
            <w:tcW w:w="2955" w:type="dxa"/>
            <w:tcBorders>
              <w:top w:val="single" w:color="auto" w:sz="4" w:space="0"/>
              <w:left w:val="single" w:color="auto" w:sz="4" w:space="0"/>
              <w:bottom w:val="single" w:color="auto" w:sz="4" w:space="0"/>
              <w:right w:val="single" w:color="auto" w:sz="4" w:space="0"/>
            </w:tcBorders>
            <w:vAlign w:val="center"/>
          </w:tcPr>
          <w:p>
            <w:pPr>
              <w:widowControl/>
              <w:jc w:val="left"/>
              <w:rPr>
                <w:szCs w:val="22"/>
              </w:rPr>
            </w:pPr>
            <w:r>
              <w:rPr>
                <w:rFonts w:hint="eastAsia"/>
                <w:szCs w:val="22"/>
              </w:rPr>
              <w:t>产品原料及辅料需符合国家食品安全标准。</w:t>
            </w:r>
          </w:p>
          <w:p>
            <w:pPr>
              <w:widowControl/>
              <w:jc w:val="left"/>
              <w:rPr>
                <w:szCs w:val="22"/>
              </w:rPr>
            </w:pPr>
            <w:r>
              <w:rPr>
                <w:rFonts w:hint="eastAsia"/>
                <w:szCs w:val="22"/>
              </w:rPr>
              <w:t>包装材料应清洁、无毒、无异味，符合相应的食品卫生标准。</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ind w:left="210" w:leftChars="100"/>
              <w:jc w:val="center"/>
              <w:rPr>
                <w:szCs w:val="22"/>
              </w:rPr>
            </w:pPr>
            <w:r>
              <w:rPr>
                <w:rFonts w:hint="eastAsia"/>
                <w:szCs w:val="22"/>
              </w:rPr>
              <w:t>净含量</w:t>
            </w:r>
          </w:p>
          <w:p>
            <w:pPr>
              <w:widowControl/>
              <w:ind w:left="210" w:leftChars="100"/>
              <w:jc w:val="center"/>
              <w:rPr>
                <w:szCs w:val="22"/>
              </w:rPr>
            </w:pPr>
            <w:r>
              <w:rPr>
                <w:rFonts w:hint="eastAsia"/>
                <w:szCs w:val="22"/>
              </w:rPr>
              <w:t>约170-190g</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按质量标准送货</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当日生产</w:t>
            </w:r>
          </w:p>
        </w:tc>
      </w:tr>
    </w:tbl>
    <w:p>
      <w:pPr>
        <w:pStyle w:val="2"/>
      </w:pPr>
    </w:p>
    <w:p>
      <w:pPr>
        <w:spacing w:line="400" w:lineRule="exact"/>
        <w:ind w:left="661" w:leftChars="200" w:hanging="241" w:hangingChars="100"/>
        <w:jc w:val="left"/>
        <w:rPr>
          <w:rFonts w:ascii="仿宋" w:hAnsi="仿宋" w:eastAsia="仿宋" w:cs="宋体"/>
          <w:b/>
          <w:color w:val="000000"/>
          <w:kern w:val="0"/>
          <w:sz w:val="24"/>
          <w:szCs w:val="24"/>
        </w:rPr>
      </w:pPr>
    </w:p>
    <w:p>
      <w:pPr>
        <w:spacing w:line="400" w:lineRule="exact"/>
        <w:ind w:left="661" w:leftChars="200" w:hanging="241" w:hangingChars="100"/>
        <w:jc w:val="left"/>
        <w:rPr>
          <w:rFonts w:ascii="仿宋" w:hAnsi="仿宋" w:eastAsia="仿宋" w:cs="宋体"/>
          <w:b/>
          <w:color w:val="000000"/>
          <w:kern w:val="0"/>
          <w:sz w:val="24"/>
          <w:szCs w:val="24"/>
        </w:rPr>
      </w:pPr>
      <w:r>
        <w:rPr>
          <w:rFonts w:hint="eastAsia" w:ascii="仿宋" w:hAnsi="仿宋" w:eastAsia="仿宋" w:cs="宋体"/>
          <w:b/>
          <w:color w:val="000000"/>
          <w:kern w:val="0"/>
          <w:sz w:val="24"/>
          <w:szCs w:val="24"/>
        </w:rPr>
        <w:t>提醒：</w:t>
      </w:r>
    </w:p>
    <w:p>
      <w:pPr>
        <w:spacing w:line="400" w:lineRule="exact"/>
        <w:ind w:left="1" w:firstLine="420" w:firstLineChars="175"/>
        <w:jc w:val="left"/>
        <w:rPr>
          <w:rFonts w:ascii="仿宋" w:hAnsi="仿宋" w:eastAsia="仿宋"/>
          <w:color w:val="FF0000"/>
          <w:sz w:val="24"/>
          <w:szCs w:val="24"/>
        </w:rPr>
      </w:pPr>
      <w:r>
        <w:rPr>
          <w:rFonts w:hint="eastAsia" w:ascii="仿宋" w:hAnsi="仿宋" w:eastAsia="仿宋" w:cs="宋体"/>
          <w:color w:val="000000"/>
          <w:kern w:val="0"/>
          <w:sz w:val="24"/>
          <w:szCs w:val="24"/>
        </w:rPr>
        <w:t>如未按磋商文件和合同要求履行相关要求的，发生一次罚款200</w:t>
      </w:r>
      <w:r>
        <w:rPr>
          <w:rFonts w:ascii="仿宋" w:hAnsi="仿宋" w:eastAsia="仿宋" w:cs="宋体"/>
          <w:color w:val="000000"/>
          <w:kern w:val="0"/>
          <w:sz w:val="24"/>
          <w:szCs w:val="24"/>
        </w:rPr>
        <w:t>—</w:t>
      </w:r>
      <w:r>
        <w:rPr>
          <w:rFonts w:hint="eastAsia" w:ascii="仿宋" w:hAnsi="仿宋" w:eastAsia="仿宋" w:cs="宋体"/>
          <w:color w:val="000000"/>
          <w:kern w:val="0"/>
          <w:sz w:val="24"/>
          <w:szCs w:val="24"/>
        </w:rPr>
        <w:t>2000元；2次以上的，学校有权单方面终止合同（提前一周通知中标单位）；情节严重的学校有权单方面立即终止合同。一切责任均由中标单位负责并承担。</w:t>
      </w:r>
    </w:p>
    <w:p>
      <w:pPr>
        <w:adjustRightInd w:val="0"/>
        <w:snapToGrid w:val="0"/>
        <w:rPr>
          <w:rFonts w:ascii="仿宋" w:hAnsi="仿宋" w:eastAsia="仿宋"/>
          <w:color w:val="000000"/>
          <w:sz w:val="28"/>
          <w:szCs w:val="28"/>
        </w:rPr>
      </w:pPr>
    </w:p>
    <w:p>
      <w:pPr>
        <w:adjustRightInd w:val="0"/>
        <w:snapToGrid w:val="0"/>
        <w:rPr>
          <w:rFonts w:ascii="宋体" w:hAnsi="宋体"/>
          <w:color w:val="000000"/>
          <w:sz w:val="28"/>
          <w:szCs w:val="28"/>
        </w:rPr>
      </w:pPr>
    </w:p>
    <w:p>
      <w:pPr>
        <w:adjustRightInd w:val="0"/>
        <w:snapToGrid w:val="0"/>
        <w:ind w:right="560" w:firstLine="4252" w:firstLineChars="1772"/>
        <w:jc w:val="left"/>
        <w:rPr>
          <w:rFonts w:ascii="宋体" w:hAnsi="宋体"/>
          <w:color w:val="000000"/>
          <w:sz w:val="24"/>
          <w:szCs w:val="24"/>
        </w:rPr>
      </w:pPr>
      <w:r>
        <w:rPr>
          <w:rFonts w:hint="eastAsia" w:ascii="宋体" w:hAnsi="宋体"/>
          <w:color w:val="000000"/>
          <w:sz w:val="24"/>
          <w:szCs w:val="24"/>
        </w:rPr>
        <w:t>投标单位（盖章）：</w:t>
      </w:r>
    </w:p>
    <w:p>
      <w:pPr>
        <w:adjustRightInd w:val="0"/>
        <w:snapToGrid w:val="0"/>
        <w:ind w:right="560" w:firstLine="4252" w:firstLineChars="1772"/>
        <w:jc w:val="center"/>
        <w:rPr>
          <w:rFonts w:ascii="宋体" w:hAnsi="宋体"/>
          <w:color w:val="000000"/>
          <w:sz w:val="24"/>
          <w:szCs w:val="24"/>
        </w:rPr>
      </w:pPr>
    </w:p>
    <w:p>
      <w:pPr>
        <w:adjustRightInd w:val="0"/>
        <w:snapToGrid w:val="0"/>
        <w:ind w:right="560" w:firstLine="4252" w:firstLineChars="1772"/>
        <w:jc w:val="left"/>
        <w:rPr>
          <w:rFonts w:ascii="宋体" w:hAnsi="宋体"/>
          <w:color w:val="000000"/>
          <w:sz w:val="24"/>
          <w:szCs w:val="24"/>
        </w:rPr>
      </w:pPr>
      <w:r>
        <w:rPr>
          <w:rFonts w:hint="eastAsia" w:ascii="宋体" w:hAnsi="宋体"/>
          <w:color w:val="000000"/>
          <w:sz w:val="24"/>
          <w:szCs w:val="24"/>
        </w:rPr>
        <w:t>法人代表人（签字）：</w:t>
      </w:r>
    </w:p>
    <w:p>
      <w:pPr>
        <w:adjustRightInd w:val="0"/>
        <w:snapToGrid w:val="0"/>
        <w:ind w:right="560" w:firstLine="4252" w:firstLineChars="1772"/>
        <w:jc w:val="left"/>
        <w:rPr>
          <w:rFonts w:ascii="宋体" w:hAnsi="宋体"/>
          <w:color w:val="000000"/>
          <w:sz w:val="24"/>
          <w:szCs w:val="24"/>
        </w:rPr>
      </w:pPr>
    </w:p>
    <w:p>
      <w:pPr>
        <w:adjustRightInd w:val="0"/>
        <w:snapToGrid w:val="0"/>
        <w:ind w:right="560" w:firstLine="4252" w:firstLineChars="1772"/>
        <w:jc w:val="left"/>
        <w:rPr>
          <w:rFonts w:ascii="宋体" w:hAnsi="宋体"/>
          <w:color w:val="000000"/>
          <w:sz w:val="24"/>
          <w:szCs w:val="24"/>
        </w:rPr>
      </w:pPr>
      <w:r>
        <w:rPr>
          <w:rFonts w:hint="eastAsia" w:ascii="宋体" w:hAnsi="宋体"/>
          <w:color w:val="000000"/>
          <w:sz w:val="24"/>
          <w:szCs w:val="24"/>
        </w:rPr>
        <w:t>2</w:t>
      </w:r>
      <w:r>
        <w:rPr>
          <w:rFonts w:ascii="宋体" w:hAnsi="宋体"/>
          <w:color w:val="000000"/>
          <w:sz w:val="24"/>
          <w:szCs w:val="24"/>
        </w:rPr>
        <w:t>020年</w:t>
      </w:r>
      <w:r>
        <w:rPr>
          <w:rFonts w:hint="eastAsia" w:ascii="宋体" w:hAnsi="宋体"/>
          <w:color w:val="000000"/>
          <w:sz w:val="24"/>
          <w:szCs w:val="24"/>
        </w:rPr>
        <w:t xml:space="preserve">    </w:t>
      </w:r>
      <w:r>
        <w:rPr>
          <w:rFonts w:ascii="宋体" w:hAnsi="宋体"/>
          <w:color w:val="000000"/>
          <w:sz w:val="24"/>
          <w:szCs w:val="24"/>
        </w:rPr>
        <w:t>月</w:t>
      </w:r>
      <w:r>
        <w:rPr>
          <w:rFonts w:hint="eastAsia" w:ascii="宋体" w:hAnsi="宋体"/>
          <w:color w:val="000000"/>
          <w:sz w:val="24"/>
          <w:szCs w:val="24"/>
        </w:rPr>
        <w:t xml:space="preserve">    </w:t>
      </w:r>
      <w:r>
        <w:rPr>
          <w:rFonts w:ascii="宋体" w:hAnsi="宋体"/>
          <w:color w:val="000000"/>
          <w:sz w:val="24"/>
          <w:szCs w:val="24"/>
        </w:rPr>
        <w:t>日</w:t>
      </w:r>
    </w:p>
    <w:p>
      <w:pPr>
        <w:widowControl/>
        <w:jc w:val="left"/>
        <w:rPr>
          <w:rFonts w:ascii="宋体" w:hAnsi="宋体" w:cs="宋体"/>
          <w:b/>
          <w:sz w:val="24"/>
          <w:szCs w:val="24"/>
        </w:rPr>
      </w:pPr>
      <w:r>
        <w:rPr>
          <w:rFonts w:ascii="宋体" w:hAnsi="宋体" w:cs="宋体"/>
          <w:b/>
          <w:sz w:val="24"/>
          <w:szCs w:val="24"/>
        </w:rPr>
        <w:br w:type="page"/>
      </w:r>
    </w:p>
    <w:p>
      <w:pPr>
        <w:snapToGrid w:val="0"/>
        <w:spacing w:line="360" w:lineRule="auto"/>
        <w:outlineLvl w:val="2"/>
        <w:rPr>
          <w:rFonts w:ascii="宋体" w:hAnsi="宋体" w:cs="宋体"/>
          <w:b/>
          <w:bCs/>
          <w:sz w:val="24"/>
          <w:szCs w:val="24"/>
        </w:rPr>
      </w:pPr>
      <w:r>
        <w:rPr>
          <w:rFonts w:hint="eastAsia" w:ascii="宋体" w:hAnsi="宋体" w:cs="宋体"/>
          <w:b/>
          <w:sz w:val="24"/>
          <w:szCs w:val="24"/>
        </w:rPr>
        <w:t>D、商务报价招标响应文件（单独密封）</w:t>
      </w:r>
    </w:p>
    <w:p>
      <w:pPr>
        <w:spacing w:line="360" w:lineRule="auto"/>
        <w:rPr>
          <w:rFonts w:ascii="宋体" w:hAnsi="宋体" w:cs="宋体"/>
          <w:b/>
          <w:color w:val="000000"/>
          <w:sz w:val="24"/>
          <w:szCs w:val="24"/>
        </w:rPr>
      </w:pPr>
      <w:r>
        <w:rPr>
          <w:rFonts w:hint="eastAsia" w:ascii="宋体" w:hAnsi="宋体" w:cs="宋体"/>
          <w:b/>
          <w:bCs/>
          <w:sz w:val="24"/>
          <w:szCs w:val="24"/>
        </w:rPr>
        <w:t>1、磋商响应</w:t>
      </w:r>
      <w:r>
        <w:rPr>
          <w:rFonts w:hint="eastAsia" w:ascii="宋体" w:hAnsi="宋体" w:cs="宋体"/>
          <w:b/>
          <w:color w:val="000000"/>
          <w:sz w:val="24"/>
          <w:szCs w:val="24"/>
        </w:rPr>
        <w:t>价格下浮承诺表</w:t>
      </w:r>
    </w:p>
    <w:p>
      <w:pPr>
        <w:spacing w:before="120" w:beforeLines="50" w:after="120" w:afterLines="50" w:line="300" w:lineRule="auto"/>
        <w:jc w:val="center"/>
        <w:rPr>
          <w:rFonts w:ascii="宋体" w:hAnsi="宋体" w:cs="宋体"/>
          <w:b/>
          <w:bCs/>
          <w:kern w:val="0"/>
          <w:sz w:val="24"/>
          <w:szCs w:val="24"/>
        </w:rPr>
      </w:pPr>
    </w:p>
    <w:p>
      <w:pPr>
        <w:spacing w:before="120" w:beforeLines="50" w:after="120" w:afterLines="50" w:line="300" w:lineRule="auto"/>
        <w:jc w:val="center"/>
        <w:rPr>
          <w:rFonts w:ascii="宋体" w:hAnsi="宋体" w:cs="宋体"/>
          <w:b/>
          <w:bCs/>
          <w:kern w:val="0"/>
          <w:sz w:val="24"/>
          <w:szCs w:val="24"/>
        </w:rPr>
      </w:pPr>
      <w:r>
        <w:rPr>
          <w:rFonts w:hint="eastAsia" w:ascii="宋体" w:hAnsi="宋体" w:cs="宋体"/>
          <w:b/>
          <w:bCs/>
          <w:kern w:val="0"/>
          <w:sz w:val="24"/>
          <w:szCs w:val="24"/>
        </w:rPr>
        <w:t>标段一：米、面</w:t>
      </w:r>
    </w:p>
    <w:p>
      <w:pPr>
        <w:spacing w:before="120" w:beforeLines="50" w:after="120" w:afterLines="50" w:line="300" w:lineRule="auto"/>
        <w:rPr>
          <w:rFonts w:ascii="宋体" w:hAnsi="宋体" w:cs="宋体"/>
          <w:bCs/>
          <w:kern w:val="0"/>
          <w:sz w:val="24"/>
          <w:szCs w:val="24"/>
        </w:rPr>
      </w:pPr>
    </w:p>
    <w:p>
      <w:pPr>
        <w:spacing w:before="120" w:beforeLines="50" w:after="120" w:afterLines="50" w:line="300" w:lineRule="auto"/>
        <w:rPr>
          <w:rFonts w:ascii="宋体" w:hAnsi="宋体" w:cs="宋体"/>
          <w:bCs/>
          <w:kern w:val="0"/>
          <w:sz w:val="24"/>
          <w:szCs w:val="24"/>
        </w:rPr>
      </w:pPr>
      <w:r>
        <w:rPr>
          <w:rFonts w:hint="eastAsia" w:ascii="宋体" w:hAnsi="宋体" w:cs="宋体"/>
          <w:bCs/>
          <w:kern w:val="0"/>
          <w:sz w:val="24"/>
          <w:szCs w:val="24"/>
        </w:rPr>
        <w:t>致：</w:t>
      </w:r>
      <w:r>
        <w:rPr>
          <w:rFonts w:hint="eastAsia" w:ascii="宋体" w:hAnsi="宋体" w:cs="宋体"/>
          <w:bCs/>
          <w:kern w:val="0"/>
          <w:sz w:val="24"/>
          <w:szCs w:val="24"/>
          <w:u w:val="single"/>
        </w:rPr>
        <w:t xml:space="preserve">  南通市启秀中学  </w:t>
      </w:r>
      <w:r>
        <w:rPr>
          <w:rFonts w:hint="eastAsia" w:ascii="宋体" w:hAnsi="宋体" w:cs="宋体"/>
          <w:bCs/>
          <w:kern w:val="0"/>
          <w:sz w:val="24"/>
          <w:szCs w:val="24"/>
        </w:rPr>
        <w:t>：</w:t>
      </w:r>
    </w:p>
    <w:p>
      <w:pPr>
        <w:spacing w:before="120" w:beforeLines="50" w:after="120" w:afterLines="50" w:line="300" w:lineRule="auto"/>
        <w:ind w:firstLine="480" w:firstLineChars="200"/>
        <w:rPr>
          <w:rFonts w:ascii="宋体" w:hAnsi="宋体" w:cs="宋体"/>
          <w:bCs/>
          <w:kern w:val="0"/>
          <w:sz w:val="24"/>
          <w:szCs w:val="24"/>
        </w:rPr>
      </w:pPr>
      <w:r>
        <w:rPr>
          <w:rFonts w:hint="eastAsia" w:ascii="宋体" w:hAnsi="宋体" w:cs="宋体"/>
          <w:bCs/>
          <w:kern w:val="0"/>
          <w:sz w:val="24"/>
          <w:szCs w:val="24"/>
        </w:rPr>
        <w:t>我单位熟悉贵校磋商文件后，认真组织研究，同意磋商文件规定内容，如我方中标将严格按照磋商文件内容和要求组织实施，愿意缴纳履约保证金贰万元。我方所报单项每</w:t>
      </w:r>
      <w:r>
        <w:rPr>
          <w:bCs/>
          <w:kern w:val="0"/>
          <w:sz w:val="24"/>
          <w:szCs w:val="24"/>
        </w:rPr>
        <w:t>500g（或500ml）</w:t>
      </w:r>
      <w:r>
        <w:rPr>
          <w:rFonts w:hint="eastAsia" w:ascii="宋体" w:hAnsi="宋体" w:cs="宋体"/>
          <w:bCs/>
          <w:kern w:val="0"/>
          <w:sz w:val="24"/>
          <w:szCs w:val="24"/>
        </w:rPr>
        <w:t>价格的下浮率：</w:t>
      </w:r>
    </w:p>
    <w:tbl>
      <w:tblPr>
        <w:tblStyle w:val="5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68"/>
        <w:gridCol w:w="41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line="300" w:lineRule="auto"/>
              <w:jc w:val="center"/>
              <w:rPr>
                <w:rFonts w:ascii="宋体" w:hAnsi="宋体" w:cs="宋体"/>
                <w:b/>
                <w:sz w:val="24"/>
                <w:szCs w:val="24"/>
              </w:rPr>
            </w:pPr>
            <w:r>
              <w:rPr>
                <w:rFonts w:hint="eastAsia" w:ascii="宋体" w:hAnsi="宋体" w:cs="宋体"/>
                <w:b/>
                <w:sz w:val="24"/>
                <w:szCs w:val="24"/>
              </w:rPr>
              <w:t>供货项目</w:t>
            </w:r>
          </w:p>
        </w:tc>
        <w:tc>
          <w:tcPr>
            <w:tcW w:w="4140" w:type="dxa"/>
            <w:tcBorders>
              <w:top w:val="single" w:color="auto" w:sz="4" w:space="0"/>
              <w:left w:val="single" w:color="auto" w:sz="4" w:space="0"/>
              <w:bottom w:val="single" w:color="auto" w:sz="4" w:space="0"/>
              <w:right w:val="single" w:color="auto" w:sz="4" w:space="0"/>
            </w:tcBorders>
          </w:tcPr>
          <w:p>
            <w:pPr>
              <w:spacing w:before="120" w:beforeLines="50" w:after="120" w:afterLines="50" w:line="300" w:lineRule="auto"/>
              <w:ind w:right="240"/>
              <w:jc w:val="center"/>
              <w:rPr>
                <w:rFonts w:ascii="宋体" w:hAnsi="宋体" w:cs="宋体"/>
                <w:b/>
                <w:sz w:val="24"/>
                <w:szCs w:val="24"/>
              </w:rPr>
            </w:pPr>
            <w:r>
              <w:rPr>
                <w:rFonts w:hint="eastAsia" w:ascii="宋体" w:hAnsi="宋体" w:cs="宋体"/>
                <w:b/>
                <w:sz w:val="24"/>
                <w:szCs w:val="24"/>
              </w:rPr>
              <w:t>承诺下浮率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1668"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line="300" w:lineRule="auto"/>
              <w:jc w:val="center"/>
              <w:rPr>
                <w:rFonts w:ascii="宋体" w:hAnsi="宋体" w:cs="宋体"/>
                <w:sz w:val="24"/>
                <w:szCs w:val="24"/>
              </w:rPr>
            </w:pPr>
            <w:r>
              <w:rPr>
                <w:rFonts w:hint="eastAsia" w:ascii="宋体" w:hAnsi="宋体" w:cs="宋体"/>
                <w:sz w:val="24"/>
                <w:szCs w:val="24"/>
              </w:rPr>
              <w:t>米、面</w:t>
            </w:r>
          </w:p>
          <w:p>
            <w:pPr>
              <w:spacing w:before="120" w:beforeLines="50" w:after="120" w:afterLines="50" w:line="300" w:lineRule="auto"/>
              <w:jc w:val="center"/>
              <w:rPr>
                <w:rFonts w:ascii="宋体" w:hAnsi="宋体" w:cs="宋体"/>
                <w:sz w:val="24"/>
                <w:szCs w:val="24"/>
              </w:rPr>
            </w:pPr>
            <w:r>
              <w:rPr>
                <w:rFonts w:hint="eastAsia" w:ascii="宋体" w:hAnsi="宋体" w:cs="宋体"/>
                <w:sz w:val="24"/>
                <w:szCs w:val="24"/>
              </w:rPr>
              <w:t>（一次）</w:t>
            </w:r>
          </w:p>
        </w:tc>
        <w:tc>
          <w:tcPr>
            <w:tcW w:w="4140"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line="300" w:lineRule="auto"/>
              <w:jc w:val="center"/>
              <w:rPr>
                <w:rFonts w:ascii="宋体" w:hAnsi="宋体" w:cs="宋体"/>
                <w:sz w:val="24"/>
                <w:szCs w:val="24"/>
              </w:rPr>
            </w:pPr>
            <w:r>
              <w:rPr>
                <w:rFonts w:hint="eastAsia" w:ascii="新宋体" w:hAnsi="新宋体" w:eastAsia="新宋体"/>
                <w:sz w:val="24"/>
                <w:szCs w:val="24"/>
              </w:rPr>
              <w:t>下浮</w:t>
            </w:r>
            <w:r>
              <w:rPr>
                <w:rFonts w:hint="eastAsia" w:ascii="新宋体" w:hAnsi="新宋体" w:eastAsia="新宋体"/>
                <w:sz w:val="24"/>
                <w:szCs w:val="24"/>
                <w:u w:val="single"/>
              </w:rPr>
              <w:t xml:space="preserve">      </w:t>
            </w:r>
            <w:r>
              <w:rPr>
                <w:rFonts w:ascii="新宋体" w:hAnsi="新宋体" w:eastAsia="新宋体"/>
                <w:sz w:val="24"/>
                <w:szCs w:val="24"/>
              </w:rPr>
              <w:t>%</w:t>
            </w:r>
          </w:p>
        </w:tc>
      </w:tr>
    </w:tbl>
    <w:p>
      <w:pPr>
        <w:spacing w:before="120" w:beforeLines="50" w:after="120" w:afterLines="50" w:line="300" w:lineRule="auto"/>
        <w:rPr>
          <w:rFonts w:ascii="宋体" w:hAnsi="宋体" w:cs="宋体"/>
          <w:sz w:val="24"/>
          <w:szCs w:val="24"/>
        </w:rPr>
      </w:pPr>
    </w:p>
    <w:tbl>
      <w:tblPr>
        <w:tblStyle w:val="5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68"/>
        <w:gridCol w:w="41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line="300" w:lineRule="auto"/>
              <w:jc w:val="center"/>
              <w:rPr>
                <w:rFonts w:ascii="宋体" w:hAnsi="宋体" w:cs="宋体"/>
                <w:b/>
                <w:sz w:val="24"/>
                <w:szCs w:val="24"/>
              </w:rPr>
            </w:pPr>
            <w:r>
              <w:rPr>
                <w:rFonts w:hint="eastAsia" w:ascii="宋体" w:hAnsi="宋体" w:cs="宋体"/>
                <w:b/>
                <w:sz w:val="24"/>
                <w:szCs w:val="24"/>
              </w:rPr>
              <w:t>供货项目</w:t>
            </w:r>
          </w:p>
        </w:tc>
        <w:tc>
          <w:tcPr>
            <w:tcW w:w="4140" w:type="dxa"/>
            <w:tcBorders>
              <w:top w:val="single" w:color="auto" w:sz="4" w:space="0"/>
              <w:left w:val="single" w:color="auto" w:sz="4" w:space="0"/>
              <w:bottom w:val="single" w:color="auto" w:sz="4" w:space="0"/>
              <w:right w:val="single" w:color="auto" w:sz="4" w:space="0"/>
            </w:tcBorders>
          </w:tcPr>
          <w:p>
            <w:pPr>
              <w:spacing w:before="120" w:beforeLines="50" w:after="120" w:afterLines="50" w:line="300" w:lineRule="auto"/>
              <w:ind w:right="240"/>
              <w:jc w:val="center"/>
              <w:rPr>
                <w:rFonts w:ascii="宋体" w:hAnsi="宋体" w:cs="宋体"/>
                <w:b/>
                <w:sz w:val="24"/>
                <w:szCs w:val="24"/>
              </w:rPr>
            </w:pPr>
            <w:r>
              <w:rPr>
                <w:rFonts w:hint="eastAsia" w:ascii="宋体" w:hAnsi="宋体" w:cs="宋体"/>
                <w:b/>
                <w:sz w:val="24"/>
                <w:szCs w:val="24"/>
              </w:rPr>
              <w:t>承诺下浮率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1668"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line="300" w:lineRule="auto"/>
              <w:jc w:val="center"/>
              <w:rPr>
                <w:rFonts w:ascii="宋体" w:hAnsi="宋体" w:cs="宋体"/>
                <w:sz w:val="24"/>
                <w:szCs w:val="24"/>
              </w:rPr>
            </w:pPr>
            <w:r>
              <w:rPr>
                <w:rFonts w:hint="eastAsia" w:ascii="宋体" w:hAnsi="宋体" w:cs="宋体"/>
                <w:sz w:val="24"/>
                <w:szCs w:val="24"/>
              </w:rPr>
              <w:t>米、面</w:t>
            </w:r>
          </w:p>
          <w:p>
            <w:pPr>
              <w:spacing w:before="120" w:beforeLines="50" w:after="120" w:afterLines="50" w:line="300" w:lineRule="auto"/>
              <w:jc w:val="center"/>
              <w:rPr>
                <w:rFonts w:ascii="宋体" w:hAnsi="宋体" w:cs="宋体"/>
                <w:sz w:val="24"/>
                <w:szCs w:val="24"/>
              </w:rPr>
            </w:pPr>
            <w:r>
              <w:rPr>
                <w:rFonts w:hint="eastAsia" w:ascii="宋体" w:hAnsi="宋体" w:cs="宋体"/>
                <w:sz w:val="24"/>
                <w:szCs w:val="24"/>
              </w:rPr>
              <w:t>（二次）</w:t>
            </w:r>
          </w:p>
        </w:tc>
        <w:tc>
          <w:tcPr>
            <w:tcW w:w="4140"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line="300" w:lineRule="auto"/>
              <w:jc w:val="center"/>
              <w:rPr>
                <w:rFonts w:ascii="宋体" w:hAnsi="宋体" w:cs="宋体"/>
                <w:sz w:val="24"/>
                <w:szCs w:val="24"/>
              </w:rPr>
            </w:pPr>
            <w:r>
              <w:rPr>
                <w:rFonts w:hint="eastAsia" w:ascii="新宋体" w:hAnsi="新宋体" w:eastAsia="新宋体"/>
                <w:sz w:val="24"/>
                <w:szCs w:val="24"/>
              </w:rPr>
              <w:t>下浮</w:t>
            </w:r>
            <w:r>
              <w:rPr>
                <w:rFonts w:hint="eastAsia" w:ascii="新宋体" w:hAnsi="新宋体" w:eastAsia="新宋体"/>
                <w:sz w:val="24"/>
                <w:szCs w:val="24"/>
                <w:u w:val="single"/>
              </w:rPr>
              <w:t xml:space="preserve">      </w:t>
            </w:r>
            <w:r>
              <w:rPr>
                <w:rFonts w:ascii="新宋体" w:hAnsi="新宋体" w:eastAsia="新宋体"/>
                <w:sz w:val="24"/>
                <w:szCs w:val="24"/>
              </w:rPr>
              <w:t>%</w:t>
            </w:r>
          </w:p>
        </w:tc>
      </w:tr>
    </w:tbl>
    <w:p>
      <w:pPr>
        <w:spacing w:before="120" w:beforeLines="50" w:after="120" w:afterLines="50" w:line="300" w:lineRule="auto"/>
        <w:ind w:firstLine="480" w:firstLineChars="200"/>
        <w:rPr>
          <w:rFonts w:ascii="仿宋" w:hAnsi="仿宋" w:eastAsia="仿宋" w:cs="宋体"/>
          <w:sz w:val="24"/>
          <w:szCs w:val="24"/>
        </w:rPr>
      </w:pPr>
      <w:r>
        <w:rPr>
          <w:rFonts w:hint="eastAsia" w:ascii="仿宋" w:hAnsi="仿宋" w:eastAsia="仿宋" w:cs="宋体"/>
          <w:sz w:val="24"/>
          <w:szCs w:val="24"/>
        </w:rPr>
        <w:t>备注：</w:t>
      </w:r>
    </w:p>
    <w:p>
      <w:pPr>
        <w:spacing w:before="120" w:beforeLines="50" w:after="120" w:afterLines="50" w:line="300" w:lineRule="auto"/>
        <w:ind w:firstLine="480" w:firstLineChars="200"/>
        <w:rPr>
          <w:rFonts w:ascii="仿宋" w:hAnsi="仿宋" w:eastAsia="仿宋" w:cs="宋体"/>
          <w:sz w:val="24"/>
          <w:szCs w:val="24"/>
        </w:rPr>
      </w:pPr>
      <w:r>
        <w:rPr>
          <w:rFonts w:hint="eastAsia" w:ascii="仿宋" w:hAnsi="仿宋" w:eastAsia="仿宋" w:cs="宋体"/>
          <w:sz w:val="24"/>
          <w:szCs w:val="24"/>
        </w:rPr>
        <w:t>（1）价格下浮承诺表中的“承诺下浮率”是供货商承诺供货项目在供应给学校时履行的单价的下浮比例。</w:t>
      </w:r>
    </w:p>
    <w:p>
      <w:pPr>
        <w:spacing w:before="120" w:beforeLines="50" w:after="120" w:afterLines="50" w:line="300" w:lineRule="auto"/>
        <w:ind w:firstLine="480" w:firstLineChars="200"/>
        <w:rPr>
          <w:rFonts w:ascii="仿宋" w:hAnsi="仿宋" w:eastAsia="仿宋" w:cs="宋体"/>
          <w:sz w:val="24"/>
          <w:szCs w:val="24"/>
        </w:rPr>
      </w:pPr>
      <w:r>
        <w:rPr>
          <w:rFonts w:hint="eastAsia" w:ascii="仿宋" w:hAnsi="仿宋" w:eastAsia="仿宋" w:cs="宋体"/>
          <w:sz w:val="24"/>
          <w:szCs w:val="24"/>
        </w:rPr>
        <w:t>（2）承诺的下浮率已考虑原材料成本、运输、装卸、税收、损耗、利润、管理费、安全措施等一切费用。</w:t>
      </w:r>
    </w:p>
    <w:p>
      <w:pPr>
        <w:spacing w:before="120" w:beforeLines="50" w:after="120" w:afterLines="50" w:line="300" w:lineRule="auto"/>
        <w:ind w:firstLine="480" w:firstLineChars="200"/>
        <w:rPr>
          <w:rFonts w:ascii="仿宋" w:hAnsi="仿宋" w:eastAsia="仿宋" w:cs="宋体"/>
          <w:sz w:val="24"/>
          <w:szCs w:val="24"/>
        </w:rPr>
      </w:pPr>
      <w:r>
        <w:rPr>
          <w:rFonts w:hint="eastAsia" w:ascii="仿宋" w:hAnsi="仿宋" w:eastAsia="仿宋" w:cs="宋体"/>
          <w:sz w:val="24"/>
          <w:szCs w:val="24"/>
        </w:rPr>
        <w:t>（3）按照统一格式，价格下浮承诺表须加盖公章。</w:t>
      </w:r>
    </w:p>
    <w:p>
      <w:pPr>
        <w:pStyle w:val="2"/>
        <w:ind w:firstLine="480" w:firstLineChars="200"/>
        <w:rPr>
          <w:rFonts w:eastAsia="仿宋"/>
        </w:rPr>
      </w:pPr>
      <w:r>
        <w:rPr>
          <w:rFonts w:hint="eastAsia" w:ascii="仿宋" w:hAnsi="仿宋" w:eastAsia="仿宋" w:cs="宋体"/>
          <w:szCs w:val="24"/>
        </w:rPr>
        <w:t>（4）二次报价纸为现场填写。</w:t>
      </w:r>
    </w:p>
    <w:p>
      <w:pPr>
        <w:widowControl/>
        <w:topLinePunct/>
        <w:spacing w:before="120" w:beforeLines="50" w:after="120" w:afterLines="50" w:line="300" w:lineRule="auto"/>
        <w:ind w:firstLine="3686"/>
        <w:jc w:val="left"/>
        <w:rPr>
          <w:rFonts w:ascii="宋体" w:hAnsi="宋体" w:cs="宋体"/>
          <w:kern w:val="0"/>
          <w:sz w:val="24"/>
          <w:szCs w:val="24"/>
        </w:rPr>
      </w:pPr>
    </w:p>
    <w:p>
      <w:pPr>
        <w:widowControl/>
        <w:topLinePunct/>
        <w:spacing w:before="120" w:beforeLines="50" w:after="120" w:afterLines="50" w:line="300" w:lineRule="auto"/>
        <w:ind w:firstLine="3686"/>
        <w:jc w:val="left"/>
        <w:rPr>
          <w:rFonts w:ascii="宋体" w:hAnsi="宋体" w:cs="宋体"/>
          <w:kern w:val="0"/>
          <w:sz w:val="24"/>
          <w:szCs w:val="24"/>
        </w:rPr>
      </w:pPr>
      <w:r>
        <w:rPr>
          <w:rFonts w:hint="eastAsia" w:ascii="宋体" w:hAnsi="宋体" w:cs="宋体"/>
          <w:kern w:val="0"/>
          <w:sz w:val="24"/>
          <w:szCs w:val="24"/>
        </w:rPr>
        <w:t>参加投标供应商：（盖章）</w:t>
      </w:r>
    </w:p>
    <w:p>
      <w:pPr>
        <w:widowControl/>
        <w:topLinePunct/>
        <w:spacing w:before="120" w:beforeLines="50" w:after="120" w:afterLines="50" w:line="300" w:lineRule="auto"/>
        <w:ind w:firstLine="3686"/>
        <w:jc w:val="left"/>
        <w:rPr>
          <w:rFonts w:ascii="宋体" w:hAnsi="宋体" w:cs="宋体"/>
          <w:kern w:val="0"/>
          <w:sz w:val="24"/>
          <w:szCs w:val="24"/>
        </w:rPr>
      </w:pPr>
      <w:r>
        <w:rPr>
          <w:rFonts w:hint="eastAsia" w:ascii="宋体" w:hAnsi="宋体" w:cs="宋体"/>
          <w:kern w:val="0"/>
          <w:sz w:val="24"/>
          <w:szCs w:val="24"/>
        </w:rPr>
        <w:t>法定代表人或被授权人（签字或盖章）</w:t>
      </w:r>
    </w:p>
    <w:p>
      <w:pPr>
        <w:widowControl/>
        <w:topLinePunct/>
        <w:spacing w:before="120" w:beforeLines="50" w:after="120" w:afterLines="50" w:line="300" w:lineRule="auto"/>
        <w:ind w:firstLine="3686"/>
        <w:jc w:val="left"/>
        <w:rPr>
          <w:rFonts w:ascii="宋体" w:hAnsi="宋体" w:cs="宋体"/>
          <w:kern w:val="0"/>
          <w:sz w:val="24"/>
          <w:szCs w:val="24"/>
        </w:rPr>
      </w:pPr>
      <w:r>
        <w:rPr>
          <w:rFonts w:hint="eastAsia" w:ascii="宋体" w:hAnsi="宋体" w:cs="宋体"/>
          <w:color w:val="000000"/>
          <w:sz w:val="24"/>
          <w:szCs w:val="24"/>
        </w:rPr>
        <w:t>二○二○</w:t>
      </w:r>
      <w:r>
        <w:rPr>
          <w:rFonts w:hint="eastAsia" w:ascii="宋体" w:hAnsi="宋体" w:cs="宋体"/>
          <w:kern w:val="0"/>
          <w:sz w:val="24"/>
          <w:szCs w:val="24"/>
        </w:rPr>
        <w:t>年     月    日</w:t>
      </w:r>
    </w:p>
    <w:p>
      <w:pPr>
        <w:spacing w:before="120" w:beforeLines="50" w:after="120" w:afterLines="50" w:line="300" w:lineRule="auto"/>
        <w:jc w:val="center"/>
        <w:rPr>
          <w:rFonts w:ascii="宋体" w:hAnsi="宋体" w:cs="宋体"/>
          <w:kern w:val="0"/>
          <w:sz w:val="24"/>
          <w:szCs w:val="24"/>
        </w:rPr>
      </w:pPr>
      <w:r>
        <w:rPr>
          <w:rFonts w:ascii="宋体" w:hAnsi="宋体" w:cs="宋体"/>
          <w:b/>
          <w:bCs/>
          <w:kern w:val="0"/>
          <w:sz w:val="24"/>
          <w:szCs w:val="24"/>
        </w:rPr>
        <w:br w:type="page"/>
      </w:r>
    </w:p>
    <w:p>
      <w:pPr>
        <w:widowControl/>
        <w:jc w:val="left"/>
        <w:rPr>
          <w:rFonts w:ascii="宋体" w:hAnsi="宋体" w:cs="宋体"/>
          <w:b/>
          <w:color w:val="000000"/>
          <w:sz w:val="24"/>
          <w:szCs w:val="24"/>
        </w:rPr>
      </w:pPr>
      <w:r>
        <w:rPr>
          <w:rFonts w:hint="eastAsia" w:ascii="宋体" w:hAnsi="宋体" w:cs="宋体"/>
          <w:b/>
          <w:bCs/>
          <w:sz w:val="24"/>
          <w:szCs w:val="24"/>
        </w:rPr>
        <w:t>1、磋商响应</w:t>
      </w:r>
      <w:r>
        <w:rPr>
          <w:rFonts w:hint="eastAsia" w:ascii="宋体" w:hAnsi="宋体" w:cs="宋体"/>
          <w:b/>
          <w:color w:val="000000"/>
          <w:sz w:val="24"/>
          <w:szCs w:val="24"/>
        </w:rPr>
        <w:t>价格下浮承诺表</w:t>
      </w:r>
    </w:p>
    <w:p>
      <w:pPr>
        <w:spacing w:before="120" w:beforeLines="50" w:after="120" w:afterLines="50" w:line="300" w:lineRule="auto"/>
        <w:jc w:val="center"/>
        <w:rPr>
          <w:rFonts w:ascii="宋体" w:hAnsi="宋体" w:cs="宋体"/>
          <w:b/>
          <w:bCs/>
          <w:kern w:val="0"/>
          <w:sz w:val="24"/>
          <w:szCs w:val="24"/>
        </w:rPr>
      </w:pPr>
    </w:p>
    <w:p>
      <w:pPr>
        <w:spacing w:before="120" w:beforeLines="50" w:after="120" w:afterLines="50" w:line="300" w:lineRule="auto"/>
        <w:jc w:val="center"/>
        <w:rPr>
          <w:rFonts w:ascii="宋体" w:hAnsi="宋体" w:cs="宋体"/>
          <w:b/>
          <w:bCs/>
          <w:kern w:val="0"/>
          <w:sz w:val="24"/>
          <w:szCs w:val="24"/>
        </w:rPr>
      </w:pPr>
      <w:r>
        <w:rPr>
          <w:rFonts w:hint="eastAsia" w:ascii="宋体" w:hAnsi="宋体" w:cs="宋体"/>
          <w:b/>
          <w:bCs/>
          <w:kern w:val="0"/>
          <w:sz w:val="24"/>
          <w:szCs w:val="24"/>
        </w:rPr>
        <w:t>标段六：水产品（鲜、冻）</w:t>
      </w:r>
    </w:p>
    <w:p>
      <w:pPr>
        <w:spacing w:before="120" w:beforeLines="50" w:after="120" w:afterLines="50" w:line="300" w:lineRule="auto"/>
        <w:rPr>
          <w:rFonts w:ascii="宋体" w:hAnsi="宋体" w:cs="宋体"/>
          <w:bCs/>
          <w:kern w:val="0"/>
          <w:sz w:val="24"/>
          <w:szCs w:val="24"/>
        </w:rPr>
      </w:pPr>
    </w:p>
    <w:p>
      <w:pPr>
        <w:spacing w:before="120" w:beforeLines="50" w:after="120" w:afterLines="50" w:line="300" w:lineRule="auto"/>
        <w:rPr>
          <w:rFonts w:ascii="宋体" w:hAnsi="宋体" w:cs="宋体"/>
          <w:bCs/>
          <w:kern w:val="0"/>
          <w:sz w:val="24"/>
          <w:szCs w:val="24"/>
        </w:rPr>
      </w:pPr>
      <w:r>
        <w:rPr>
          <w:rFonts w:hint="eastAsia" w:ascii="宋体" w:hAnsi="宋体" w:cs="宋体"/>
          <w:bCs/>
          <w:kern w:val="0"/>
          <w:sz w:val="24"/>
          <w:szCs w:val="24"/>
        </w:rPr>
        <w:t>致：</w:t>
      </w:r>
      <w:r>
        <w:rPr>
          <w:rFonts w:hint="eastAsia" w:ascii="宋体" w:hAnsi="宋体" w:cs="宋体"/>
          <w:bCs/>
          <w:kern w:val="0"/>
          <w:sz w:val="24"/>
          <w:szCs w:val="24"/>
          <w:u w:val="single"/>
        </w:rPr>
        <w:t xml:space="preserve">  南通市启秀中学  </w:t>
      </w:r>
      <w:r>
        <w:rPr>
          <w:rFonts w:hint="eastAsia" w:ascii="宋体" w:hAnsi="宋体" w:cs="宋体"/>
          <w:bCs/>
          <w:kern w:val="0"/>
          <w:sz w:val="24"/>
          <w:szCs w:val="24"/>
        </w:rPr>
        <w:t>：</w:t>
      </w:r>
    </w:p>
    <w:p>
      <w:pPr>
        <w:spacing w:before="120" w:beforeLines="50" w:after="120" w:afterLines="50" w:line="300" w:lineRule="auto"/>
        <w:ind w:firstLine="480" w:firstLineChars="200"/>
        <w:rPr>
          <w:rFonts w:ascii="宋体" w:hAnsi="宋体" w:cs="宋体"/>
          <w:bCs/>
          <w:kern w:val="0"/>
          <w:sz w:val="24"/>
          <w:szCs w:val="24"/>
        </w:rPr>
      </w:pPr>
      <w:r>
        <w:rPr>
          <w:rFonts w:hint="eastAsia" w:ascii="宋体" w:hAnsi="宋体" w:cs="宋体"/>
          <w:bCs/>
          <w:kern w:val="0"/>
          <w:sz w:val="24"/>
          <w:szCs w:val="24"/>
        </w:rPr>
        <w:t>我单位熟悉贵校磋商文件后，认真组织研究，同意磋商文件规定内容，如我方中标将严格按照磋商文件内容和要求组织实施，愿意缴纳履约保证金贰万元。我方所报单项每</w:t>
      </w:r>
      <w:r>
        <w:rPr>
          <w:bCs/>
          <w:kern w:val="0"/>
          <w:sz w:val="24"/>
          <w:szCs w:val="24"/>
        </w:rPr>
        <w:t>500g（或500ml）</w:t>
      </w:r>
      <w:r>
        <w:rPr>
          <w:rFonts w:hint="eastAsia" w:ascii="宋体" w:hAnsi="宋体" w:cs="宋体"/>
          <w:bCs/>
          <w:kern w:val="0"/>
          <w:sz w:val="24"/>
          <w:szCs w:val="24"/>
        </w:rPr>
        <w:t>价格的下浮率：</w:t>
      </w:r>
    </w:p>
    <w:p>
      <w:pPr>
        <w:spacing w:before="120" w:beforeLines="50" w:after="120" w:afterLines="50" w:line="300" w:lineRule="auto"/>
        <w:ind w:firstLine="480" w:firstLineChars="200"/>
        <w:rPr>
          <w:rFonts w:ascii="宋体" w:hAnsi="宋体" w:cs="宋体"/>
          <w:bCs/>
          <w:kern w:val="0"/>
          <w:sz w:val="24"/>
          <w:szCs w:val="24"/>
        </w:rPr>
      </w:pPr>
    </w:p>
    <w:tbl>
      <w:tblPr>
        <w:tblStyle w:val="5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99"/>
        <w:gridCol w:w="41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099" w:type="dxa"/>
            <w:tcBorders>
              <w:top w:val="single" w:color="auto" w:sz="4" w:space="0"/>
              <w:left w:val="single" w:color="auto" w:sz="4" w:space="0"/>
              <w:bottom w:val="single" w:color="auto" w:sz="4" w:space="0"/>
              <w:right w:val="single" w:color="auto" w:sz="4" w:space="0"/>
            </w:tcBorders>
          </w:tcPr>
          <w:p>
            <w:pPr>
              <w:spacing w:before="120" w:beforeLines="50" w:after="120" w:afterLines="50" w:line="300" w:lineRule="auto"/>
              <w:jc w:val="center"/>
              <w:rPr>
                <w:rFonts w:ascii="宋体" w:hAnsi="宋体" w:cs="宋体"/>
                <w:b/>
                <w:sz w:val="24"/>
                <w:szCs w:val="24"/>
              </w:rPr>
            </w:pPr>
            <w:r>
              <w:rPr>
                <w:rFonts w:hint="eastAsia" w:ascii="宋体" w:hAnsi="宋体" w:cs="宋体"/>
                <w:b/>
                <w:sz w:val="24"/>
                <w:szCs w:val="24"/>
              </w:rPr>
              <w:t>供货项目</w:t>
            </w:r>
          </w:p>
        </w:tc>
        <w:tc>
          <w:tcPr>
            <w:tcW w:w="4140" w:type="dxa"/>
            <w:tcBorders>
              <w:top w:val="single" w:color="auto" w:sz="4" w:space="0"/>
              <w:left w:val="single" w:color="auto" w:sz="4" w:space="0"/>
              <w:bottom w:val="single" w:color="auto" w:sz="4" w:space="0"/>
              <w:right w:val="single" w:color="auto" w:sz="4" w:space="0"/>
            </w:tcBorders>
          </w:tcPr>
          <w:p>
            <w:pPr>
              <w:spacing w:before="120" w:beforeLines="50" w:after="120" w:afterLines="50" w:line="300" w:lineRule="auto"/>
              <w:ind w:right="240"/>
              <w:jc w:val="center"/>
              <w:rPr>
                <w:rFonts w:ascii="宋体" w:hAnsi="宋体" w:cs="宋体"/>
                <w:b/>
                <w:sz w:val="24"/>
                <w:szCs w:val="24"/>
              </w:rPr>
            </w:pPr>
            <w:r>
              <w:rPr>
                <w:rFonts w:hint="eastAsia" w:ascii="宋体" w:hAnsi="宋体" w:cs="宋体"/>
                <w:b/>
                <w:sz w:val="24"/>
                <w:szCs w:val="24"/>
              </w:rPr>
              <w:t>承诺下浮率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3" w:hRule="atLeast"/>
          <w:jc w:val="center"/>
        </w:trPr>
        <w:tc>
          <w:tcPr>
            <w:tcW w:w="2099"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line="300" w:lineRule="auto"/>
              <w:jc w:val="center"/>
              <w:rPr>
                <w:rFonts w:ascii="宋体" w:hAnsi="宋体" w:cs="宋体"/>
                <w:sz w:val="24"/>
                <w:szCs w:val="24"/>
              </w:rPr>
            </w:pPr>
            <w:r>
              <w:rPr>
                <w:rFonts w:hint="eastAsia" w:ascii="宋体" w:hAnsi="宋体" w:cs="宋体"/>
                <w:sz w:val="24"/>
                <w:szCs w:val="24"/>
              </w:rPr>
              <w:t>水产品</w:t>
            </w:r>
            <w:r>
              <w:rPr>
                <w:rFonts w:hint="eastAsia" w:ascii="宋体" w:hAnsi="宋体" w:cs="宋体"/>
                <w:b/>
                <w:bCs/>
                <w:kern w:val="0"/>
                <w:sz w:val="24"/>
                <w:szCs w:val="24"/>
              </w:rPr>
              <w:t>（鲜、冻）</w:t>
            </w:r>
          </w:p>
          <w:p>
            <w:pPr>
              <w:spacing w:before="120" w:beforeLines="50" w:after="120" w:afterLines="50" w:line="300" w:lineRule="auto"/>
              <w:jc w:val="center"/>
              <w:rPr>
                <w:rFonts w:ascii="宋体" w:hAnsi="宋体" w:cs="宋体"/>
                <w:sz w:val="24"/>
                <w:szCs w:val="24"/>
              </w:rPr>
            </w:pPr>
            <w:r>
              <w:rPr>
                <w:rFonts w:hint="eastAsia" w:ascii="宋体" w:hAnsi="宋体" w:cs="宋体"/>
                <w:sz w:val="24"/>
                <w:szCs w:val="24"/>
              </w:rPr>
              <w:t>（一次）</w:t>
            </w:r>
          </w:p>
        </w:tc>
        <w:tc>
          <w:tcPr>
            <w:tcW w:w="4140"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line="300" w:lineRule="auto"/>
              <w:jc w:val="center"/>
              <w:rPr>
                <w:rFonts w:ascii="宋体" w:hAnsi="宋体" w:cs="宋体"/>
                <w:sz w:val="24"/>
                <w:szCs w:val="24"/>
              </w:rPr>
            </w:pPr>
            <w:r>
              <w:rPr>
                <w:rFonts w:hint="eastAsia" w:ascii="新宋体" w:hAnsi="新宋体" w:eastAsia="新宋体"/>
                <w:sz w:val="24"/>
                <w:szCs w:val="24"/>
              </w:rPr>
              <w:t>下浮</w:t>
            </w:r>
            <w:r>
              <w:rPr>
                <w:rFonts w:hint="eastAsia" w:ascii="新宋体" w:hAnsi="新宋体" w:eastAsia="新宋体"/>
                <w:sz w:val="24"/>
                <w:szCs w:val="24"/>
                <w:u w:val="single"/>
              </w:rPr>
              <w:t xml:space="preserve">      </w:t>
            </w:r>
            <w:r>
              <w:rPr>
                <w:rFonts w:ascii="新宋体" w:hAnsi="新宋体" w:eastAsia="新宋体"/>
                <w:sz w:val="24"/>
                <w:szCs w:val="24"/>
              </w:rPr>
              <w:t>%</w:t>
            </w:r>
          </w:p>
        </w:tc>
      </w:tr>
    </w:tbl>
    <w:p>
      <w:pPr>
        <w:spacing w:before="120" w:beforeLines="50" w:after="120" w:afterLines="50" w:line="300" w:lineRule="auto"/>
        <w:rPr>
          <w:rFonts w:ascii="宋体" w:hAnsi="宋体" w:cs="宋体"/>
          <w:sz w:val="24"/>
          <w:szCs w:val="24"/>
        </w:rPr>
      </w:pPr>
    </w:p>
    <w:tbl>
      <w:tblPr>
        <w:tblStyle w:val="5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99"/>
        <w:gridCol w:w="41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099" w:type="dxa"/>
            <w:tcBorders>
              <w:top w:val="single" w:color="auto" w:sz="4" w:space="0"/>
              <w:left w:val="single" w:color="auto" w:sz="4" w:space="0"/>
              <w:bottom w:val="single" w:color="auto" w:sz="4" w:space="0"/>
              <w:right w:val="single" w:color="auto" w:sz="4" w:space="0"/>
            </w:tcBorders>
          </w:tcPr>
          <w:p>
            <w:pPr>
              <w:spacing w:before="120" w:beforeLines="50" w:after="120" w:afterLines="50" w:line="300" w:lineRule="auto"/>
              <w:jc w:val="center"/>
              <w:rPr>
                <w:rFonts w:ascii="宋体" w:hAnsi="宋体" w:cs="宋体"/>
                <w:b/>
                <w:sz w:val="24"/>
                <w:szCs w:val="24"/>
              </w:rPr>
            </w:pPr>
            <w:r>
              <w:rPr>
                <w:rFonts w:hint="eastAsia" w:ascii="宋体" w:hAnsi="宋体" w:cs="宋体"/>
                <w:b/>
                <w:sz w:val="24"/>
                <w:szCs w:val="24"/>
              </w:rPr>
              <w:t>供货项目</w:t>
            </w:r>
          </w:p>
        </w:tc>
        <w:tc>
          <w:tcPr>
            <w:tcW w:w="4140" w:type="dxa"/>
            <w:tcBorders>
              <w:top w:val="single" w:color="auto" w:sz="4" w:space="0"/>
              <w:left w:val="single" w:color="auto" w:sz="4" w:space="0"/>
              <w:bottom w:val="single" w:color="auto" w:sz="4" w:space="0"/>
              <w:right w:val="single" w:color="auto" w:sz="4" w:space="0"/>
            </w:tcBorders>
          </w:tcPr>
          <w:p>
            <w:pPr>
              <w:spacing w:before="120" w:beforeLines="50" w:after="120" w:afterLines="50" w:line="300" w:lineRule="auto"/>
              <w:ind w:right="240"/>
              <w:jc w:val="center"/>
              <w:rPr>
                <w:rFonts w:ascii="宋体" w:hAnsi="宋体" w:cs="宋体"/>
                <w:b/>
                <w:sz w:val="24"/>
                <w:szCs w:val="24"/>
              </w:rPr>
            </w:pPr>
            <w:r>
              <w:rPr>
                <w:rFonts w:hint="eastAsia" w:ascii="宋体" w:hAnsi="宋体" w:cs="宋体"/>
                <w:b/>
                <w:sz w:val="24"/>
                <w:szCs w:val="24"/>
              </w:rPr>
              <w:t>承诺下浮率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3" w:hRule="atLeast"/>
          <w:jc w:val="center"/>
        </w:trPr>
        <w:tc>
          <w:tcPr>
            <w:tcW w:w="2099"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line="300" w:lineRule="auto"/>
              <w:jc w:val="center"/>
              <w:rPr>
                <w:rFonts w:ascii="宋体" w:hAnsi="宋体" w:cs="宋体"/>
                <w:sz w:val="24"/>
                <w:szCs w:val="24"/>
              </w:rPr>
            </w:pPr>
            <w:r>
              <w:rPr>
                <w:rFonts w:hint="eastAsia" w:ascii="宋体" w:hAnsi="宋体" w:cs="宋体"/>
                <w:sz w:val="24"/>
                <w:szCs w:val="24"/>
              </w:rPr>
              <w:t>水产品</w:t>
            </w:r>
            <w:r>
              <w:rPr>
                <w:rFonts w:hint="eastAsia" w:ascii="宋体" w:hAnsi="宋体" w:cs="宋体"/>
                <w:b/>
                <w:bCs/>
                <w:kern w:val="0"/>
                <w:sz w:val="24"/>
                <w:szCs w:val="24"/>
              </w:rPr>
              <w:t>（鲜、冻）</w:t>
            </w:r>
          </w:p>
          <w:p>
            <w:pPr>
              <w:spacing w:before="120" w:beforeLines="50" w:after="120" w:afterLines="50" w:line="300" w:lineRule="auto"/>
              <w:jc w:val="center"/>
              <w:rPr>
                <w:rFonts w:ascii="宋体" w:hAnsi="宋体" w:cs="宋体"/>
                <w:sz w:val="24"/>
                <w:szCs w:val="24"/>
              </w:rPr>
            </w:pPr>
            <w:r>
              <w:rPr>
                <w:rFonts w:hint="eastAsia" w:ascii="宋体" w:hAnsi="宋体" w:cs="宋体"/>
                <w:sz w:val="24"/>
                <w:szCs w:val="24"/>
              </w:rPr>
              <w:t>（二次）</w:t>
            </w:r>
          </w:p>
        </w:tc>
        <w:tc>
          <w:tcPr>
            <w:tcW w:w="4140"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line="300" w:lineRule="auto"/>
              <w:jc w:val="center"/>
              <w:rPr>
                <w:rFonts w:ascii="宋体" w:hAnsi="宋体" w:cs="宋体"/>
                <w:sz w:val="24"/>
                <w:szCs w:val="24"/>
              </w:rPr>
            </w:pPr>
            <w:r>
              <w:rPr>
                <w:rFonts w:hint="eastAsia" w:ascii="新宋体" w:hAnsi="新宋体" w:eastAsia="新宋体"/>
                <w:sz w:val="24"/>
                <w:szCs w:val="24"/>
              </w:rPr>
              <w:t>下浮</w:t>
            </w:r>
            <w:r>
              <w:rPr>
                <w:rFonts w:hint="eastAsia" w:ascii="新宋体" w:hAnsi="新宋体" w:eastAsia="新宋体"/>
                <w:sz w:val="24"/>
                <w:szCs w:val="24"/>
                <w:u w:val="single"/>
              </w:rPr>
              <w:t xml:space="preserve">      </w:t>
            </w:r>
            <w:r>
              <w:rPr>
                <w:rFonts w:ascii="新宋体" w:hAnsi="新宋体" w:eastAsia="新宋体"/>
                <w:sz w:val="24"/>
                <w:szCs w:val="24"/>
              </w:rPr>
              <w:t>%</w:t>
            </w:r>
          </w:p>
        </w:tc>
      </w:tr>
    </w:tbl>
    <w:p>
      <w:pPr>
        <w:spacing w:before="120" w:beforeLines="50" w:after="120" w:afterLines="50" w:line="300" w:lineRule="auto"/>
        <w:rPr>
          <w:rFonts w:ascii="仿宋" w:hAnsi="仿宋" w:eastAsia="仿宋" w:cs="宋体"/>
          <w:sz w:val="24"/>
          <w:szCs w:val="24"/>
        </w:rPr>
      </w:pPr>
      <w:r>
        <w:rPr>
          <w:rFonts w:hint="eastAsia" w:ascii="仿宋" w:hAnsi="仿宋" w:eastAsia="仿宋" w:cs="宋体"/>
          <w:sz w:val="24"/>
          <w:szCs w:val="24"/>
        </w:rPr>
        <w:t>备注：</w:t>
      </w:r>
    </w:p>
    <w:p>
      <w:pPr>
        <w:spacing w:before="120" w:beforeLines="50" w:after="120" w:afterLines="50" w:line="300" w:lineRule="auto"/>
        <w:ind w:firstLine="480" w:firstLineChars="200"/>
        <w:rPr>
          <w:rFonts w:ascii="仿宋" w:hAnsi="仿宋" w:eastAsia="仿宋" w:cs="宋体"/>
          <w:sz w:val="24"/>
          <w:szCs w:val="24"/>
        </w:rPr>
      </w:pPr>
      <w:r>
        <w:rPr>
          <w:rFonts w:hint="eastAsia" w:ascii="仿宋" w:hAnsi="仿宋" w:eastAsia="仿宋" w:cs="宋体"/>
          <w:sz w:val="24"/>
          <w:szCs w:val="24"/>
        </w:rPr>
        <w:t>（1）价格下浮承诺表中的“承诺下浮率”是供货商承诺供货项目在供应给学校时履行的单价的下浮比例。</w:t>
      </w:r>
    </w:p>
    <w:p>
      <w:pPr>
        <w:spacing w:before="120" w:beforeLines="50" w:after="120" w:afterLines="50" w:line="300" w:lineRule="auto"/>
        <w:ind w:firstLine="480" w:firstLineChars="200"/>
        <w:rPr>
          <w:rFonts w:ascii="仿宋" w:hAnsi="仿宋" w:eastAsia="仿宋" w:cs="宋体"/>
          <w:sz w:val="24"/>
          <w:szCs w:val="24"/>
        </w:rPr>
      </w:pPr>
      <w:r>
        <w:rPr>
          <w:rFonts w:hint="eastAsia" w:ascii="仿宋" w:hAnsi="仿宋" w:eastAsia="仿宋" w:cs="宋体"/>
          <w:sz w:val="24"/>
          <w:szCs w:val="24"/>
        </w:rPr>
        <w:t>（2）承诺的下浮率已考虑原材料成本、运输、装卸、税收、损耗、利润、管理费、安全措施等一切费用。</w:t>
      </w:r>
    </w:p>
    <w:p>
      <w:pPr>
        <w:spacing w:before="120" w:beforeLines="50" w:after="120" w:afterLines="50" w:line="300" w:lineRule="auto"/>
        <w:ind w:firstLine="480" w:firstLineChars="200"/>
        <w:rPr>
          <w:rFonts w:ascii="仿宋" w:hAnsi="仿宋" w:eastAsia="仿宋" w:cs="宋体"/>
          <w:sz w:val="24"/>
          <w:szCs w:val="24"/>
        </w:rPr>
      </w:pPr>
      <w:r>
        <w:rPr>
          <w:rFonts w:hint="eastAsia" w:ascii="仿宋" w:hAnsi="仿宋" w:eastAsia="仿宋" w:cs="宋体"/>
          <w:sz w:val="24"/>
          <w:szCs w:val="24"/>
        </w:rPr>
        <w:t>（3）按照统一格式，价格下浮承诺表须加盖公章。</w:t>
      </w:r>
    </w:p>
    <w:p>
      <w:pPr>
        <w:pStyle w:val="2"/>
        <w:ind w:firstLine="480" w:firstLineChars="200"/>
        <w:rPr>
          <w:rFonts w:eastAsia="仿宋"/>
        </w:rPr>
      </w:pPr>
      <w:r>
        <w:rPr>
          <w:rFonts w:hint="eastAsia" w:ascii="仿宋" w:hAnsi="仿宋" w:eastAsia="仿宋" w:cs="宋体"/>
          <w:szCs w:val="24"/>
        </w:rPr>
        <w:t>（4）二次报价纸为现场填写。</w:t>
      </w:r>
    </w:p>
    <w:p>
      <w:pPr>
        <w:widowControl/>
        <w:topLinePunct/>
        <w:spacing w:before="120" w:beforeLines="50" w:after="120" w:afterLines="50" w:line="300" w:lineRule="auto"/>
        <w:ind w:firstLine="3686"/>
        <w:jc w:val="left"/>
        <w:rPr>
          <w:rFonts w:ascii="宋体" w:hAnsi="宋体" w:cs="宋体"/>
          <w:kern w:val="0"/>
          <w:sz w:val="24"/>
          <w:szCs w:val="24"/>
        </w:rPr>
      </w:pPr>
    </w:p>
    <w:p>
      <w:pPr>
        <w:widowControl/>
        <w:topLinePunct/>
        <w:spacing w:before="120" w:beforeLines="50" w:after="120" w:afterLines="50" w:line="300" w:lineRule="auto"/>
        <w:ind w:firstLine="3686"/>
        <w:jc w:val="left"/>
        <w:rPr>
          <w:rFonts w:ascii="宋体" w:hAnsi="宋体" w:cs="宋体"/>
          <w:kern w:val="0"/>
          <w:sz w:val="24"/>
          <w:szCs w:val="24"/>
        </w:rPr>
      </w:pPr>
      <w:r>
        <w:rPr>
          <w:rFonts w:hint="eastAsia" w:ascii="宋体" w:hAnsi="宋体" w:cs="宋体"/>
          <w:kern w:val="0"/>
          <w:sz w:val="24"/>
          <w:szCs w:val="24"/>
        </w:rPr>
        <w:t>参加投标供应商：（盖章）</w:t>
      </w:r>
    </w:p>
    <w:p>
      <w:pPr>
        <w:widowControl/>
        <w:topLinePunct/>
        <w:spacing w:before="120" w:beforeLines="50" w:after="120" w:afterLines="50" w:line="300" w:lineRule="auto"/>
        <w:ind w:firstLine="3686"/>
        <w:jc w:val="left"/>
        <w:rPr>
          <w:rFonts w:ascii="宋体" w:hAnsi="宋体" w:cs="宋体"/>
          <w:kern w:val="0"/>
          <w:sz w:val="24"/>
          <w:szCs w:val="24"/>
        </w:rPr>
      </w:pPr>
      <w:r>
        <w:rPr>
          <w:rFonts w:hint="eastAsia" w:ascii="宋体" w:hAnsi="宋体" w:cs="宋体"/>
          <w:kern w:val="0"/>
          <w:sz w:val="24"/>
          <w:szCs w:val="24"/>
        </w:rPr>
        <w:t>法定代表人或被授权人（签字或盖章）</w:t>
      </w:r>
    </w:p>
    <w:p>
      <w:pPr>
        <w:widowControl/>
        <w:topLinePunct/>
        <w:spacing w:before="120" w:beforeLines="50" w:after="120" w:afterLines="50" w:line="300" w:lineRule="auto"/>
        <w:ind w:firstLine="3686"/>
        <w:jc w:val="left"/>
        <w:rPr>
          <w:rFonts w:ascii="宋体" w:hAnsi="宋体" w:cs="宋体"/>
          <w:kern w:val="0"/>
          <w:sz w:val="24"/>
          <w:szCs w:val="24"/>
        </w:rPr>
      </w:pPr>
      <w:r>
        <w:rPr>
          <w:rFonts w:hint="eastAsia" w:ascii="宋体" w:hAnsi="宋体" w:cs="宋体"/>
          <w:color w:val="000000"/>
          <w:sz w:val="24"/>
          <w:szCs w:val="24"/>
        </w:rPr>
        <w:t>2</w:t>
      </w:r>
      <w:r>
        <w:rPr>
          <w:rFonts w:ascii="宋体" w:hAnsi="宋体" w:cs="宋体"/>
          <w:color w:val="000000"/>
          <w:sz w:val="24"/>
          <w:szCs w:val="24"/>
        </w:rPr>
        <w:t>020</w:t>
      </w:r>
      <w:r>
        <w:rPr>
          <w:rFonts w:hint="eastAsia" w:ascii="宋体" w:hAnsi="宋体" w:cs="宋体"/>
          <w:kern w:val="0"/>
          <w:sz w:val="24"/>
          <w:szCs w:val="24"/>
        </w:rPr>
        <w:t>年     月    日</w:t>
      </w:r>
    </w:p>
    <w:p>
      <w:pPr>
        <w:widowControl/>
        <w:jc w:val="left"/>
        <w:rPr>
          <w:rFonts w:ascii="宋体" w:hAnsi="宋体" w:cs="宋体"/>
          <w:b/>
          <w:bCs/>
          <w:kern w:val="0"/>
          <w:sz w:val="24"/>
          <w:szCs w:val="24"/>
        </w:rPr>
      </w:pPr>
      <w:r>
        <w:rPr>
          <w:rFonts w:ascii="宋体" w:hAnsi="宋体" w:cs="宋体"/>
          <w:b/>
          <w:bCs/>
          <w:kern w:val="0"/>
          <w:sz w:val="24"/>
          <w:szCs w:val="24"/>
        </w:rPr>
        <w:br w:type="page"/>
      </w:r>
    </w:p>
    <w:p>
      <w:pPr>
        <w:widowControl/>
        <w:jc w:val="left"/>
        <w:rPr>
          <w:rFonts w:ascii="宋体" w:hAnsi="宋体" w:cs="宋体"/>
          <w:b/>
          <w:color w:val="000000"/>
          <w:sz w:val="24"/>
          <w:szCs w:val="24"/>
        </w:rPr>
      </w:pPr>
      <w:r>
        <w:rPr>
          <w:rFonts w:hint="eastAsia" w:ascii="宋体" w:hAnsi="宋体" w:cs="宋体"/>
          <w:b/>
          <w:bCs/>
          <w:sz w:val="24"/>
          <w:szCs w:val="24"/>
        </w:rPr>
        <w:t>1、磋商响应</w:t>
      </w:r>
      <w:r>
        <w:rPr>
          <w:rFonts w:hint="eastAsia" w:ascii="宋体" w:hAnsi="宋体" w:cs="宋体"/>
          <w:b/>
          <w:color w:val="000000"/>
          <w:sz w:val="24"/>
          <w:szCs w:val="24"/>
        </w:rPr>
        <w:t>价格下浮承诺表</w:t>
      </w:r>
    </w:p>
    <w:p>
      <w:pPr>
        <w:spacing w:before="120" w:beforeLines="50" w:after="120" w:afterLines="50" w:line="300" w:lineRule="auto"/>
        <w:jc w:val="center"/>
        <w:rPr>
          <w:rFonts w:ascii="宋体" w:hAnsi="宋体" w:cs="宋体"/>
          <w:b/>
          <w:bCs/>
          <w:kern w:val="0"/>
          <w:sz w:val="24"/>
          <w:szCs w:val="24"/>
        </w:rPr>
      </w:pPr>
    </w:p>
    <w:p>
      <w:pPr>
        <w:spacing w:before="120" w:beforeLines="50" w:after="120" w:afterLines="50" w:line="300" w:lineRule="auto"/>
        <w:jc w:val="center"/>
        <w:rPr>
          <w:rFonts w:ascii="宋体" w:hAnsi="宋体" w:cs="宋体"/>
          <w:b/>
          <w:bCs/>
          <w:kern w:val="0"/>
          <w:sz w:val="24"/>
          <w:szCs w:val="24"/>
        </w:rPr>
      </w:pPr>
      <w:r>
        <w:rPr>
          <w:rFonts w:hint="eastAsia" w:ascii="宋体" w:hAnsi="宋体" w:cs="宋体"/>
          <w:b/>
          <w:bCs/>
          <w:kern w:val="0"/>
          <w:sz w:val="24"/>
          <w:szCs w:val="24"/>
        </w:rPr>
        <w:t>标段八：调味品、干货类</w:t>
      </w:r>
    </w:p>
    <w:p>
      <w:pPr>
        <w:spacing w:before="120" w:beforeLines="50" w:after="120" w:afterLines="50" w:line="300" w:lineRule="auto"/>
        <w:rPr>
          <w:rFonts w:ascii="宋体" w:hAnsi="宋体" w:cs="宋体"/>
          <w:bCs/>
          <w:kern w:val="0"/>
          <w:sz w:val="24"/>
          <w:szCs w:val="24"/>
        </w:rPr>
      </w:pPr>
    </w:p>
    <w:p>
      <w:pPr>
        <w:spacing w:before="120" w:beforeLines="50" w:after="120" w:afterLines="50" w:line="300" w:lineRule="auto"/>
        <w:rPr>
          <w:rFonts w:ascii="宋体" w:hAnsi="宋体" w:cs="宋体"/>
          <w:bCs/>
          <w:kern w:val="0"/>
          <w:sz w:val="24"/>
          <w:szCs w:val="24"/>
        </w:rPr>
      </w:pPr>
      <w:r>
        <w:rPr>
          <w:rFonts w:hint="eastAsia" w:ascii="宋体" w:hAnsi="宋体" w:cs="宋体"/>
          <w:bCs/>
          <w:kern w:val="0"/>
          <w:sz w:val="24"/>
          <w:szCs w:val="24"/>
        </w:rPr>
        <w:t>致：</w:t>
      </w:r>
      <w:r>
        <w:rPr>
          <w:rFonts w:hint="eastAsia" w:ascii="宋体" w:hAnsi="宋体" w:cs="宋体"/>
          <w:bCs/>
          <w:kern w:val="0"/>
          <w:sz w:val="24"/>
          <w:szCs w:val="24"/>
          <w:u w:val="single"/>
        </w:rPr>
        <w:t xml:space="preserve">  南通市启秀中学  </w:t>
      </w:r>
      <w:r>
        <w:rPr>
          <w:rFonts w:hint="eastAsia" w:ascii="宋体" w:hAnsi="宋体" w:cs="宋体"/>
          <w:bCs/>
          <w:kern w:val="0"/>
          <w:sz w:val="24"/>
          <w:szCs w:val="24"/>
        </w:rPr>
        <w:t>：</w:t>
      </w:r>
    </w:p>
    <w:p>
      <w:pPr>
        <w:spacing w:before="120" w:beforeLines="50" w:after="120" w:afterLines="50" w:line="300" w:lineRule="auto"/>
        <w:ind w:firstLine="480" w:firstLineChars="200"/>
        <w:rPr>
          <w:rFonts w:ascii="宋体" w:hAnsi="宋体" w:cs="宋体"/>
          <w:bCs/>
          <w:kern w:val="0"/>
          <w:sz w:val="24"/>
          <w:szCs w:val="24"/>
        </w:rPr>
      </w:pPr>
      <w:r>
        <w:rPr>
          <w:rFonts w:hint="eastAsia" w:ascii="宋体" w:hAnsi="宋体" w:cs="宋体"/>
          <w:bCs/>
          <w:kern w:val="0"/>
          <w:sz w:val="24"/>
          <w:szCs w:val="24"/>
        </w:rPr>
        <w:t>我单位熟悉贵校磋商文件后，认真组织研究，同意磋商文件规定内容，如我方中标将严格按照磋商文件内容和要求组织实施，愿意缴纳履约保证金贰万元。我方所报单项每</w:t>
      </w:r>
      <w:r>
        <w:rPr>
          <w:bCs/>
          <w:kern w:val="0"/>
          <w:sz w:val="24"/>
          <w:szCs w:val="24"/>
        </w:rPr>
        <w:t>500g（或500ml）</w:t>
      </w:r>
      <w:r>
        <w:rPr>
          <w:rFonts w:hint="eastAsia" w:ascii="宋体" w:hAnsi="宋体" w:cs="宋体"/>
          <w:bCs/>
          <w:kern w:val="0"/>
          <w:sz w:val="24"/>
          <w:szCs w:val="24"/>
        </w:rPr>
        <w:t>价格的下浮率：</w:t>
      </w:r>
    </w:p>
    <w:tbl>
      <w:tblPr>
        <w:tblStyle w:val="5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40"/>
        <w:gridCol w:w="41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40" w:type="dxa"/>
            <w:tcBorders>
              <w:top w:val="single" w:color="auto" w:sz="4" w:space="0"/>
              <w:left w:val="single" w:color="auto" w:sz="4" w:space="0"/>
              <w:bottom w:val="single" w:color="auto" w:sz="4" w:space="0"/>
              <w:right w:val="single" w:color="auto" w:sz="4" w:space="0"/>
            </w:tcBorders>
          </w:tcPr>
          <w:p>
            <w:pPr>
              <w:spacing w:before="120" w:beforeLines="50" w:after="120" w:afterLines="50" w:line="300" w:lineRule="auto"/>
              <w:jc w:val="center"/>
              <w:rPr>
                <w:rFonts w:ascii="宋体" w:hAnsi="宋体" w:cs="宋体"/>
                <w:b/>
                <w:sz w:val="24"/>
                <w:szCs w:val="24"/>
              </w:rPr>
            </w:pPr>
            <w:r>
              <w:rPr>
                <w:rFonts w:hint="eastAsia" w:ascii="宋体" w:hAnsi="宋体" w:cs="宋体"/>
                <w:b/>
                <w:sz w:val="24"/>
                <w:szCs w:val="24"/>
              </w:rPr>
              <w:t>供货项目</w:t>
            </w:r>
          </w:p>
        </w:tc>
        <w:tc>
          <w:tcPr>
            <w:tcW w:w="4140" w:type="dxa"/>
            <w:tcBorders>
              <w:top w:val="single" w:color="auto" w:sz="4" w:space="0"/>
              <w:left w:val="single" w:color="auto" w:sz="4" w:space="0"/>
              <w:bottom w:val="single" w:color="auto" w:sz="4" w:space="0"/>
              <w:right w:val="single" w:color="auto" w:sz="4" w:space="0"/>
            </w:tcBorders>
          </w:tcPr>
          <w:p>
            <w:pPr>
              <w:spacing w:before="120" w:beforeLines="50" w:after="120" w:afterLines="50" w:line="300" w:lineRule="auto"/>
              <w:ind w:right="240"/>
              <w:jc w:val="center"/>
              <w:rPr>
                <w:rFonts w:ascii="宋体" w:hAnsi="宋体" w:cs="宋体"/>
                <w:b/>
                <w:sz w:val="24"/>
                <w:szCs w:val="24"/>
              </w:rPr>
            </w:pPr>
            <w:r>
              <w:rPr>
                <w:rFonts w:hint="eastAsia" w:ascii="宋体" w:hAnsi="宋体" w:cs="宋体"/>
                <w:b/>
                <w:sz w:val="24"/>
                <w:szCs w:val="24"/>
              </w:rPr>
              <w:t>承诺下浮率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2240"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line="300" w:lineRule="auto"/>
              <w:jc w:val="center"/>
              <w:rPr>
                <w:rFonts w:ascii="宋体" w:hAnsi="宋体" w:cs="宋体"/>
                <w:sz w:val="24"/>
                <w:szCs w:val="24"/>
              </w:rPr>
            </w:pPr>
            <w:r>
              <w:rPr>
                <w:rFonts w:hint="eastAsia" w:ascii="宋体" w:hAnsi="宋体" w:cs="宋体"/>
                <w:sz w:val="24"/>
                <w:szCs w:val="24"/>
              </w:rPr>
              <w:t>调味品、干货类</w:t>
            </w:r>
          </w:p>
          <w:p>
            <w:pPr>
              <w:spacing w:before="120" w:beforeLines="50" w:after="120" w:afterLines="50" w:line="300" w:lineRule="auto"/>
              <w:jc w:val="center"/>
              <w:rPr>
                <w:rFonts w:ascii="宋体" w:hAnsi="宋体" w:cs="宋体"/>
                <w:sz w:val="24"/>
                <w:szCs w:val="24"/>
              </w:rPr>
            </w:pPr>
            <w:r>
              <w:rPr>
                <w:rFonts w:hint="eastAsia" w:ascii="宋体" w:hAnsi="宋体" w:cs="宋体"/>
                <w:sz w:val="24"/>
                <w:szCs w:val="24"/>
              </w:rPr>
              <w:t>（一次）</w:t>
            </w:r>
          </w:p>
        </w:tc>
        <w:tc>
          <w:tcPr>
            <w:tcW w:w="4140"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line="300" w:lineRule="auto"/>
              <w:jc w:val="center"/>
              <w:rPr>
                <w:rFonts w:ascii="宋体" w:hAnsi="宋体" w:cs="宋体"/>
                <w:sz w:val="24"/>
                <w:szCs w:val="24"/>
              </w:rPr>
            </w:pPr>
            <w:r>
              <w:rPr>
                <w:rFonts w:hint="eastAsia" w:ascii="新宋体" w:hAnsi="新宋体" w:eastAsia="新宋体"/>
                <w:sz w:val="24"/>
                <w:szCs w:val="24"/>
              </w:rPr>
              <w:t>下浮</w:t>
            </w:r>
            <w:r>
              <w:rPr>
                <w:rFonts w:hint="eastAsia" w:ascii="新宋体" w:hAnsi="新宋体" w:eastAsia="新宋体"/>
                <w:sz w:val="24"/>
                <w:szCs w:val="24"/>
                <w:u w:val="single"/>
              </w:rPr>
              <w:t xml:space="preserve">      </w:t>
            </w:r>
            <w:r>
              <w:rPr>
                <w:rFonts w:ascii="新宋体" w:hAnsi="新宋体" w:eastAsia="新宋体"/>
                <w:sz w:val="24"/>
                <w:szCs w:val="24"/>
              </w:rPr>
              <w:t>%</w:t>
            </w:r>
          </w:p>
        </w:tc>
      </w:tr>
    </w:tbl>
    <w:p>
      <w:pPr>
        <w:spacing w:before="120" w:beforeLines="50" w:after="120" w:afterLines="50" w:line="300" w:lineRule="auto"/>
        <w:rPr>
          <w:rFonts w:ascii="宋体" w:hAnsi="宋体" w:cs="宋体"/>
          <w:sz w:val="24"/>
          <w:szCs w:val="24"/>
        </w:rPr>
      </w:pPr>
    </w:p>
    <w:tbl>
      <w:tblPr>
        <w:tblStyle w:val="5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40"/>
        <w:gridCol w:w="41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40" w:type="dxa"/>
            <w:tcBorders>
              <w:top w:val="single" w:color="auto" w:sz="4" w:space="0"/>
              <w:left w:val="single" w:color="auto" w:sz="4" w:space="0"/>
              <w:bottom w:val="single" w:color="auto" w:sz="4" w:space="0"/>
              <w:right w:val="single" w:color="auto" w:sz="4" w:space="0"/>
            </w:tcBorders>
          </w:tcPr>
          <w:p>
            <w:pPr>
              <w:spacing w:before="120" w:beforeLines="50" w:after="120" w:afterLines="50" w:line="300" w:lineRule="auto"/>
              <w:jc w:val="center"/>
              <w:rPr>
                <w:rFonts w:ascii="宋体" w:hAnsi="宋体" w:cs="宋体"/>
                <w:b/>
                <w:sz w:val="24"/>
                <w:szCs w:val="24"/>
              </w:rPr>
            </w:pPr>
            <w:r>
              <w:rPr>
                <w:rFonts w:hint="eastAsia" w:ascii="宋体" w:hAnsi="宋体" w:cs="宋体"/>
                <w:b/>
                <w:sz w:val="24"/>
                <w:szCs w:val="24"/>
              </w:rPr>
              <w:t>供货项目</w:t>
            </w:r>
          </w:p>
        </w:tc>
        <w:tc>
          <w:tcPr>
            <w:tcW w:w="4140" w:type="dxa"/>
            <w:tcBorders>
              <w:top w:val="single" w:color="auto" w:sz="4" w:space="0"/>
              <w:left w:val="single" w:color="auto" w:sz="4" w:space="0"/>
              <w:bottom w:val="single" w:color="auto" w:sz="4" w:space="0"/>
              <w:right w:val="single" w:color="auto" w:sz="4" w:space="0"/>
            </w:tcBorders>
          </w:tcPr>
          <w:p>
            <w:pPr>
              <w:spacing w:before="120" w:beforeLines="50" w:after="120" w:afterLines="50" w:line="300" w:lineRule="auto"/>
              <w:ind w:right="240"/>
              <w:jc w:val="center"/>
              <w:rPr>
                <w:rFonts w:ascii="宋体" w:hAnsi="宋体" w:cs="宋体"/>
                <w:b/>
                <w:sz w:val="24"/>
                <w:szCs w:val="24"/>
              </w:rPr>
            </w:pPr>
            <w:r>
              <w:rPr>
                <w:rFonts w:hint="eastAsia" w:ascii="宋体" w:hAnsi="宋体" w:cs="宋体"/>
                <w:b/>
                <w:sz w:val="24"/>
                <w:szCs w:val="24"/>
              </w:rPr>
              <w:t>承诺下浮率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2240"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line="300" w:lineRule="auto"/>
              <w:jc w:val="center"/>
              <w:rPr>
                <w:rFonts w:ascii="宋体" w:hAnsi="宋体" w:cs="宋体"/>
                <w:sz w:val="24"/>
                <w:szCs w:val="24"/>
              </w:rPr>
            </w:pPr>
            <w:r>
              <w:rPr>
                <w:rFonts w:hint="eastAsia" w:ascii="宋体" w:hAnsi="宋体" w:cs="宋体"/>
                <w:sz w:val="24"/>
                <w:szCs w:val="24"/>
              </w:rPr>
              <w:t>调味品、干货类</w:t>
            </w:r>
          </w:p>
          <w:p>
            <w:pPr>
              <w:spacing w:before="120" w:beforeLines="50" w:after="120" w:afterLines="50" w:line="300" w:lineRule="auto"/>
              <w:jc w:val="center"/>
              <w:rPr>
                <w:rFonts w:ascii="宋体" w:hAnsi="宋体" w:cs="宋体"/>
                <w:sz w:val="24"/>
                <w:szCs w:val="24"/>
              </w:rPr>
            </w:pPr>
            <w:r>
              <w:rPr>
                <w:rFonts w:hint="eastAsia" w:ascii="宋体" w:hAnsi="宋体" w:cs="宋体"/>
                <w:sz w:val="24"/>
                <w:szCs w:val="24"/>
              </w:rPr>
              <w:t>（二次）</w:t>
            </w:r>
          </w:p>
        </w:tc>
        <w:tc>
          <w:tcPr>
            <w:tcW w:w="4140"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line="300" w:lineRule="auto"/>
              <w:jc w:val="center"/>
              <w:rPr>
                <w:rFonts w:ascii="宋体" w:hAnsi="宋体" w:cs="宋体"/>
                <w:sz w:val="24"/>
                <w:szCs w:val="24"/>
              </w:rPr>
            </w:pPr>
            <w:r>
              <w:rPr>
                <w:rFonts w:hint="eastAsia" w:ascii="新宋体" w:hAnsi="新宋体" w:eastAsia="新宋体"/>
                <w:sz w:val="24"/>
                <w:szCs w:val="24"/>
              </w:rPr>
              <w:t>下浮</w:t>
            </w:r>
            <w:r>
              <w:rPr>
                <w:rFonts w:hint="eastAsia" w:ascii="新宋体" w:hAnsi="新宋体" w:eastAsia="新宋体"/>
                <w:sz w:val="24"/>
                <w:szCs w:val="24"/>
                <w:u w:val="single"/>
              </w:rPr>
              <w:t xml:space="preserve">      </w:t>
            </w:r>
            <w:r>
              <w:rPr>
                <w:rFonts w:ascii="新宋体" w:hAnsi="新宋体" w:eastAsia="新宋体"/>
                <w:sz w:val="24"/>
                <w:szCs w:val="24"/>
              </w:rPr>
              <w:t>%</w:t>
            </w:r>
          </w:p>
        </w:tc>
      </w:tr>
    </w:tbl>
    <w:p>
      <w:pPr>
        <w:spacing w:before="120" w:beforeLines="50" w:after="120" w:afterLines="50" w:line="300" w:lineRule="auto"/>
        <w:ind w:firstLine="480" w:firstLineChars="200"/>
        <w:rPr>
          <w:rFonts w:ascii="仿宋" w:hAnsi="仿宋" w:eastAsia="仿宋" w:cs="宋体"/>
          <w:sz w:val="24"/>
          <w:szCs w:val="24"/>
        </w:rPr>
      </w:pPr>
      <w:r>
        <w:rPr>
          <w:rFonts w:hint="eastAsia" w:ascii="仿宋" w:hAnsi="仿宋" w:eastAsia="仿宋" w:cs="宋体"/>
          <w:sz w:val="24"/>
          <w:szCs w:val="24"/>
        </w:rPr>
        <w:t>备注：</w:t>
      </w:r>
    </w:p>
    <w:p>
      <w:pPr>
        <w:spacing w:before="120" w:beforeLines="50" w:after="120" w:afterLines="50" w:line="300" w:lineRule="auto"/>
        <w:ind w:firstLine="480" w:firstLineChars="200"/>
        <w:rPr>
          <w:rFonts w:ascii="仿宋" w:hAnsi="仿宋" w:eastAsia="仿宋" w:cs="宋体"/>
          <w:sz w:val="24"/>
          <w:szCs w:val="24"/>
        </w:rPr>
      </w:pPr>
      <w:r>
        <w:rPr>
          <w:rFonts w:hint="eastAsia" w:ascii="仿宋" w:hAnsi="仿宋" w:eastAsia="仿宋" w:cs="宋体"/>
          <w:sz w:val="24"/>
          <w:szCs w:val="24"/>
        </w:rPr>
        <w:t>（1）价格下浮承诺表中的“承诺下浮率”是供货商承诺供货项目在供应给学校时履行的单价的下浮比例。</w:t>
      </w:r>
    </w:p>
    <w:p>
      <w:pPr>
        <w:spacing w:before="120" w:beforeLines="50" w:after="120" w:afterLines="50" w:line="300" w:lineRule="auto"/>
        <w:ind w:firstLine="480" w:firstLineChars="200"/>
        <w:rPr>
          <w:rFonts w:ascii="仿宋" w:hAnsi="仿宋" w:eastAsia="仿宋" w:cs="宋体"/>
          <w:sz w:val="24"/>
          <w:szCs w:val="24"/>
        </w:rPr>
      </w:pPr>
      <w:r>
        <w:rPr>
          <w:rFonts w:hint="eastAsia" w:ascii="仿宋" w:hAnsi="仿宋" w:eastAsia="仿宋" w:cs="宋体"/>
          <w:sz w:val="24"/>
          <w:szCs w:val="24"/>
        </w:rPr>
        <w:t>（2）承诺的下浮率已考虑原材料成本、运输、装卸、税收、损耗、利润、管理费、安全措施等一切费用。</w:t>
      </w:r>
    </w:p>
    <w:p>
      <w:pPr>
        <w:spacing w:before="120" w:beforeLines="50" w:after="120" w:afterLines="50" w:line="300" w:lineRule="auto"/>
        <w:ind w:firstLine="480" w:firstLineChars="200"/>
        <w:rPr>
          <w:rFonts w:ascii="仿宋" w:hAnsi="仿宋" w:eastAsia="仿宋" w:cs="宋体"/>
          <w:sz w:val="24"/>
          <w:szCs w:val="24"/>
        </w:rPr>
      </w:pPr>
      <w:r>
        <w:rPr>
          <w:rFonts w:hint="eastAsia" w:ascii="仿宋" w:hAnsi="仿宋" w:eastAsia="仿宋" w:cs="宋体"/>
          <w:sz w:val="24"/>
          <w:szCs w:val="24"/>
        </w:rPr>
        <w:t>（3）按照统一格式，价格下浮承诺表须加盖公章。</w:t>
      </w:r>
    </w:p>
    <w:p>
      <w:pPr>
        <w:pStyle w:val="2"/>
        <w:ind w:firstLine="480" w:firstLineChars="200"/>
        <w:rPr>
          <w:rFonts w:eastAsia="仿宋"/>
        </w:rPr>
      </w:pPr>
      <w:r>
        <w:rPr>
          <w:rFonts w:hint="eastAsia" w:ascii="仿宋" w:hAnsi="仿宋" w:eastAsia="仿宋" w:cs="宋体"/>
          <w:szCs w:val="24"/>
        </w:rPr>
        <w:t>（4）二次报价纸为现场填写。</w:t>
      </w:r>
    </w:p>
    <w:p>
      <w:pPr>
        <w:pStyle w:val="2"/>
        <w:ind w:firstLine="480" w:firstLineChars="200"/>
        <w:rPr>
          <w:rFonts w:eastAsia="仿宋"/>
        </w:rPr>
      </w:pPr>
    </w:p>
    <w:p>
      <w:pPr>
        <w:widowControl/>
        <w:topLinePunct/>
        <w:spacing w:before="120" w:beforeLines="50" w:after="120" w:afterLines="50" w:line="300" w:lineRule="auto"/>
        <w:ind w:firstLine="3686"/>
        <w:jc w:val="left"/>
        <w:rPr>
          <w:rFonts w:ascii="宋体" w:hAnsi="宋体" w:cs="宋体"/>
          <w:kern w:val="0"/>
          <w:sz w:val="24"/>
          <w:szCs w:val="24"/>
        </w:rPr>
      </w:pPr>
    </w:p>
    <w:p>
      <w:pPr>
        <w:widowControl/>
        <w:topLinePunct/>
        <w:spacing w:before="120" w:beforeLines="50" w:after="120" w:afterLines="50" w:line="300" w:lineRule="auto"/>
        <w:ind w:firstLine="3686"/>
        <w:jc w:val="left"/>
        <w:rPr>
          <w:rFonts w:ascii="宋体" w:hAnsi="宋体" w:cs="宋体"/>
          <w:kern w:val="0"/>
          <w:sz w:val="24"/>
          <w:szCs w:val="24"/>
        </w:rPr>
      </w:pPr>
      <w:r>
        <w:rPr>
          <w:rFonts w:hint="eastAsia" w:ascii="宋体" w:hAnsi="宋体" w:cs="宋体"/>
          <w:kern w:val="0"/>
          <w:sz w:val="24"/>
          <w:szCs w:val="24"/>
        </w:rPr>
        <w:t>参加投标供应商：（盖章）</w:t>
      </w:r>
    </w:p>
    <w:p>
      <w:pPr>
        <w:widowControl/>
        <w:topLinePunct/>
        <w:spacing w:before="120" w:beforeLines="50" w:after="120" w:afterLines="50" w:line="300" w:lineRule="auto"/>
        <w:ind w:firstLine="3686"/>
        <w:jc w:val="left"/>
        <w:rPr>
          <w:rFonts w:ascii="宋体" w:hAnsi="宋体" w:cs="宋体"/>
          <w:kern w:val="0"/>
          <w:sz w:val="24"/>
          <w:szCs w:val="24"/>
        </w:rPr>
      </w:pPr>
      <w:r>
        <w:rPr>
          <w:rFonts w:hint="eastAsia" w:ascii="宋体" w:hAnsi="宋体" w:cs="宋体"/>
          <w:kern w:val="0"/>
          <w:sz w:val="24"/>
          <w:szCs w:val="24"/>
        </w:rPr>
        <w:t>法定代表人或被授权人（签字或盖章）</w:t>
      </w:r>
    </w:p>
    <w:p>
      <w:pPr>
        <w:widowControl/>
        <w:topLinePunct/>
        <w:spacing w:before="120" w:beforeLines="50" w:after="120" w:afterLines="50" w:line="300" w:lineRule="auto"/>
        <w:ind w:firstLine="3686"/>
        <w:jc w:val="left"/>
        <w:rPr>
          <w:rFonts w:ascii="宋体" w:hAnsi="宋体" w:cs="宋体"/>
          <w:kern w:val="0"/>
          <w:sz w:val="24"/>
          <w:szCs w:val="24"/>
        </w:rPr>
      </w:pPr>
      <w:r>
        <w:rPr>
          <w:rFonts w:hint="eastAsia" w:ascii="宋体" w:hAnsi="宋体" w:cs="宋体"/>
          <w:color w:val="000000"/>
          <w:sz w:val="24"/>
          <w:szCs w:val="24"/>
        </w:rPr>
        <w:t>2</w:t>
      </w:r>
      <w:r>
        <w:rPr>
          <w:rFonts w:ascii="宋体" w:hAnsi="宋体" w:cs="宋体"/>
          <w:color w:val="000000"/>
          <w:sz w:val="24"/>
          <w:szCs w:val="24"/>
        </w:rPr>
        <w:t>020</w:t>
      </w:r>
      <w:r>
        <w:rPr>
          <w:rFonts w:hint="eastAsia" w:ascii="宋体" w:hAnsi="宋体" w:cs="宋体"/>
          <w:kern w:val="0"/>
          <w:sz w:val="24"/>
          <w:szCs w:val="24"/>
        </w:rPr>
        <w:t>年     月    日</w:t>
      </w:r>
    </w:p>
    <w:p>
      <w:pPr>
        <w:widowControl/>
        <w:jc w:val="left"/>
        <w:rPr>
          <w:rFonts w:ascii="宋体" w:hAnsi="宋体" w:cs="宋体"/>
          <w:b/>
          <w:bCs/>
          <w:kern w:val="0"/>
          <w:sz w:val="24"/>
          <w:szCs w:val="24"/>
        </w:rPr>
      </w:pPr>
      <w:r>
        <w:rPr>
          <w:rFonts w:ascii="宋体" w:hAnsi="宋体" w:cs="宋体"/>
          <w:b/>
          <w:bCs/>
          <w:kern w:val="0"/>
          <w:sz w:val="24"/>
          <w:szCs w:val="24"/>
        </w:rPr>
        <w:br w:type="page"/>
      </w:r>
    </w:p>
    <w:p>
      <w:pPr>
        <w:spacing w:line="360" w:lineRule="auto"/>
        <w:rPr>
          <w:rFonts w:ascii="宋体" w:hAnsi="宋体" w:cs="宋体"/>
          <w:b/>
          <w:color w:val="000000"/>
          <w:sz w:val="24"/>
          <w:szCs w:val="24"/>
        </w:rPr>
      </w:pPr>
      <w:r>
        <w:rPr>
          <w:rFonts w:hint="eastAsia" w:ascii="宋体" w:hAnsi="宋体" w:cs="宋体"/>
          <w:b/>
          <w:bCs/>
          <w:sz w:val="24"/>
          <w:szCs w:val="24"/>
        </w:rPr>
        <w:t>1、磋商响应</w:t>
      </w:r>
      <w:r>
        <w:rPr>
          <w:rFonts w:hint="eastAsia" w:ascii="宋体" w:hAnsi="宋体" w:cs="宋体"/>
          <w:b/>
          <w:color w:val="000000"/>
          <w:sz w:val="24"/>
          <w:szCs w:val="24"/>
        </w:rPr>
        <w:t>价格下浮承诺表</w:t>
      </w:r>
    </w:p>
    <w:p>
      <w:pPr>
        <w:spacing w:before="120" w:beforeLines="50" w:after="120" w:afterLines="50" w:line="300" w:lineRule="auto"/>
        <w:jc w:val="center"/>
        <w:rPr>
          <w:rFonts w:ascii="宋体" w:hAnsi="宋体" w:cs="宋体"/>
          <w:b/>
          <w:bCs/>
          <w:kern w:val="0"/>
          <w:sz w:val="24"/>
          <w:szCs w:val="24"/>
        </w:rPr>
      </w:pPr>
    </w:p>
    <w:p>
      <w:pPr>
        <w:spacing w:before="120" w:beforeLines="50" w:after="120" w:afterLines="50" w:line="300" w:lineRule="auto"/>
        <w:jc w:val="center"/>
        <w:rPr>
          <w:rFonts w:ascii="宋体" w:hAnsi="宋体" w:cs="宋体"/>
          <w:b/>
          <w:bCs/>
          <w:kern w:val="0"/>
          <w:sz w:val="24"/>
          <w:szCs w:val="24"/>
        </w:rPr>
      </w:pPr>
      <w:r>
        <w:rPr>
          <w:rFonts w:hint="eastAsia" w:ascii="宋体" w:hAnsi="宋体" w:cs="宋体"/>
          <w:b/>
          <w:bCs/>
          <w:kern w:val="0"/>
          <w:sz w:val="24"/>
          <w:szCs w:val="24"/>
        </w:rPr>
        <w:t>标段九：豆制品类</w:t>
      </w:r>
    </w:p>
    <w:p>
      <w:pPr>
        <w:spacing w:before="120" w:beforeLines="50" w:after="120" w:afterLines="50" w:line="300" w:lineRule="auto"/>
        <w:rPr>
          <w:rFonts w:ascii="宋体" w:hAnsi="宋体" w:cs="宋体"/>
          <w:bCs/>
          <w:kern w:val="0"/>
          <w:sz w:val="24"/>
          <w:szCs w:val="24"/>
        </w:rPr>
      </w:pPr>
    </w:p>
    <w:p>
      <w:pPr>
        <w:spacing w:before="120" w:beforeLines="50" w:after="120" w:afterLines="50" w:line="300" w:lineRule="auto"/>
        <w:rPr>
          <w:rFonts w:ascii="宋体" w:hAnsi="宋体" w:cs="宋体"/>
          <w:bCs/>
          <w:kern w:val="0"/>
          <w:sz w:val="24"/>
          <w:szCs w:val="24"/>
        </w:rPr>
      </w:pPr>
      <w:r>
        <w:rPr>
          <w:rFonts w:hint="eastAsia" w:ascii="宋体" w:hAnsi="宋体" w:cs="宋体"/>
          <w:bCs/>
          <w:kern w:val="0"/>
          <w:sz w:val="24"/>
          <w:szCs w:val="24"/>
        </w:rPr>
        <w:t>致：</w:t>
      </w:r>
      <w:r>
        <w:rPr>
          <w:rFonts w:hint="eastAsia" w:ascii="宋体" w:hAnsi="宋体" w:cs="宋体"/>
          <w:bCs/>
          <w:kern w:val="0"/>
          <w:sz w:val="24"/>
          <w:szCs w:val="24"/>
          <w:u w:val="single"/>
        </w:rPr>
        <w:t xml:space="preserve">  南通市启秀中学  </w:t>
      </w:r>
      <w:r>
        <w:rPr>
          <w:rFonts w:hint="eastAsia" w:ascii="宋体" w:hAnsi="宋体" w:cs="宋体"/>
          <w:bCs/>
          <w:kern w:val="0"/>
          <w:sz w:val="24"/>
          <w:szCs w:val="24"/>
        </w:rPr>
        <w:t>：</w:t>
      </w:r>
    </w:p>
    <w:p>
      <w:pPr>
        <w:spacing w:before="120" w:beforeLines="50" w:after="120" w:afterLines="50" w:line="300" w:lineRule="auto"/>
        <w:ind w:firstLine="480" w:firstLineChars="200"/>
        <w:rPr>
          <w:rFonts w:ascii="宋体" w:hAnsi="宋体" w:cs="宋体"/>
          <w:bCs/>
          <w:kern w:val="0"/>
          <w:sz w:val="24"/>
          <w:szCs w:val="24"/>
        </w:rPr>
      </w:pPr>
      <w:r>
        <w:rPr>
          <w:rFonts w:hint="eastAsia" w:ascii="宋体" w:hAnsi="宋体" w:cs="宋体"/>
          <w:bCs/>
          <w:kern w:val="0"/>
          <w:sz w:val="24"/>
          <w:szCs w:val="24"/>
        </w:rPr>
        <w:t>我单位熟悉贵校磋商文件后，认真组织研究，同意磋商文件规定内容，如我方中标将严格按照磋商文件内容和要求组织实施，愿意缴纳履约保证金贰万元。我方所报单项每</w:t>
      </w:r>
      <w:r>
        <w:rPr>
          <w:bCs/>
          <w:kern w:val="0"/>
          <w:sz w:val="24"/>
          <w:szCs w:val="24"/>
        </w:rPr>
        <w:t>500g（或500ml）</w:t>
      </w:r>
      <w:r>
        <w:rPr>
          <w:rFonts w:hint="eastAsia" w:ascii="宋体" w:hAnsi="宋体" w:cs="宋体"/>
          <w:bCs/>
          <w:kern w:val="0"/>
          <w:sz w:val="24"/>
          <w:szCs w:val="24"/>
        </w:rPr>
        <w:t>价格的下浮率：</w:t>
      </w:r>
    </w:p>
    <w:tbl>
      <w:tblPr>
        <w:tblStyle w:val="5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68"/>
        <w:gridCol w:w="41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line="300" w:lineRule="auto"/>
              <w:jc w:val="center"/>
              <w:rPr>
                <w:rFonts w:ascii="宋体" w:hAnsi="宋体" w:cs="宋体"/>
                <w:b/>
                <w:sz w:val="24"/>
                <w:szCs w:val="24"/>
              </w:rPr>
            </w:pPr>
            <w:r>
              <w:rPr>
                <w:rFonts w:hint="eastAsia" w:ascii="宋体" w:hAnsi="宋体" w:cs="宋体"/>
                <w:b/>
                <w:sz w:val="24"/>
                <w:szCs w:val="24"/>
              </w:rPr>
              <w:t>供货项目</w:t>
            </w:r>
          </w:p>
        </w:tc>
        <w:tc>
          <w:tcPr>
            <w:tcW w:w="4140" w:type="dxa"/>
            <w:tcBorders>
              <w:top w:val="single" w:color="auto" w:sz="4" w:space="0"/>
              <w:left w:val="single" w:color="auto" w:sz="4" w:space="0"/>
              <w:bottom w:val="single" w:color="auto" w:sz="4" w:space="0"/>
              <w:right w:val="single" w:color="auto" w:sz="4" w:space="0"/>
            </w:tcBorders>
          </w:tcPr>
          <w:p>
            <w:pPr>
              <w:spacing w:before="120" w:beforeLines="50" w:after="120" w:afterLines="50" w:line="300" w:lineRule="auto"/>
              <w:ind w:right="240"/>
              <w:jc w:val="center"/>
              <w:rPr>
                <w:rFonts w:ascii="宋体" w:hAnsi="宋体" w:cs="宋体"/>
                <w:b/>
                <w:sz w:val="24"/>
                <w:szCs w:val="24"/>
              </w:rPr>
            </w:pPr>
            <w:r>
              <w:rPr>
                <w:rFonts w:hint="eastAsia" w:ascii="宋体" w:hAnsi="宋体" w:cs="宋体"/>
                <w:b/>
                <w:sz w:val="24"/>
                <w:szCs w:val="24"/>
              </w:rPr>
              <w:t>承诺下浮率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1668"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line="300" w:lineRule="auto"/>
              <w:jc w:val="center"/>
              <w:rPr>
                <w:rFonts w:ascii="宋体" w:hAnsi="宋体" w:cs="宋体"/>
                <w:sz w:val="24"/>
                <w:szCs w:val="24"/>
              </w:rPr>
            </w:pPr>
            <w:r>
              <w:rPr>
                <w:rFonts w:hint="eastAsia" w:ascii="宋体" w:hAnsi="宋体" w:cs="宋体"/>
                <w:sz w:val="24"/>
                <w:szCs w:val="24"/>
              </w:rPr>
              <w:t>豆制品类</w:t>
            </w:r>
          </w:p>
          <w:p>
            <w:pPr>
              <w:spacing w:before="120" w:beforeLines="50" w:after="120" w:afterLines="50" w:line="300" w:lineRule="auto"/>
              <w:jc w:val="center"/>
              <w:rPr>
                <w:rFonts w:ascii="宋体" w:hAnsi="宋体" w:cs="宋体"/>
                <w:sz w:val="24"/>
                <w:szCs w:val="24"/>
              </w:rPr>
            </w:pPr>
            <w:r>
              <w:rPr>
                <w:rFonts w:hint="eastAsia" w:ascii="宋体" w:hAnsi="宋体" w:cs="宋体"/>
                <w:sz w:val="24"/>
                <w:szCs w:val="24"/>
              </w:rPr>
              <w:t>（一次）</w:t>
            </w:r>
          </w:p>
        </w:tc>
        <w:tc>
          <w:tcPr>
            <w:tcW w:w="4140"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line="300" w:lineRule="auto"/>
              <w:jc w:val="center"/>
              <w:rPr>
                <w:rFonts w:ascii="宋体" w:hAnsi="宋体" w:cs="宋体"/>
                <w:sz w:val="24"/>
                <w:szCs w:val="24"/>
              </w:rPr>
            </w:pPr>
            <w:r>
              <w:rPr>
                <w:rFonts w:hint="eastAsia" w:ascii="新宋体" w:hAnsi="新宋体" w:eastAsia="新宋体"/>
                <w:sz w:val="24"/>
                <w:szCs w:val="24"/>
              </w:rPr>
              <w:t>下浮</w:t>
            </w:r>
            <w:r>
              <w:rPr>
                <w:rFonts w:hint="eastAsia" w:ascii="新宋体" w:hAnsi="新宋体" w:eastAsia="新宋体"/>
                <w:sz w:val="24"/>
                <w:szCs w:val="24"/>
                <w:u w:val="single"/>
              </w:rPr>
              <w:t xml:space="preserve">      </w:t>
            </w:r>
            <w:r>
              <w:rPr>
                <w:rFonts w:ascii="新宋体" w:hAnsi="新宋体" w:eastAsia="新宋体"/>
                <w:sz w:val="24"/>
                <w:szCs w:val="24"/>
              </w:rPr>
              <w:t>%</w:t>
            </w:r>
          </w:p>
        </w:tc>
      </w:tr>
    </w:tbl>
    <w:p>
      <w:pPr>
        <w:spacing w:before="120" w:beforeLines="50" w:after="120" w:afterLines="50" w:line="300" w:lineRule="auto"/>
        <w:rPr>
          <w:rFonts w:ascii="宋体" w:hAnsi="宋体" w:cs="宋体"/>
          <w:sz w:val="24"/>
          <w:szCs w:val="24"/>
        </w:rPr>
      </w:pPr>
    </w:p>
    <w:tbl>
      <w:tblPr>
        <w:tblStyle w:val="5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68"/>
        <w:gridCol w:w="41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line="300" w:lineRule="auto"/>
              <w:jc w:val="center"/>
              <w:rPr>
                <w:rFonts w:ascii="宋体" w:hAnsi="宋体" w:cs="宋体"/>
                <w:b/>
                <w:sz w:val="24"/>
                <w:szCs w:val="24"/>
              </w:rPr>
            </w:pPr>
            <w:r>
              <w:rPr>
                <w:rFonts w:hint="eastAsia" w:ascii="宋体" w:hAnsi="宋体" w:cs="宋体"/>
                <w:b/>
                <w:sz w:val="24"/>
                <w:szCs w:val="24"/>
              </w:rPr>
              <w:t>供货项目</w:t>
            </w:r>
          </w:p>
        </w:tc>
        <w:tc>
          <w:tcPr>
            <w:tcW w:w="4140" w:type="dxa"/>
            <w:tcBorders>
              <w:top w:val="single" w:color="auto" w:sz="4" w:space="0"/>
              <w:left w:val="single" w:color="auto" w:sz="4" w:space="0"/>
              <w:bottom w:val="single" w:color="auto" w:sz="4" w:space="0"/>
              <w:right w:val="single" w:color="auto" w:sz="4" w:space="0"/>
            </w:tcBorders>
          </w:tcPr>
          <w:p>
            <w:pPr>
              <w:spacing w:before="120" w:beforeLines="50" w:after="120" w:afterLines="50" w:line="300" w:lineRule="auto"/>
              <w:ind w:right="240"/>
              <w:jc w:val="center"/>
              <w:rPr>
                <w:rFonts w:ascii="宋体" w:hAnsi="宋体" w:cs="宋体"/>
                <w:b/>
                <w:sz w:val="24"/>
                <w:szCs w:val="24"/>
              </w:rPr>
            </w:pPr>
            <w:r>
              <w:rPr>
                <w:rFonts w:hint="eastAsia" w:ascii="宋体" w:hAnsi="宋体" w:cs="宋体"/>
                <w:b/>
                <w:sz w:val="24"/>
                <w:szCs w:val="24"/>
              </w:rPr>
              <w:t>承诺下浮率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1668"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line="300" w:lineRule="auto"/>
              <w:jc w:val="center"/>
              <w:rPr>
                <w:rFonts w:ascii="宋体" w:hAnsi="宋体" w:cs="宋体"/>
                <w:sz w:val="24"/>
                <w:szCs w:val="24"/>
              </w:rPr>
            </w:pPr>
            <w:r>
              <w:rPr>
                <w:rFonts w:hint="eastAsia" w:ascii="宋体" w:hAnsi="宋体" w:cs="宋体"/>
                <w:sz w:val="24"/>
                <w:szCs w:val="24"/>
              </w:rPr>
              <w:t>豆制品类</w:t>
            </w:r>
          </w:p>
          <w:p>
            <w:pPr>
              <w:spacing w:before="120" w:beforeLines="50" w:after="120" w:afterLines="50" w:line="300" w:lineRule="auto"/>
              <w:jc w:val="center"/>
              <w:rPr>
                <w:rFonts w:ascii="宋体" w:hAnsi="宋体" w:cs="宋体"/>
                <w:sz w:val="24"/>
                <w:szCs w:val="24"/>
              </w:rPr>
            </w:pPr>
            <w:r>
              <w:rPr>
                <w:rFonts w:hint="eastAsia" w:ascii="宋体" w:hAnsi="宋体" w:cs="宋体"/>
                <w:sz w:val="24"/>
                <w:szCs w:val="24"/>
              </w:rPr>
              <w:t>（二次）</w:t>
            </w:r>
          </w:p>
        </w:tc>
        <w:tc>
          <w:tcPr>
            <w:tcW w:w="4140"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line="300" w:lineRule="auto"/>
              <w:jc w:val="center"/>
              <w:rPr>
                <w:rFonts w:ascii="宋体" w:hAnsi="宋体" w:cs="宋体"/>
                <w:sz w:val="24"/>
                <w:szCs w:val="24"/>
              </w:rPr>
            </w:pPr>
            <w:r>
              <w:rPr>
                <w:rFonts w:hint="eastAsia" w:ascii="新宋体" w:hAnsi="新宋体" w:eastAsia="新宋体"/>
                <w:sz w:val="24"/>
                <w:szCs w:val="24"/>
              </w:rPr>
              <w:t>下浮</w:t>
            </w:r>
            <w:r>
              <w:rPr>
                <w:rFonts w:hint="eastAsia" w:ascii="新宋体" w:hAnsi="新宋体" w:eastAsia="新宋体"/>
                <w:sz w:val="24"/>
                <w:szCs w:val="24"/>
                <w:u w:val="single"/>
              </w:rPr>
              <w:t xml:space="preserve">      </w:t>
            </w:r>
            <w:r>
              <w:rPr>
                <w:rFonts w:ascii="新宋体" w:hAnsi="新宋体" w:eastAsia="新宋体"/>
                <w:sz w:val="24"/>
                <w:szCs w:val="24"/>
              </w:rPr>
              <w:t>%</w:t>
            </w:r>
          </w:p>
        </w:tc>
      </w:tr>
    </w:tbl>
    <w:p>
      <w:pPr>
        <w:spacing w:before="120" w:beforeLines="50" w:after="120" w:afterLines="50" w:line="300" w:lineRule="auto"/>
        <w:rPr>
          <w:rFonts w:ascii="宋体" w:hAnsi="宋体" w:cs="宋体"/>
          <w:sz w:val="24"/>
          <w:szCs w:val="24"/>
        </w:rPr>
      </w:pPr>
    </w:p>
    <w:p>
      <w:pPr>
        <w:spacing w:before="120" w:beforeLines="50" w:after="120" w:afterLines="50" w:line="300" w:lineRule="auto"/>
        <w:ind w:firstLine="480" w:firstLineChars="200"/>
        <w:rPr>
          <w:rFonts w:ascii="仿宋" w:hAnsi="仿宋" w:eastAsia="仿宋" w:cs="宋体"/>
          <w:sz w:val="24"/>
          <w:szCs w:val="24"/>
        </w:rPr>
      </w:pPr>
      <w:r>
        <w:rPr>
          <w:rFonts w:hint="eastAsia" w:ascii="仿宋" w:hAnsi="仿宋" w:eastAsia="仿宋" w:cs="宋体"/>
          <w:sz w:val="24"/>
          <w:szCs w:val="24"/>
        </w:rPr>
        <w:t>备注：</w:t>
      </w:r>
    </w:p>
    <w:p>
      <w:pPr>
        <w:spacing w:before="120" w:beforeLines="50" w:after="120" w:afterLines="50" w:line="300" w:lineRule="auto"/>
        <w:ind w:firstLine="480" w:firstLineChars="200"/>
        <w:rPr>
          <w:rFonts w:ascii="仿宋" w:hAnsi="仿宋" w:eastAsia="仿宋" w:cs="宋体"/>
          <w:sz w:val="24"/>
          <w:szCs w:val="24"/>
        </w:rPr>
      </w:pPr>
      <w:r>
        <w:rPr>
          <w:rFonts w:hint="eastAsia" w:ascii="仿宋" w:hAnsi="仿宋" w:eastAsia="仿宋" w:cs="宋体"/>
          <w:sz w:val="24"/>
          <w:szCs w:val="24"/>
        </w:rPr>
        <w:t>（1）价格下浮承诺表中的“承诺下浮率”是供货商承诺供货项目在供应给学校时履行的单价的下浮比例。</w:t>
      </w:r>
    </w:p>
    <w:p>
      <w:pPr>
        <w:spacing w:before="120" w:beforeLines="50" w:after="120" w:afterLines="50" w:line="300" w:lineRule="auto"/>
        <w:ind w:firstLine="480" w:firstLineChars="200"/>
        <w:rPr>
          <w:rFonts w:ascii="仿宋" w:hAnsi="仿宋" w:eastAsia="仿宋" w:cs="宋体"/>
          <w:sz w:val="24"/>
          <w:szCs w:val="24"/>
        </w:rPr>
      </w:pPr>
      <w:r>
        <w:rPr>
          <w:rFonts w:hint="eastAsia" w:ascii="仿宋" w:hAnsi="仿宋" w:eastAsia="仿宋" w:cs="宋体"/>
          <w:sz w:val="24"/>
          <w:szCs w:val="24"/>
        </w:rPr>
        <w:t>（2）承诺的下浮率已考虑原材料成本、运输、装卸、税收、损耗、利润、管理费、安全措施等一切费用。</w:t>
      </w:r>
    </w:p>
    <w:p>
      <w:pPr>
        <w:spacing w:before="120" w:beforeLines="50" w:after="120" w:afterLines="50" w:line="300" w:lineRule="auto"/>
        <w:ind w:firstLine="480" w:firstLineChars="200"/>
        <w:rPr>
          <w:rFonts w:ascii="仿宋" w:hAnsi="仿宋" w:eastAsia="仿宋" w:cs="宋体"/>
          <w:sz w:val="24"/>
          <w:szCs w:val="24"/>
        </w:rPr>
      </w:pPr>
      <w:r>
        <w:rPr>
          <w:rFonts w:hint="eastAsia" w:ascii="仿宋" w:hAnsi="仿宋" w:eastAsia="仿宋" w:cs="宋体"/>
          <w:sz w:val="24"/>
          <w:szCs w:val="24"/>
        </w:rPr>
        <w:t>（3）按照统一格式，价格下浮承诺表须加盖公章。</w:t>
      </w:r>
    </w:p>
    <w:p>
      <w:pPr>
        <w:pStyle w:val="2"/>
        <w:ind w:firstLine="480" w:firstLineChars="200"/>
        <w:rPr>
          <w:rFonts w:eastAsia="仿宋"/>
        </w:rPr>
      </w:pPr>
      <w:r>
        <w:rPr>
          <w:rFonts w:hint="eastAsia" w:ascii="仿宋" w:hAnsi="仿宋" w:eastAsia="仿宋" w:cs="宋体"/>
          <w:szCs w:val="24"/>
        </w:rPr>
        <w:t>（4）二次报价纸为现场填写。</w:t>
      </w:r>
    </w:p>
    <w:p>
      <w:pPr>
        <w:widowControl/>
        <w:topLinePunct/>
        <w:spacing w:before="120" w:beforeLines="50" w:after="120" w:afterLines="50" w:line="300" w:lineRule="auto"/>
        <w:ind w:firstLine="3686"/>
        <w:jc w:val="left"/>
        <w:rPr>
          <w:rFonts w:ascii="宋体" w:hAnsi="宋体" w:cs="宋体"/>
          <w:kern w:val="0"/>
          <w:sz w:val="24"/>
          <w:szCs w:val="24"/>
        </w:rPr>
      </w:pPr>
    </w:p>
    <w:p>
      <w:pPr>
        <w:widowControl/>
        <w:topLinePunct/>
        <w:spacing w:before="120" w:beforeLines="50" w:after="120" w:afterLines="50" w:line="300" w:lineRule="auto"/>
        <w:ind w:firstLine="3686"/>
        <w:jc w:val="left"/>
        <w:rPr>
          <w:rFonts w:ascii="宋体" w:hAnsi="宋体" w:cs="宋体"/>
          <w:kern w:val="0"/>
          <w:sz w:val="24"/>
          <w:szCs w:val="24"/>
        </w:rPr>
      </w:pPr>
      <w:r>
        <w:rPr>
          <w:rFonts w:hint="eastAsia" w:ascii="宋体" w:hAnsi="宋体" w:cs="宋体"/>
          <w:kern w:val="0"/>
          <w:sz w:val="24"/>
          <w:szCs w:val="24"/>
        </w:rPr>
        <w:t>参加投标供应商：（盖章）</w:t>
      </w:r>
    </w:p>
    <w:p>
      <w:pPr>
        <w:widowControl/>
        <w:topLinePunct/>
        <w:spacing w:before="120" w:beforeLines="50" w:after="120" w:afterLines="50" w:line="300" w:lineRule="auto"/>
        <w:ind w:firstLine="3686"/>
        <w:jc w:val="left"/>
        <w:rPr>
          <w:rFonts w:ascii="宋体" w:hAnsi="宋体" w:cs="宋体"/>
          <w:kern w:val="0"/>
          <w:sz w:val="24"/>
          <w:szCs w:val="24"/>
        </w:rPr>
      </w:pPr>
      <w:r>
        <w:rPr>
          <w:rFonts w:hint="eastAsia" w:ascii="宋体" w:hAnsi="宋体" w:cs="宋体"/>
          <w:kern w:val="0"/>
          <w:sz w:val="24"/>
          <w:szCs w:val="24"/>
        </w:rPr>
        <w:t>法定代表人或被授权人（签字或盖章）</w:t>
      </w:r>
    </w:p>
    <w:p>
      <w:pPr>
        <w:widowControl/>
        <w:topLinePunct/>
        <w:spacing w:before="120" w:beforeLines="50" w:after="120" w:afterLines="50" w:line="300" w:lineRule="auto"/>
        <w:ind w:firstLine="3686"/>
        <w:jc w:val="left"/>
        <w:rPr>
          <w:rFonts w:ascii="宋体" w:hAnsi="宋体" w:cs="宋体"/>
          <w:kern w:val="0"/>
          <w:sz w:val="24"/>
          <w:szCs w:val="24"/>
        </w:rPr>
      </w:pPr>
      <w:r>
        <w:rPr>
          <w:rFonts w:hint="eastAsia" w:ascii="宋体" w:hAnsi="宋体" w:cs="宋体"/>
          <w:color w:val="000000"/>
          <w:sz w:val="24"/>
          <w:szCs w:val="24"/>
        </w:rPr>
        <w:t>2</w:t>
      </w:r>
      <w:r>
        <w:rPr>
          <w:rFonts w:ascii="宋体" w:hAnsi="宋体" w:cs="宋体"/>
          <w:color w:val="000000"/>
          <w:sz w:val="24"/>
          <w:szCs w:val="24"/>
        </w:rPr>
        <w:t>020</w:t>
      </w:r>
      <w:r>
        <w:rPr>
          <w:rFonts w:hint="eastAsia" w:ascii="宋体" w:hAnsi="宋体" w:cs="宋体"/>
          <w:kern w:val="0"/>
          <w:sz w:val="24"/>
          <w:szCs w:val="24"/>
        </w:rPr>
        <w:t>年     月    日</w:t>
      </w:r>
    </w:p>
    <w:p>
      <w:pPr>
        <w:widowControl/>
        <w:jc w:val="left"/>
        <w:rPr>
          <w:rFonts w:ascii="宋体" w:hAnsi="宋体" w:cs="宋体"/>
          <w:b/>
          <w:bCs/>
          <w:kern w:val="0"/>
          <w:sz w:val="24"/>
          <w:szCs w:val="24"/>
        </w:rPr>
      </w:pPr>
      <w:r>
        <w:rPr>
          <w:rFonts w:ascii="宋体" w:hAnsi="宋体" w:cs="宋体"/>
          <w:b/>
          <w:bCs/>
          <w:kern w:val="0"/>
          <w:sz w:val="24"/>
          <w:szCs w:val="24"/>
        </w:rPr>
        <w:br w:type="page"/>
      </w:r>
    </w:p>
    <w:p>
      <w:pPr>
        <w:spacing w:line="360" w:lineRule="auto"/>
        <w:rPr>
          <w:rFonts w:ascii="宋体" w:hAnsi="宋体" w:cs="宋体"/>
          <w:b/>
          <w:color w:val="000000"/>
          <w:sz w:val="24"/>
          <w:szCs w:val="24"/>
        </w:rPr>
      </w:pPr>
      <w:r>
        <w:rPr>
          <w:rFonts w:hint="eastAsia" w:ascii="宋体" w:hAnsi="宋体" w:cs="宋体"/>
          <w:b/>
          <w:bCs/>
          <w:sz w:val="24"/>
          <w:szCs w:val="24"/>
        </w:rPr>
        <w:t>1、磋商响应</w:t>
      </w:r>
      <w:r>
        <w:rPr>
          <w:rFonts w:hint="eastAsia" w:ascii="宋体" w:hAnsi="宋体" w:cs="宋体"/>
          <w:b/>
          <w:color w:val="000000"/>
          <w:sz w:val="24"/>
          <w:szCs w:val="24"/>
        </w:rPr>
        <w:t>价格下浮承诺表</w:t>
      </w:r>
    </w:p>
    <w:p>
      <w:pPr>
        <w:spacing w:before="120" w:beforeLines="50" w:after="120" w:afterLines="50" w:line="300" w:lineRule="auto"/>
        <w:jc w:val="center"/>
        <w:rPr>
          <w:rFonts w:ascii="宋体" w:hAnsi="宋体" w:cs="宋体"/>
          <w:b/>
          <w:bCs/>
          <w:kern w:val="0"/>
          <w:sz w:val="24"/>
          <w:szCs w:val="24"/>
        </w:rPr>
      </w:pPr>
    </w:p>
    <w:p>
      <w:pPr>
        <w:spacing w:before="120" w:beforeLines="50" w:after="120" w:afterLines="50" w:line="300" w:lineRule="auto"/>
        <w:jc w:val="center"/>
        <w:rPr>
          <w:rFonts w:ascii="宋体" w:hAnsi="宋体" w:cs="宋体"/>
          <w:b/>
          <w:bCs/>
          <w:kern w:val="0"/>
          <w:sz w:val="24"/>
          <w:szCs w:val="24"/>
        </w:rPr>
      </w:pPr>
      <w:r>
        <w:rPr>
          <w:rFonts w:hint="eastAsia" w:ascii="宋体" w:hAnsi="宋体" w:cs="宋体"/>
          <w:b/>
          <w:bCs/>
          <w:kern w:val="0"/>
          <w:sz w:val="24"/>
          <w:szCs w:val="24"/>
        </w:rPr>
        <w:t>标段十一：饮品、点心类</w:t>
      </w:r>
    </w:p>
    <w:p>
      <w:pPr>
        <w:spacing w:before="120" w:beforeLines="50" w:after="120" w:afterLines="50" w:line="300" w:lineRule="auto"/>
        <w:rPr>
          <w:rFonts w:ascii="宋体" w:hAnsi="宋体" w:cs="宋体"/>
          <w:bCs/>
          <w:kern w:val="0"/>
          <w:sz w:val="24"/>
          <w:szCs w:val="24"/>
        </w:rPr>
      </w:pPr>
    </w:p>
    <w:p>
      <w:pPr>
        <w:spacing w:before="120" w:beforeLines="50" w:after="120" w:afterLines="50" w:line="300" w:lineRule="auto"/>
        <w:rPr>
          <w:rFonts w:ascii="宋体" w:hAnsi="宋体" w:cs="宋体"/>
          <w:bCs/>
          <w:kern w:val="0"/>
          <w:sz w:val="24"/>
          <w:szCs w:val="24"/>
        </w:rPr>
      </w:pPr>
      <w:r>
        <w:rPr>
          <w:rFonts w:hint="eastAsia" w:ascii="宋体" w:hAnsi="宋体" w:cs="宋体"/>
          <w:bCs/>
          <w:kern w:val="0"/>
          <w:sz w:val="24"/>
          <w:szCs w:val="24"/>
        </w:rPr>
        <w:t>致：</w:t>
      </w:r>
      <w:r>
        <w:rPr>
          <w:rFonts w:hint="eastAsia" w:ascii="宋体" w:hAnsi="宋体" w:cs="宋体"/>
          <w:bCs/>
          <w:kern w:val="0"/>
          <w:sz w:val="24"/>
          <w:szCs w:val="24"/>
          <w:u w:val="single"/>
        </w:rPr>
        <w:t xml:space="preserve">  南通市启秀中学  </w:t>
      </w:r>
      <w:r>
        <w:rPr>
          <w:rFonts w:hint="eastAsia" w:ascii="宋体" w:hAnsi="宋体" w:cs="宋体"/>
          <w:bCs/>
          <w:kern w:val="0"/>
          <w:sz w:val="24"/>
          <w:szCs w:val="24"/>
        </w:rPr>
        <w:t>：</w:t>
      </w:r>
    </w:p>
    <w:p>
      <w:pPr>
        <w:spacing w:before="120" w:beforeLines="50" w:after="120" w:afterLines="50" w:line="300" w:lineRule="auto"/>
        <w:ind w:firstLine="480" w:firstLineChars="200"/>
        <w:rPr>
          <w:rFonts w:ascii="宋体" w:hAnsi="宋体" w:cs="宋体"/>
          <w:bCs/>
          <w:kern w:val="0"/>
          <w:sz w:val="24"/>
          <w:szCs w:val="24"/>
        </w:rPr>
      </w:pPr>
      <w:r>
        <w:rPr>
          <w:rFonts w:hint="eastAsia" w:ascii="宋体" w:hAnsi="宋体" w:cs="宋体"/>
          <w:bCs/>
          <w:kern w:val="0"/>
          <w:sz w:val="24"/>
          <w:szCs w:val="24"/>
        </w:rPr>
        <w:t>我单位熟悉贵校磋商文件后，认真组织研究，同意磋商文件规定内容，如我方中标将严格按照磋商文件内容和要求组织实施，愿意缴纳履约保证金贰万元。我方所报单项每</w:t>
      </w:r>
      <w:r>
        <w:rPr>
          <w:bCs/>
          <w:kern w:val="0"/>
          <w:sz w:val="24"/>
          <w:szCs w:val="24"/>
        </w:rPr>
        <w:t>500g（或500ml）</w:t>
      </w:r>
      <w:r>
        <w:rPr>
          <w:rFonts w:hint="eastAsia" w:ascii="宋体" w:hAnsi="宋体" w:cs="宋体"/>
          <w:bCs/>
          <w:kern w:val="0"/>
          <w:sz w:val="24"/>
          <w:szCs w:val="24"/>
        </w:rPr>
        <w:t>价格的下浮率：</w:t>
      </w:r>
    </w:p>
    <w:p>
      <w:pPr>
        <w:spacing w:before="120" w:beforeLines="50" w:after="120" w:afterLines="50" w:line="300" w:lineRule="auto"/>
        <w:ind w:firstLine="480" w:firstLineChars="200"/>
        <w:rPr>
          <w:rFonts w:ascii="宋体" w:hAnsi="宋体" w:cs="宋体"/>
          <w:bCs/>
          <w:kern w:val="0"/>
          <w:sz w:val="24"/>
          <w:szCs w:val="24"/>
        </w:rPr>
      </w:pPr>
    </w:p>
    <w:tbl>
      <w:tblPr>
        <w:tblStyle w:val="5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68"/>
        <w:gridCol w:w="41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line="300" w:lineRule="auto"/>
              <w:jc w:val="center"/>
              <w:rPr>
                <w:rFonts w:ascii="宋体" w:hAnsi="宋体" w:cs="宋体"/>
                <w:b/>
                <w:sz w:val="24"/>
                <w:szCs w:val="24"/>
              </w:rPr>
            </w:pPr>
            <w:r>
              <w:rPr>
                <w:rFonts w:hint="eastAsia" w:ascii="宋体" w:hAnsi="宋体" w:cs="宋体"/>
                <w:b/>
                <w:sz w:val="24"/>
                <w:szCs w:val="24"/>
              </w:rPr>
              <w:t>供货项目</w:t>
            </w:r>
          </w:p>
        </w:tc>
        <w:tc>
          <w:tcPr>
            <w:tcW w:w="4140" w:type="dxa"/>
            <w:tcBorders>
              <w:top w:val="single" w:color="auto" w:sz="4" w:space="0"/>
              <w:left w:val="single" w:color="auto" w:sz="4" w:space="0"/>
              <w:bottom w:val="single" w:color="auto" w:sz="4" w:space="0"/>
              <w:right w:val="single" w:color="auto" w:sz="4" w:space="0"/>
            </w:tcBorders>
          </w:tcPr>
          <w:p>
            <w:pPr>
              <w:spacing w:before="120" w:beforeLines="50" w:after="120" w:afterLines="50" w:line="300" w:lineRule="auto"/>
              <w:ind w:right="240"/>
              <w:jc w:val="center"/>
              <w:rPr>
                <w:rFonts w:ascii="宋体" w:hAnsi="宋体" w:cs="宋体"/>
                <w:b/>
                <w:sz w:val="24"/>
                <w:szCs w:val="24"/>
              </w:rPr>
            </w:pPr>
            <w:r>
              <w:rPr>
                <w:rFonts w:hint="eastAsia" w:ascii="宋体" w:hAnsi="宋体" w:cs="宋体"/>
                <w:b/>
                <w:sz w:val="24"/>
                <w:szCs w:val="24"/>
              </w:rPr>
              <w:t>承诺下浮率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1668"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line="300" w:lineRule="auto"/>
              <w:jc w:val="center"/>
              <w:rPr>
                <w:rFonts w:ascii="宋体" w:hAnsi="宋体" w:cs="宋体"/>
                <w:sz w:val="24"/>
                <w:szCs w:val="24"/>
              </w:rPr>
            </w:pPr>
            <w:r>
              <w:rPr>
                <w:rFonts w:hint="eastAsia" w:ascii="宋体" w:hAnsi="宋体" w:cs="宋体"/>
                <w:b/>
                <w:bCs/>
                <w:kern w:val="0"/>
                <w:sz w:val="24"/>
                <w:szCs w:val="24"/>
              </w:rPr>
              <w:t>饮品、点心类</w:t>
            </w:r>
            <w:r>
              <w:rPr>
                <w:rFonts w:hint="eastAsia" w:ascii="宋体" w:hAnsi="宋体" w:cs="宋体"/>
                <w:sz w:val="24"/>
                <w:szCs w:val="24"/>
              </w:rPr>
              <w:t>（一次）</w:t>
            </w:r>
          </w:p>
        </w:tc>
        <w:tc>
          <w:tcPr>
            <w:tcW w:w="4140" w:type="dxa"/>
            <w:tcBorders>
              <w:top w:val="single" w:color="auto" w:sz="4" w:space="0"/>
              <w:left w:val="single" w:color="auto" w:sz="4" w:space="0"/>
              <w:bottom w:val="single" w:color="auto" w:sz="4" w:space="0"/>
              <w:right w:val="single" w:color="auto" w:sz="4" w:space="0"/>
            </w:tcBorders>
            <w:vAlign w:val="center"/>
          </w:tcPr>
          <w:p>
            <w:pPr>
              <w:pStyle w:val="2"/>
              <w:jc w:val="center"/>
            </w:pPr>
            <w:r>
              <w:rPr>
                <w:rFonts w:hint="eastAsia" w:ascii="新宋体" w:hAnsi="新宋体" w:eastAsia="新宋体"/>
                <w:sz w:val="24"/>
                <w:szCs w:val="24"/>
              </w:rPr>
              <w:t>下浮</w:t>
            </w:r>
            <w:r>
              <w:rPr>
                <w:rFonts w:hint="eastAsia" w:ascii="新宋体" w:hAnsi="新宋体" w:eastAsia="新宋体"/>
                <w:sz w:val="24"/>
                <w:szCs w:val="24"/>
                <w:u w:val="single"/>
              </w:rPr>
              <w:t xml:space="preserve">      </w:t>
            </w:r>
            <w:r>
              <w:rPr>
                <w:rFonts w:ascii="新宋体" w:hAnsi="新宋体" w:eastAsia="新宋体"/>
                <w:sz w:val="24"/>
                <w:szCs w:val="24"/>
              </w:rPr>
              <w:t>%</w:t>
            </w:r>
          </w:p>
        </w:tc>
      </w:tr>
    </w:tbl>
    <w:p>
      <w:pPr>
        <w:spacing w:before="120" w:beforeLines="50" w:after="120" w:afterLines="50" w:line="300" w:lineRule="auto"/>
        <w:rPr>
          <w:rFonts w:ascii="宋体" w:hAnsi="宋体" w:cs="宋体"/>
          <w:sz w:val="24"/>
          <w:szCs w:val="24"/>
        </w:rPr>
      </w:pPr>
    </w:p>
    <w:tbl>
      <w:tblPr>
        <w:tblStyle w:val="5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68"/>
        <w:gridCol w:w="41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668" w:type="dxa"/>
            <w:tcBorders>
              <w:top w:val="single" w:color="auto" w:sz="4" w:space="0"/>
              <w:left w:val="single" w:color="auto" w:sz="4" w:space="0"/>
              <w:bottom w:val="single" w:color="auto" w:sz="4" w:space="0"/>
              <w:right w:val="single" w:color="auto" w:sz="4" w:space="0"/>
            </w:tcBorders>
          </w:tcPr>
          <w:p>
            <w:pPr>
              <w:spacing w:before="120" w:beforeLines="50" w:after="120" w:afterLines="50" w:line="300" w:lineRule="auto"/>
              <w:jc w:val="center"/>
              <w:rPr>
                <w:rFonts w:ascii="宋体" w:hAnsi="宋体" w:cs="宋体"/>
                <w:b/>
                <w:sz w:val="24"/>
                <w:szCs w:val="24"/>
              </w:rPr>
            </w:pPr>
            <w:r>
              <w:rPr>
                <w:rFonts w:hint="eastAsia" w:ascii="宋体" w:hAnsi="宋体" w:cs="宋体"/>
                <w:b/>
                <w:sz w:val="24"/>
                <w:szCs w:val="24"/>
              </w:rPr>
              <w:t>供货项目</w:t>
            </w:r>
          </w:p>
        </w:tc>
        <w:tc>
          <w:tcPr>
            <w:tcW w:w="4140" w:type="dxa"/>
            <w:tcBorders>
              <w:top w:val="single" w:color="auto" w:sz="4" w:space="0"/>
              <w:left w:val="single" w:color="auto" w:sz="4" w:space="0"/>
              <w:bottom w:val="single" w:color="auto" w:sz="4" w:space="0"/>
              <w:right w:val="single" w:color="auto" w:sz="4" w:space="0"/>
            </w:tcBorders>
          </w:tcPr>
          <w:p>
            <w:pPr>
              <w:spacing w:before="120" w:beforeLines="50" w:after="120" w:afterLines="50" w:line="300" w:lineRule="auto"/>
              <w:ind w:right="240"/>
              <w:jc w:val="center"/>
              <w:rPr>
                <w:rFonts w:ascii="宋体" w:hAnsi="宋体" w:cs="宋体"/>
                <w:b/>
                <w:sz w:val="24"/>
                <w:szCs w:val="24"/>
              </w:rPr>
            </w:pPr>
            <w:r>
              <w:rPr>
                <w:rFonts w:hint="eastAsia" w:ascii="宋体" w:hAnsi="宋体" w:cs="宋体"/>
                <w:b/>
                <w:sz w:val="24"/>
                <w:szCs w:val="24"/>
              </w:rPr>
              <w:t>承诺下浮率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1668"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line="300" w:lineRule="auto"/>
              <w:jc w:val="center"/>
              <w:rPr>
                <w:rFonts w:ascii="宋体" w:hAnsi="宋体" w:cs="宋体"/>
                <w:sz w:val="24"/>
                <w:szCs w:val="24"/>
              </w:rPr>
            </w:pPr>
            <w:r>
              <w:rPr>
                <w:rFonts w:hint="eastAsia" w:ascii="宋体" w:hAnsi="宋体" w:cs="宋体"/>
                <w:b/>
                <w:bCs/>
                <w:kern w:val="0"/>
                <w:sz w:val="24"/>
                <w:szCs w:val="24"/>
              </w:rPr>
              <w:t>饮品、点心类</w:t>
            </w:r>
            <w:r>
              <w:rPr>
                <w:rFonts w:hint="eastAsia" w:ascii="宋体" w:hAnsi="宋体" w:cs="宋体"/>
                <w:sz w:val="24"/>
                <w:szCs w:val="24"/>
              </w:rPr>
              <w:t>（二次）</w:t>
            </w:r>
          </w:p>
        </w:tc>
        <w:tc>
          <w:tcPr>
            <w:tcW w:w="4140"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line="300" w:lineRule="auto"/>
              <w:jc w:val="center"/>
              <w:rPr>
                <w:rFonts w:ascii="宋体" w:hAnsi="宋体" w:cs="宋体"/>
                <w:sz w:val="24"/>
                <w:szCs w:val="24"/>
              </w:rPr>
            </w:pPr>
            <w:r>
              <w:rPr>
                <w:rFonts w:hint="eastAsia" w:ascii="新宋体" w:hAnsi="新宋体" w:eastAsia="新宋体"/>
                <w:sz w:val="24"/>
                <w:szCs w:val="24"/>
              </w:rPr>
              <w:t>下浮</w:t>
            </w:r>
            <w:r>
              <w:rPr>
                <w:rFonts w:hint="eastAsia" w:ascii="新宋体" w:hAnsi="新宋体" w:eastAsia="新宋体"/>
                <w:sz w:val="24"/>
                <w:szCs w:val="24"/>
                <w:u w:val="single"/>
              </w:rPr>
              <w:t xml:space="preserve">      </w:t>
            </w:r>
            <w:r>
              <w:rPr>
                <w:rFonts w:ascii="新宋体" w:hAnsi="新宋体" w:eastAsia="新宋体"/>
                <w:sz w:val="24"/>
                <w:szCs w:val="24"/>
              </w:rPr>
              <w:t>%</w:t>
            </w:r>
          </w:p>
        </w:tc>
      </w:tr>
    </w:tbl>
    <w:p>
      <w:pPr>
        <w:spacing w:before="120" w:beforeLines="50" w:after="120" w:afterLines="50" w:line="300" w:lineRule="auto"/>
        <w:rPr>
          <w:rFonts w:ascii="宋体" w:hAnsi="宋体" w:cs="宋体"/>
          <w:sz w:val="24"/>
          <w:szCs w:val="24"/>
        </w:rPr>
      </w:pPr>
    </w:p>
    <w:p>
      <w:pPr>
        <w:spacing w:before="120" w:beforeLines="50" w:after="120" w:afterLines="50" w:line="300" w:lineRule="auto"/>
        <w:ind w:firstLine="480" w:firstLineChars="200"/>
        <w:rPr>
          <w:rFonts w:ascii="仿宋" w:hAnsi="仿宋" w:eastAsia="仿宋" w:cs="宋体"/>
          <w:sz w:val="24"/>
          <w:szCs w:val="24"/>
        </w:rPr>
      </w:pPr>
      <w:r>
        <w:rPr>
          <w:rFonts w:hint="eastAsia" w:ascii="仿宋" w:hAnsi="仿宋" w:eastAsia="仿宋" w:cs="宋体"/>
          <w:sz w:val="24"/>
          <w:szCs w:val="24"/>
        </w:rPr>
        <w:t>备注：</w:t>
      </w:r>
    </w:p>
    <w:p>
      <w:pPr>
        <w:spacing w:before="120" w:beforeLines="50" w:after="120" w:afterLines="50" w:line="300" w:lineRule="auto"/>
        <w:ind w:firstLine="480" w:firstLineChars="200"/>
        <w:rPr>
          <w:rFonts w:ascii="仿宋" w:hAnsi="仿宋" w:eastAsia="仿宋" w:cs="宋体"/>
          <w:sz w:val="24"/>
          <w:szCs w:val="24"/>
        </w:rPr>
      </w:pPr>
      <w:r>
        <w:rPr>
          <w:rFonts w:hint="eastAsia" w:ascii="仿宋" w:hAnsi="仿宋" w:eastAsia="仿宋" w:cs="宋体"/>
          <w:sz w:val="24"/>
          <w:szCs w:val="24"/>
        </w:rPr>
        <w:t>（1）价格下浮承诺表中的“承诺下浮率”是供货商承诺供货项目在供应给学校时履行的单价的下浮比例。</w:t>
      </w:r>
    </w:p>
    <w:p>
      <w:pPr>
        <w:spacing w:before="120" w:beforeLines="50" w:after="120" w:afterLines="50" w:line="300" w:lineRule="auto"/>
        <w:ind w:firstLine="480" w:firstLineChars="200"/>
        <w:rPr>
          <w:rFonts w:ascii="仿宋" w:hAnsi="仿宋" w:eastAsia="仿宋" w:cs="宋体"/>
          <w:sz w:val="24"/>
          <w:szCs w:val="24"/>
        </w:rPr>
      </w:pPr>
      <w:r>
        <w:rPr>
          <w:rFonts w:hint="eastAsia" w:ascii="仿宋" w:hAnsi="仿宋" w:eastAsia="仿宋" w:cs="宋体"/>
          <w:sz w:val="24"/>
          <w:szCs w:val="24"/>
        </w:rPr>
        <w:t>（2）承诺的下浮率已考虑原材料成本、运输、装卸、税收、损耗、利润、管理费、安全措施等一切费用。</w:t>
      </w:r>
    </w:p>
    <w:p>
      <w:pPr>
        <w:spacing w:before="120" w:beforeLines="50" w:after="120" w:afterLines="50" w:line="300" w:lineRule="auto"/>
        <w:ind w:firstLine="480" w:firstLineChars="200"/>
        <w:rPr>
          <w:rFonts w:ascii="仿宋" w:hAnsi="仿宋" w:eastAsia="仿宋" w:cs="宋体"/>
          <w:sz w:val="24"/>
          <w:szCs w:val="24"/>
        </w:rPr>
      </w:pPr>
      <w:r>
        <w:rPr>
          <w:rFonts w:hint="eastAsia" w:ascii="仿宋" w:hAnsi="仿宋" w:eastAsia="仿宋" w:cs="宋体"/>
          <w:sz w:val="24"/>
          <w:szCs w:val="24"/>
        </w:rPr>
        <w:t>（3）按照统一格式，本表须加盖公章。</w:t>
      </w:r>
    </w:p>
    <w:p>
      <w:pPr>
        <w:pStyle w:val="2"/>
        <w:ind w:firstLine="480" w:firstLineChars="200"/>
        <w:rPr>
          <w:rFonts w:eastAsia="仿宋"/>
        </w:rPr>
      </w:pPr>
      <w:r>
        <w:rPr>
          <w:rFonts w:hint="eastAsia" w:ascii="仿宋" w:hAnsi="仿宋" w:eastAsia="仿宋" w:cs="宋体"/>
          <w:szCs w:val="24"/>
        </w:rPr>
        <w:t>（4）二次报价为现场填写。</w:t>
      </w:r>
    </w:p>
    <w:p>
      <w:pPr>
        <w:widowControl/>
        <w:topLinePunct/>
        <w:spacing w:before="120" w:beforeLines="50" w:after="120" w:afterLines="50" w:line="300" w:lineRule="auto"/>
        <w:ind w:firstLine="3686"/>
        <w:jc w:val="left"/>
        <w:rPr>
          <w:rFonts w:ascii="宋体" w:hAnsi="宋体" w:cs="宋体"/>
          <w:kern w:val="0"/>
          <w:sz w:val="24"/>
          <w:szCs w:val="24"/>
        </w:rPr>
      </w:pPr>
      <w:r>
        <w:rPr>
          <w:rFonts w:hint="eastAsia" w:ascii="宋体" w:hAnsi="宋体" w:cs="宋体"/>
          <w:kern w:val="0"/>
          <w:sz w:val="24"/>
          <w:szCs w:val="24"/>
        </w:rPr>
        <w:t>参加投标供应商：（盖章）</w:t>
      </w:r>
    </w:p>
    <w:p>
      <w:pPr>
        <w:widowControl/>
        <w:topLinePunct/>
        <w:spacing w:before="120" w:beforeLines="50" w:after="120" w:afterLines="50" w:line="300" w:lineRule="auto"/>
        <w:ind w:firstLine="3686"/>
        <w:jc w:val="left"/>
        <w:rPr>
          <w:rFonts w:ascii="宋体" w:hAnsi="宋体" w:cs="宋体"/>
          <w:kern w:val="0"/>
          <w:sz w:val="24"/>
          <w:szCs w:val="24"/>
        </w:rPr>
      </w:pPr>
      <w:r>
        <w:rPr>
          <w:rFonts w:hint="eastAsia" w:ascii="宋体" w:hAnsi="宋体" w:cs="宋体"/>
          <w:kern w:val="0"/>
          <w:sz w:val="24"/>
          <w:szCs w:val="24"/>
        </w:rPr>
        <w:t>法定代表人或被授权人（签字或盖章）</w:t>
      </w:r>
    </w:p>
    <w:p>
      <w:pPr>
        <w:widowControl/>
        <w:topLinePunct/>
        <w:spacing w:before="120" w:beforeLines="50" w:after="120" w:afterLines="50" w:line="300" w:lineRule="auto"/>
        <w:ind w:firstLine="3686"/>
        <w:jc w:val="left"/>
        <w:rPr>
          <w:rFonts w:ascii="宋体" w:hAnsi="宋体" w:cs="宋体"/>
          <w:b/>
          <w:bCs/>
          <w:kern w:val="0"/>
          <w:sz w:val="24"/>
          <w:szCs w:val="24"/>
        </w:rPr>
      </w:pPr>
      <w:r>
        <w:rPr>
          <w:rFonts w:hint="eastAsia" w:ascii="宋体" w:hAnsi="宋体" w:cs="宋体"/>
          <w:color w:val="000000"/>
          <w:sz w:val="24"/>
          <w:szCs w:val="24"/>
        </w:rPr>
        <w:t>2</w:t>
      </w:r>
      <w:r>
        <w:rPr>
          <w:rFonts w:ascii="宋体" w:hAnsi="宋体" w:cs="宋体"/>
          <w:color w:val="000000"/>
          <w:sz w:val="24"/>
          <w:szCs w:val="24"/>
        </w:rPr>
        <w:t>020</w:t>
      </w:r>
      <w:r>
        <w:rPr>
          <w:rFonts w:hint="eastAsia" w:ascii="宋体" w:hAnsi="宋体" w:cs="宋体"/>
          <w:kern w:val="0"/>
          <w:sz w:val="24"/>
          <w:szCs w:val="24"/>
        </w:rPr>
        <w:t>年     月    日</w:t>
      </w:r>
    </w:p>
    <w:sectPr>
      <w:footerReference r:id="rId4" w:type="first"/>
      <w:footerReference r:id="rId3" w:type="default"/>
      <w:type w:val="continuous"/>
      <w:pgSz w:w="11906" w:h="16838"/>
      <w:pgMar w:top="1440" w:right="1080" w:bottom="1440" w:left="1080" w:header="851" w:footer="964" w:gutter="0"/>
      <w:pgBorders>
        <w:top w:val="none" w:sz="0" w:space="0"/>
        <w:left w:val="none" w:sz="0" w:space="0"/>
        <w:bottom w:val="none" w:sz="0" w:space="0"/>
        <w:right w:val="none" w:sz="0" w:space="0"/>
      </w:pgBorders>
      <w:cols w:space="720" w:num="1"/>
      <w:docGrid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华文仿宋">
    <w:altName w:val="仿宋"/>
    <w:panose1 w:val="02010600040101010101"/>
    <w:charset w:val="86"/>
    <w:family w:val="auto"/>
    <w:pitch w:val="default"/>
    <w:sig w:usb0="00000000" w:usb1="00000000" w:usb2="00000010" w:usb3="00000000" w:csb0="0004009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9312888"/>
    </w:sdtPr>
    <w:sdtContent>
      <w:p>
        <w:pPr>
          <w:pStyle w:val="29"/>
          <w:jc w:val="center"/>
        </w:pPr>
        <w:r>
          <w:fldChar w:fldCharType="begin"/>
        </w:r>
        <w:r>
          <w:instrText xml:space="preserve">PAGE   \* MERGEFORMAT</w:instrText>
        </w:r>
        <w:r>
          <w:fldChar w:fldCharType="separate"/>
        </w:r>
        <w:r>
          <w:t>7</w:t>
        </w:r>
        <w:r>
          <w:fldChar w:fldCharType="end"/>
        </w:r>
      </w:p>
    </w:sdtContent>
  </w:sdt>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9926298"/>
    </w:sdtPr>
    <w:sdtContent>
      <w:p>
        <w:pPr>
          <w:pStyle w:val="29"/>
          <w:jc w:val="center"/>
        </w:pPr>
        <w:r>
          <w:fldChar w:fldCharType="begin"/>
        </w:r>
        <w:r>
          <w:instrText xml:space="preserve">PAGE   \* MERGEFORMAT</w:instrText>
        </w:r>
        <w:r>
          <w:fldChar w:fldCharType="separate"/>
        </w:r>
        <w:r>
          <w:t>1</w:t>
        </w:r>
        <w:r>
          <w:fldChar w:fldCharType="end"/>
        </w:r>
      </w:p>
    </w:sdtContent>
  </w:sdt>
  <w:p>
    <w:pPr>
      <w:pStyle w:val="29"/>
      <w:wordWrap w:val="0"/>
      <w:ind w:right="90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4"/>
  <w:doNotHyphenateCaps/>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D9A"/>
    <w:rsid w:val="000034C9"/>
    <w:rsid w:val="00003921"/>
    <w:rsid w:val="00003928"/>
    <w:rsid w:val="000043F5"/>
    <w:rsid w:val="000048BC"/>
    <w:rsid w:val="00004A29"/>
    <w:rsid w:val="00004D29"/>
    <w:rsid w:val="00004E3C"/>
    <w:rsid w:val="00004FEE"/>
    <w:rsid w:val="00005225"/>
    <w:rsid w:val="00010D28"/>
    <w:rsid w:val="00011205"/>
    <w:rsid w:val="00011EC4"/>
    <w:rsid w:val="00013878"/>
    <w:rsid w:val="00016A8A"/>
    <w:rsid w:val="00017F9A"/>
    <w:rsid w:val="0002082D"/>
    <w:rsid w:val="000219B2"/>
    <w:rsid w:val="00023523"/>
    <w:rsid w:val="000235C5"/>
    <w:rsid w:val="00023780"/>
    <w:rsid w:val="00024C33"/>
    <w:rsid w:val="0002595C"/>
    <w:rsid w:val="00027385"/>
    <w:rsid w:val="00031C6D"/>
    <w:rsid w:val="00032B19"/>
    <w:rsid w:val="00034A09"/>
    <w:rsid w:val="00034ED3"/>
    <w:rsid w:val="000367E4"/>
    <w:rsid w:val="00037BCD"/>
    <w:rsid w:val="00040693"/>
    <w:rsid w:val="00043591"/>
    <w:rsid w:val="00044199"/>
    <w:rsid w:val="000462CB"/>
    <w:rsid w:val="00046A1E"/>
    <w:rsid w:val="000470B3"/>
    <w:rsid w:val="00050E6F"/>
    <w:rsid w:val="0005217D"/>
    <w:rsid w:val="00052425"/>
    <w:rsid w:val="00053191"/>
    <w:rsid w:val="000535BF"/>
    <w:rsid w:val="00053C56"/>
    <w:rsid w:val="0005533C"/>
    <w:rsid w:val="000578A9"/>
    <w:rsid w:val="00060838"/>
    <w:rsid w:val="0006211D"/>
    <w:rsid w:val="00062469"/>
    <w:rsid w:val="00063427"/>
    <w:rsid w:val="00064441"/>
    <w:rsid w:val="00064D6D"/>
    <w:rsid w:val="000660BC"/>
    <w:rsid w:val="000664FF"/>
    <w:rsid w:val="000722AA"/>
    <w:rsid w:val="000738DE"/>
    <w:rsid w:val="000743C5"/>
    <w:rsid w:val="000747E1"/>
    <w:rsid w:val="0007590F"/>
    <w:rsid w:val="00076157"/>
    <w:rsid w:val="00076810"/>
    <w:rsid w:val="0007782C"/>
    <w:rsid w:val="00077A96"/>
    <w:rsid w:val="00080F5D"/>
    <w:rsid w:val="00080FAF"/>
    <w:rsid w:val="00080FC7"/>
    <w:rsid w:val="00081985"/>
    <w:rsid w:val="000821CD"/>
    <w:rsid w:val="00083C6F"/>
    <w:rsid w:val="00084458"/>
    <w:rsid w:val="00084DDC"/>
    <w:rsid w:val="00086A38"/>
    <w:rsid w:val="000900AB"/>
    <w:rsid w:val="000910D5"/>
    <w:rsid w:val="00092013"/>
    <w:rsid w:val="00092CFF"/>
    <w:rsid w:val="00094157"/>
    <w:rsid w:val="00094FAA"/>
    <w:rsid w:val="00095406"/>
    <w:rsid w:val="0009715D"/>
    <w:rsid w:val="000A033C"/>
    <w:rsid w:val="000A0EC4"/>
    <w:rsid w:val="000A30D0"/>
    <w:rsid w:val="000A3D16"/>
    <w:rsid w:val="000A3F7F"/>
    <w:rsid w:val="000A4F8E"/>
    <w:rsid w:val="000A5D0C"/>
    <w:rsid w:val="000A73FC"/>
    <w:rsid w:val="000B0360"/>
    <w:rsid w:val="000B11B9"/>
    <w:rsid w:val="000B14D8"/>
    <w:rsid w:val="000B1D73"/>
    <w:rsid w:val="000B60A4"/>
    <w:rsid w:val="000B6688"/>
    <w:rsid w:val="000B704E"/>
    <w:rsid w:val="000C0693"/>
    <w:rsid w:val="000C07A6"/>
    <w:rsid w:val="000C2F03"/>
    <w:rsid w:val="000C3379"/>
    <w:rsid w:val="000C3A02"/>
    <w:rsid w:val="000C40A8"/>
    <w:rsid w:val="000C4686"/>
    <w:rsid w:val="000C5223"/>
    <w:rsid w:val="000C5E1B"/>
    <w:rsid w:val="000C64F8"/>
    <w:rsid w:val="000C6682"/>
    <w:rsid w:val="000C68BF"/>
    <w:rsid w:val="000C6A09"/>
    <w:rsid w:val="000C7F4E"/>
    <w:rsid w:val="000D117C"/>
    <w:rsid w:val="000D16F0"/>
    <w:rsid w:val="000D2985"/>
    <w:rsid w:val="000D2F74"/>
    <w:rsid w:val="000D3B5F"/>
    <w:rsid w:val="000D4E9F"/>
    <w:rsid w:val="000D5564"/>
    <w:rsid w:val="000D782F"/>
    <w:rsid w:val="000E1924"/>
    <w:rsid w:val="000E28BA"/>
    <w:rsid w:val="000E34EF"/>
    <w:rsid w:val="000E65EA"/>
    <w:rsid w:val="000F07EF"/>
    <w:rsid w:val="000F0F59"/>
    <w:rsid w:val="000F2FD5"/>
    <w:rsid w:val="000F3829"/>
    <w:rsid w:val="000F3AC6"/>
    <w:rsid w:val="000F4F07"/>
    <w:rsid w:val="000F51A6"/>
    <w:rsid w:val="000F6E02"/>
    <w:rsid w:val="000F746E"/>
    <w:rsid w:val="000F7AF3"/>
    <w:rsid w:val="000F7FB3"/>
    <w:rsid w:val="00100267"/>
    <w:rsid w:val="0010100C"/>
    <w:rsid w:val="00101138"/>
    <w:rsid w:val="00101CC2"/>
    <w:rsid w:val="001022C3"/>
    <w:rsid w:val="00104E9D"/>
    <w:rsid w:val="0010523B"/>
    <w:rsid w:val="00106FF7"/>
    <w:rsid w:val="00107F8D"/>
    <w:rsid w:val="001103A2"/>
    <w:rsid w:val="0011177B"/>
    <w:rsid w:val="0011441C"/>
    <w:rsid w:val="00114DA4"/>
    <w:rsid w:val="001153AD"/>
    <w:rsid w:val="00116C00"/>
    <w:rsid w:val="00116F1F"/>
    <w:rsid w:val="00117ABD"/>
    <w:rsid w:val="0012098A"/>
    <w:rsid w:val="00120C6D"/>
    <w:rsid w:val="00121304"/>
    <w:rsid w:val="00121668"/>
    <w:rsid w:val="001216A3"/>
    <w:rsid w:val="00122580"/>
    <w:rsid w:val="00124379"/>
    <w:rsid w:val="00124E1F"/>
    <w:rsid w:val="001253F2"/>
    <w:rsid w:val="001308B2"/>
    <w:rsid w:val="00131892"/>
    <w:rsid w:val="00131965"/>
    <w:rsid w:val="00131CC4"/>
    <w:rsid w:val="001332F6"/>
    <w:rsid w:val="001336A6"/>
    <w:rsid w:val="001341EC"/>
    <w:rsid w:val="00134362"/>
    <w:rsid w:val="00134480"/>
    <w:rsid w:val="00134673"/>
    <w:rsid w:val="00134C27"/>
    <w:rsid w:val="00137578"/>
    <w:rsid w:val="00137AF7"/>
    <w:rsid w:val="00140A38"/>
    <w:rsid w:val="00141B2D"/>
    <w:rsid w:val="00142AD5"/>
    <w:rsid w:val="001433B7"/>
    <w:rsid w:val="00144240"/>
    <w:rsid w:val="00145F3C"/>
    <w:rsid w:val="00146C8A"/>
    <w:rsid w:val="001509DF"/>
    <w:rsid w:val="00152554"/>
    <w:rsid w:val="00152D91"/>
    <w:rsid w:val="0015411D"/>
    <w:rsid w:val="00154701"/>
    <w:rsid w:val="00154E23"/>
    <w:rsid w:val="00155C50"/>
    <w:rsid w:val="00156BDB"/>
    <w:rsid w:val="00156F1E"/>
    <w:rsid w:val="001576EA"/>
    <w:rsid w:val="00157C05"/>
    <w:rsid w:val="00157EB6"/>
    <w:rsid w:val="00157F0F"/>
    <w:rsid w:val="00160005"/>
    <w:rsid w:val="00161A1F"/>
    <w:rsid w:val="00161A99"/>
    <w:rsid w:val="001621CE"/>
    <w:rsid w:val="00162212"/>
    <w:rsid w:val="00162877"/>
    <w:rsid w:val="00162F82"/>
    <w:rsid w:val="001636D5"/>
    <w:rsid w:val="00164032"/>
    <w:rsid w:val="00167331"/>
    <w:rsid w:val="001709A0"/>
    <w:rsid w:val="00171076"/>
    <w:rsid w:val="00171B53"/>
    <w:rsid w:val="00171BF3"/>
    <w:rsid w:val="00172113"/>
    <w:rsid w:val="00172A27"/>
    <w:rsid w:val="00172BC1"/>
    <w:rsid w:val="001739A9"/>
    <w:rsid w:val="00173E89"/>
    <w:rsid w:val="00174D27"/>
    <w:rsid w:val="00174FDC"/>
    <w:rsid w:val="00175433"/>
    <w:rsid w:val="00175FEF"/>
    <w:rsid w:val="001763CD"/>
    <w:rsid w:val="00176F3C"/>
    <w:rsid w:val="00180787"/>
    <w:rsid w:val="001810F0"/>
    <w:rsid w:val="00181940"/>
    <w:rsid w:val="00181DF6"/>
    <w:rsid w:val="00181DF8"/>
    <w:rsid w:val="0018309F"/>
    <w:rsid w:val="00183249"/>
    <w:rsid w:val="00184D5D"/>
    <w:rsid w:val="00184F55"/>
    <w:rsid w:val="0018639E"/>
    <w:rsid w:val="0019130E"/>
    <w:rsid w:val="0019240B"/>
    <w:rsid w:val="00193824"/>
    <w:rsid w:val="0019616B"/>
    <w:rsid w:val="00196175"/>
    <w:rsid w:val="001A0435"/>
    <w:rsid w:val="001A0D20"/>
    <w:rsid w:val="001A10ED"/>
    <w:rsid w:val="001A1EF6"/>
    <w:rsid w:val="001A2011"/>
    <w:rsid w:val="001A205D"/>
    <w:rsid w:val="001A206B"/>
    <w:rsid w:val="001A20CD"/>
    <w:rsid w:val="001A21AD"/>
    <w:rsid w:val="001A3C85"/>
    <w:rsid w:val="001A5D7F"/>
    <w:rsid w:val="001A7371"/>
    <w:rsid w:val="001B05F9"/>
    <w:rsid w:val="001B08A8"/>
    <w:rsid w:val="001B0FB5"/>
    <w:rsid w:val="001B2636"/>
    <w:rsid w:val="001B2F7B"/>
    <w:rsid w:val="001B44E4"/>
    <w:rsid w:val="001B48D6"/>
    <w:rsid w:val="001B558C"/>
    <w:rsid w:val="001B5D73"/>
    <w:rsid w:val="001B643B"/>
    <w:rsid w:val="001C0637"/>
    <w:rsid w:val="001C082F"/>
    <w:rsid w:val="001C4744"/>
    <w:rsid w:val="001C4889"/>
    <w:rsid w:val="001C4F91"/>
    <w:rsid w:val="001C54AD"/>
    <w:rsid w:val="001C591A"/>
    <w:rsid w:val="001C66FB"/>
    <w:rsid w:val="001C7F36"/>
    <w:rsid w:val="001D0D65"/>
    <w:rsid w:val="001D2FAA"/>
    <w:rsid w:val="001D3D41"/>
    <w:rsid w:val="001D473E"/>
    <w:rsid w:val="001D568F"/>
    <w:rsid w:val="001D65AB"/>
    <w:rsid w:val="001D74FC"/>
    <w:rsid w:val="001E1631"/>
    <w:rsid w:val="001E1D40"/>
    <w:rsid w:val="001E3879"/>
    <w:rsid w:val="001E3D9C"/>
    <w:rsid w:val="001E4024"/>
    <w:rsid w:val="001E4500"/>
    <w:rsid w:val="001E4622"/>
    <w:rsid w:val="001E499D"/>
    <w:rsid w:val="001E61F6"/>
    <w:rsid w:val="001E6D0B"/>
    <w:rsid w:val="001E7E28"/>
    <w:rsid w:val="001E7ED6"/>
    <w:rsid w:val="001F00E1"/>
    <w:rsid w:val="001F0E98"/>
    <w:rsid w:val="001F398A"/>
    <w:rsid w:val="001F482E"/>
    <w:rsid w:val="001F5EE2"/>
    <w:rsid w:val="001F623F"/>
    <w:rsid w:val="001F683E"/>
    <w:rsid w:val="001F7EEA"/>
    <w:rsid w:val="002012CB"/>
    <w:rsid w:val="00202D03"/>
    <w:rsid w:val="002036EA"/>
    <w:rsid w:val="00203CEF"/>
    <w:rsid w:val="0020585E"/>
    <w:rsid w:val="00205E5D"/>
    <w:rsid w:val="00205E7A"/>
    <w:rsid w:val="00206262"/>
    <w:rsid w:val="00206609"/>
    <w:rsid w:val="00206D8A"/>
    <w:rsid w:val="0020734A"/>
    <w:rsid w:val="00207F14"/>
    <w:rsid w:val="00211154"/>
    <w:rsid w:val="0021193B"/>
    <w:rsid w:val="00211E89"/>
    <w:rsid w:val="00213CD8"/>
    <w:rsid w:val="00215C42"/>
    <w:rsid w:val="00217BF2"/>
    <w:rsid w:val="002226C3"/>
    <w:rsid w:val="00224002"/>
    <w:rsid w:val="00224249"/>
    <w:rsid w:val="00225230"/>
    <w:rsid w:val="00225AC6"/>
    <w:rsid w:val="00225BF4"/>
    <w:rsid w:val="00227AD0"/>
    <w:rsid w:val="002303C5"/>
    <w:rsid w:val="00230795"/>
    <w:rsid w:val="00230971"/>
    <w:rsid w:val="00230C1A"/>
    <w:rsid w:val="00232080"/>
    <w:rsid w:val="002321D7"/>
    <w:rsid w:val="00232A8E"/>
    <w:rsid w:val="00232D7B"/>
    <w:rsid w:val="00233D71"/>
    <w:rsid w:val="002341CA"/>
    <w:rsid w:val="002342DF"/>
    <w:rsid w:val="00235B7F"/>
    <w:rsid w:val="00236524"/>
    <w:rsid w:val="0023697B"/>
    <w:rsid w:val="00236A8C"/>
    <w:rsid w:val="002408BB"/>
    <w:rsid w:val="00242933"/>
    <w:rsid w:val="002429CD"/>
    <w:rsid w:val="002437A6"/>
    <w:rsid w:val="00244558"/>
    <w:rsid w:val="002449B6"/>
    <w:rsid w:val="00244EFF"/>
    <w:rsid w:val="00245122"/>
    <w:rsid w:val="00247FA6"/>
    <w:rsid w:val="0025034D"/>
    <w:rsid w:val="002547CD"/>
    <w:rsid w:val="00261AB7"/>
    <w:rsid w:val="002626BC"/>
    <w:rsid w:val="00263424"/>
    <w:rsid w:val="00263CCF"/>
    <w:rsid w:val="00265ABD"/>
    <w:rsid w:val="00265B73"/>
    <w:rsid w:val="0026600D"/>
    <w:rsid w:val="00266E2D"/>
    <w:rsid w:val="002679C2"/>
    <w:rsid w:val="002700C2"/>
    <w:rsid w:val="00270193"/>
    <w:rsid w:val="002701C6"/>
    <w:rsid w:val="00270C11"/>
    <w:rsid w:val="002711C7"/>
    <w:rsid w:val="00273BCE"/>
    <w:rsid w:val="00273DB4"/>
    <w:rsid w:val="002755A9"/>
    <w:rsid w:val="00277991"/>
    <w:rsid w:val="00277BE1"/>
    <w:rsid w:val="002818C5"/>
    <w:rsid w:val="00281EA7"/>
    <w:rsid w:val="00282248"/>
    <w:rsid w:val="002839F6"/>
    <w:rsid w:val="00284808"/>
    <w:rsid w:val="00285B63"/>
    <w:rsid w:val="0029091F"/>
    <w:rsid w:val="00291247"/>
    <w:rsid w:val="0029159B"/>
    <w:rsid w:val="00292BF0"/>
    <w:rsid w:val="00296270"/>
    <w:rsid w:val="002A00D6"/>
    <w:rsid w:val="002A2655"/>
    <w:rsid w:val="002A2933"/>
    <w:rsid w:val="002A5BDA"/>
    <w:rsid w:val="002A6E1F"/>
    <w:rsid w:val="002B0E5D"/>
    <w:rsid w:val="002B1AA7"/>
    <w:rsid w:val="002B32BF"/>
    <w:rsid w:val="002B426B"/>
    <w:rsid w:val="002B45D6"/>
    <w:rsid w:val="002B61DF"/>
    <w:rsid w:val="002C0A3F"/>
    <w:rsid w:val="002C1967"/>
    <w:rsid w:val="002C1E48"/>
    <w:rsid w:val="002C3468"/>
    <w:rsid w:val="002C3586"/>
    <w:rsid w:val="002C6970"/>
    <w:rsid w:val="002C6CE5"/>
    <w:rsid w:val="002C72F1"/>
    <w:rsid w:val="002C757A"/>
    <w:rsid w:val="002D02B8"/>
    <w:rsid w:val="002D0969"/>
    <w:rsid w:val="002D16B6"/>
    <w:rsid w:val="002D1871"/>
    <w:rsid w:val="002D2278"/>
    <w:rsid w:val="002D23E2"/>
    <w:rsid w:val="002D56C1"/>
    <w:rsid w:val="002D579C"/>
    <w:rsid w:val="002D65A2"/>
    <w:rsid w:val="002E097C"/>
    <w:rsid w:val="002E1E1B"/>
    <w:rsid w:val="002E2149"/>
    <w:rsid w:val="002E2276"/>
    <w:rsid w:val="002E2865"/>
    <w:rsid w:val="002E2B8F"/>
    <w:rsid w:val="002E2FF1"/>
    <w:rsid w:val="002E40C5"/>
    <w:rsid w:val="002E664C"/>
    <w:rsid w:val="002E7766"/>
    <w:rsid w:val="002F0648"/>
    <w:rsid w:val="002F090E"/>
    <w:rsid w:val="002F0E43"/>
    <w:rsid w:val="002F294F"/>
    <w:rsid w:val="002F4105"/>
    <w:rsid w:val="002F598A"/>
    <w:rsid w:val="002F5CDF"/>
    <w:rsid w:val="002F5D97"/>
    <w:rsid w:val="002F6B11"/>
    <w:rsid w:val="002F6BB9"/>
    <w:rsid w:val="002F763C"/>
    <w:rsid w:val="003012FE"/>
    <w:rsid w:val="00301892"/>
    <w:rsid w:val="00302258"/>
    <w:rsid w:val="00304F39"/>
    <w:rsid w:val="00305270"/>
    <w:rsid w:val="00305762"/>
    <w:rsid w:val="00306747"/>
    <w:rsid w:val="00307EF1"/>
    <w:rsid w:val="00310AED"/>
    <w:rsid w:val="003116D5"/>
    <w:rsid w:val="00312DE1"/>
    <w:rsid w:val="00313E4E"/>
    <w:rsid w:val="0031583B"/>
    <w:rsid w:val="00316996"/>
    <w:rsid w:val="00316ECD"/>
    <w:rsid w:val="003204FA"/>
    <w:rsid w:val="00322B08"/>
    <w:rsid w:val="00327199"/>
    <w:rsid w:val="00327370"/>
    <w:rsid w:val="00330BB3"/>
    <w:rsid w:val="00330BF7"/>
    <w:rsid w:val="00332892"/>
    <w:rsid w:val="0033293A"/>
    <w:rsid w:val="00334880"/>
    <w:rsid w:val="00334E42"/>
    <w:rsid w:val="0033512D"/>
    <w:rsid w:val="00336404"/>
    <w:rsid w:val="00337286"/>
    <w:rsid w:val="00337A1B"/>
    <w:rsid w:val="00337ED6"/>
    <w:rsid w:val="003402F7"/>
    <w:rsid w:val="00340FE4"/>
    <w:rsid w:val="00341458"/>
    <w:rsid w:val="0034225B"/>
    <w:rsid w:val="00343790"/>
    <w:rsid w:val="00343B7C"/>
    <w:rsid w:val="00343DD8"/>
    <w:rsid w:val="00345352"/>
    <w:rsid w:val="00345D50"/>
    <w:rsid w:val="0034666D"/>
    <w:rsid w:val="00346C36"/>
    <w:rsid w:val="003508CD"/>
    <w:rsid w:val="00352B23"/>
    <w:rsid w:val="00354710"/>
    <w:rsid w:val="00354E6C"/>
    <w:rsid w:val="00355314"/>
    <w:rsid w:val="00355462"/>
    <w:rsid w:val="00355D93"/>
    <w:rsid w:val="00355D97"/>
    <w:rsid w:val="00357650"/>
    <w:rsid w:val="00357758"/>
    <w:rsid w:val="00361EF7"/>
    <w:rsid w:val="003648DA"/>
    <w:rsid w:val="00364AF4"/>
    <w:rsid w:val="00364C35"/>
    <w:rsid w:val="0036556D"/>
    <w:rsid w:val="003655CE"/>
    <w:rsid w:val="00365B7A"/>
    <w:rsid w:val="00367C06"/>
    <w:rsid w:val="00367CBF"/>
    <w:rsid w:val="00367D9D"/>
    <w:rsid w:val="0037246C"/>
    <w:rsid w:val="00372B5C"/>
    <w:rsid w:val="00373315"/>
    <w:rsid w:val="0037401A"/>
    <w:rsid w:val="00376915"/>
    <w:rsid w:val="00377017"/>
    <w:rsid w:val="003778C2"/>
    <w:rsid w:val="00380905"/>
    <w:rsid w:val="00381ECE"/>
    <w:rsid w:val="003826E8"/>
    <w:rsid w:val="00384D22"/>
    <w:rsid w:val="00386876"/>
    <w:rsid w:val="003869F4"/>
    <w:rsid w:val="00387779"/>
    <w:rsid w:val="0039256B"/>
    <w:rsid w:val="00392BE4"/>
    <w:rsid w:val="00393AF2"/>
    <w:rsid w:val="00394BE7"/>
    <w:rsid w:val="003955E3"/>
    <w:rsid w:val="003958D4"/>
    <w:rsid w:val="00395FCA"/>
    <w:rsid w:val="003977DB"/>
    <w:rsid w:val="00397A2A"/>
    <w:rsid w:val="003A0081"/>
    <w:rsid w:val="003A1DBF"/>
    <w:rsid w:val="003A4B6F"/>
    <w:rsid w:val="003A4E82"/>
    <w:rsid w:val="003A5B5A"/>
    <w:rsid w:val="003A7272"/>
    <w:rsid w:val="003A7CCB"/>
    <w:rsid w:val="003A7F7C"/>
    <w:rsid w:val="003B007C"/>
    <w:rsid w:val="003B12CF"/>
    <w:rsid w:val="003B2B22"/>
    <w:rsid w:val="003B30DE"/>
    <w:rsid w:val="003B3AEF"/>
    <w:rsid w:val="003B4354"/>
    <w:rsid w:val="003B4AF3"/>
    <w:rsid w:val="003B54BF"/>
    <w:rsid w:val="003B60C2"/>
    <w:rsid w:val="003B7811"/>
    <w:rsid w:val="003B7873"/>
    <w:rsid w:val="003C0137"/>
    <w:rsid w:val="003C073A"/>
    <w:rsid w:val="003C0B1A"/>
    <w:rsid w:val="003C1818"/>
    <w:rsid w:val="003C1A8B"/>
    <w:rsid w:val="003C1CC3"/>
    <w:rsid w:val="003C245B"/>
    <w:rsid w:val="003C392A"/>
    <w:rsid w:val="003C4E5C"/>
    <w:rsid w:val="003C5CE3"/>
    <w:rsid w:val="003C6101"/>
    <w:rsid w:val="003C6ED3"/>
    <w:rsid w:val="003C6FF6"/>
    <w:rsid w:val="003C79EE"/>
    <w:rsid w:val="003C7BC4"/>
    <w:rsid w:val="003D1A67"/>
    <w:rsid w:val="003D222D"/>
    <w:rsid w:val="003D25BB"/>
    <w:rsid w:val="003D3EB4"/>
    <w:rsid w:val="003D4D5C"/>
    <w:rsid w:val="003D4F9C"/>
    <w:rsid w:val="003D56DD"/>
    <w:rsid w:val="003D5A04"/>
    <w:rsid w:val="003D6021"/>
    <w:rsid w:val="003D61C2"/>
    <w:rsid w:val="003D6741"/>
    <w:rsid w:val="003D6FFF"/>
    <w:rsid w:val="003D74EE"/>
    <w:rsid w:val="003E0535"/>
    <w:rsid w:val="003E131E"/>
    <w:rsid w:val="003E1C1F"/>
    <w:rsid w:val="003E3475"/>
    <w:rsid w:val="003E3AA4"/>
    <w:rsid w:val="003E4281"/>
    <w:rsid w:val="003E471B"/>
    <w:rsid w:val="003E7232"/>
    <w:rsid w:val="003E7515"/>
    <w:rsid w:val="003F0B59"/>
    <w:rsid w:val="003F0CAC"/>
    <w:rsid w:val="003F1CA8"/>
    <w:rsid w:val="003F1D04"/>
    <w:rsid w:val="003F3557"/>
    <w:rsid w:val="003F37F1"/>
    <w:rsid w:val="003F4178"/>
    <w:rsid w:val="003F7358"/>
    <w:rsid w:val="003F7544"/>
    <w:rsid w:val="00402ADD"/>
    <w:rsid w:val="004049C5"/>
    <w:rsid w:val="0040542D"/>
    <w:rsid w:val="004061AC"/>
    <w:rsid w:val="00406D9B"/>
    <w:rsid w:val="00410A3E"/>
    <w:rsid w:val="00410CC7"/>
    <w:rsid w:val="0041131D"/>
    <w:rsid w:val="00411666"/>
    <w:rsid w:val="004117BC"/>
    <w:rsid w:val="00411E0D"/>
    <w:rsid w:val="00411E70"/>
    <w:rsid w:val="0041207A"/>
    <w:rsid w:val="004125DC"/>
    <w:rsid w:val="00412CAC"/>
    <w:rsid w:val="00413544"/>
    <w:rsid w:val="004136A0"/>
    <w:rsid w:val="0041427F"/>
    <w:rsid w:val="00414504"/>
    <w:rsid w:val="00414663"/>
    <w:rsid w:val="00414DE1"/>
    <w:rsid w:val="00415551"/>
    <w:rsid w:val="00415FA2"/>
    <w:rsid w:val="00417B02"/>
    <w:rsid w:val="0042039B"/>
    <w:rsid w:val="004208FC"/>
    <w:rsid w:val="00420E52"/>
    <w:rsid w:val="00420F8C"/>
    <w:rsid w:val="00421EC9"/>
    <w:rsid w:val="00422357"/>
    <w:rsid w:val="0042416E"/>
    <w:rsid w:val="00426E5E"/>
    <w:rsid w:val="00427641"/>
    <w:rsid w:val="00430420"/>
    <w:rsid w:val="0043049B"/>
    <w:rsid w:val="00430F0F"/>
    <w:rsid w:val="0043268B"/>
    <w:rsid w:val="00432C90"/>
    <w:rsid w:val="00433F30"/>
    <w:rsid w:val="00437668"/>
    <w:rsid w:val="00440FC1"/>
    <w:rsid w:val="00441DC8"/>
    <w:rsid w:val="004422AC"/>
    <w:rsid w:val="00443AED"/>
    <w:rsid w:val="00443B27"/>
    <w:rsid w:val="0044480A"/>
    <w:rsid w:val="00444933"/>
    <w:rsid w:val="00444BF1"/>
    <w:rsid w:val="00445228"/>
    <w:rsid w:val="00445517"/>
    <w:rsid w:val="00446DDC"/>
    <w:rsid w:val="00447FEB"/>
    <w:rsid w:val="0045006C"/>
    <w:rsid w:val="0045265F"/>
    <w:rsid w:val="00452B59"/>
    <w:rsid w:val="004538A9"/>
    <w:rsid w:val="00453BEC"/>
    <w:rsid w:val="00454325"/>
    <w:rsid w:val="00454378"/>
    <w:rsid w:val="00461C60"/>
    <w:rsid w:val="00464ED6"/>
    <w:rsid w:val="00465425"/>
    <w:rsid w:val="00471E1A"/>
    <w:rsid w:val="004720DB"/>
    <w:rsid w:val="00472EF0"/>
    <w:rsid w:val="00473CD9"/>
    <w:rsid w:val="004740E8"/>
    <w:rsid w:val="004743C5"/>
    <w:rsid w:val="00474649"/>
    <w:rsid w:val="004779C4"/>
    <w:rsid w:val="00480279"/>
    <w:rsid w:val="0048215A"/>
    <w:rsid w:val="0048623E"/>
    <w:rsid w:val="004866CE"/>
    <w:rsid w:val="004868A0"/>
    <w:rsid w:val="00487068"/>
    <w:rsid w:val="00490EEC"/>
    <w:rsid w:val="00494E11"/>
    <w:rsid w:val="00495153"/>
    <w:rsid w:val="00495F2D"/>
    <w:rsid w:val="004A04FF"/>
    <w:rsid w:val="004A0C56"/>
    <w:rsid w:val="004A0E3F"/>
    <w:rsid w:val="004A3DF5"/>
    <w:rsid w:val="004A3EAD"/>
    <w:rsid w:val="004A4EDF"/>
    <w:rsid w:val="004A5023"/>
    <w:rsid w:val="004A5991"/>
    <w:rsid w:val="004A5D3C"/>
    <w:rsid w:val="004A5F2E"/>
    <w:rsid w:val="004A6F37"/>
    <w:rsid w:val="004B00C0"/>
    <w:rsid w:val="004B40D1"/>
    <w:rsid w:val="004B42D2"/>
    <w:rsid w:val="004B4437"/>
    <w:rsid w:val="004B4DA7"/>
    <w:rsid w:val="004B5BFA"/>
    <w:rsid w:val="004B612B"/>
    <w:rsid w:val="004B67DB"/>
    <w:rsid w:val="004B6DEE"/>
    <w:rsid w:val="004B720D"/>
    <w:rsid w:val="004B7857"/>
    <w:rsid w:val="004C06C8"/>
    <w:rsid w:val="004C09F9"/>
    <w:rsid w:val="004C0ADB"/>
    <w:rsid w:val="004C1AF5"/>
    <w:rsid w:val="004C3625"/>
    <w:rsid w:val="004C402A"/>
    <w:rsid w:val="004C432E"/>
    <w:rsid w:val="004C58C3"/>
    <w:rsid w:val="004C6BC6"/>
    <w:rsid w:val="004C72C6"/>
    <w:rsid w:val="004D10BF"/>
    <w:rsid w:val="004D3462"/>
    <w:rsid w:val="004D36AC"/>
    <w:rsid w:val="004D46F3"/>
    <w:rsid w:val="004D4BDE"/>
    <w:rsid w:val="004D5741"/>
    <w:rsid w:val="004E1D27"/>
    <w:rsid w:val="004E1F31"/>
    <w:rsid w:val="004E21F6"/>
    <w:rsid w:val="004E4D79"/>
    <w:rsid w:val="004E4DA8"/>
    <w:rsid w:val="004F108B"/>
    <w:rsid w:val="004F1DBA"/>
    <w:rsid w:val="004F263E"/>
    <w:rsid w:val="004F2D79"/>
    <w:rsid w:val="004F3094"/>
    <w:rsid w:val="004F4B88"/>
    <w:rsid w:val="004F7856"/>
    <w:rsid w:val="005005CF"/>
    <w:rsid w:val="0050084C"/>
    <w:rsid w:val="00500861"/>
    <w:rsid w:val="00500E5E"/>
    <w:rsid w:val="005027BB"/>
    <w:rsid w:val="00505178"/>
    <w:rsid w:val="00505412"/>
    <w:rsid w:val="00507200"/>
    <w:rsid w:val="005077BB"/>
    <w:rsid w:val="00510DE7"/>
    <w:rsid w:val="00513A46"/>
    <w:rsid w:val="0051498B"/>
    <w:rsid w:val="00515518"/>
    <w:rsid w:val="00516CB0"/>
    <w:rsid w:val="00521FA3"/>
    <w:rsid w:val="00522EDD"/>
    <w:rsid w:val="00523B0E"/>
    <w:rsid w:val="0052460C"/>
    <w:rsid w:val="00525283"/>
    <w:rsid w:val="00526B80"/>
    <w:rsid w:val="00527794"/>
    <w:rsid w:val="00530292"/>
    <w:rsid w:val="005302B8"/>
    <w:rsid w:val="00530729"/>
    <w:rsid w:val="00530922"/>
    <w:rsid w:val="00530A79"/>
    <w:rsid w:val="0053134B"/>
    <w:rsid w:val="00533AE5"/>
    <w:rsid w:val="005346F1"/>
    <w:rsid w:val="0053486A"/>
    <w:rsid w:val="00534AAD"/>
    <w:rsid w:val="00534C66"/>
    <w:rsid w:val="00535F90"/>
    <w:rsid w:val="005364A2"/>
    <w:rsid w:val="00537800"/>
    <w:rsid w:val="0054031D"/>
    <w:rsid w:val="00541D71"/>
    <w:rsid w:val="0054359C"/>
    <w:rsid w:val="005442E7"/>
    <w:rsid w:val="00544976"/>
    <w:rsid w:val="005449DA"/>
    <w:rsid w:val="005466A1"/>
    <w:rsid w:val="00547C94"/>
    <w:rsid w:val="00550185"/>
    <w:rsid w:val="0055139C"/>
    <w:rsid w:val="0055155D"/>
    <w:rsid w:val="00551951"/>
    <w:rsid w:val="00553C26"/>
    <w:rsid w:val="0055464D"/>
    <w:rsid w:val="005550C3"/>
    <w:rsid w:val="005608E0"/>
    <w:rsid w:val="005613E2"/>
    <w:rsid w:val="00564243"/>
    <w:rsid w:val="00564E1D"/>
    <w:rsid w:val="0056575D"/>
    <w:rsid w:val="0056586D"/>
    <w:rsid w:val="00566AF7"/>
    <w:rsid w:val="0056750D"/>
    <w:rsid w:val="00572133"/>
    <w:rsid w:val="005734FD"/>
    <w:rsid w:val="005746DA"/>
    <w:rsid w:val="00574DE1"/>
    <w:rsid w:val="005768E8"/>
    <w:rsid w:val="00576B35"/>
    <w:rsid w:val="00580B4D"/>
    <w:rsid w:val="00581975"/>
    <w:rsid w:val="00582D2D"/>
    <w:rsid w:val="0058394B"/>
    <w:rsid w:val="00583F31"/>
    <w:rsid w:val="00583F34"/>
    <w:rsid w:val="00583FF4"/>
    <w:rsid w:val="005876D3"/>
    <w:rsid w:val="00587A99"/>
    <w:rsid w:val="00587F2E"/>
    <w:rsid w:val="00590F2D"/>
    <w:rsid w:val="00591670"/>
    <w:rsid w:val="005921B6"/>
    <w:rsid w:val="00592699"/>
    <w:rsid w:val="00593B98"/>
    <w:rsid w:val="00593DC1"/>
    <w:rsid w:val="005944F5"/>
    <w:rsid w:val="00595011"/>
    <w:rsid w:val="00595D6B"/>
    <w:rsid w:val="00596E75"/>
    <w:rsid w:val="005A0BBB"/>
    <w:rsid w:val="005A190B"/>
    <w:rsid w:val="005A2041"/>
    <w:rsid w:val="005A2652"/>
    <w:rsid w:val="005A2741"/>
    <w:rsid w:val="005A409D"/>
    <w:rsid w:val="005A4B49"/>
    <w:rsid w:val="005A6D18"/>
    <w:rsid w:val="005A7473"/>
    <w:rsid w:val="005B0D9D"/>
    <w:rsid w:val="005B36BD"/>
    <w:rsid w:val="005B37F2"/>
    <w:rsid w:val="005B4281"/>
    <w:rsid w:val="005B6208"/>
    <w:rsid w:val="005B6276"/>
    <w:rsid w:val="005B6280"/>
    <w:rsid w:val="005B7AE0"/>
    <w:rsid w:val="005C0198"/>
    <w:rsid w:val="005C243C"/>
    <w:rsid w:val="005C2479"/>
    <w:rsid w:val="005C360E"/>
    <w:rsid w:val="005C3B84"/>
    <w:rsid w:val="005C4819"/>
    <w:rsid w:val="005C5EF7"/>
    <w:rsid w:val="005C68DA"/>
    <w:rsid w:val="005D3FBB"/>
    <w:rsid w:val="005D4385"/>
    <w:rsid w:val="005D5C78"/>
    <w:rsid w:val="005D5DE9"/>
    <w:rsid w:val="005D740A"/>
    <w:rsid w:val="005D798C"/>
    <w:rsid w:val="005E1648"/>
    <w:rsid w:val="005E373B"/>
    <w:rsid w:val="005E379F"/>
    <w:rsid w:val="005E4BCF"/>
    <w:rsid w:val="005E59FC"/>
    <w:rsid w:val="005E6285"/>
    <w:rsid w:val="005E6490"/>
    <w:rsid w:val="005E6AB3"/>
    <w:rsid w:val="005E6B67"/>
    <w:rsid w:val="005F018B"/>
    <w:rsid w:val="005F0575"/>
    <w:rsid w:val="005F1340"/>
    <w:rsid w:val="005F142D"/>
    <w:rsid w:val="005F1C25"/>
    <w:rsid w:val="005F1C2B"/>
    <w:rsid w:val="005F2738"/>
    <w:rsid w:val="005F3467"/>
    <w:rsid w:val="005F4846"/>
    <w:rsid w:val="005F5244"/>
    <w:rsid w:val="005F56A6"/>
    <w:rsid w:val="005F5976"/>
    <w:rsid w:val="005F6364"/>
    <w:rsid w:val="005F6A98"/>
    <w:rsid w:val="00600112"/>
    <w:rsid w:val="00600DED"/>
    <w:rsid w:val="006027F1"/>
    <w:rsid w:val="00603939"/>
    <w:rsid w:val="00603D51"/>
    <w:rsid w:val="006049FE"/>
    <w:rsid w:val="00604E6F"/>
    <w:rsid w:val="006065B0"/>
    <w:rsid w:val="00607380"/>
    <w:rsid w:val="00607AA1"/>
    <w:rsid w:val="006102F9"/>
    <w:rsid w:val="006110E1"/>
    <w:rsid w:val="006115F6"/>
    <w:rsid w:val="00611F01"/>
    <w:rsid w:val="006146BB"/>
    <w:rsid w:val="00615EA6"/>
    <w:rsid w:val="00616FEA"/>
    <w:rsid w:val="00617970"/>
    <w:rsid w:val="00621F17"/>
    <w:rsid w:val="00622A1E"/>
    <w:rsid w:val="00623018"/>
    <w:rsid w:val="0062304A"/>
    <w:rsid w:val="00623311"/>
    <w:rsid w:val="00623A39"/>
    <w:rsid w:val="00623DBC"/>
    <w:rsid w:val="00624C1B"/>
    <w:rsid w:val="00631F39"/>
    <w:rsid w:val="00632AAE"/>
    <w:rsid w:val="00636BB7"/>
    <w:rsid w:val="0063731D"/>
    <w:rsid w:val="00637471"/>
    <w:rsid w:val="00641097"/>
    <w:rsid w:val="0064177B"/>
    <w:rsid w:val="006419BA"/>
    <w:rsid w:val="00641B81"/>
    <w:rsid w:val="0064334B"/>
    <w:rsid w:val="0064425A"/>
    <w:rsid w:val="006443E9"/>
    <w:rsid w:val="00644718"/>
    <w:rsid w:val="00644A5F"/>
    <w:rsid w:val="00646525"/>
    <w:rsid w:val="0064758C"/>
    <w:rsid w:val="00647651"/>
    <w:rsid w:val="00651251"/>
    <w:rsid w:val="0065157E"/>
    <w:rsid w:val="00651CCF"/>
    <w:rsid w:val="006527ED"/>
    <w:rsid w:val="00653D47"/>
    <w:rsid w:val="00654AFF"/>
    <w:rsid w:val="006555E1"/>
    <w:rsid w:val="006560D3"/>
    <w:rsid w:val="006607AC"/>
    <w:rsid w:val="00660A2F"/>
    <w:rsid w:val="00660BF4"/>
    <w:rsid w:val="0066130E"/>
    <w:rsid w:val="006615BF"/>
    <w:rsid w:val="0066289E"/>
    <w:rsid w:val="0066337E"/>
    <w:rsid w:val="006635B6"/>
    <w:rsid w:val="00665510"/>
    <w:rsid w:val="0066652E"/>
    <w:rsid w:val="00666AE8"/>
    <w:rsid w:val="00670251"/>
    <w:rsid w:val="0067165E"/>
    <w:rsid w:val="00672024"/>
    <w:rsid w:val="00675A00"/>
    <w:rsid w:val="00675E8C"/>
    <w:rsid w:val="0067619F"/>
    <w:rsid w:val="006772F4"/>
    <w:rsid w:val="006776CF"/>
    <w:rsid w:val="00681054"/>
    <w:rsid w:val="00682CD3"/>
    <w:rsid w:val="00682E6D"/>
    <w:rsid w:val="006843A3"/>
    <w:rsid w:val="006850FC"/>
    <w:rsid w:val="006853FB"/>
    <w:rsid w:val="0068778A"/>
    <w:rsid w:val="0069025F"/>
    <w:rsid w:val="00690BCA"/>
    <w:rsid w:val="00691AA5"/>
    <w:rsid w:val="006937D7"/>
    <w:rsid w:val="00693BB3"/>
    <w:rsid w:val="006942FC"/>
    <w:rsid w:val="00696ECE"/>
    <w:rsid w:val="006A051D"/>
    <w:rsid w:val="006A0C60"/>
    <w:rsid w:val="006A0CF6"/>
    <w:rsid w:val="006A1B3F"/>
    <w:rsid w:val="006A34A3"/>
    <w:rsid w:val="006A39D0"/>
    <w:rsid w:val="006A41D0"/>
    <w:rsid w:val="006A5577"/>
    <w:rsid w:val="006A59C5"/>
    <w:rsid w:val="006B155F"/>
    <w:rsid w:val="006B1D18"/>
    <w:rsid w:val="006B20B5"/>
    <w:rsid w:val="006B2AE0"/>
    <w:rsid w:val="006B3E79"/>
    <w:rsid w:val="006B4925"/>
    <w:rsid w:val="006B58A7"/>
    <w:rsid w:val="006B5BFC"/>
    <w:rsid w:val="006B5EF7"/>
    <w:rsid w:val="006B7C77"/>
    <w:rsid w:val="006C394D"/>
    <w:rsid w:val="006C4292"/>
    <w:rsid w:val="006C4B73"/>
    <w:rsid w:val="006C4E3D"/>
    <w:rsid w:val="006C7BFF"/>
    <w:rsid w:val="006C7CC4"/>
    <w:rsid w:val="006D0B34"/>
    <w:rsid w:val="006D13BF"/>
    <w:rsid w:val="006D174F"/>
    <w:rsid w:val="006D2210"/>
    <w:rsid w:val="006D24B2"/>
    <w:rsid w:val="006D376E"/>
    <w:rsid w:val="006D3D5E"/>
    <w:rsid w:val="006D5F84"/>
    <w:rsid w:val="006D6283"/>
    <w:rsid w:val="006D6DFC"/>
    <w:rsid w:val="006D78AB"/>
    <w:rsid w:val="006E03A9"/>
    <w:rsid w:val="006E0A44"/>
    <w:rsid w:val="006E3483"/>
    <w:rsid w:val="006E75CA"/>
    <w:rsid w:val="006E7EEB"/>
    <w:rsid w:val="006F2F33"/>
    <w:rsid w:val="006F4387"/>
    <w:rsid w:val="0070064D"/>
    <w:rsid w:val="00703B50"/>
    <w:rsid w:val="007040EF"/>
    <w:rsid w:val="00706EF3"/>
    <w:rsid w:val="007070D2"/>
    <w:rsid w:val="00707366"/>
    <w:rsid w:val="007109AD"/>
    <w:rsid w:val="0071164A"/>
    <w:rsid w:val="007118D5"/>
    <w:rsid w:val="0071347A"/>
    <w:rsid w:val="00713E4A"/>
    <w:rsid w:val="00715171"/>
    <w:rsid w:val="007157BD"/>
    <w:rsid w:val="00715D01"/>
    <w:rsid w:val="007161EB"/>
    <w:rsid w:val="007173EC"/>
    <w:rsid w:val="00717898"/>
    <w:rsid w:val="00717D89"/>
    <w:rsid w:val="0072087A"/>
    <w:rsid w:val="00720BCD"/>
    <w:rsid w:val="00720D2E"/>
    <w:rsid w:val="00721630"/>
    <w:rsid w:val="0072182F"/>
    <w:rsid w:val="00724419"/>
    <w:rsid w:val="007252CF"/>
    <w:rsid w:val="00726074"/>
    <w:rsid w:val="00726CC8"/>
    <w:rsid w:val="00726F76"/>
    <w:rsid w:val="00727312"/>
    <w:rsid w:val="00730A68"/>
    <w:rsid w:val="00730F62"/>
    <w:rsid w:val="00731047"/>
    <w:rsid w:val="00731210"/>
    <w:rsid w:val="007331E7"/>
    <w:rsid w:val="00733DD6"/>
    <w:rsid w:val="00735F61"/>
    <w:rsid w:val="00736215"/>
    <w:rsid w:val="0073631D"/>
    <w:rsid w:val="0073651D"/>
    <w:rsid w:val="0074003C"/>
    <w:rsid w:val="007435C9"/>
    <w:rsid w:val="00743FA0"/>
    <w:rsid w:val="007447AA"/>
    <w:rsid w:val="007448A0"/>
    <w:rsid w:val="00744A9C"/>
    <w:rsid w:val="0074650C"/>
    <w:rsid w:val="00750215"/>
    <w:rsid w:val="007504A2"/>
    <w:rsid w:val="00750DA2"/>
    <w:rsid w:val="00751373"/>
    <w:rsid w:val="00755A53"/>
    <w:rsid w:val="00756B19"/>
    <w:rsid w:val="0075700D"/>
    <w:rsid w:val="0075759A"/>
    <w:rsid w:val="00757C3A"/>
    <w:rsid w:val="00760B6A"/>
    <w:rsid w:val="0076126E"/>
    <w:rsid w:val="0076136F"/>
    <w:rsid w:val="00761614"/>
    <w:rsid w:val="0076170E"/>
    <w:rsid w:val="00761CA3"/>
    <w:rsid w:val="00762276"/>
    <w:rsid w:val="007626D3"/>
    <w:rsid w:val="007643A1"/>
    <w:rsid w:val="00764F02"/>
    <w:rsid w:val="007653A1"/>
    <w:rsid w:val="00767B4F"/>
    <w:rsid w:val="00770B86"/>
    <w:rsid w:val="00772A71"/>
    <w:rsid w:val="00774825"/>
    <w:rsid w:val="00774C88"/>
    <w:rsid w:val="00776745"/>
    <w:rsid w:val="00777BDA"/>
    <w:rsid w:val="00777D78"/>
    <w:rsid w:val="00782FF1"/>
    <w:rsid w:val="0078359A"/>
    <w:rsid w:val="007836BB"/>
    <w:rsid w:val="00783930"/>
    <w:rsid w:val="007839BE"/>
    <w:rsid w:val="00783C7E"/>
    <w:rsid w:val="00785F4A"/>
    <w:rsid w:val="00787584"/>
    <w:rsid w:val="00787A89"/>
    <w:rsid w:val="00790541"/>
    <w:rsid w:val="00791B6C"/>
    <w:rsid w:val="00791D01"/>
    <w:rsid w:val="0079265C"/>
    <w:rsid w:val="00793479"/>
    <w:rsid w:val="0079365B"/>
    <w:rsid w:val="007942CD"/>
    <w:rsid w:val="007942EB"/>
    <w:rsid w:val="00794EE8"/>
    <w:rsid w:val="00795C97"/>
    <w:rsid w:val="00796EA0"/>
    <w:rsid w:val="007A0265"/>
    <w:rsid w:val="007A0D51"/>
    <w:rsid w:val="007A171F"/>
    <w:rsid w:val="007A1DA9"/>
    <w:rsid w:val="007A1E09"/>
    <w:rsid w:val="007A2470"/>
    <w:rsid w:val="007A34DB"/>
    <w:rsid w:val="007A3D23"/>
    <w:rsid w:val="007A4254"/>
    <w:rsid w:val="007A4F66"/>
    <w:rsid w:val="007A5757"/>
    <w:rsid w:val="007A5F20"/>
    <w:rsid w:val="007A7D22"/>
    <w:rsid w:val="007B11FF"/>
    <w:rsid w:val="007B1EC0"/>
    <w:rsid w:val="007B1F0E"/>
    <w:rsid w:val="007B2D71"/>
    <w:rsid w:val="007B5422"/>
    <w:rsid w:val="007B6B8C"/>
    <w:rsid w:val="007C0D61"/>
    <w:rsid w:val="007C2646"/>
    <w:rsid w:val="007C2B84"/>
    <w:rsid w:val="007C2E2C"/>
    <w:rsid w:val="007C38C5"/>
    <w:rsid w:val="007C5C7B"/>
    <w:rsid w:val="007C60A6"/>
    <w:rsid w:val="007C69ED"/>
    <w:rsid w:val="007C6D6A"/>
    <w:rsid w:val="007C7336"/>
    <w:rsid w:val="007C7590"/>
    <w:rsid w:val="007C7A19"/>
    <w:rsid w:val="007D0F02"/>
    <w:rsid w:val="007D1448"/>
    <w:rsid w:val="007D193C"/>
    <w:rsid w:val="007D1AAB"/>
    <w:rsid w:val="007D1ECB"/>
    <w:rsid w:val="007D282E"/>
    <w:rsid w:val="007D4D2E"/>
    <w:rsid w:val="007D5822"/>
    <w:rsid w:val="007D6985"/>
    <w:rsid w:val="007E1161"/>
    <w:rsid w:val="007E1BA7"/>
    <w:rsid w:val="007E4DC9"/>
    <w:rsid w:val="007E624C"/>
    <w:rsid w:val="007F0847"/>
    <w:rsid w:val="007F1015"/>
    <w:rsid w:val="007F1A5D"/>
    <w:rsid w:val="007F3205"/>
    <w:rsid w:val="007F3617"/>
    <w:rsid w:val="007F39A8"/>
    <w:rsid w:val="007F4133"/>
    <w:rsid w:val="007F4770"/>
    <w:rsid w:val="007F577F"/>
    <w:rsid w:val="007F5E97"/>
    <w:rsid w:val="007F5F0F"/>
    <w:rsid w:val="007F6A24"/>
    <w:rsid w:val="007F6B3E"/>
    <w:rsid w:val="007F6DCC"/>
    <w:rsid w:val="00800E76"/>
    <w:rsid w:val="00801A0B"/>
    <w:rsid w:val="00801D4B"/>
    <w:rsid w:val="008023A2"/>
    <w:rsid w:val="00802A26"/>
    <w:rsid w:val="008042FC"/>
    <w:rsid w:val="00804315"/>
    <w:rsid w:val="008055CB"/>
    <w:rsid w:val="00805637"/>
    <w:rsid w:val="0080606B"/>
    <w:rsid w:val="00811E8F"/>
    <w:rsid w:val="00811ED3"/>
    <w:rsid w:val="008137F7"/>
    <w:rsid w:val="008138E6"/>
    <w:rsid w:val="00814834"/>
    <w:rsid w:val="0081526A"/>
    <w:rsid w:val="008155EE"/>
    <w:rsid w:val="00816743"/>
    <w:rsid w:val="008200E1"/>
    <w:rsid w:val="00820C87"/>
    <w:rsid w:val="0082146E"/>
    <w:rsid w:val="008216A4"/>
    <w:rsid w:val="0082346E"/>
    <w:rsid w:val="008237F8"/>
    <w:rsid w:val="00823EA2"/>
    <w:rsid w:val="00824756"/>
    <w:rsid w:val="00824AF0"/>
    <w:rsid w:val="00824C09"/>
    <w:rsid w:val="00824CE7"/>
    <w:rsid w:val="008264ED"/>
    <w:rsid w:val="0082774F"/>
    <w:rsid w:val="00830793"/>
    <w:rsid w:val="00831131"/>
    <w:rsid w:val="00832118"/>
    <w:rsid w:val="0083225B"/>
    <w:rsid w:val="00832D27"/>
    <w:rsid w:val="0083534B"/>
    <w:rsid w:val="008358F6"/>
    <w:rsid w:val="00835A08"/>
    <w:rsid w:val="00836F8C"/>
    <w:rsid w:val="00836FF5"/>
    <w:rsid w:val="00837B02"/>
    <w:rsid w:val="0084069B"/>
    <w:rsid w:val="00840A80"/>
    <w:rsid w:val="0084111D"/>
    <w:rsid w:val="008419CE"/>
    <w:rsid w:val="00842B5E"/>
    <w:rsid w:val="00842DA9"/>
    <w:rsid w:val="00843100"/>
    <w:rsid w:val="008441F5"/>
    <w:rsid w:val="00844590"/>
    <w:rsid w:val="00845D5B"/>
    <w:rsid w:val="008520EC"/>
    <w:rsid w:val="00852B3A"/>
    <w:rsid w:val="00852CE6"/>
    <w:rsid w:val="00853B33"/>
    <w:rsid w:val="00855ACA"/>
    <w:rsid w:val="00856C4C"/>
    <w:rsid w:val="00856D49"/>
    <w:rsid w:val="00857797"/>
    <w:rsid w:val="008608E0"/>
    <w:rsid w:val="00860A5F"/>
    <w:rsid w:val="00862149"/>
    <w:rsid w:val="00862D56"/>
    <w:rsid w:val="0086397E"/>
    <w:rsid w:val="008642C8"/>
    <w:rsid w:val="00866F1D"/>
    <w:rsid w:val="00867E47"/>
    <w:rsid w:val="008708FB"/>
    <w:rsid w:val="00870B2E"/>
    <w:rsid w:val="00871849"/>
    <w:rsid w:val="00872573"/>
    <w:rsid w:val="0087375E"/>
    <w:rsid w:val="00873D08"/>
    <w:rsid w:val="00875328"/>
    <w:rsid w:val="008756F7"/>
    <w:rsid w:val="00875C52"/>
    <w:rsid w:val="008769B9"/>
    <w:rsid w:val="008809BA"/>
    <w:rsid w:val="00881752"/>
    <w:rsid w:val="00882583"/>
    <w:rsid w:val="00882750"/>
    <w:rsid w:val="008829D6"/>
    <w:rsid w:val="00882AB3"/>
    <w:rsid w:val="00882D31"/>
    <w:rsid w:val="0088425E"/>
    <w:rsid w:val="00885033"/>
    <w:rsid w:val="0088594F"/>
    <w:rsid w:val="00887C8E"/>
    <w:rsid w:val="00891C66"/>
    <w:rsid w:val="0089248A"/>
    <w:rsid w:val="00894252"/>
    <w:rsid w:val="0089531F"/>
    <w:rsid w:val="00895A70"/>
    <w:rsid w:val="00897B51"/>
    <w:rsid w:val="00897C23"/>
    <w:rsid w:val="008A0099"/>
    <w:rsid w:val="008A04F1"/>
    <w:rsid w:val="008A24B9"/>
    <w:rsid w:val="008A316B"/>
    <w:rsid w:val="008A3887"/>
    <w:rsid w:val="008A46B8"/>
    <w:rsid w:val="008A5F05"/>
    <w:rsid w:val="008A6054"/>
    <w:rsid w:val="008A657F"/>
    <w:rsid w:val="008A6E95"/>
    <w:rsid w:val="008A7E15"/>
    <w:rsid w:val="008B0206"/>
    <w:rsid w:val="008B14AF"/>
    <w:rsid w:val="008B2372"/>
    <w:rsid w:val="008B353E"/>
    <w:rsid w:val="008B3792"/>
    <w:rsid w:val="008B4CF6"/>
    <w:rsid w:val="008B4FF9"/>
    <w:rsid w:val="008B5579"/>
    <w:rsid w:val="008B71B9"/>
    <w:rsid w:val="008C3B79"/>
    <w:rsid w:val="008C43DF"/>
    <w:rsid w:val="008C4AB8"/>
    <w:rsid w:val="008C4CF4"/>
    <w:rsid w:val="008C55E7"/>
    <w:rsid w:val="008C6735"/>
    <w:rsid w:val="008C6B0C"/>
    <w:rsid w:val="008D0DA2"/>
    <w:rsid w:val="008D1B67"/>
    <w:rsid w:val="008D2E66"/>
    <w:rsid w:val="008D53A2"/>
    <w:rsid w:val="008D5E9B"/>
    <w:rsid w:val="008D65F1"/>
    <w:rsid w:val="008D6D0D"/>
    <w:rsid w:val="008D6D57"/>
    <w:rsid w:val="008D78E3"/>
    <w:rsid w:val="008D7D3A"/>
    <w:rsid w:val="008E18EE"/>
    <w:rsid w:val="008E25F6"/>
    <w:rsid w:val="008E3106"/>
    <w:rsid w:val="008E3249"/>
    <w:rsid w:val="008E4DB2"/>
    <w:rsid w:val="008E4E00"/>
    <w:rsid w:val="008E4E89"/>
    <w:rsid w:val="008E52D0"/>
    <w:rsid w:val="008E58C3"/>
    <w:rsid w:val="008E63BA"/>
    <w:rsid w:val="008E6F74"/>
    <w:rsid w:val="008E71F1"/>
    <w:rsid w:val="008E7DA6"/>
    <w:rsid w:val="008F15EE"/>
    <w:rsid w:val="008F17F8"/>
    <w:rsid w:val="008F3FBD"/>
    <w:rsid w:val="008F491A"/>
    <w:rsid w:val="00902889"/>
    <w:rsid w:val="00903010"/>
    <w:rsid w:val="00903551"/>
    <w:rsid w:val="00903F3F"/>
    <w:rsid w:val="00904436"/>
    <w:rsid w:val="00906A97"/>
    <w:rsid w:val="009133CB"/>
    <w:rsid w:val="00915E6F"/>
    <w:rsid w:val="00917CE7"/>
    <w:rsid w:val="009201BA"/>
    <w:rsid w:val="009219AB"/>
    <w:rsid w:val="00921D23"/>
    <w:rsid w:val="009277A0"/>
    <w:rsid w:val="00927A50"/>
    <w:rsid w:val="00927BA1"/>
    <w:rsid w:val="0093126B"/>
    <w:rsid w:val="00933000"/>
    <w:rsid w:val="00934EB6"/>
    <w:rsid w:val="00935202"/>
    <w:rsid w:val="009372F1"/>
    <w:rsid w:val="00940046"/>
    <w:rsid w:val="009402FC"/>
    <w:rsid w:val="0094046A"/>
    <w:rsid w:val="00942282"/>
    <w:rsid w:val="009442B9"/>
    <w:rsid w:val="00944A4B"/>
    <w:rsid w:val="009458A5"/>
    <w:rsid w:val="00946CBF"/>
    <w:rsid w:val="009509F4"/>
    <w:rsid w:val="0095261B"/>
    <w:rsid w:val="00952F1A"/>
    <w:rsid w:val="00952F6F"/>
    <w:rsid w:val="009530E7"/>
    <w:rsid w:val="0095318B"/>
    <w:rsid w:val="009550B2"/>
    <w:rsid w:val="00955837"/>
    <w:rsid w:val="009563A3"/>
    <w:rsid w:val="009565AA"/>
    <w:rsid w:val="00956AB2"/>
    <w:rsid w:val="00960E2E"/>
    <w:rsid w:val="0096117F"/>
    <w:rsid w:val="00961B38"/>
    <w:rsid w:val="009620AD"/>
    <w:rsid w:val="0096213A"/>
    <w:rsid w:val="00962C60"/>
    <w:rsid w:val="009630BE"/>
    <w:rsid w:val="00963107"/>
    <w:rsid w:val="00963257"/>
    <w:rsid w:val="00967477"/>
    <w:rsid w:val="00967DFF"/>
    <w:rsid w:val="0097059C"/>
    <w:rsid w:val="00970A0D"/>
    <w:rsid w:val="00970B6E"/>
    <w:rsid w:val="00970F02"/>
    <w:rsid w:val="009725E5"/>
    <w:rsid w:val="00972A68"/>
    <w:rsid w:val="00972F43"/>
    <w:rsid w:val="00973550"/>
    <w:rsid w:val="00973AFD"/>
    <w:rsid w:val="00974040"/>
    <w:rsid w:val="009742F4"/>
    <w:rsid w:val="0097504B"/>
    <w:rsid w:val="009755C7"/>
    <w:rsid w:val="009764B2"/>
    <w:rsid w:val="00976C9D"/>
    <w:rsid w:val="00977D7A"/>
    <w:rsid w:val="0098071D"/>
    <w:rsid w:val="00981497"/>
    <w:rsid w:val="00981BAE"/>
    <w:rsid w:val="009828AB"/>
    <w:rsid w:val="00982A70"/>
    <w:rsid w:val="00983DEC"/>
    <w:rsid w:val="00984431"/>
    <w:rsid w:val="0098682D"/>
    <w:rsid w:val="00987487"/>
    <w:rsid w:val="009874C6"/>
    <w:rsid w:val="00990108"/>
    <w:rsid w:val="009902C7"/>
    <w:rsid w:val="0099110E"/>
    <w:rsid w:val="0099149E"/>
    <w:rsid w:val="00992CCF"/>
    <w:rsid w:val="00995527"/>
    <w:rsid w:val="009955C3"/>
    <w:rsid w:val="00996205"/>
    <w:rsid w:val="009969D9"/>
    <w:rsid w:val="009A07CB"/>
    <w:rsid w:val="009A0A98"/>
    <w:rsid w:val="009A1939"/>
    <w:rsid w:val="009A2562"/>
    <w:rsid w:val="009A3282"/>
    <w:rsid w:val="009A5198"/>
    <w:rsid w:val="009A6866"/>
    <w:rsid w:val="009A6B97"/>
    <w:rsid w:val="009A6F47"/>
    <w:rsid w:val="009A709B"/>
    <w:rsid w:val="009B00D0"/>
    <w:rsid w:val="009B024F"/>
    <w:rsid w:val="009B0AFF"/>
    <w:rsid w:val="009B142D"/>
    <w:rsid w:val="009B1B5C"/>
    <w:rsid w:val="009B2220"/>
    <w:rsid w:val="009B23D6"/>
    <w:rsid w:val="009B35F5"/>
    <w:rsid w:val="009B3800"/>
    <w:rsid w:val="009B4112"/>
    <w:rsid w:val="009B4846"/>
    <w:rsid w:val="009B5799"/>
    <w:rsid w:val="009B5887"/>
    <w:rsid w:val="009C2FA2"/>
    <w:rsid w:val="009C4855"/>
    <w:rsid w:val="009C5292"/>
    <w:rsid w:val="009C71A9"/>
    <w:rsid w:val="009C7456"/>
    <w:rsid w:val="009C79C9"/>
    <w:rsid w:val="009C7E48"/>
    <w:rsid w:val="009D0376"/>
    <w:rsid w:val="009D0D83"/>
    <w:rsid w:val="009D3145"/>
    <w:rsid w:val="009D4D62"/>
    <w:rsid w:val="009D5902"/>
    <w:rsid w:val="009D68B3"/>
    <w:rsid w:val="009E0452"/>
    <w:rsid w:val="009E3559"/>
    <w:rsid w:val="009E4D45"/>
    <w:rsid w:val="009E5D18"/>
    <w:rsid w:val="009F056B"/>
    <w:rsid w:val="009F249D"/>
    <w:rsid w:val="009F2E8E"/>
    <w:rsid w:val="009F3FB5"/>
    <w:rsid w:val="009F591C"/>
    <w:rsid w:val="009F5FA6"/>
    <w:rsid w:val="009F63EA"/>
    <w:rsid w:val="009F6B63"/>
    <w:rsid w:val="009F6D43"/>
    <w:rsid w:val="00A00ECA"/>
    <w:rsid w:val="00A00F16"/>
    <w:rsid w:val="00A01E93"/>
    <w:rsid w:val="00A02F6E"/>
    <w:rsid w:val="00A042EB"/>
    <w:rsid w:val="00A119CA"/>
    <w:rsid w:val="00A134DC"/>
    <w:rsid w:val="00A145B2"/>
    <w:rsid w:val="00A14BA4"/>
    <w:rsid w:val="00A17177"/>
    <w:rsid w:val="00A17A0D"/>
    <w:rsid w:val="00A17CCF"/>
    <w:rsid w:val="00A20C3B"/>
    <w:rsid w:val="00A23187"/>
    <w:rsid w:val="00A2329C"/>
    <w:rsid w:val="00A237A2"/>
    <w:rsid w:val="00A23E25"/>
    <w:rsid w:val="00A241F2"/>
    <w:rsid w:val="00A2641C"/>
    <w:rsid w:val="00A27D6D"/>
    <w:rsid w:val="00A30482"/>
    <w:rsid w:val="00A30AEB"/>
    <w:rsid w:val="00A30DFD"/>
    <w:rsid w:val="00A30F2D"/>
    <w:rsid w:val="00A313D6"/>
    <w:rsid w:val="00A31A28"/>
    <w:rsid w:val="00A32DFF"/>
    <w:rsid w:val="00A354EB"/>
    <w:rsid w:val="00A35A83"/>
    <w:rsid w:val="00A35BCC"/>
    <w:rsid w:val="00A363CA"/>
    <w:rsid w:val="00A36714"/>
    <w:rsid w:val="00A37B65"/>
    <w:rsid w:val="00A40521"/>
    <w:rsid w:val="00A40A3C"/>
    <w:rsid w:val="00A40AC8"/>
    <w:rsid w:val="00A42FC9"/>
    <w:rsid w:val="00A43E9C"/>
    <w:rsid w:val="00A454F9"/>
    <w:rsid w:val="00A459B0"/>
    <w:rsid w:val="00A45C73"/>
    <w:rsid w:val="00A462EE"/>
    <w:rsid w:val="00A47233"/>
    <w:rsid w:val="00A50B55"/>
    <w:rsid w:val="00A51005"/>
    <w:rsid w:val="00A51945"/>
    <w:rsid w:val="00A519F1"/>
    <w:rsid w:val="00A54FF8"/>
    <w:rsid w:val="00A5533F"/>
    <w:rsid w:val="00A605E1"/>
    <w:rsid w:val="00A60C5E"/>
    <w:rsid w:val="00A6116D"/>
    <w:rsid w:val="00A61FEE"/>
    <w:rsid w:val="00A6234F"/>
    <w:rsid w:val="00A63197"/>
    <w:rsid w:val="00A64670"/>
    <w:rsid w:val="00A6516E"/>
    <w:rsid w:val="00A65687"/>
    <w:rsid w:val="00A67FAB"/>
    <w:rsid w:val="00A70F61"/>
    <w:rsid w:val="00A71214"/>
    <w:rsid w:val="00A718AE"/>
    <w:rsid w:val="00A7266F"/>
    <w:rsid w:val="00A74C63"/>
    <w:rsid w:val="00A7575D"/>
    <w:rsid w:val="00A75D0D"/>
    <w:rsid w:val="00A76DD8"/>
    <w:rsid w:val="00A77069"/>
    <w:rsid w:val="00A7767F"/>
    <w:rsid w:val="00A777EF"/>
    <w:rsid w:val="00A80C44"/>
    <w:rsid w:val="00A80EBC"/>
    <w:rsid w:val="00A80F3F"/>
    <w:rsid w:val="00A818C6"/>
    <w:rsid w:val="00A82196"/>
    <w:rsid w:val="00A82F58"/>
    <w:rsid w:val="00A85E7A"/>
    <w:rsid w:val="00A8657B"/>
    <w:rsid w:val="00A8687C"/>
    <w:rsid w:val="00A872E4"/>
    <w:rsid w:val="00A875F4"/>
    <w:rsid w:val="00A87AA5"/>
    <w:rsid w:val="00A90D62"/>
    <w:rsid w:val="00A9134B"/>
    <w:rsid w:val="00A91802"/>
    <w:rsid w:val="00A92B57"/>
    <w:rsid w:val="00A93F6D"/>
    <w:rsid w:val="00A944C9"/>
    <w:rsid w:val="00A9468E"/>
    <w:rsid w:val="00A9565E"/>
    <w:rsid w:val="00A95B71"/>
    <w:rsid w:val="00A971E5"/>
    <w:rsid w:val="00A97522"/>
    <w:rsid w:val="00A97E5E"/>
    <w:rsid w:val="00AA1937"/>
    <w:rsid w:val="00AA23AD"/>
    <w:rsid w:val="00AA2702"/>
    <w:rsid w:val="00AA2F52"/>
    <w:rsid w:val="00AA301F"/>
    <w:rsid w:val="00AA367F"/>
    <w:rsid w:val="00AA4235"/>
    <w:rsid w:val="00AA4303"/>
    <w:rsid w:val="00AA5B58"/>
    <w:rsid w:val="00AB1501"/>
    <w:rsid w:val="00AB19DD"/>
    <w:rsid w:val="00AB3435"/>
    <w:rsid w:val="00AB60FB"/>
    <w:rsid w:val="00AB7128"/>
    <w:rsid w:val="00AB7FD7"/>
    <w:rsid w:val="00AC0193"/>
    <w:rsid w:val="00AC047B"/>
    <w:rsid w:val="00AC0C22"/>
    <w:rsid w:val="00AC363A"/>
    <w:rsid w:val="00AC3C50"/>
    <w:rsid w:val="00AC4B03"/>
    <w:rsid w:val="00AC4E46"/>
    <w:rsid w:val="00AC5315"/>
    <w:rsid w:val="00AC6330"/>
    <w:rsid w:val="00AC754D"/>
    <w:rsid w:val="00AD1529"/>
    <w:rsid w:val="00AD18A0"/>
    <w:rsid w:val="00AD2742"/>
    <w:rsid w:val="00AD2C03"/>
    <w:rsid w:val="00AD3D00"/>
    <w:rsid w:val="00AD4D68"/>
    <w:rsid w:val="00AD5234"/>
    <w:rsid w:val="00AD6B33"/>
    <w:rsid w:val="00AD6DC0"/>
    <w:rsid w:val="00AE0A95"/>
    <w:rsid w:val="00AE1B08"/>
    <w:rsid w:val="00AE25CA"/>
    <w:rsid w:val="00AE314E"/>
    <w:rsid w:val="00AE329B"/>
    <w:rsid w:val="00AE50A9"/>
    <w:rsid w:val="00AE6961"/>
    <w:rsid w:val="00AE6E2F"/>
    <w:rsid w:val="00AE73CF"/>
    <w:rsid w:val="00AE7BC4"/>
    <w:rsid w:val="00AF2B98"/>
    <w:rsid w:val="00AF2C01"/>
    <w:rsid w:val="00AF2F21"/>
    <w:rsid w:val="00AF4425"/>
    <w:rsid w:val="00AF44C0"/>
    <w:rsid w:val="00AF5284"/>
    <w:rsid w:val="00AF6378"/>
    <w:rsid w:val="00AF6477"/>
    <w:rsid w:val="00AF6B91"/>
    <w:rsid w:val="00AF70C5"/>
    <w:rsid w:val="00B0062A"/>
    <w:rsid w:val="00B00C07"/>
    <w:rsid w:val="00B02BCB"/>
    <w:rsid w:val="00B042E6"/>
    <w:rsid w:val="00B049B7"/>
    <w:rsid w:val="00B04BF4"/>
    <w:rsid w:val="00B054BE"/>
    <w:rsid w:val="00B05812"/>
    <w:rsid w:val="00B06C1F"/>
    <w:rsid w:val="00B10B52"/>
    <w:rsid w:val="00B131E9"/>
    <w:rsid w:val="00B14759"/>
    <w:rsid w:val="00B14CD5"/>
    <w:rsid w:val="00B1626D"/>
    <w:rsid w:val="00B16328"/>
    <w:rsid w:val="00B214D1"/>
    <w:rsid w:val="00B21594"/>
    <w:rsid w:val="00B22C8A"/>
    <w:rsid w:val="00B234AB"/>
    <w:rsid w:val="00B2476F"/>
    <w:rsid w:val="00B247ED"/>
    <w:rsid w:val="00B25C74"/>
    <w:rsid w:val="00B27282"/>
    <w:rsid w:val="00B302E0"/>
    <w:rsid w:val="00B31515"/>
    <w:rsid w:val="00B326EF"/>
    <w:rsid w:val="00B32AAA"/>
    <w:rsid w:val="00B336E4"/>
    <w:rsid w:val="00B35013"/>
    <w:rsid w:val="00B35143"/>
    <w:rsid w:val="00B366AF"/>
    <w:rsid w:val="00B372E7"/>
    <w:rsid w:val="00B41863"/>
    <w:rsid w:val="00B42485"/>
    <w:rsid w:val="00B425B7"/>
    <w:rsid w:val="00B4292B"/>
    <w:rsid w:val="00B429AD"/>
    <w:rsid w:val="00B43D9D"/>
    <w:rsid w:val="00B44087"/>
    <w:rsid w:val="00B44A0B"/>
    <w:rsid w:val="00B45643"/>
    <w:rsid w:val="00B46627"/>
    <w:rsid w:val="00B46670"/>
    <w:rsid w:val="00B46792"/>
    <w:rsid w:val="00B47306"/>
    <w:rsid w:val="00B47AEA"/>
    <w:rsid w:val="00B47DF4"/>
    <w:rsid w:val="00B50373"/>
    <w:rsid w:val="00B51314"/>
    <w:rsid w:val="00B52609"/>
    <w:rsid w:val="00B52A88"/>
    <w:rsid w:val="00B566D3"/>
    <w:rsid w:val="00B578B1"/>
    <w:rsid w:val="00B62822"/>
    <w:rsid w:val="00B62AB0"/>
    <w:rsid w:val="00B63AB6"/>
    <w:rsid w:val="00B64436"/>
    <w:rsid w:val="00B651B5"/>
    <w:rsid w:val="00B65474"/>
    <w:rsid w:val="00B65C59"/>
    <w:rsid w:val="00B66023"/>
    <w:rsid w:val="00B664D4"/>
    <w:rsid w:val="00B66D7A"/>
    <w:rsid w:val="00B66E71"/>
    <w:rsid w:val="00B67005"/>
    <w:rsid w:val="00B676B3"/>
    <w:rsid w:val="00B700F4"/>
    <w:rsid w:val="00B751B6"/>
    <w:rsid w:val="00B7580B"/>
    <w:rsid w:val="00B75FE0"/>
    <w:rsid w:val="00B81458"/>
    <w:rsid w:val="00B82EA4"/>
    <w:rsid w:val="00B83338"/>
    <w:rsid w:val="00B84458"/>
    <w:rsid w:val="00B900EC"/>
    <w:rsid w:val="00B90E77"/>
    <w:rsid w:val="00B919F1"/>
    <w:rsid w:val="00B94659"/>
    <w:rsid w:val="00B949D6"/>
    <w:rsid w:val="00B9512C"/>
    <w:rsid w:val="00B9563E"/>
    <w:rsid w:val="00B95921"/>
    <w:rsid w:val="00B96650"/>
    <w:rsid w:val="00B96705"/>
    <w:rsid w:val="00B977A8"/>
    <w:rsid w:val="00BA136E"/>
    <w:rsid w:val="00BA3B49"/>
    <w:rsid w:val="00BA630B"/>
    <w:rsid w:val="00BA6E01"/>
    <w:rsid w:val="00BA6ECB"/>
    <w:rsid w:val="00BB0E38"/>
    <w:rsid w:val="00BB18CA"/>
    <w:rsid w:val="00BB2109"/>
    <w:rsid w:val="00BB259E"/>
    <w:rsid w:val="00BB39BA"/>
    <w:rsid w:val="00BB42D7"/>
    <w:rsid w:val="00BB6EEF"/>
    <w:rsid w:val="00BB75BB"/>
    <w:rsid w:val="00BB76BD"/>
    <w:rsid w:val="00BB7CE7"/>
    <w:rsid w:val="00BB7F4E"/>
    <w:rsid w:val="00BC0C35"/>
    <w:rsid w:val="00BC152A"/>
    <w:rsid w:val="00BC2647"/>
    <w:rsid w:val="00BC2696"/>
    <w:rsid w:val="00BC297E"/>
    <w:rsid w:val="00BC29D0"/>
    <w:rsid w:val="00BC3333"/>
    <w:rsid w:val="00BC338C"/>
    <w:rsid w:val="00BC3B6D"/>
    <w:rsid w:val="00BC45A6"/>
    <w:rsid w:val="00BC4F68"/>
    <w:rsid w:val="00BC515A"/>
    <w:rsid w:val="00BC52C2"/>
    <w:rsid w:val="00BC5773"/>
    <w:rsid w:val="00BC5CA1"/>
    <w:rsid w:val="00BC6D67"/>
    <w:rsid w:val="00BC6E4B"/>
    <w:rsid w:val="00BC7BC0"/>
    <w:rsid w:val="00BC7C66"/>
    <w:rsid w:val="00BD24DC"/>
    <w:rsid w:val="00BD2FB3"/>
    <w:rsid w:val="00BD2FBF"/>
    <w:rsid w:val="00BD4579"/>
    <w:rsid w:val="00BD4D06"/>
    <w:rsid w:val="00BD5DAD"/>
    <w:rsid w:val="00BD6F65"/>
    <w:rsid w:val="00BE059D"/>
    <w:rsid w:val="00BE07F3"/>
    <w:rsid w:val="00BE0B9B"/>
    <w:rsid w:val="00BE1BE1"/>
    <w:rsid w:val="00BE29BF"/>
    <w:rsid w:val="00BE49A2"/>
    <w:rsid w:val="00BE4FA2"/>
    <w:rsid w:val="00BE58C9"/>
    <w:rsid w:val="00BE5AA2"/>
    <w:rsid w:val="00BE5E28"/>
    <w:rsid w:val="00BE7DB6"/>
    <w:rsid w:val="00BE7E12"/>
    <w:rsid w:val="00BF0461"/>
    <w:rsid w:val="00BF04A1"/>
    <w:rsid w:val="00BF0CC5"/>
    <w:rsid w:val="00BF2FDA"/>
    <w:rsid w:val="00BF3945"/>
    <w:rsid w:val="00BF4336"/>
    <w:rsid w:val="00BF4E4F"/>
    <w:rsid w:val="00BF4F3C"/>
    <w:rsid w:val="00BF5321"/>
    <w:rsid w:val="00BF577D"/>
    <w:rsid w:val="00BF6008"/>
    <w:rsid w:val="00BF6550"/>
    <w:rsid w:val="00C00B99"/>
    <w:rsid w:val="00C00FC4"/>
    <w:rsid w:val="00C01B78"/>
    <w:rsid w:val="00C01E05"/>
    <w:rsid w:val="00C020A9"/>
    <w:rsid w:val="00C03E29"/>
    <w:rsid w:val="00C03F7B"/>
    <w:rsid w:val="00C04494"/>
    <w:rsid w:val="00C06BCA"/>
    <w:rsid w:val="00C07691"/>
    <w:rsid w:val="00C07C0D"/>
    <w:rsid w:val="00C07C26"/>
    <w:rsid w:val="00C1070E"/>
    <w:rsid w:val="00C10E65"/>
    <w:rsid w:val="00C11941"/>
    <w:rsid w:val="00C11946"/>
    <w:rsid w:val="00C13098"/>
    <w:rsid w:val="00C1385C"/>
    <w:rsid w:val="00C1385D"/>
    <w:rsid w:val="00C16310"/>
    <w:rsid w:val="00C164CC"/>
    <w:rsid w:val="00C1688B"/>
    <w:rsid w:val="00C17124"/>
    <w:rsid w:val="00C17981"/>
    <w:rsid w:val="00C17CD2"/>
    <w:rsid w:val="00C17E1A"/>
    <w:rsid w:val="00C229BD"/>
    <w:rsid w:val="00C23ED1"/>
    <w:rsid w:val="00C24518"/>
    <w:rsid w:val="00C245E8"/>
    <w:rsid w:val="00C24D92"/>
    <w:rsid w:val="00C25530"/>
    <w:rsid w:val="00C259DF"/>
    <w:rsid w:val="00C310D9"/>
    <w:rsid w:val="00C31C58"/>
    <w:rsid w:val="00C322AE"/>
    <w:rsid w:val="00C32DB4"/>
    <w:rsid w:val="00C3318C"/>
    <w:rsid w:val="00C346B1"/>
    <w:rsid w:val="00C348ED"/>
    <w:rsid w:val="00C376F5"/>
    <w:rsid w:val="00C37C17"/>
    <w:rsid w:val="00C37C1C"/>
    <w:rsid w:val="00C37E00"/>
    <w:rsid w:val="00C419C8"/>
    <w:rsid w:val="00C4219E"/>
    <w:rsid w:val="00C4232B"/>
    <w:rsid w:val="00C43890"/>
    <w:rsid w:val="00C43D50"/>
    <w:rsid w:val="00C44198"/>
    <w:rsid w:val="00C44397"/>
    <w:rsid w:val="00C44F3A"/>
    <w:rsid w:val="00C50545"/>
    <w:rsid w:val="00C50C88"/>
    <w:rsid w:val="00C51A74"/>
    <w:rsid w:val="00C5296A"/>
    <w:rsid w:val="00C52DF2"/>
    <w:rsid w:val="00C52F75"/>
    <w:rsid w:val="00C54439"/>
    <w:rsid w:val="00C56B75"/>
    <w:rsid w:val="00C60313"/>
    <w:rsid w:val="00C60BF0"/>
    <w:rsid w:val="00C615C0"/>
    <w:rsid w:val="00C61D30"/>
    <w:rsid w:val="00C6325A"/>
    <w:rsid w:val="00C647A9"/>
    <w:rsid w:val="00C64F02"/>
    <w:rsid w:val="00C65B69"/>
    <w:rsid w:val="00C664A8"/>
    <w:rsid w:val="00C71C70"/>
    <w:rsid w:val="00C71CD6"/>
    <w:rsid w:val="00C71DB5"/>
    <w:rsid w:val="00C71DDA"/>
    <w:rsid w:val="00C7346A"/>
    <w:rsid w:val="00C73D37"/>
    <w:rsid w:val="00C76F20"/>
    <w:rsid w:val="00C77A0E"/>
    <w:rsid w:val="00C80DA9"/>
    <w:rsid w:val="00C82682"/>
    <w:rsid w:val="00C827DF"/>
    <w:rsid w:val="00C82F32"/>
    <w:rsid w:val="00C85929"/>
    <w:rsid w:val="00C91482"/>
    <w:rsid w:val="00C92B9D"/>
    <w:rsid w:val="00C92DAA"/>
    <w:rsid w:val="00C9441D"/>
    <w:rsid w:val="00C95164"/>
    <w:rsid w:val="00C951BB"/>
    <w:rsid w:val="00C95D74"/>
    <w:rsid w:val="00C96185"/>
    <w:rsid w:val="00C97F0A"/>
    <w:rsid w:val="00CA1D3C"/>
    <w:rsid w:val="00CA4898"/>
    <w:rsid w:val="00CA493A"/>
    <w:rsid w:val="00CA58F5"/>
    <w:rsid w:val="00CA592C"/>
    <w:rsid w:val="00CA6262"/>
    <w:rsid w:val="00CA638A"/>
    <w:rsid w:val="00CA72D2"/>
    <w:rsid w:val="00CA7466"/>
    <w:rsid w:val="00CB0A74"/>
    <w:rsid w:val="00CB293E"/>
    <w:rsid w:val="00CB33CF"/>
    <w:rsid w:val="00CB51D5"/>
    <w:rsid w:val="00CB6AFD"/>
    <w:rsid w:val="00CC0003"/>
    <w:rsid w:val="00CC023F"/>
    <w:rsid w:val="00CC10CD"/>
    <w:rsid w:val="00CC1D73"/>
    <w:rsid w:val="00CC2398"/>
    <w:rsid w:val="00CC44D6"/>
    <w:rsid w:val="00CC5D97"/>
    <w:rsid w:val="00CC6F53"/>
    <w:rsid w:val="00CC7126"/>
    <w:rsid w:val="00CC7C0B"/>
    <w:rsid w:val="00CD0371"/>
    <w:rsid w:val="00CD29FA"/>
    <w:rsid w:val="00CD2B18"/>
    <w:rsid w:val="00CD3E7C"/>
    <w:rsid w:val="00CD3FC8"/>
    <w:rsid w:val="00CD5596"/>
    <w:rsid w:val="00CD55D7"/>
    <w:rsid w:val="00CE00FF"/>
    <w:rsid w:val="00CE165C"/>
    <w:rsid w:val="00CE181D"/>
    <w:rsid w:val="00CE1ADF"/>
    <w:rsid w:val="00CE3B35"/>
    <w:rsid w:val="00CE4AD1"/>
    <w:rsid w:val="00CE5553"/>
    <w:rsid w:val="00CE66A0"/>
    <w:rsid w:val="00CE6AD8"/>
    <w:rsid w:val="00CE7C22"/>
    <w:rsid w:val="00CF10A3"/>
    <w:rsid w:val="00CF157B"/>
    <w:rsid w:val="00CF3FB5"/>
    <w:rsid w:val="00CF461C"/>
    <w:rsid w:val="00CF4F4E"/>
    <w:rsid w:val="00CF5349"/>
    <w:rsid w:val="00CF635A"/>
    <w:rsid w:val="00CF6DCF"/>
    <w:rsid w:val="00CF7353"/>
    <w:rsid w:val="00D01D43"/>
    <w:rsid w:val="00D02CD5"/>
    <w:rsid w:val="00D03159"/>
    <w:rsid w:val="00D036CE"/>
    <w:rsid w:val="00D03840"/>
    <w:rsid w:val="00D04510"/>
    <w:rsid w:val="00D06AE8"/>
    <w:rsid w:val="00D10422"/>
    <w:rsid w:val="00D10F91"/>
    <w:rsid w:val="00D11EE0"/>
    <w:rsid w:val="00D12A84"/>
    <w:rsid w:val="00D12C23"/>
    <w:rsid w:val="00D1348D"/>
    <w:rsid w:val="00D13D21"/>
    <w:rsid w:val="00D156EE"/>
    <w:rsid w:val="00D1632B"/>
    <w:rsid w:val="00D1661C"/>
    <w:rsid w:val="00D171C0"/>
    <w:rsid w:val="00D20C2C"/>
    <w:rsid w:val="00D2266F"/>
    <w:rsid w:val="00D23799"/>
    <w:rsid w:val="00D241CF"/>
    <w:rsid w:val="00D24A25"/>
    <w:rsid w:val="00D267A2"/>
    <w:rsid w:val="00D274EC"/>
    <w:rsid w:val="00D2785B"/>
    <w:rsid w:val="00D35A78"/>
    <w:rsid w:val="00D362EC"/>
    <w:rsid w:val="00D369D7"/>
    <w:rsid w:val="00D37EE4"/>
    <w:rsid w:val="00D41149"/>
    <w:rsid w:val="00D41360"/>
    <w:rsid w:val="00D42E31"/>
    <w:rsid w:val="00D4338D"/>
    <w:rsid w:val="00D434B6"/>
    <w:rsid w:val="00D43640"/>
    <w:rsid w:val="00D43B42"/>
    <w:rsid w:val="00D45026"/>
    <w:rsid w:val="00D46E06"/>
    <w:rsid w:val="00D47907"/>
    <w:rsid w:val="00D510D2"/>
    <w:rsid w:val="00D52D4C"/>
    <w:rsid w:val="00D53F88"/>
    <w:rsid w:val="00D54C14"/>
    <w:rsid w:val="00D551B8"/>
    <w:rsid w:val="00D55D8C"/>
    <w:rsid w:val="00D60471"/>
    <w:rsid w:val="00D60858"/>
    <w:rsid w:val="00D60D45"/>
    <w:rsid w:val="00D620D2"/>
    <w:rsid w:val="00D62D10"/>
    <w:rsid w:val="00D63683"/>
    <w:rsid w:val="00D63CEF"/>
    <w:rsid w:val="00D64289"/>
    <w:rsid w:val="00D64428"/>
    <w:rsid w:val="00D658A4"/>
    <w:rsid w:val="00D67248"/>
    <w:rsid w:val="00D70136"/>
    <w:rsid w:val="00D71D89"/>
    <w:rsid w:val="00D73106"/>
    <w:rsid w:val="00D73C38"/>
    <w:rsid w:val="00D743CD"/>
    <w:rsid w:val="00D75DEB"/>
    <w:rsid w:val="00D775AD"/>
    <w:rsid w:val="00D80BE4"/>
    <w:rsid w:val="00D827AF"/>
    <w:rsid w:val="00D8348C"/>
    <w:rsid w:val="00D83C11"/>
    <w:rsid w:val="00D849EE"/>
    <w:rsid w:val="00D85DF9"/>
    <w:rsid w:val="00D8660C"/>
    <w:rsid w:val="00D868B1"/>
    <w:rsid w:val="00D86C2E"/>
    <w:rsid w:val="00D871F1"/>
    <w:rsid w:val="00D90516"/>
    <w:rsid w:val="00D91186"/>
    <w:rsid w:val="00D92168"/>
    <w:rsid w:val="00D92AF4"/>
    <w:rsid w:val="00D93C2B"/>
    <w:rsid w:val="00D94F4F"/>
    <w:rsid w:val="00D9584A"/>
    <w:rsid w:val="00D96AEF"/>
    <w:rsid w:val="00DA0380"/>
    <w:rsid w:val="00DA06D1"/>
    <w:rsid w:val="00DA0AF8"/>
    <w:rsid w:val="00DA2B88"/>
    <w:rsid w:val="00DA5581"/>
    <w:rsid w:val="00DA73DA"/>
    <w:rsid w:val="00DA7C3E"/>
    <w:rsid w:val="00DB0461"/>
    <w:rsid w:val="00DB05AB"/>
    <w:rsid w:val="00DB0AEA"/>
    <w:rsid w:val="00DB2692"/>
    <w:rsid w:val="00DB2E06"/>
    <w:rsid w:val="00DB3D01"/>
    <w:rsid w:val="00DB53FF"/>
    <w:rsid w:val="00DB5BC8"/>
    <w:rsid w:val="00DB658E"/>
    <w:rsid w:val="00DB7762"/>
    <w:rsid w:val="00DB77F6"/>
    <w:rsid w:val="00DB7B2A"/>
    <w:rsid w:val="00DC0C82"/>
    <w:rsid w:val="00DC487B"/>
    <w:rsid w:val="00DC5B07"/>
    <w:rsid w:val="00DC63A7"/>
    <w:rsid w:val="00DC6815"/>
    <w:rsid w:val="00DC734E"/>
    <w:rsid w:val="00DC75F0"/>
    <w:rsid w:val="00DC7C6A"/>
    <w:rsid w:val="00DD0F0A"/>
    <w:rsid w:val="00DD13FC"/>
    <w:rsid w:val="00DD1810"/>
    <w:rsid w:val="00DD207F"/>
    <w:rsid w:val="00DD276F"/>
    <w:rsid w:val="00DD27D3"/>
    <w:rsid w:val="00DD2A70"/>
    <w:rsid w:val="00DD39FD"/>
    <w:rsid w:val="00DD4A5C"/>
    <w:rsid w:val="00DD4D8E"/>
    <w:rsid w:val="00DD5D07"/>
    <w:rsid w:val="00DD6452"/>
    <w:rsid w:val="00DD649C"/>
    <w:rsid w:val="00DD73A2"/>
    <w:rsid w:val="00DD7FB2"/>
    <w:rsid w:val="00DE05EC"/>
    <w:rsid w:val="00DE122C"/>
    <w:rsid w:val="00DE1D9B"/>
    <w:rsid w:val="00DE1F0F"/>
    <w:rsid w:val="00DE2831"/>
    <w:rsid w:val="00DE5343"/>
    <w:rsid w:val="00DE57B7"/>
    <w:rsid w:val="00DE5C0F"/>
    <w:rsid w:val="00DE76B4"/>
    <w:rsid w:val="00DF020A"/>
    <w:rsid w:val="00DF05AE"/>
    <w:rsid w:val="00DF084C"/>
    <w:rsid w:val="00DF13E0"/>
    <w:rsid w:val="00DF2AFD"/>
    <w:rsid w:val="00DF3102"/>
    <w:rsid w:val="00DF7A72"/>
    <w:rsid w:val="00DF7B1C"/>
    <w:rsid w:val="00E0213D"/>
    <w:rsid w:val="00E0320A"/>
    <w:rsid w:val="00E05C2B"/>
    <w:rsid w:val="00E05C43"/>
    <w:rsid w:val="00E07E9C"/>
    <w:rsid w:val="00E1072D"/>
    <w:rsid w:val="00E11E29"/>
    <w:rsid w:val="00E12681"/>
    <w:rsid w:val="00E13A6F"/>
    <w:rsid w:val="00E14871"/>
    <w:rsid w:val="00E15FE8"/>
    <w:rsid w:val="00E1652B"/>
    <w:rsid w:val="00E16FB4"/>
    <w:rsid w:val="00E202DA"/>
    <w:rsid w:val="00E213C2"/>
    <w:rsid w:val="00E23794"/>
    <w:rsid w:val="00E2592A"/>
    <w:rsid w:val="00E303D6"/>
    <w:rsid w:val="00E30D6C"/>
    <w:rsid w:val="00E30DD7"/>
    <w:rsid w:val="00E31026"/>
    <w:rsid w:val="00E318D5"/>
    <w:rsid w:val="00E32BBD"/>
    <w:rsid w:val="00E32EFC"/>
    <w:rsid w:val="00E33003"/>
    <w:rsid w:val="00E3389C"/>
    <w:rsid w:val="00E34B98"/>
    <w:rsid w:val="00E350BA"/>
    <w:rsid w:val="00E362C5"/>
    <w:rsid w:val="00E363CE"/>
    <w:rsid w:val="00E36ADB"/>
    <w:rsid w:val="00E36E76"/>
    <w:rsid w:val="00E37B89"/>
    <w:rsid w:val="00E40910"/>
    <w:rsid w:val="00E40A32"/>
    <w:rsid w:val="00E42D07"/>
    <w:rsid w:val="00E43F5A"/>
    <w:rsid w:val="00E4480D"/>
    <w:rsid w:val="00E4483F"/>
    <w:rsid w:val="00E50871"/>
    <w:rsid w:val="00E50D6E"/>
    <w:rsid w:val="00E51CCB"/>
    <w:rsid w:val="00E51FDF"/>
    <w:rsid w:val="00E521B0"/>
    <w:rsid w:val="00E52DB3"/>
    <w:rsid w:val="00E53659"/>
    <w:rsid w:val="00E53EC6"/>
    <w:rsid w:val="00E558B9"/>
    <w:rsid w:val="00E56868"/>
    <w:rsid w:val="00E576C1"/>
    <w:rsid w:val="00E5778B"/>
    <w:rsid w:val="00E610AA"/>
    <w:rsid w:val="00E616C5"/>
    <w:rsid w:val="00E62199"/>
    <w:rsid w:val="00E621FD"/>
    <w:rsid w:val="00E64DDC"/>
    <w:rsid w:val="00E661BA"/>
    <w:rsid w:val="00E6761E"/>
    <w:rsid w:val="00E67BA8"/>
    <w:rsid w:val="00E67CF8"/>
    <w:rsid w:val="00E71861"/>
    <w:rsid w:val="00E74CE5"/>
    <w:rsid w:val="00E76994"/>
    <w:rsid w:val="00E76AA4"/>
    <w:rsid w:val="00E76D42"/>
    <w:rsid w:val="00E776E4"/>
    <w:rsid w:val="00E777E8"/>
    <w:rsid w:val="00E80154"/>
    <w:rsid w:val="00E80228"/>
    <w:rsid w:val="00E82B2D"/>
    <w:rsid w:val="00E84107"/>
    <w:rsid w:val="00E84445"/>
    <w:rsid w:val="00E851FA"/>
    <w:rsid w:val="00E8564C"/>
    <w:rsid w:val="00E8639E"/>
    <w:rsid w:val="00E86F1C"/>
    <w:rsid w:val="00E8798F"/>
    <w:rsid w:val="00E90BF1"/>
    <w:rsid w:val="00E90CBC"/>
    <w:rsid w:val="00E94273"/>
    <w:rsid w:val="00EA155A"/>
    <w:rsid w:val="00EA45EA"/>
    <w:rsid w:val="00EA46A1"/>
    <w:rsid w:val="00EA5046"/>
    <w:rsid w:val="00EA5413"/>
    <w:rsid w:val="00EA5A6C"/>
    <w:rsid w:val="00EA68E9"/>
    <w:rsid w:val="00EA75D0"/>
    <w:rsid w:val="00EB0B1F"/>
    <w:rsid w:val="00EB0F67"/>
    <w:rsid w:val="00EB13AC"/>
    <w:rsid w:val="00EB1B38"/>
    <w:rsid w:val="00EB2116"/>
    <w:rsid w:val="00EB23F7"/>
    <w:rsid w:val="00EB3336"/>
    <w:rsid w:val="00EB5304"/>
    <w:rsid w:val="00EB60E8"/>
    <w:rsid w:val="00EB65F1"/>
    <w:rsid w:val="00EB6B94"/>
    <w:rsid w:val="00EC05E4"/>
    <w:rsid w:val="00EC07D0"/>
    <w:rsid w:val="00EC23A1"/>
    <w:rsid w:val="00EC32C7"/>
    <w:rsid w:val="00EC450E"/>
    <w:rsid w:val="00EC4ED7"/>
    <w:rsid w:val="00EC6994"/>
    <w:rsid w:val="00EC70A2"/>
    <w:rsid w:val="00ED0E2B"/>
    <w:rsid w:val="00ED151E"/>
    <w:rsid w:val="00ED1788"/>
    <w:rsid w:val="00ED1949"/>
    <w:rsid w:val="00ED2E5A"/>
    <w:rsid w:val="00ED5074"/>
    <w:rsid w:val="00ED529A"/>
    <w:rsid w:val="00ED5362"/>
    <w:rsid w:val="00ED6DFB"/>
    <w:rsid w:val="00ED7A8E"/>
    <w:rsid w:val="00EE3B25"/>
    <w:rsid w:val="00EE439F"/>
    <w:rsid w:val="00EE5C1F"/>
    <w:rsid w:val="00EE5DCD"/>
    <w:rsid w:val="00EE7CB8"/>
    <w:rsid w:val="00EE7E31"/>
    <w:rsid w:val="00EF1F44"/>
    <w:rsid w:val="00EF2168"/>
    <w:rsid w:val="00EF263C"/>
    <w:rsid w:val="00EF26C8"/>
    <w:rsid w:val="00EF5BC5"/>
    <w:rsid w:val="00F01AB8"/>
    <w:rsid w:val="00F01DE6"/>
    <w:rsid w:val="00F01F82"/>
    <w:rsid w:val="00F02BE8"/>
    <w:rsid w:val="00F0385C"/>
    <w:rsid w:val="00F0470A"/>
    <w:rsid w:val="00F053C7"/>
    <w:rsid w:val="00F07C1A"/>
    <w:rsid w:val="00F07FC2"/>
    <w:rsid w:val="00F10155"/>
    <w:rsid w:val="00F10546"/>
    <w:rsid w:val="00F10961"/>
    <w:rsid w:val="00F15AFF"/>
    <w:rsid w:val="00F16849"/>
    <w:rsid w:val="00F1729A"/>
    <w:rsid w:val="00F1739F"/>
    <w:rsid w:val="00F2202B"/>
    <w:rsid w:val="00F2245E"/>
    <w:rsid w:val="00F2260A"/>
    <w:rsid w:val="00F23CF3"/>
    <w:rsid w:val="00F241BA"/>
    <w:rsid w:val="00F257A8"/>
    <w:rsid w:val="00F267CB"/>
    <w:rsid w:val="00F305C4"/>
    <w:rsid w:val="00F30B0A"/>
    <w:rsid w:val="00F30C45"/>
    <w:rsid w:val="00F31FC2"/>
    <w:rsid w:val="00F34049"/>
    <w:rsid w:val="00F34775"/>
    <w:rsid w:val="00F3484D"/>
    <w:rsid w:val="00F34A31"/>
    <w:rsid w:val="00F35027"/>
    <w:rsid w:val="00F36850"/>
    <w:rsid w:val="00F41CA2"/>
    <w:rsid w:val="00F425BE"/>
    <w:rsid w:val="00F44165"/>
    <w:rsid w:val="00F44661"/>
    <w:rsid w:val="00F446BF"/>
    <w:rsid w:val="00F44EE4"/>
    <w:rsid w:val="00F45086"/>
    <w:rsid w:val="00F47CE9"/>
    <w:rsid w:val="00F47E9C"/>
    <w:rsid w:val="00F5114F"/>
    <w:rsid w:val="00F51E30"/>
    <w:rsid w:val="00F520AF"/>
    <w:rsid w:val="00F52643"/>
    <w:rsid w:val="00F52ECB"/>
    <w:rsid w:val="00F541D5"/>
    <w:rsid w:val="00F56380"/>
    <w:rsid w:val="00F57BC7"/>
    <w:rsid w:val="00F605F7"/>
    <w:rsid w:val="00F60ADD"/>
    <w:rsid w:val="00F613B1"/>
    <w:rsid w:val="00F61E8F"/>
    <w:rsid w:val="00F6356D"/>
    <w:rsid w:val="00F63AE5"/>
    <w:rsid w:val="00F63C60"/>
    <w:rsid w:val="00F640FA"/>
    <w:rsid w:val="00F642FB"/>
    <w:rsid w:val="00F65DBE"/>
    <w:rsid w:val="00F66D1A"/>
    <w:rsid w:val="00F6789E"/>
    <w:rsid w:val="00F701A5"/>
    <w:rsid w:val="00F72785"/>
    <w:rsid w:val="00F72ABF"/>
    <w:rsid w:val="00F73B4C"/>
    <w:rsid w:val="00F7426F"/>
    <w:rsid w:val="00F77788"/>
    <w:rsid w:val="00F80288"/>
    <w:rsid w:val="00F816B3"/>
    <w:rsid w:val="00F81BEF"/>
    <w:rsid w:val="00F830CB"/>
    <w:rsid w:val="00F833FA"/>
    <w:rsid w:val="00F83540"/>
    <w:rsid w:val="00F83E55"/>
    <w:rsid w:val="00F83F1B"/>
    <w:rsid w:val="00F84779"/>
    <w:rsid w:val="00F85124"/>
    <w:rsid w:val="00F8538D"/>
    <w:rsid w:val="00F855B9"/>
    <w:rsid w:val="00F91AAE"/>
    <w:rsid w:val="00F91D86"/>
    <w:rsid w:val="00F924FC"/>
    <w:rsid w:val="00F93637"/>
    <w:rsid w:val="00F93875"/>
    <w:rsid w:val="00F96D69"/>
    <w:rsid w:val="00FA1FEA"/>
    <w:rsid w:val="00FA2348"/>
    <w:rsid w:val="00FA2B82"/>
    <w:rsid w:val="00FA389B"/>
    <w:rsid w:val="00FA47D9"/>
    <w:rsid w:val="00FA56B1"/>
    <w:rsid w:val="00FA5A79"/>
    <w:rsid w:val="00FA6B80"/>
    <w:rsid w:val="00FB30C8"/>
    <w:rsid w:val="00FB3DCE"/>
    <w:rsid w:val="00FB411A"/>
    <w:rsid w:val="00FB5AAA"/>
    <w:rsid w:val="00FB7504"/>
    <w:rsid w:val="00FB7673"/>
    <w:rsid w:val="00FB76A5"/>
    <w:rsid w:val="00FB7B24"/>
    <w:rsid w:val="00FC0765"/>
    <w:rsid w:val="00FC1CBC"/>
    <w:rsid w:val="00FC2988"/>
    <w:rsid w:val="00FC2BC2"/>
    <w:rsid w:val="00FC300A"/>
    <w:rsid w:val="00FC34FF"/>
    <w:rsid w:val="00FC3CD1"/>
    <w:rsid w:val="00FC412B"/>
    <w:rsid w:val="00FC4621"/>
    <w:rsid w:val="00FC4B0A"/>
    <w:rsid w:val="00FC4ED9"/>
    <w:rsid w:val="00FC5344"/>
    <w:rsid w:val="00FC55A7"/>
    <w:rsid w:val="00FC6506"/>
    <w:rsid w:val="00FC7074"/>
    <w:rsid w:val="00FC73CA"/>
    <w:rsid w:val="00FC78A1"/>
    <w:rsid w:val="00FD065A"/>
    <w:rsid w:val="00FD0F6B"/>
    <w:rsid w:val="00FD2742"/>
    <w:rsid w:val="00FD29A7"/>
    <w:rsid w:val="00FD4240"/>
    <w:rsid w:val="00FD529C"/>
    <w:rsid w:val="00FD61A0"/>
    <w:rsid w:val="00FE0C29"/>
    <w:rsid w:val="00FE1F1A"/>
    <w:rsid w:val="00FE5CDC"/>
    <w:rsid w:val="00FE5D2A"/>
    <w:rsid w:val="00FF05CA"/>
    <w:rsid w:val="00FF0ECD"/>
    <w:rsid w:val="00FF23F1"/>
    <w:rsid w:val="00FF2823"/>
    <w:rsid w:val="00FF3949"/>
    <w:rsid w:val="00FF5330"/>
    <w:rsid w:val="00FF60EC"/>
    <w:rsid w:val="00FF73D0"/>
    <w:rsid w:val="018F5C69"/>
    <w:rsid w:val="01D15C2D"/>
    <w:rsid w:val="022969A6"/>
    <w:rsid w:val="068C56C9"/>
    <w:rsid w:val="07DF22FC"/>
    <w:rsid w:val="07F96621"/>
    <w:rsid w:val="08931691"/>
    <w:rsid w:val="0C780F3E"/>
    <w:rsid w:val="12481C53"/>
    <w:rsid w:val="13CE20F8"/>
    <w:rsid w:val="14D7160C"/>
    <w:rsid w:val="15161720"/>
    <w:rsid w:val="16CD3BBF"/>
    <w:rsid w:val="16F212E5"/>
    <w:rsid w:val="18144328"/>
    <w:rsid w:val="1AA53766"/>
    <w:rsid w:val="1ABB00CB"/>
    <w:rsid w:val="1B160A80"/>
    <w:rsid w:val="1BC8780B"/>
    <w:rsid w:val="1C0626B1"/>
    <w:rsid w:val="1C242E6B"/>
    <w:rsid w:val="1FD74873"/>
    <w:rsid w:val="215F2767"/>
    <w:rsid w:val="21A13081"/>
    <w:rsid w:val="29EA08BB"/>
    <w:rsid w:val="29F1045D"/>
    <w:rsid w:val="2B814A4D"/>
    <w:rsid w:val="2CE00249"/>
    <w:rsid w:val="2D661E6A"/>
    <w:rsid w:val="2E521D77"/>
    <w:rsid w:val="2FD33262"/>
    <w:rsid w:val="30D4030B"/>
    <w:rsid w:val="30EB6B85"/>
    <w:rsid w:val="328A019E"/>
    <w:rsid w:val="37F21258"/>
    <w:rsid w:val="3AAA3765"/>
    <w:rsid w:val="3C032344"/>
    <w:rsid w:val="3EDB19A3"/>
    <w:rsid w:val="3FFD0FC6"/>
    <w:rsid w:val="40501717"/>
    <w:rsid w:val="459E5977"/>
    <w:rsid w:val="45AB2B26"/>
    <w:rsid w:val="472B1D3E"/>
    <w:rsid w:val="49C15B50"/>
    <w:rsid w:val="4A312D5D"/>
    <w:rsid w:val="4B6E17CF"/>
    <w:rsid w:val="4BA3745A"/>
    <w:rsid w:val="4C5A0512"/>
    <w:rsid w:val="4CD50573"/>
    <w:rsid w:val="4D4F299D"/>
    <w:rsid w:val="50556B7A"/>
    <w:rsid w:val="506756FB"/>
    <w:rsid w:val="54470DB0"/>
    <w:rsid w:val="56420693"/>
    <w:rsid w:val="56B63EE6"/>
    <w:rsid w:val="582A4302"/>
    <w:rsid w:val="5A9550ED"/>
    <w:rsid w:val="5B0872DF"/>
    <w:rsid w:val="5E5F7C98"/>
    <w:rsid w:val="5E7C680B"/>
    <w:rsid w:val="61F95D0F"/>
    <w:rsid w:val="62195B2D"/>
    <w:rsid w:val="64C649A8"/>
    <w:rsid w:val="66BA2364"/>
    <w:rsid w:val="67BA200E"/>
    <w:rsid w:val="682B0131"/>
    <w:rsid w:val="684122D5"/>
    <w:rsid w:val="695755CC"/>
    <w:rsid w:val="6AC15F77"/>
    <w:rsid w:val="6B63693A"/>
    <w:rsid w:val="6B9270A2"/>
    <w:rsid w:val="6EBC4EC6"/>
    <w:rsid w:val="706B66DF"/>
    <w:rsid w:val="70B60C82"/>
    <w:rsid w:val="73330705"/>
    <w:rsid w:val="73835C9B"/>
    <w:rsid w:val="73F12962"/>
    <w:rsid w:val="746C6715"/>
    <w:rsid w:val="753A0035"/>
    <w:rsid w:val="758F1390"/>
    <w:rsid w:val="75B051D7"/>
    <w:rsid w:val="75D17141"/>
    <w:rsid w:val="773D3D9E"/>
    <w:rsid w:val="775F7640"/>
    <w:rsid w:val="7A995333"/>
    <w:rsid w:val="7AB33149"/>
    <w:rsid w:val="7AFD334D"/>
    <w:rsid w:val="7BF25AE8"/>
    <w:rsid w:val="7E0F7108"/>
    <w:rsid w:val="7E1102BF"/>
    <w:rsid w:val="7EDA4A33"/>
    <w:rsid w:val="7F705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qFormat="1" w:unhideWhenUsed="0" w:uiPriority="0" w:name="footnote reference"/>
    <w:lsdException w:qFormat="1" w:unhideWhenUsed="0" w:uiPriority="0" w:name="annotation reference"/>
    <w:lsdException w:unhideWhenUsed="0" w:uiPriority="0" w:semiHidden="0" w:name="line number" w:locked="1"/>
    <w:lsdException w:qFormat="1" w:unhideWhenUsed="0" w:uiPriority="0" w:semiHidden="0" w:name="page number"/>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qFormat="1" w:unhideWhenUsed="0" w:uiPriority="0" w:semiHidden="0" w:name="List"/>
    <w:lsdException w:unhideWhenUsed="0" w:uiPriority="0" w:semiHidden="0" w:name="List Bullet" w:locked="1"/>
    <w:lsdException w:unhideWhenUsed="0" w:uiPriority="0" w:semiHidden="0" w:name="List Number" w:locked="1"/>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qFormat="1" w:unhideWhenUsed="0" w:uiPriority="0" w:semiHidden="0" w:name="Body Text First Indent"/>
    <w:lsdException w:qFormat="1" w:unhideWhenUsed="0" w:uiPriority="0" w:semiHidden="0" w:name="Body Text First Indent 2" w:locked="1"/>
    <w:lsdException w:unhideWhenUsed="0" w:uiPriority="0" w:semiHidden="0" w:name="Note Heading" w:locked="1"/>
    <w:lsdException w:qFormat="1" w:unhideWhenUsed="0" w:uiPriority="0" w:semiHidden="0" w:name="Body Text 2"/>
    <w:lsdException w:unhideWhenUsed="0" w:uiPriority="0" w:semiHidden="0" w:name="Body Text 3" w:locked="1"/>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iPriority="0" w:name="HTML Keyboard" w:locked="1"/>
    <w:lsdException w:qFormat="1" w:unhideWhenUsed="0" w:uiPriority="0" w:semiHidden="0" w:name="HTML Preformatted"/>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qFormat="1" w:unhideWhenUsed="0" w:uiPriority="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0" w:name="Balloon Text"/>
    <w:lsdException w:qFormat="1" w:unhideWhenUsed="0" w:uiPriority="0"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64"/>
    <w:qFormat/>
    <w:uiPriority w:val="0"/>
    <w:pPr>
      <w:adjustRightInd w:val="0"/>
      <w:snapToGrid w:val="0"/>
      <w:spacing w:before="120" w:beforeLines="50" w:after="120" w:afterLines="50" w:line="300" w:lineRule="auto"/>
      <w:jc w:val="center"/>
      <w:textAlignment w:val="baseline"/>
      <w:outlineLvl w:val="0"/>
    </w:pPr>
    <w:rPr>
      <w:rFonts w:ascii="仿宋" w:hAnsi="仿宋" w:eastAsia="仿宋"/>
      <w:b/>
      <w:w w:val="80"/>
      <w:kern w:val="44"/>
      <w:sz w:val="44"/>
      <w:lang w:val="zh-CN"/>
    </w:rPr>
  </w:style>
  <w:style w:type="paragraph" w:styleId="4">
    <w:name w:val="heading 2"/>
    <w:basedOn w:val="1"/>
    <w:next w:val="1"/>
    <w:link w:val="57"/>
    <w:qFormat/>
    <w:uiPriority w:val="0"/>
    <w:pPr>
      <w:keepNext/>
      <w:keepLines/>
      <w:adjustRightInd w:val="0"/>
      <w:spacing w:before="260" w:after="260" w:line="416" w:lineRule="atLeast"/>
      <w:textAlignment w:val="baseline"/>
      <w:outlineLvl w:val="1"/>
    </w:pPr>
    <w:rPr>
      <w:rFonts w:ascii="Arial" w:hAnsi="Arial" w:eastAsia="黑体"/>
      <w:b/>
      <w:kern w:val="0"/>
      <w:sz w:val="32"/>
      <w:lang w:val="zh-CN"/>
    </w:rPr>
  </w:style>
  <w:style w:type="paragraph" w:styleId="5">
    <w:name w:val="heading 3"/>
    <w:basedOn w:val="1"/>
    <w:next w:val="1"/>
    <w:qFormat/>
    <w:uiPriority w:val="0"/>
    <w:pPr>
      <w:keepNext/>
      <w:keepLines/>
      <w:adjustRightInd w:val="0"/>
      <w:spacing w:before="260" w:after="260" w:line="416" w:lineRule="atLeast"/>
      <w:textAlignment w:val="baseline"/>
      <w:outlineLvl w:val="2"/>
    </w:pPr>
    <w:rPr>
      <w:b/>
      <w:kern w:val="0"/>
      <w:sz w:val="32"/>
    </w:rPr>
  </w:style>
  <w:style w:type="paragraph" w:styleId="6">
    <w:name w:val="heading 4"/>
    <w:basedOn w:val="1"/>
    <w:next w:val="1"/>
    <w:link w:val="69"/>
    <w:qFormat/>
    <w:uiPriority w:val="0"/>
    <w:pPr>
      <w:keepNext/>
      <w:keepLines/>
      <w:adjustRightInd w:val="0"/>
      <w:spacing w:before="280" w:after="290" w:line="376" w:lineRule="atLeast"/>
      <w:textAlignment w:val="baseline"/>
      <w:outlineLvl w:val="3"/>
    </w:pPr>
    <w:rPr>
      <w:rFonts w:ascii="Arial" w:hAnsi="Arial" w:eastAsia="黑体"/>
      <w:b/>
      <w:sz w:val="28"/>
    </w:rPr>
  </w:style>
  <w:style w:type="paragraph" w:styleId="7">
    <w:name w:val="heading 5"/>
    <w:basedOn w:val="1"/>
    <w:next w:val="1"/>
    <w:qFormat/>
    <w:uiPriority w:val="0"/>
    <w:pPr>
      <w:keepNext/>
      <w:keepLines/>
      <w:adjustRightInd w:val="0"/>
      <w:spacing w:before="280" w:after="290" w:line="376" w:lineRule="atLeast"/>
      <w:textAlignment w:val="baseline"/>
      <w:outlineLvl w:val="4"/>
    </w:pPr>
    <w:rPr>
      <w:b/>
      <w:kern w:val="0"/>
      <w:sz w:val="28"/>
    </w:rPr>
  </w:style>
  <w:style w:type="paragraph" w:styleId="8">
    <w:name w:val="heading 6"/>
    <w:basedOn w:val="1"/>
    <w:next w:val="1"/>
    <w:qFormat/>
    <w:uiPriority w:val="0"/>
    <w:pPr>
      <w:keepNext/>
      <w:keepLines/>
      <w:adjustRightInd w:val="0"/>
      <w:spacing w:before="240" w:after="64" w:line="320" w:lineRule="atLeast"/>
      <w:textAlignment w:val="baseline"/>
      <w:outlineLvl w:val="5"/>
    </w:pPr>
    <w:rPr>
      <w:rFonts w:ascii="Arial" w:hAnsi="Arial" w:eastAsia="黑体"/>
      <w:b/>
      <w:kern w:val="0"/>
      <w:sz w:val="24"/>
    </w:rPr>
  </w:style>
  <w:style w:type="paragraph" w:styleId="9">
    <w:name w:val="heading 7"/>
    <w:basedOn w:val="1"/>
    <w:next w:val="1"/>
    <w:qFormat/>
    <w:uiPriority w:val="0"/>
    <w:pPr>
      <w:keepNext/>
      <w:keepLines/>
      <w:adjustRightInd w:val="0"/>
      <w:spacing w:before="240" w:after="64" w:line="320" w:lineRule="atLeast"/>
      <w:textAlignment w:val="baseline"/>
      <w:outlineLvl w:val="6"/>
    </w:pPr>
    <w:rPr>
      <w:b/>
      <w:kern w:val="0"/>
      <w:sz w:val="24"/>
    </w:rPr>
  </w:style>
  <w:style w:type="paragraph" w:styleId="10">
    <w:name w:val="heading 8"/>
    <w:basedOn w:val="1"/>
    <w:next w:val="1"/>
    <w:qFormat/>
    <w:uiPriority w:val="0"/>
    <w:pPr>
      <w:keepNext/>
      <w:keepLines/>
      <w:adjustRightInd w:val="0"/>
      <w:spacing w:before="240" w:after="64" w:line="320" w:lineRule="atLeast"/>
      <w:textAlignment w:val="baseline"/>
      <w:outlineLvl w:val="7"/>
    </w:pPr>
    <w:rPr>
      <w:rFonts w:ascii="Arial" w:hAnsi="Arial" w:eastAsia="黑体"/>
      <w:kern w:val="0"/>
      <w:sz w:val="24"/>
    </w:rPr>
  </w:style>
  <w:style w:type="paragraph" w:styleId="11">
    <w:name w:val="heading 9"/>
    <w:basedOn w:val="1"/>
    <w:next w:val="1"/>
    <w:qFormat/>
    <w:uiPriority w:val="0"/>
    <w:pPr>
      <w:keepNext/>
      <w:keepLines/>
      <w:adjustRightInd w:val="0"/>
      <w:spacing w:before="240" w:after="64" w:line="320" w:lineRule="atLeast"/>
      <w:textAlignment w:val="baseline"/>
      <w:outlineLvl w:val="8"/>
    </w:pPr>
    <w:rPr>
      <w:rFonts w:ascii="Arial" w:hAnsi="Arial" w:eastAsia="黑体"/>
      <w:kern w:val="0"/>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24"/>
    </w:rPr>
  </w:style>
  <w:style w:type="paragraph" w:styleId="12">
    <w:name w:val="List 3"/>
    <w:basedOn w:val="1"/>
    <w:qFormat/>
    <w:uiPriority w:val="0"/>
    <w:pPr>
      <w:ind w:left="100" w:leftChars="400" w:hanging="200" w:hangingChars="200"/>
    </w:pPr>
  </w:style>
  <w:style w:type="paragraph" w:styleId="13">
    <w:name w:val="toc 7"/>
    <w:basedOn w:val="1"/>
    <w:next w:val="1"/>
    <w:semiHidden/>
    <w:qFormat/>
    <w:uiPriority w:val="0"/>
    <w:pPr>
      <w:ind w:left="1260"/>
      <w:jc w:val="left"/>
    </w:pPr>
    <w:rPr>
      <w:rFonts w:asciiTheme="minorHAnsi" w:eastAsiaTheme="minorHAnsi"/>
      <w:sz w:val="18"/>
      <w:szCs w:val="18"/>
    </w:rPr>
  </w:style>
  <w:style w:type="paragraph" w:styleId="14">
    <w:name w:val="Normal Indent"/>
    <w:basedOn w:val="1"/>
    <w:link w:val="61"/>
    <w:qFormat/>
    <w:uiPriority w:val="0"/>
    <w:pPr>
      <w:ind w:firstLine="420"/>
    </w:pPr>
    <w:rPr>
      <w:lang w:val="zh-CN"/>
    </w:rPr>
  </w:style>
  <w:style w:type="paragraph" w:styleId="15">
    <w:name w:val="Document Map"/>
    <w:basedOn w:val="1"/>
    <w:semiHidden/>
    <w:qFormat/>
    <w:uiPriority w:val="0"/>
    <w:pPr>
      <w:shd w:val="clear" w:color="auto" w:fill="000080"/>
    </w:pPr>
  </w:style>
  <w:style w:type="paragraph" w:styleId="16">
    <w:name w:val="annotation text"/>
    <w:basedOn w:val="1"/>
    <w:link w:val="65"/>
    <w:semiHidden/>
    <w:qFormat/>
    <w:uiPriority w:val="0"/>
    <w:pPr>
      <w:jc w:val="left"/>
    </w:pPr>
    <w:rPr>
      <w:lang w:val="zh-CN"/>
    </w:rPr>
  </w:style>
  <w:style w:type="paragraph" w:styleId="17">
    <w:name w:val="Body Text Indent"/>
    <w:basedOn w:val="1"/>
    <w:link w:val="62"/>
    <w:qFormat/>
    <w:uiPriority w:val="0"/>
    <w:pPr>
      <w:spacing w:after="156"/>
      <w:ind w:firstLine="480"/>
    </w:pPr>
    <w:rPr>
      <w:sz w:val="24"/>
      <w:lang w:val="zh-CN"/>
    </w:rPr>
  </w:style>
  <w:style w:type="paragraph" w:styleId="18">
    <w:name w:val="List 2"/>
    <w:basedOn w:val="1"/>
    <w:qFormat/>
    <w:uiPriority w:val="0"/>
    <w:pPr>
      <w:ind w:left="100" w:leftChars="200" w:hanging="200" w:hangingChars="200"/>
    </w:pPr>
  </w:style>
  <w:style w:type="paragraph" w:styleId="19">
    <w:name w:val="List Continue"/>
    <w:basedOn w:val="1"/>
    <w:qFormat/>
    <w:uiPriority w:val="0"/>
    <w:pPr>
      <w:spacing w:after="120"/>
      <w:ind w:left="420" w:leftChars="200"/>
    </w:pPr>
  </w:style>
  <w:style w:type="paragraph" w:styleId="20">
    <w:name w:val="Block Text"/>
    <w:basedOn w:val="1"/>
    <w:qFormat/>
    <w:uiPriority w:val="0"/>
    <w:pPr>
      <w:autoSpaceDE w:val="0"/>
      <w:autoSpaceDN w:val="0"/>
      <w:adjustRightInd w:val="0"/>
      <w:spacing w:line="300" w:lineRule="auto"/>
      <w:ind w:left="29" w:leftChars="12" w:right="6" w:firstLine="560" w:firstLineChars="200"/>
    </w:pPr>
    <w:rPr>
      <w:kern w:val="0"/>
      <w:sz w:val="28"/>
    </w:rPr>
  </w:style>
  <w:style w:type="paragraph" w:styleId="21">
    <w:name w:val="toc 5"/>
    <w:basedOn w:val="1"/>
    <w:next w:val="1"/>
    <w:semiHidden/>
    <w:qFormat/>
    <w:uiPriority w:val="0"/>
    <w:pPr>
      <w:ind w:left="840"/>
      <w:jc w:val="left"/>
    </w:pPr>
    <w:rPr>
      <w:rFonts w:asciiTheme="minorHAnsi" w:eastAsiaTheme="minorHAnsi"/>
      <w:sz w:val="18"/>
      <w:szCs w:val="18"/>
    </w:rPr>
  </w:style>
  <w:style w:type="paragraph" w:styleId="22">
    <w:name w:val="toc 3"/>
    <w:basedOn w:val="1"/>
    <w:next w:val="1"/>
    <w:qFormat/>
    <w:uiPriority w:val="39"/>
    <w:pPr>
      <w:ind w:left="420"/>
      <w:jc w:val="left"/>
    </w:pPr>
    <w:rPr>
      <w:rFonts w:asciiTheme="minorHAnsi" w:eastAsiaTheme="minorHAnsi"/>
      <w:i/>
      <w:iCs/>
      <w:sz w:val="20"/>
    </w:rPr>
  </w:style>
  <w:style w:type="paragraph" w:styleId="23">
    <w:name w:val="Plain Text"/>
    <w:basedOn w:val="1"/>
    <w:qFormat/>
    <w:uiPriority w:val="0"/>
    <w:rPr>
      <w:rFonts w:ascii="宋体" w:hAnsi="Courier New"/>
    </w:rPr>
  </w:style>
  <w:style w:type="paragraph" w:styleId="24">
    <w:name w:val="toc 8"/>
    <w:basedOn w:val="1"/>
    <w:next w:val="1"/>
    <w:semiHidden/>
    <w:qFormat/>
    <w:uiPriority w:val="0"/>
    <w:pPr>
      <w:ind w:left="1470"/>
      <w:jc w:val="left"/>
    </w:pPr>
    <w:rPr>
      <w:rFonts w:asciiTheme="minorHAnsi" w:eastAsiaTheme="minorHAnsi"/>
      <w:sz w:val="18"/>
      <w:szCs w:val="18"/>
    </w:rPr>
  </w:style>
  <w:style w:type="paragraph" w:styleId="25">
    <w:name w:val="Date"/>
    <w:basedOn w:val="1"/>
    <w:next w:val="1"/>
    <w:qFormat/>
    <w:uiPriority w:val="0"/>
    <w:pPr>
      <w:widowControl/>
      <w:ind w:left="100"/>
      <w:jc w:val="left"/>
    </w:pPr>
    <w:rPr>
      <w:rFonts w:ascii="宋体" w:hAnsi="宋体"/>
      <w:kern w:val="0"/>
      <w:sz w:val="28"/>
    </w:rPr>
  </w:style>
  <w:style w:type="paragraph" w:styleId="26">
    <w:name w:val="Body Text Indent 2"/>
    <w:basedOn w:val="1"/>
    <w:qFormat/>
    <w:uiPriority w:val="0"/>
    <w:pPr>
      <w:ind w:left="1436" w:leftChars="684"/>
    </w:pPr>
    <w:rPr>
      <w:sz w:val="24"/>
    </w:rPr>
  </w:style>
  <w:style w:type="paragraph" w:styleId="27">
    <w:name w:val="List Continue 5"/>
    <w:basedOn w:val="1"/>
    <w:qFormat/>
    <w:uiPriority w:val="0"/>
    <w:pPr>
      <w:spacing w:after="120"/>
      <w:ind w:left="2100" w:leftChars="1000"/>
    </w:pPr>
  </w:style>
  <w:style w:type="paragraph" w:styleId="28">
    <w:name w:val="Balloon Text"/>
    <w:basedOn w:val="1"/>
    <w:link w:val="59"/>
    <w:semiHidden/>
    <w:qFormat/>
    <w:uiPriority w:val="0"/>
    <w:rPr>
      <w:sz w:val="18"/>
    </w:rPr>
  </w:style>
  <w:style w:type="paragraph" w:styleId="29">
    <w:name w:val="footer"/>
    <w:basedOn w:val="1"/>
    <w:link w:val="60"/>
    <w:qFormat/>
    <w:uiPriority w:val="99"/>
    <w:pPr>
      <w:tabs>
        <w:tab w:val="center" w:pos="4153"/>
        <w:tab w:val="right" w:pos="8306"/>
      </w:tabs>
      <w:snapToGrid w:val="0"/>
      <w:jc w:val="left"/>
    </w:pPr>
    <w:rPr>
      <w:sz w:val="18"/>
      <w:lang w:val="zh-CN"/>
    </w:rPr>
  </w:style>
  <w:style w:type="paragraph" w:styleId="30">
    <w:name w:val="header"/>
    <w:basedOn w:val="1"/>
    <w:qFormat/>
    <w:uiPriority w:val="0"/>
    <w:pPr>
      <w:pBdr>
        <w:bottom w:val="single" w:color="auto" w:sz="6" w:space="1"/>
      </w:pBdr>
      <w:tabs>
        <w:tab w:val="center" w:pos="4153"/>
        <w:tab w:val="right" w:pos="8306"/>
      </w:tabs>
      <w:snapToGrid w:val="0"/>
      <w:jc w:val="center"/>
    </w:pPr>
    <w:rPr>
      <w:sz w:val="18"/>
    </w:rPr>
  </w:style>
  <w:style w:type="paragraph" w:styleId="31">
    <w:name w:val="toc 1"/>
    <w:basedOn w:val="1"/>
    <w:next w:val="1"/>
    <w:qFormat/>
    <w:uiPriority w:val="39"/>
    <w:pPr>
      <w:spacing w:before="120" w:after="120"/>
      <w:jc w:val="left"/>
    </w:pPr>
    <w:rPr>
      <w:rFonts w:asciiTheme="minorHAnsi" w:eastAsiaTheme="minorHAnsi"/>
      <w:b/>
      <w:bCs/>
      <w:caps/>
      <w:sz w:val="20"/>
    </w:rPr>
  </w:style>
  <w:style w:type="paragraph" w:styleId="32">
    <w:name w:val="List Continue 4"/>
    <w:basedOn w:val="1"/>
    <w:qFormat/>
    <w:uiPriority w:val="0"/>
    <w:pPr>
      <w:spacing w:after="120"/>
      <w:ind w:left="1680" w:leftChars="800"/>
    </w:pPr>
  </w:style>
  <w:style w:type="paragraph" w:styleId="33">
    <w:name w:val="toc 4"/>
    <w:basedOn w:val="1"/>
    <w:next w:val="1"/>
    <w:semiHidden/>
    <w:qFormat/>
    <w:uiPriority w:val="0"/>
    <w:pPr>
      <w:ind w:left="630"/>
      <w:jc w:val="left"/>
    </w:pPr>
    <w:rPr>
      <w:rFonts w:asciiTheme="minorHAnsi" w:eastAsiaTheme="minorHAnsi"/>
      <w:sz w:val="18"/>
      <w:szCs w:val="18"/>
    </w:rPr>
  </w:style>
  <w:style w:type="paragraph" w:styleId="34">
    <w:name w:val="List"/>
    <w:basedOn w:val="1"/>
    <w:qFormat/>
    <w:uiPriority w:val="0"/>
    <w:pPr>
      <w:ind w:left="200" w:hanging="200" w:hangingChars="200"/>
    </w:pPr>
  </w:style>
  <w:style w:type="paragraph" w:styleId="35">
    <w:name w:val="footnote text"/>
    <w:basedOn w:val="1"/>
    <w:semiHidden/>
    <w:qFormat/>
    <w:uiPriority w:val="0"/>
    <w:pPr>
      <w:snapToGrid w:val="0"/>
      <w:jc w:val="left"/>
    </w:pPr>
    <w:rPr>
      <w:sz w:val="18"/>
    </w:rPr>
  </w:style>
  <w:style w:type="paragraph" w:styleId="36">
    <w:name w:val="toc 6"/>
    <w:basedOn w:val="1"/>
    <w:next w:val="1"/>
    <w:semiHidden/>
    <w:qFormat/>
    <w:uiPriority w:val="0"/>
    <w:pPr>
      <w:ind w:left="1050"/>
      <w:jc w:val="left"/>
    </w:pPr>
    <w:rPr>
      <w:rFonts w:asciiTheme="minorHAnsi" w:eastAsiaTheme="minorHAnsi"/>
      <w:sz w:val="18"/>
      <w:szCs w:val="18"/>
    </w:rPr>
  </w:style>
  <w:style w:type="paragraph" w:styleId="37">
    <w:name w:val="List 5"/>
    <w:basedOn w:val="1"/>
    <w:qFormat/>
    <w:uiPriority w:val="0"/>
    <w:pPr>
      <w:ind w:left="100" w:leftChars="800" w:hanging="200" w:hangingChars="200"/>
    </w:pPr>
  </w:style>
  <w:style w:type="paragraph" w:styleId="38">
    <w:name w:val="Body Text Indent 3"/>
    <w:basedOn w:val="1"/>
    <w:qFormat/>
    <w:uiPriority w:val="0"/>
    <w:pPr>
      <w:spacing w:after="120"/>
      <w:ind w:left="420" w:leftChars="200"/>
    </w:pPr>
    <w:rPr>
      <w:sz w:val="16"/>
    </w:rPr>
  </w:style>
  <w:style w:type="paragraph" w:styleId="39">
    <w:name w:val="toc 2"/>
    <w:basedOn w:val="1"/>
    <w:next w:val="1"/>
    <w:qFormat/>
    <w:uiPriority w:val="39"/>
    <w:pPr>
      <w:ind w:left="210"/>
      <w:jc w:val="left"/>
    </w:pPr>
    <w:rPr>
      <w:rFonts w:asciiTheme="minorHAnsi" w:eastAsiaTheme="minorHAnsi"/>
      <w:smallCaps/>
      <w:sz w:val="20"/>
    </w:rPr>
  </w:style>
  <w:style w:type="paragraph" w:styleId="40">
    <w:name w:val="toc 9"/>
    <w:basedOn w:val="1"/>
    <w:next w:val="1"/>
    <w:semiHidden/>
    <w:qFormat/>
    <w:uiPriority w:val="0"/>
    <w:pPr>
      <w:ind w:left="1680"/>
      <w:jc w:val="left"/>
    </w:pPr>
    <w:rPr>
      <w:rFonts w:asciiTheme="minorHAnsi" w:eastAsiaTheme="minorHAnsi"/>
      <w:sz w:val="18"/>
      <w:szCs w:val="18"/>
    </w:rPr>
  </w:style>
  <w:style w:type="paragraph" w:styleId="41">
    <w:name w:val="Body Text 2"/>
    <w:basedOn w:val="1"/>
    <w:qFormat/>
    <w:uiPriority w:val="0"/>
    <w:rPr>
      <w:rFonts w:ascii="宋体" w:hAnsi="宋体"/>
      <w:sz w:val="24"/>
    </w:rPr>
  </w:style>
  <w:style w:type="paragraph" w:styleId="42">
    <w:name w:val="List 4"/>
    <w:basedOn w:val="1"/>
    <w:qFormat/>
    <w:uiPriority w:val="0"/>
    <w:pPr>
      <w:ind w:left="100" w:leftChars="600" w:hanging="200" w:hangingChars="200"/>
    </w:pPr>
  </w:style>
  <w:style w:type="paragraph" w:styleId="43">
    <w:name w:val="List Continue 2"/>
    <w:basedOn w:val="1"/>
    <w:qFormat/>
    <w:uiPriority w:val="0"/>
    <w:pPr>
      <w:spacing w:after="120"/>
      <w:ind w:left="840" w:leftChars="400"/>
    </w:pPr>
  </w:style>
  <w:style w:type="paragraph" w:styleId="44">
    <w:name w:val="HTML Preformatted"/>
    <w:basedOn w:val="1"/>
    <w:link w:val="58"/>
    <w:qFormat/>
    <w:uiPriority w:val="0"/>
    <w:rPr>
      <w:rFonts w:ascii="Courier New" w:hAnsi="Courier New"/>
      <w:sz w:val="20"/>
      <w:lang w:val="zh-CN"/>
    </w:rPr>
  </w:style>
  <w:style w:type="paragraph" w:styleId="45">
    <w:name w:val="Normal (Web)"/>
    <w:basedOn w:val="1"/>
    <w:qFormat/>
    <w:uiPriority w:val="0"/>
    <w:pPr>
      <w:widowControl/>
      <w:spacing w:before="100" w:beforeAutospacing="1" w:after="100" w:afterAutospacing="1"/>
      <w:jc w:val="left"/>
    </w:pPr>
    <w:rPr>
      <w:rFonts w:ascii="宋体" w:hAnsi="宋体"/>
      <w:kern w:val="0"/>
      <w:sz w:val="24"/>
    </w:rPr>
  </w:style>
  <w:style w:type="paragraph" w:styleId="46">
    <w:name w:val="List Continue 3"/>
    <w:basedOn w:val="1"/>
    <w:qFormat/>
    <w:uiPriority w:val="0"/>
    <w:pPr>
      <w:spacing w:after="120"/>
      <w:ind w:left="1260" w:leftChars="600"/>
    </w:pPr>
  </w:style>
  <w:style w:type="paragraph" w:styleId="47">
    <w:name w:val="annotation subject"/>
    <w:basedOn w:val="16"/>
    <w:next w:val="16"/>
    <w:semiHidden/>
    <w:qFormat/>
    <w:uiPriority w:val="0"/>
    <w:rPr>
      <w:b/>
    </w:rPr>
  </w:style>
  <w:style w:type="paragraph" w:styleId="48">
    <w:name w:val="Body Text First Indent"/>
    <w:basedOn w:val="1"/>
    <w:qFormat/>
    <w:uiPriority w:val="0"/>
    <w:pPr>
      <w:spacing w:line="360" w:lineRule="auto"/>
      <w:ind w:firstLine="482"/>
    </w:pPr>
    <w:rPr>
      <w:b/>
      <w:sz w:val="24"/>
    </w:rPr>
  </w:style>
  <w:style w:type="paragraph" w:styleId="49">
    <w:name w:val="Body Text First Indent 2"/>
    <w:basedOn w:val="17"/>
    <w:link w:val="86"/>
    <w:qFormat/>
    <w:locked/>
    <w:uiPriority w:val="0"/>
    <w:pPr>
      <w:spacing w:after="120"/>
      <w:ind w:left="420" w:leftChars="200" w:firstLine="420" w:firstLineChars="200"/>
    </w:pPr>
    <w:rPr>
      <w:sz w:val="21"/>
      <w:lang w:val="en-US"/>
    </w:rPr>
  </w:style>
  <w:style w:type="table" w:styleId="51">
    <w:name w:val="Table Grid"/>
    <w:basedOn w:val="5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page number"/>
    <w:qFormat/>
    <w:uiPriority w:val="0"/>
    <w:rPr>
      <w:rFonts w:cs="Times New Roman"/>
    </w:rPr>
  </w:style>
  <w:style w:type="character" w:styleId="54">
    <w:name w:val="Hyperlink"/>
    <w:qFormat/>
    <w:uiPriority w:val="99"/>
    <w:rPr>
      <w:color w:val="0000FF"/>
      <w:u w:val="single"/>
    </w:rPr>
  </w:style>
  <w:style w:type="character" w:styleId="55">
    <w:name w:val="annotation reference"/>
    <w:semiHidden/>
    <w:qFormat/>
    <w:uiPriority w:val="0"/>
    <w:rPr>
      <w:sz w:val="21"/>
    </w:rPr>
  </w:style>
  <w:style w:type="character" w:styleId="56">
    <w:name w:val="footnote reference"/>
    <w:semiHidden/>
    <w:qFormat/>
    <w:uiPriority w:val="0"/>
    <w:rPr>
      <w:vertAlign w:val="superscript"/>
    </w:rPr>
  </w:style>
  <w:style w:type="character" w:customStyle="1" w:styleId="57">
    <w:name w:val="标题 2 字符"/>
    <w:link w:val="4"/>
    <w:qFormat/>
    <w:uiPriority w:val="0"/>
    <w:rPr>
      <w:rFonts w:ascii="Arial" w:hAnsi="Arial" w:eastAsia="黑体"/>
      <w:b/>
      <w:sz w:val="32"/>
    </w:rPr>
  </w:style>
  <w:style w:type="character" w:customStyle="1" w:styleId="58">
    <w:name w:val="HTML 预设格式 字符"/>
    <w:link w:val="44"/>
    <w:qFormat/>
    <w:locked/>
    <w:uiPriority w:val="0"/>
    <w:rPr>
      <w:rFonts w:ascii="Courier New" w:hAnsi="Courier New"/>
      <w:kern w:val="2"/>
    </w:rPr>
  </w:style>
  <w:style w:type="character" w:customStyle="1" w:styleId="59">
    <w:name w:val="批注框文本 字符"/>
    <w:link w:val="28"/>
    <w:qFormat/>
    <w:locked/>
    <w:uiPriority w:val="0"/>
    <w:rPr>
      <w:rFonts w:eastAsia="宋体"/>
      <w:kern w:val="2"/>
      <w:sz w:val="18"/>
      <w:lang w:val="en-US" w:eastAsia="zh-CN"/>
    </w:rPr>
  </w:style>
  <w:style w:type="character" w:customStyle="1" w:styleId="60">
    <w:name w:val="页脚 字符"/>
    <w:link w:val="29"/>
    <w:qFormat/>
    <w:locked/>
    <w:uiPriority w:val="99"/>
    <w:rPr>
      <w:kern w:val="2"/>
      <w:sz w:val="18"/>
    </w:rPr>
  </w:style>
  <w:style w:type="character" w:customStyle="1" w:styleId="61">
    <w:name w:val="正文缩进 字符"/>
    <w:link w:val="14"/>
    <w:qFormat/>
    <w:locked/>
    <w:uiPriority w:val="0"/>
    <w:rPr>
      <w:kern w:val="2"/>
      <w:sz w:val="21"/>
    </w:rPr>
  </w:style>
  <w:style w:type="character" w:customStyle="1" w:styleId="62">
    <w:name w:val="正文文本缩进 字符"/>
    <w:link w:val="17"/>
    <w:qFormat/>
    <w:uiPriority w:val="0"/>
    <w:rPr>
      <w:kern w:val="2"/>
      <w:sz w:val="24"/>
    </w:rPr>
  </w:style>
  <w:style w:type="character" w:customStyle="1" w:styleId="63">
    <w:name w:val="标题 1 Char Char"/>
    <w:qFormat/>
    <w:uiPriority w:val="0"/>
    <w:rPr>
      <w:rFonts w:hint="eastAsia" w:ascii="宋体" w:hAnsi="宋体" w:eastAsia="宋体"/>
      <w:b/>
      <w:spacing w:val="-2"/>
      <w:sz w:val="24"/>
      <w:lang w:val="en-US" w:eastAsia="zh-CN"/>
    </w:rPr>
  </w:style>
  <w:style w:type="character" w:customStyle="1" w:styleId="64">
    <w:name w:val="标题 1 字符"/>
    <w:link w:val="3"/>
    <w:qFormat/>
    <w:locked/>
    <w:uiPriority w:val="0"/>
    <w:rPr>
      <w:rFonts w:ascii="仿宋" w:hAnsi="仿宋" w:eastAsia="仿宋"/>
      <w:b/>
      <w:w w:val="80"/>
      <w:kern w:val="44"/>
      <w:sz w:val="44"/>
      <w:lang w:val="zh-CN" w:eastAsia="zh-CN"/>
    </w:rPr>
  </w:style>
  <w:style w:type="character" w:customStyle="1" w:styleId="65">
    <w:name w:val="批注文字 字符"/>
    <w:link w:val="16"/>
    <w:qFormat/>
    <w:locked/>
    <w:uiPriority w:val="0"/>
    <w:rPr>
      <w:kern w:val="2"/>
      <w:sz w:val="21"/>
    </w:rPr>
  </w:style>
  <w:style w:type="character" w:customStyle="1" w:styleId="66">
    <w:name w:val="Style Heading 3 + Char"/>
    <w:link w:val="67"/>
    <w:qFormat/>
    <w:locked/>
    <w:uiPriority w:val="0"/>
    <w:rPr>
      <w:rFonts w:eastAsia="宋体"/>
      <w:b/>
      <w:kern w:val="2"/>
      <w:sz w:val="28"/>
      <w:lang w:val="en-US" w:eastAsia="zh-CN"/>
    </w:rPr>
  </w:style>
  <w:style w:type="paragraph" w:customStyle="1" w:styleId="67">
    <w:name w:val="Style Heading 3 +"/>
    <w:basedOn w:val="5"/>
    <w:link w:val="66"/>
    <w:qFormat/>
    <w:uiPriority w:val="0"/>
    <w:pPr>
      <w:adjustRightInd/>
      <w:spacing w:before="120" w:after="120" w:line="120" w:lineRule="atLeast"/>
      <w:textAlignment w:val="auto"/>
    </w:pPr>
    <w:rPr>
      <w:kern w:val="2"/>
      <w:sz w:val="28"/>
    </w:rPr>
  </w:style>
  <w:style w:type="character" w:customStyle="1" w:styleId="68">
    <w:name w:val="style1"/>
    <w:qFormat/>
    <w:uiPriority w:val="0"/>
    <w:rPr>
      <w:rFonts w:cs="Times New Roman"/>
    </w:rPr>
  </w:style>
  <w:style w:type="character" w:customStyle="1" w:styleId="69">
    <w:name w:val="标题 4 字符"/>
    <w:link w:val="6"/>
    <w:qFormat/>
    <w:locked/>
    <w:uiPriority w:val="0"/>
    <w:rPr>
      <w:rFonts w:ascii="Arial" w:hAnsi="Arial" w:eastAsia="黑体"/>
      <w:b/>
      <w:kern w:val="2"/>
      <w:sz w:val="28"/>
      <w:lang w:val="en-US" w:eastAsia="zh-CN"/>
    </w:rPr>
  </w:style>
  <w:style w:type="paragraph" w:customStyle="1" w:styleId="70">
    <w:name w:val="Char Char Char1 Char"/>
    <w:basedOn w:val="1"/>
    <w:qFormat/>
    <w:uiPriority w:val="0"/>
  </w:style>
  <w:style w:type="paragraph" w:customStyle="1" w:styleId="71">
    <w:name w:val="文档正文"/>
    <w:basedOn w:val="1"/>
    <w:qFormat/>
    <w:uiPriority w:val="0"/>
    <w:pPr>
      <w:adjustRightInd w:val="0"/>
      <w:spacing w:line="480" w:lineRule="atLeast"/>
      <w:ind w:firstLine="567"/>
      <w:textAlignment w:val="baseline"/>
    </w:pPr>
    <w:rPr>
      <w:rFonts w:ascii="仿宋_GB2312" w:eastAsia="仿宋_GB2312"/>
      <w:kern w:val="0"/>
      <w:sz w:val="28"/>
    </w:rPr>
  </w:style>
  <w:style w:type="paragraph" w:customStyle="1" w:styleId="72">
    <w:name w:val="简单回函地址"/>
    <w:basedOn w:val="1"/>
    <w:qFormat/>
    <w:uiPriority w:val="0"/>
  </w:style>
  <w:style w:type="paragraph" w:customStyle="1" w:styleId="73">
    <w:name w:val="列出段落1"/>
    <w:basedOn w:val="1"/>
    <w:qFormat/>
    <w:uiPriority w:val="0"/>
    <w:pPr>
      <w:ind w:firstLine="420" w:firstLineChars="200"/>
    </w:pPr>
  </w:style>
  <w:style w:type="paragraph" w:customStyle="1" w:styleId="74">
    <w:name w:val="Char2"/>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75">
    <w:name w:val="6"/>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76">
    <w:name w:val="默认段落字体 Para Char Char Char Char"/>
    <w:basedOn w:val="1"/>
    <w:qFormat/>
    <w:uiPriority w:val="0"/>
  </w:style>
  <w:style w:type="paragraph" w:customStyle="1" w:styleId="77">
    <w:name w:val="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78">
    <w:name w:val="纯文本2"/>
    <w:basedOn w:val="1"/>
    <w:qFormat/>
    <w:uiPriority w:val="0"/>
    <w:rPr>
      <w:rFonts w:ascii="宋体" w:hAnsi="Courier New"/>
      <w:sz w:val="28"/>
      <w:szCs w:val="24"/>
    </w:rPr>
  </w:style>
  <w:style w:type="paragraph" w:customStyle="1" w:styleId="79">
    <w:name w:val="Plain Text1"/>
    <w:basedOn w:val="1"/>
    <w:qFormat/>
    <w:uiPriority w:val="0"/>
    <w:pPr>
      <w:widowControl/>
      <w:adjustRightInd w:val="0"/>
      <w:jc w:val="left"/>
      <w:textAlignment w:val="baseline"/>
    </w:pPr>
    <w:rPr>
      <w:rFonts w:ascii="宋体" w:hAnsi="Courier New" w:eastAsia="楷体_GB2312"/>
      <w:kern w:val="0"/>
      <w:sz w:val="26"/>
    </w:rPr>
  </w:style>
  <w:style w:type="paragraph" w:customStyle="1" w:styleId="80">
    <w:name w:val="1"/>
    <w:basedOn w:val="1"/>
    <w:next w:val="23"/>
    <w:qFormat/>
    <w:uiPriority w:val="0"/>
    <w:rPr>
      <w:rFonts w:ascii="宋体" w:hAnsi="Courier New"/>
    </w:rPr>
  </w:style>
  <w:style w:type="paragraph" w:customStyle="1" w:styleId="81">
    <w:name w:val="图文"/>
    <w:basedOn w:val="1"/>
    <w:qFormat/>
    <w:uiPriority w:val="0"/>
    <w:pPr>
      <w:adjustRightInd w:val="0"/>
      <w:snapToGrid w:val="0"/>
      <w:spacing w:after="50" w:line="360" w:lineRule="auto"/>
    </w:pPr>
    <w:rPr>
      <w:sz w:val="24"/>
    </w:rPr>
  </w:style>
  <w:style w:type="paragraph" w:customStyle="1" w:styleId="82">
    <w:name w:val="p0"/>
    <w:basedOn w:val="1"/>
    <w:qFormat/>
    <w:uiPriority w:val="0"/>
    <w:pPr>
      <w:widowControl/>
    </w:pPr>
    <w:rPr>
      <w:kern w:val="0"/>
      <w:szCs w:val="21"/>
    </w:rPr>
  </w:style>
  <w:style w:type="paragraph" w:customStyle="1" w:styleId="83">
    <w:name w:val="样式 标题 2 + 黑色 行距: 1.5 倍行距"/>
    <w:basedOn w:val="4"/>
    <w:qFormat/>
    <w:uiPriority w:val="99"/>
    <w:pPr>
      <w:adjustRightInd/>
      <w:spacing w:line="360" w:lineRule="auto"/>
      <w:ind w:firstLine="3502" w:firstLineChars="1246"/>
      <w:textAlignment w:val="auto"/>
    </w:pPr>
    <w:rPr>
      <w:rFonts w:ascii="楷体_GB2312" w:hAnsi="宋体" w:eastAsia="楷体_GB2312" w:cs="仿宋_GB2312"/>
      <w:bCs/>
      <w:kern w:val="2"/>
      <w:sz w:val="28"/>
      <w:szCs w:val="28"/>
    </w:rPr>
  </w:style>
  <w:style w:type="paragraph" w:customStyle="1" w:styleId="84">
    <w:name w:val="TOC 标题1"/>
    <w:basedOn w:val="3"/>
    <w:next w:val="1"/>
    <w:unhideWhenUsed/>
    <w:qFormat/>
    <w:uiPriority w:val="39"/>
    <w:pPr>
      <w:widowControl/>
      <w:adjustRightInd/>
      <w:spacing w:before="240" w:after="0" w:line="259" w:lineRule="auto"/>
      <w:jc w:val="left"/>
      <w:textAlignment w:val="auto"/>
      <w:outlineLvl w:val="9"/>
    </w:pPr>
    <w:rPr>
      <w:rFonts w:asciiTheme="majorHAnsi" w:hAnsiTheme="majorHAnsi" w:eastAsiaTheme="majorEastAsia" w:cstheme="majorBidi"/>
      <w:b w:val="0"/>
      <w:color w:val="2E75B6" w:themeColor="accent1" w:themeShade="BF"/>
      <w:kern w:val="0"/>
      <w:sz w:val="32"/>
      <w:szCs w:val="32"/>
      <w:lang w:val="en-US"/>
    </w:rPr>
  </w:style>
  <w:style w:type="character" w:customStyle="1" w:styleId="85">
    <w:name w:val="未处理的提及1"/>
    <w:basedOn w:val="52"/>
    <w:semiHidden/>
    <w:unhideWhenUsed/>
    <w:qFormat/>
    <w:uiPriority w:val="99"/>
    <w:rPr>
      <w:color w:val="605E5C"/>
      <w:shd w:val="clear" w:color="auto" w:fill="E1DFDD"/>
    </w:rPr>
  </w:style>
  <w:style w:type="character" w:customStyle="1" w:styleId="86">
    <w:name w:val="正文首行缩进 2 字符"/>
    <w:basedOn w:val="62"/>
    <w:link w:val="49"/>
    <w:qFormat/>
    <w:uiPriority w:val="0"/>
    <w:rPr>
      <w:kern w:val="2"/>
      <w:sz w:val="21"/>
    </w:rPr>
  </w:style>
  <w:style w:type="paragraph" w:customStyle="1" w:styleId="87">
    <w:name w:val="无间隔1"/>
    <w:qFormat/>
    <w:uiPriority w:val="0"/>
    <w:pPr>
      <w:widowControl w:val="0"/>
      <w:spacing w:line="300" w:lineRule="auto"/>
    </w:pPr>
    <w:rPr>
      <w:rFonts w:ascii="Times New Roman" w:hAnsi="Times New Roman" w:eastAsia="华文仿宋" w:cs="Times New Roman"/>
      <w:kern w:val="2"/>
      <w:sz w:val="24"/>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A2FABA-68BE-42BA-90B2-69D0DF5C2F79}">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65</Pages>
  <Words>4830</Words>
  <Characters>27532</Characters>
  <Lines>229</Lines>
  <Paragraphs>64</Paragraphs>
  <TotalTime>14</TotalTime>
  <ScaleCrop>false</ScaleCrop>
  <LinksUpToDate>false</LinksUpToDate>
  <CharactersWithSpaces>32298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2020-08-14T08:16:00Z</dcterms:created>
  <dc:creator>戴健秋</dc:creator>
  <cp:lastModifiedBy>Administrator</cp:lastModifiedBy>
  <cp:lastPrinted>2020-08-11T03:26:00Z</cp:lastPrinted>
  <dcterms:modified xsi:type="dcterms:W3CDTF">2020-09-11T05:12:36Z</dcterms:modified>
  <dc:title>南京国衡南通分公司 代理 招标及竞谈 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