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宋体" w:hAnsi="宋体" w:eastAsia="宋体" w:cs="宋体"/>
          <w:b/>
          <w:sz w:val="96"/>
          <w:szCs w:val="96"/>
          <w:lang w:eastAsia="zh-CN"/>
        </w:rPr>
      </w:pPr>
      <w:r>
        <w:rPr>
          <w:rFonts w:hint="eastAsia" w:ascii="宋体" w:hAnsi="宋体" w:cs="宋体"/>
          <w:b/>
          <w:bCs/>
          <w:sz w:val="44"/>
          <w:szCs w:val="44"/>
          <w:lang w:eastAsia="zh-CN"/>
        </w:rPr>
        <w:t>南通市虹桥二中消防维保项目</w:t>
      </w:r>
    </w:p>
    <w:p>
      <w:pPr>
        <w:spacing w:line="360" w:lineRule="auto"/>
        <w:rPr>
          <w:rFonts w:hint="eastAsia" w:ascii="宋体" w:hAnsi="宋体" w:cs="宋体"/>
          <w:b/>
          <w:sz w:val="100"/>
          <w:szCs w:val="100"/>
        </w:rPr>
      </w:pPr>
    </w:p>
    <w:p>
      <w:pPr>
        <w:spacing w:line="360" w:lineRule="auto"/>
        <w:jc w:val="center"/>
        <w:rPr>
          <w:rFonts w:hint="eastAsia" w:ascii="宋体" w:hAnsi="宋体" w:cs="宋体"/>
          <w:b/>
          <w:sz w:val="100"/>
          <w:szCs w:val="100"/>
        </w:rPr>
      </w:pPr>
      <w:r>
        <w:rPr>
          <w:rFonts w:hint="eastAsia" w:ascii="宋体" w:hAnsi="宋体" w:cs="宋体"/>
          <w:b/>
          <w:sz w:val="100"/>
          <w:szCs w:val="100"/>
        </w:rPr>
        <w:t>磋商采购文件</w:t>
      </w:r>
    </w:p>
    <w:p>
      <w:pPr>
        <w:keepNext/>
        <w:spacing w:line="360" w:lineRule="auto"/>
        <w:jc w:val="center"/>
        <w:rPr>
          <w:rFonts w:hint="eastAsia" w:ascii="宋体" w:hAnsi="宋体" w:cs="宋体"/>
          <w:b/>
          <w:kern w:val="0"/>
          <w:sz w:val="36"/>
          <w:szCs w:val="36"/>
        </w:rPr>
      </w:pPr>
      <w:r>
        <w:rPr>
          <w:rFonts w:hint="eastAsia" w:ascii="宋体" w:hAnsi="宋体" w:cs="宋体"/>
          <w:b/>
          <w:kern w:val="0"/>
          <w:sz w:val="36"/>
          <w:szCs w:val="36"/>
        </w:rPr>
        <w:t xml:space="preserve"> </w:t>
      </w: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adjustRightInd w:val="0"/>
        <w:spacing w:before="120" w:after="120" w:line="360" w:lineRule="auto"/>
        <w:ind w:right="120"/>
        <w:textAlignment w:val="baseline"/>
        <w:rPr>
          <w:rFonts w:hint="eastAsia" w:ascii="宋体" w:hAnsi="宋体" w:cs="宋体"/>
          <w:b/>
          <w:spacing w:val="20"/>
          <w:sz w:val="32"/>
          <w:szCs w:val="32"/>
        </w:rPr>
      </w:pPr>
    </w:p>
    <w:p>
      <w:pPr>
        <w:adjustRightInd w:val="0"/>
        <w:spacing w:before="120" w:after="120" w:line="360" w:lineRule="auto"/>
        <w:ind w:left="-2" w:right="120"/>
        <w:jc w:val="center"/>
        <w:textAlignment w:val="baseline"/>
        <w:rPr>
          <w:rFonts w:hint="eastAsia" w:ascii="宋体" w:hAnsi="宋体" w:cs="宋体"/>
          <w:b/>
          <w:spacing w:val="20"/>
          <w:sz w:val="32"/>
          <w:szCs w:val="32"/>
        </w:rPr>
      </w:pPr>
    </w:p>
    <w:p>
      <w:pPr>
        <w:adjustRightInd w:val="0"/>
        <w:spacing w:before="120" w:after="120" w:line="360" w:lineRule="auto"/>
        <w:ind w:left="-2" w:right="120"/>
        <w:jc w:val="center"/>
        <w:textAlignment w:val="baseline"/>
        <w:rPr>
          <w:rFonts w:hint="eastAsia" w:ascii="宋体" w:hAnsi="宋体" w:cs="宋体"/>
          <w:b/>
          <w:spacing w:val="20"/>
          <w:sz w:val="32"/>
          <w:szCs w:val="32"/>
        </w:rPr>
      </w:pPr>
    </w:p>
    <w:p>
      <w:pPr>
        <w:adjustRightInd w:val="0"/>
        <w:spacing w:before="120" w:after="120" w:line="360" w:lineRule="auto"/>
        <w:ind w:left="-2" w:right="120"/>
        <w:jc w:val="center"/>
        <w:textAlignment w:val="baseline"/>
        <w:rPr>
          <w:rFonts w:hint="eastAsia" w:ascii="宋体" w:hAnsi="宋体" w:cs="宋体"/>
          <w:b/>
          <w:spacing w:val="20"/>
          <w:sz w:val="32"/>
          <w:szCs w:val="32"/>
        </w:rPr>
      </w:pPr>
    </w:p>
    <w:p>
      <w:pPr>
        <w:adjustRightInd w:val="0"/>
        <w:spacing w:before="120" w:after="120" w:line="360" w:lineRule="auto"/>
        <w:ind w:left="-2" w:right="120"/>
        <w:jc w:val="center"/>
        <w:textAlignment w:val="baseline"/>
        <w:rPr>
          <w:rFonts w:hint="eastAsia" w:ascii="宋体" w:hAnsi="宋体" w:cs="宋体"/>
          <w:b/>
          <w:spacing w:val="20"/>
          <w:sz w:val="32"/>
          <w:szCs w:val="32"/>
        </w:rPr>
      </w:pPr>
    </w:p>
    <w:p>
      <w:pPr>
        <w:adjustRightInd w:val="0"/>
        <w:spacing w:before="120" w:after="120" w:line="360" w:lineRule="auto"/>
        <w:ind w:left="-2" w:right="120"/>
        <w:jc w:val="center"/>
        <w:textAlignment w:val="baseline"/>
        <w:rPr>
          <w:rFonts w:hint="eastAsia" w:ascii="宋体" w:hAnsi="宋体" w:eastAsia="宋体" w:cs="宋体"/>
          <w:b/>
          <w:bCs/>
          <w:kern w:val="0"/>
          <w:sz w:val="32"/>
          <w:szCs w:val="32"/>
          <w:lang w:eastAsia="zh-CN"/>
        </w:rPr>
      </w:pPr>
      <w:r>
        <w:rPr>
          <w:rFonts w:hint="eastAsia" w:ascii="宋体" w:hAnsi="宋体" w:cs="宋体"/>
          <w:b/>
          <w:bCs/>
          <w:kern w:val="0"/>
          <w:sz w:val="32"/>
          <w:szCs w:val="32"/>
          <w:lang w:eastAsia="zh-CN"/>
        </w:rPr>
        <w:t>南通市虹桥二中</w:t>
      </w:r>
    </w:p>
    <w:p>
      <w:pPr>
        <w:adjustRightInd w:val="0"/>
        <w:spacing w:before="120" w:after="120" w:line="360" w:lineRule="auto"/>
        <w:ind w:left="-2" w:right="120"/>
        <w:jc w:val="center"/>
        <w:textAlignment w:val="baseline"/>
        <w:rPr>
          <w:rFonts w:hint="eastAsia" w:ascii="宋体" w:hAnsi="宋体" w:cs="宋体"/>
          <w:b/>
          <w:bCs/>
          <w:kern w:val="0"/>
          <w:sz w:val="32"/>
          <w:szCs w:val="32"/>
        </w:rPr>
      </w:pPr>
      <w:r>
        <w:rPr>
          <w:rFonts w:hint="eastAsia" w:ascii="宋体" w:hAnsi="宋体" w:cs="宋体"/>
          <w:b/>
          <w:bCs/>
          <w:kern w:val="0"/>
          <w:sz w:val="32"/>
          <w:szCs w:val="32"/>
        </w:rPr>
        <w:t>2024年0</w:t>
      </w:r>
      <w:r>
        <w:rPr>
          <w:rFonts w:hint="eastAsia" w:ascii="宋体" w:hAnsi="宋体" w:cs="宋体"/>
          <w:b/>
          <w:bCs/>
          <w:kern w:val="0"/>
          <w:sz w:val="32"/>
          <w:szCs w:val="32"/>
          <w:lang w:val="en-US" w:eastAsia="zh-CN"/>
        </w:rPr>
        <w:t>5</w:t>
      </w:r>
      <w:r>
        <w:rPr>
          <w:rFonts w:hint="eastAsia" w:ascii="宋体" w:hAnsi="宋体" w:cs="宋体"/>
          <w:b/>
          <w:bCs/>
          <w:kern w:val="0"/>
          <w:sz w:val="32"/>
          <w:szCs w:val="32"/>
        </w:rPr>
        <w:t>月</w:t>
      </w:r>
      <w:r>
        <w:rPr>
          <w:rFonts w:hint="eastAsia" w:ascii="宋体" w:hAnsi="宋体" w:cs="宋体"/>
          <w:b/>
          <w:bCs/>
          <w:kern w:val="0"/>
          <w:sz w:val="32"/>
          <w:szCs w:val="32"/>
          <w:lang w:val="en-US" w:eastAsia="zh-CN"/>
        </w:rPr>
        <w:t>06</w:t>
      </w:r>
      <w:r>
        <w:rPr>
          <w:rFonts w:hint="eastAsia" w:ascii="宋体" w:hAnsi="宋体" w:cs="宋体"/>
          <w:b/>
          <w:bCs/>
          <w:kern w:val="0"/>
          <w:sz w:val="32"/>
          <w:szCs w:val="32"/>
        </w:rPr>
        <w:t>日</w:t>
      </w:r>
    </w:p>
    <w:p>
      <w:pPr>
        <w:adjustRightInd w:val="0"/>
        <w:snapToGrid w:val="0"/>
        <w:spacing w:line="360" w:lineRule="auto"/>
        <w:ind w:left="-158" w:leftChars="-75"/>
        <w:jc w:val="center"/>
        <w:rPr>
          <w:rFonts w:hint="eastAsia" w:ascii="宋体" w:hAnsi="宋体" w:cs="宋体"/>
          <w:sz w:val="44"/>
          <w:szCs w:val="44"/>
          <w:lang w:val="zh-CN"/>
        </w:rPr>
      </w:pPr>
      <w:r>
        <w:rPr>
          <w:rFonts w:hint="eastAsia" w:ascii="宋体" w:hAnsi="宋体" w:cs="宋体"/>
          <w:sz w:val="44"/>
          <w:szCs w:val="44"/>
          <w:lang w:val="zh-CN"/>
        </w:rPr>
        <w:br w:type="page"/>
      </w:r>
      <w:r>
        <w:rPr>
          <w:rFonts w:hint="eastAsia" w:ascii="宋体" w:hAnsi="宋体" w:cs="宋体"/>
          <w:sz w:val="44"/>
          <w:szCs w:val="44"/>
          <w:lang w:val="zh-CN"/>
        </w:rPr>
        <w:t xml:space="preserve">目 </w:t>
      </w:r>
      <w:r>
        <w:rPr>
          <w:rFonts w:hint="eastAsia" w:ascii="宋体" w:hAnsi="宋体" w:cs="宋体"/>
          <w:sz w:val="44"/>
          <w:szCs w:val="44"/>
        </w:rPr>
        <w:t xml:space="preserve">  </w:t>
      </w:r>
      <w:r>
        <w:rPr>
          <w:rFonts w:hint="eastAsia" w:ascii="宋体" w:hAnsi="宋体" w:cs="宋体"/>
          <w:sz w:val="44"/>
          <w:szCs w:val="44"/>
          <w:lang w:val="zh-CN"/>
        </w:rPr>
        <w:t>录</w:t>
      </w:r>
    </w:p>
    <w:p>
      <w:pPr>
        <w:autoSpaceDE w:val="0"/>
        <w:autoSpaceDN w:val="0"/>
        <w:adjustRightInd w:val="0"/>
        <w:snapToGrid w:val="0"/>
        <w:spacing w:line="1000" w:lineRule="exact"/>
        <w:ind w:firstLine="556"/>
        <w:rPr>
          <w:rFonts w:hint="eastAsia" w:ascii="宋体" w:hAnsi="宋体" w:cs="宋体"/>
          <w:sz w:val="32"/>
          <w:szCs w:val="32"/>
        </w:rPr>
      </w:pPr>
      <w:r>
        <w:rPr>
          <w:rFonts w:hint="eastAsia" w:ascii="宋体" w:hAnsi="宋体" w:cs="宋体"/>
          <w:sz w:val="32"/>
          <w:szCs w:val="32"/>
        </w:rPr>
        <w:t>第一部分  磋商公告</w:t>
      </w:r>
    </w:p>
    <w:p>
      <w:pPr>
        <w:autoSpaceDE w:val="0"/>
        <w:autoSpaceDN w:val="0"/>
        <w:adjustRightInd w:val="0"/>
        <w:snapToGrid w:val="0"/>
        <w:spacing w:line="1000" w:lineRule="exact"/>
        <w:ind w:firstLine="556"/>
        <w:rPr>
          <w:rFonts w:hint="eastAsia" w:ascii="宋体" w:hAnsi="宋体" w:cs="宋体"/>
          <w:sz w:val="32"/>
          <w:szCs w:val="32"/>
        </w:rPr>
      </w:pPr>
      <w:r>
        <w:rPr>
          <w:rFonts w:hint="eastAsia" w:ascii="宋体" w:hAnsi="宋体" w:cs="宋体"/>
          <w:sz w:val="32"/>
          <w:szCs w:val="32"/>
        </w:rPr>
        <w:t>第二部分  磋商须知</w:t>
      </w:r>
    </w:p>
    <w:p>
      <w:pPr>
        <w:autoSpaceDE w:val="0"/>
        <w:autoSpaceDN w:val="0"/>
        <w:adjustRightInd w:val="0"/>
        <w:snapToGrid w:val="0"/>
        <w:spacing w:line="1000" w:lineRule="exact"/>
        <w:ind w:firstLine="537"/>
        <w:rPr>
          <w:rFonts w:hint="eastAsia" w:ascii="宋体" w:hAnsi="宋体" w:cs="宋体"/>
          <w:sz w:val="32"/>
          <w:szCs w:val="32"/>
        </w:rPr>
      </w:pPr>
      <w:r>
        <w:rPr>
          <w:rFonts w:hint="eastAsia" w:ascii="宋体" w:hAnsi="宋体" w:cs="宋体"/>
          <w:sz w:val="32"/>
          <w:szCs w:val="32"/>
        </w:rPr>
        <w:t>第三部分  项目需求</w:t>
      </w:r>
    </w:p>
    <w:p>
      <w:pPr>
        <w:autoSpaceDE w:val="0"/>
        <w:autoSpaceDN w:val="0"/>
        <w:adjustRightInd w:val="0"/>
        <w:snapToGrid w:val="0"/>
        <w:spacing w:line="1000" w:lineRule="exact"/>
        <w:ind w:firstLine="537"/>
        <w:rPr>
          <w:rFonts w:hint="eastAsia" w:ascii="宋体" w:hAnsi="宋体" w:cs="宋体"/>
          <w:sz w:val="32"/>
          <w:szCs w:val="32"/>
        </w:rPr>
      </w:pPr>
      <w:r>
        <w:rPr>
          <w:rFonts w:hint="eastAsia" w:ascii="宋体" w:hAnsi="宋体" w:cs="宋体"/>
          <w:sz w:val="32"/>
          <w:szCs w:val="32"/>
        </w:rPr>
        <w:t>第四部分  评审方法和评审标准</w:t>
      </w:r>
    </w:p>
    <w:p>
      <w:pPr>
        <w:autoSpaceDE w:val="0"/>
        <w:autoSpaceDN w:val="0"/>
        <w:adjustRightInd w:val="0"/>
        <w:snapToGrid w:val="0"/>
        <w:spacing w:line="1000" w:lineRule="exact"/>
        <w:ind w:firstLine="556"/>
        <w:rPr>
          <w:rFonts w:hint="eastAsia" w:ascii="宋体" w:hAnsi="宋体" w:cs="宋体"/>
          <w:sz w:val="32"/>
          <w:szCs w:val="32"/>
        </w:rPr>
      </w:pPr>
      <w:r>
        <w:rPr>
          <w:rFonts w:hint="eastAsia" w:ascii="宋体" w:hAnsi="宋体" w:cs="宋体"/>
          <w:sz w:val="32"/>
          <w:szCs w:val="32"/>
        </w:rPr>
        <w:t>第五部分  响应文件组成</w:t>
      </w:r>
    </w:p>
    <w:p>
      <w:pPr>
        <w:tabs>
          <w:tab w:val="left" w:pos="7740"/>
        </w:tabs>
        <w:spacing w:line="360" w:lineRule="auto"/>
        <w:rPr>
          <w:rFonts w:hint="eastAsia" w:ascii="宋体" w:hAnsi="宋体" w:cs="宋体"/>
          <w:bCs/>
          <w:sz w:val="32"/>
          <w:szCs w:val="32"/>
        </w:rPr>
      </w:pPr>
    </w:p>
    <w:p>
      <w:pPr>
        <w:tabs>
          <w:tab w:val="left" w:pos="7740"/>
        </w:tabs>
        <w:spacing w:line="360" w:lineRule="auto"/>
        <w:rPr>
          <w:rFonts w:hint="eastAsia" w:ascii="宋体" w:hAnsi="宋体" w:cs="宋体"/>
          <w:bCs/>
          <w:sz w:val="32"/>
          <w:szCs w:val="32"/>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pacing w:line="360" w:lineRule="auto"/>
        <w:jc w:val="center"/>
        <w:rPr>
          <w:rFonts w:hint="eastAsia" w:ascii="宋体" w:hAnsi="宋体" w:cs="宋体"/>
          <w:b/>
          <w:bCs/>
          <w:sz w:val="36"/>
          <w:szCs w:val="36"/>
          <w:lang w:val="zh-CN"/>
        </w:rPr>
      </w:pPr>
    </w:p>
    <w:p>
      <w:pPr>
        <w:autoSpaceDE w:val="0"/>
        <w:autoSpaceDN w:val="0"/>
        <w:adjustRightInd w:val="0"/>
        <w:snapToGrid w:val="0"/>
        <w:spacing w:line="360" w:lineRule="auto"/>
        <w:jc w:val="center"/>
        <w:rPr>
          <w:rFonts w:hint="eastAsia" w:ascii="宋体" w:hAnsi="宋体" w:cs="宋体"/>
          <w:sz w:val="36"/>
          <w:szCs w:val="36"/>
          <w:lang w:val="zh-CN"/>
        </w:rPr>
      </w:pPr>
    </w:p>
    <w:p>
      <w:pPr>
        <w:autoSpaceDE w:val="0"/>
        <w:autoSpaceDN w:val="0"/>
        <w:adjustRightInd w:val="0"/>
        <w:snapToGrid w:val="0"/>
        <w:spacing w:line="360" w:lineRule="auto"/>
        <w:jc w:val="center"/>
        <w:rPr>
          <w:rFonts w:hint="eastAsia" w:ascii="宋体" w:hAnsi="宋体" w:cs="宋体"/>
          <w:sz w:val="36"/>
          <w:szCs w:val="36"/>
          <w:lang w:val="zh-CN"/>
        </w:rPr>
      </w:pPr>
    </w:p>
    <w:p>
      <w:pPr>
        <w:autoSpaceDE w:val="0"/>
        <w:autoSpaceDN w:val="0"/>
        <w:adjustRightInd w:val="0"/>
        <w:snapToGrid w:val="0"/>
        <w:spacing w:line="360" w:lineRule="auto"/>
        <w:jc w:val="center"/>
        <w:rPr>
          <w:rFonts w:hint="eastAsia" w:ascii="宋体" w:hAnsi="宋体" w:cs="宋体"/>
          <w:sz w:val="36"/>
          <w:szCs w:val="36"/>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autoSpaceDE w:val="0"/>
        <w:autoSpaceDN w:val="0"/>
        <w:adjustRightInd w:val="0"/>
        <w:snapToGrid w:val="0"/>
        <w:spacing w:line="800" w:lineRule="exact"/>
        <w:jc w:val="center"/>
        <w:outlineLvl w:val="0"/>
        <w:rPr>
          <w:rFonts w:hint="eastAsia" w:ascii="宋体" w:hAnsi="宋体" w:cs="宋体"/>
          <w:sz w:val="36"/>
          <w:szCs w:val="36"/>
          <w:lang w:val="zh-CN"/>
        </w:rPr>
      </w:pPr>
      <w:r>
        <w:rPr>
          <w:rFonts w:hint="eastAsia" w:ascii="宋体" w:hAnsi="宋体" w:cs="宋体"/>
          <w:sz w:val="36"/>
          <w:szCs w:val="36"/>
          <w:lang w:val="zh-CN"/>
        </w:rPr>
        <w:t>第一部分 磋商公告</w:t>
      </w:r>
    </w:p>
    <w:p>
      <w:pPr>
        <w:wordWrap w:val="0"/>
        <w:adjustRightInd w:val="0"/>
        <w:snapToGrid w:val="0"/>
        <w:spacing w:line="460" w:lineRule="exact"/>
        <w:rPr>
          <w:rFonts w:hint="eastAsia" w:ascii="宋体" w:hAnsi="宋体" w:cs="宋体"/>
          <w:sz w:val="28"/>
          <w:szCs w:val="28"/>
          <w:lang w:val="zh-CN"/>
        </w:rPr>
      </w:pPr>
    </w:p>
    <w:p>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南通市虹桥二中</w:t>
      </w:r>
      <w:r>
        <w:rPr>
          <w:rFonts w:hint="eastAsia" w:ascii="宋体" w:hAnsi="宋体" w:cs="宋体"/>
          <w:sz w:val="28"/>
          <w:szCs w:val="28"/>
        </w:rPr>
        <w:t>）的（</w:t>
      </w:r>
      <w:r>
        <w:rPr>
          <w:rFonts w:hint="eastAsia" w:ascii="宋体" w:hAnsi="宋体" w:cs="宋体"/>
          <w:sz w:val="28"/>
          <w:szCs w:val="28"/>
          <w:lang w:eastAsia="zh-CN"/>
        </w:rPr>
        <w:t>南通市虹桥二中消防维保项目</w:t>
      </w:r>
      <w:r>
        <w:rPr>
          <w:rFonts w:hint="eastAsia" w:ascii="宋体" w:hAnsi="宋体" w:cs="宋体"/>
          <w:sz w:val="28"/>
          <w:szCs w:val="28"/>
        </w:rPr>
        <w:t>)的潜在供应商应在</w:t>
      </w:r>
      <w:r>
        <w:rPr>
          <w:rFonts w:hint="eastAsia" w:ascii="宋体" w:hAnsi="宋体" w:cs="宋体"/>
          <w:sz w:val="28"/>
          <w:szCs w:val="28"/>
          <w:lang w:eastAsia="zh-CN"/>
        </w:rPr>
        <w:t>南通市教育局网站</w:t>
      </w:r>
      <w:r>
        <w:rPr>
          <w:rFonts w:hint="eastAsia" w:ascii="宋体" w:hAnsi="宋体" w:cs="宋体"/>
          <w:sz w:val="28"/>
          <w:szCs w:val="28"/>
        </w:rPr>
        <w:t>获取采购文件，并于2024年</w:t>
      </w:r>
      <w:r>
        <w:rPr>
          <w:rFonts w:hint="eastAsia" w:ascii="宋体" w:hAnsi="宋体" w:cs="宋体"/>
          <w:sz w:val="28"/>
          <w:szCs w:val="28"/>
          <w:lang w:val="en-US" w:eastAsia="zh-CN"/>
        </w:rPr>
        <w:t>05</w:t>
      </w:r>
      <w:r>
        <w:rPr>
          <w:rFonts w:hint="eastAsia" w:ascii="宋体" w:hAnsi="宋体" w:cs="宋体"/>
          <w:sz w:val="28"/>
          <w:szCs w:val="28"/>
        </w:rPr>
        <w:t>月</w:t>
      </w:r>
      <w:r>
        <w:rPr>
          <w:rFonts w:hint="eastAsia" w:ascii="宋体" w:hAnsi="宋体" w:cs="宋体"/>
          <w:sz w:val="28"/>
          <w:szCs w:val="28"/>
          <w:lang w:val="en-US" w:eastAsia="zh-CN"/>
        </w:rPr>
        <w:t xml:space="preserve">16 </w:t>
      </w:r>
      <w:r>
        <w:rPr>
          <w:rFonts w:hint="eastAsia" w:ascii="宋体" w:hAnsi="宋体" w:cs="宋体"/>
          <w:sz w:val="28"/>
          <w:szCs w:val="28"/>
        </w:rPr>
        <w:t>日09点30分（北京时间）前提交响应文件。</w:t>
      </w:r>
    </w:p>
    <w:p>
      <w:pPr>
        <w:widowControl/>
        <w:shd w:val="clear" w:color="auto" w:fill="FFFFFF"/>
        <w:adjustRightInd w:val="0"/>
        <w:snapToGrid w:val="0"/>
        <w:spacing w:line="460" w:lineRule="exact"/>
        <w:ind w:firstLine="590" w:firstLineChars="200"/>
        <w:outlineLvl w:val="1"/>
        <w:rPr>
          <w:rFonts w:hint="eastAsia" w:ascii="宋体" w:hAnsi="宋体" w:cs="宋体"/>
          <w:b/>
          <w:spacing w:val="7"/>
          <w:kern w:val="0"/>
          <w:sz w:val="28"/>
          <w:szCs w:val="28"/>
        </w:rPr>
      </w:pPr>
    </w:p>
    <w:p>
      <w:pPr>
        <w:widowControl/>
        <w:shd w:val="clear" w:color="auto" w:fill="FFFFFF"/>
        <w:adjustRightInd w:val="0"/>
        <w:snapToGrid w:val="0"/>
        <w:spacing w:line="460" w:lineRule="exact"/>
        <w:ind w:firstLine="590" w:firstLineChars="200"/>
        <w:outlineLvl w:val="1"/>
        <w:rPr>
          <w:rFonts w:hint="eastAsia" w:ascii="宋体" w:hAnsi="宋体" w:cs="宋体"/>
          <w:b/>
          <w:spacing w:val="7"/>
          <w:kern w:val="0"/>
          <w:sz w:val="28"/>
          <w:szCs w:val="28"/>
        </w:rPr>
      </w:pPr>
      <w:r>
        <w:rPr>
          <w:rFonts w:hint="eastAsia" w:ascii="宋体" w:hAnsi="宋体" w:cs="宋体"/>
          <w:b/>
          <w:spacing w:val="7"/>
          <w:kern w:val="0"/>
          <w:sz w:val="28"/>
          <w:szCs w:val="28"/>
        </w:rPr>
        <w:t>一、项目基本情况</w:t>
      </w:r>
    </w:p>
    <w:p>
      <w:pPr>
        <w:adjustRightInd w:val="0"/>
        <w:snapToGrid w:val="0"/>
        <w:spacing w:line="46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项目编号：HQEZ2024001</w:t>
      </w:r>
    </w:p>
    <w:p>
      <w:pPr>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lang w:eastAsia="zh-CN"/>
        </w:rPr>
        <w:t>南通市虹桥二中消防维保项目</w:t>
      </w:r>
    </w:p>
    <w:p>
      <w:pPr>
        <w:adjustRightInd w:val="0"/>
        <w:snapToGrid w:val="0"/>
        <w:spacing w:line="46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预算金额：</w:t>
      </w:r>
      <w:r>
        <w:rPr>
          <w:rFonts w:hint="eastAsia" w:ascii="宋体" w:hAnsi="宋体" w:cs="宋体"/>
          <w:sz w:val="28"/>
          <w:szCs w:val="28"/>
          <w:lang w:val="en-US" w:eastAsia="zh-CN"/>
        </w:rPr>
        <w:t>1</w:t>
      </w:r>
      <w:r>
        <w:rPr>
          <w:rFonts w:hint="eastAsia" w:ascii="宋体" w:hAnsi="宋体" w:cs="宋体"/>
          <w:sz w:val="28"/>
          <w:szCs w:val="28"/>
        </w:rPr>
        <w:t>万元</w:t>
      </w:r>
      <w:r>
        <w:rPr>
          <w:rFonts w:hint="eastAsia" w:ascii="宋体" w:hAnsi="宋体" w:cs="宋体"/>
          <w:sz w:val="28"/>
          <w:szCs w:val="28"/>
          <w:lang w:val="en-US" w:eastAsia="zh-CN"/>
        </w:rPr>
        <w:t>/年</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1</w:t>
      </w:r>
      <w:r>
        <w:rPr>
          <w:rFonts w:hint="eastAsia" w:ascii="宋体" w:hAnsi="宋体" w:cs="宋体"/>
          <w:sz w:val="28"/>
          <w:szCs w:val="28"/>
        </w:rPr>
        <w:t>万元</w:t>
      </w:r>
      <w:r>
        <w:rPr>
          <w:rFonts w:hint="eastAsia" w:ascii="宋体" w:hAnsi="宋体" w:cs="宋体"/>
          <w:sz w:val="28"/>
          <w:szCs w:val="28"/>
          <w:lang w:val="en-US" w:eastAsia="zh-CN"/>
        </w:rPr>
        <w:t>/年</w:t>
      </w:r>
      <w:r>
        <w:rPr>
          <w:rFonts w:hint="eastAsia" w:ascii="宋体" w:hAnsi="宋体" w:cs="宋体"/>
          <w:sz w:val="28"/>
          <w:szCs w:val="28"/>
        </w:rPr>
        <w:t>，投标报价超过最高限价按无效标处理。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采购需求：具体详见磋商文件，请仔细研究。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合同履行期限</w:t>
      </w:r>
      <w:r>
        <w:rPr>
          <w:rFonts w:hint="eastAsia" w:ascii="宋体" w:hAnsi="宋体" w:cs="宋体"/>
          <w:sz w:val="28"/>
          <w:szCs w:val="28"/>
          <w:lang w:eastAsia="zh-CN"/>
        </w:rPr>
        <w:t>：</w:t>
      </w:r>
      <w:r>
        <w:rPr>
          <w:rFonts w:hint="eastAsia" w:ascii="宋体" w:hAnsi="宋体" w:cs="宋体"/>
          <w:sz w:val="28"/>
          <w:szCs w:val="28"/>
        </w:rPr>
        <w:t>1年。一年消防维保服务结束后，在供应商承诺不增加服务费且当年消防维保服务后评价合格、同时满足相关法律法规的前提下，可续签次年服务合同，续签不超过两次。</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本项目是否接受联合体投标：否。</w:t>
      </w:r>
    </w:p>
    <w:p>
      <w:pPr>
        <w:adjustRightInd w:val="0"/>
        <w:snapToGrid w:val="0"/>
        <w:spacing w:line="460" w:lineRule="exact"/>
        <w:ind w:firstLine="562" w:firstLineChars="200"/>
        <w:outlineLvl w:val="1"/>
        <w:rPr>
          <w:rFonts w:hint="eastAsia" w:ascii="宋体" w:hAnsi="宋体" w:cs="宋体"/>
          <w:b/>
          <w:sz w:val="28"/>
          <w:szCs w:val="28"/>
        </w:rPr>
      </w:pPr>
      <w:r>
        <w:rPr>
          <w:rFonts w:hint="eastAsia" w:ascii="宋体" w:hAnsi="宋体" w:cs="宋体"/>
          <w:b/>
          <w:sz w:val="28"/>
          <w:szCs w:val="28"/>
        </w:rPr>
        <w:t>二、供应商的资格要求：</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2.本项目的特定资格要求：</w:t>
      </w:r>
      <w:r>
        <w:rPr>
          <w:rFonts w:hint="eastAsia" w:ascii="宋体" w:hAnsi="宋体" w:cs="宋体"/>
          <w:sz w:val="28"/>
          <w:szCs w:val="28"/>
          <w:lang w:eastAsia="zh-CN"/>
        </w:rPr>
        <w:t>无</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3.未被“信用中国”网站列入失信被执行人、重大税收违法案件当事人名单、采购严重失信行为记录名单。</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4.供应商单位负责人为同一人或者存在直接控股、管理关系的不同供应商，不得同时参加同一合同项下的采购活动。</w:t>
      </w:r>
    </w:p>
    <w:p>
      <w:pPr>
        <w:adjustRightInd w:val="0"/>
        <w:snapToGrid w:val="0"/>
        <w:spacing w:line="460" w:lineRule="exact"/>
        <w:ind w:firstLine="562" w:firstLineChars="200"/>
        <w:outlineLvl w:val="1"/>
        <w:rPr>
          <w:rFonts w:hint="eastAsia" w:ascii="宋体" w:hAnsi="宋体" w:cs="宋体"/>
          <w:b/>
          <w:sz w:val="28"/>
          <w:szCs w:val="28"/>
        </w:rPr>
      </w:pPr>
    </w:p>
    <w:p>
      <w:pPr>
        <w:adjustRightInd w:val="0"/>
        <w:snapToGrid w:val="0"/>
        <w:spacing w:line="460" w:lineRule="exact"/>
        <w:ind w:firstLine="562" w:firstLineChars="200"/>
        <w:outlineLvl w:val="1"/>
        <w:rPr>
          <w:rFonts w:hint="eastAsia" w:ascii="宋体" w:hAnsi="宋体" w:cs="宋体"/>
          <w:b/>
          <w:sz w:val="28"/>
          <w:szCs w:val="28"/>
        </w:rPr>
      </w:pPr>
    </w:p>
    <w:p>
      <w:pPr>
        <w:adjustRightInd w:val="0"/>
        <w:snapToGrid w:val="0"/>
        <w:spacing w:line="460" w:lineRule="exact"/>
        <w:ind w:firstLine="562" w:firstLineChars="200"/>
        <w:outlineLvl w:val="1"/>
        <w:rPr>
          <w:rFonts w:hint="eastAsia" w:ascii="宋体" w:hAnsi="宋体" w:cs="宋体"/>
          <w:b/>
          <w:sz w:val="28"/>
          <w:szCs w:val="28"/>
        </w:rPr>
      </w:pPr>
      <w:r>
        <w:rPr>
          <w:rFonts w:hint="eastAsia" w:ascii="宋体" w:hAnsi="宋体" w:cs="宋体"/>
          <w:b/>
          <w:sz w:val="28"/>
          <w:szCs w:val="28"/>
        </w:rPr>
        <w:t>三、获取采购文件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时间：</w:t>
      </w:r>
      <w:r>
        <w:rPr>
          <w:rFonts w:hint="eastAsia" w:ascii="宋体" w:hAnsi="宋体" w:cs="宋体"/>
          <w:sz w:val="28"/>
          <w:szCs w:val="28"/>
          <w:highlight w:val="none"/>
          <w:lang w:val="en-US" w:eastAsia="zh-CN"/>
        </w:rPr>
        <w:t>自公告发出日起</w:t>
      </w:r>
      <w:r>
        <w:rPr>
          <w:rFonts w:hint="eastAsia" w:ascii="宋体" w:hAnsi="宋体" w:cs="宋体"/>
          <w:sz w:val="28"/>
          <w:szCs w:val="28"/>
          <w:highlight w:val="none"/>
        </w:rPr>
        <w:t>至2024年0</w:t>
      </w:r>
      <w:r>
        <w:rPr>
          <w:rFonts w:hint="eastAsia" w:ascii="宋体" w:hAnsi="宋体" w:cs="宋体"/>
          <w:sz w:val="28"/>
          <w:szCs w:val="28"/>
          <w:highlight w:val="none"/>
          <w:lang w:val="en-US" w:eastAsia="zh-CN"/>
        </w:rPr>
        <w:t>5</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日09点30分</w:t>
      </w:r>
      <w:r>
        <w:rPr>
          <w:rFonts w:hint="eastAsia" w:ascii="宋体" w:hAnsi="宋体" w:cs="宋体"/>
          <w:sz w:val="28"/>
          <w:szCs w:val="28"/>
        </w:rPr>
        <w:t>（北京时间）；</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地点：</w:t>
      </w:r>
      <w:r>
        <w:rPr>
          <w:rFonts w:hint="eastAsia" w:ascii="宋体" w:hAnsi="宋体" w:cs="宋体"/>
          <w:sz w:val="28"/>
          <w:szCs w:val="28"/>
          <w:lang w:eastAsia="zh-CN"/>
        </w:rPr>
        <w:t>南通市教育局网站</w:t>
      </w:r>
    </w:p>
    <w:p>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方式：自行下载磋商文件</w:t>
      </w:r>
    </w:p>
    <w:p>
      <w:pPr>
        <w:adjustRightInd w:val="0"/>
        <w:snapToGrid w:val="0"/>
        <w:spacing w:line="460" w:lineRule="exact"/>
        <w:ind w:firstLine="562" w:firstLineChars="200"/>
        <w:outlineLvl w:val="1"/>
        <w:rPr>
          <w:rFonts w:hint="eastAsia" w:ascii="宋体" w:hAnsi="宋体" w:cs="宋体"/>
          <w:b/>
          <w:sz w:val="28"/>
          <w:szCs w:val="28"/>
        </w:rPr>
      </w:pPr>
      <w:r>
        <w:rPr>
          <w:rFonts w:hint="eastAsia" w:ascii="宋体" w:hAnsi="宋体" w:cs="宋体"/>
          <w:b/>
          <w:sz w:val="28"/>
          <w:szCs w:val="28"/>
        </w:rPr>
        <w:t>四、提交响应文件截止时间、磋商时间和地点</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highlight w:val="none"/>
        </w:rPr>
        <w:t>2024年0</w:t>
      </w:r>
      <w:r>
        <w:rPr>
          <w:rFonts w:hint="eastAsia" w:ascii="宋体" w:hAnsi="宋体" w:cs="宋体"/>
          <w:sz w:val="28"/>
          <w:szCs w:val="28"/>
          <w:highlight w:val="none"/>
          <w:lang w:val="en-US" w:eastAsia="zh-CN"/>
        </w:rPr>
        <w:t>5</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日09点30分</w:t>
      </w:r>
      <w:r>
        <w:rPr>
          <w:rFonts w:hint="eastAsia" w:ascii="宋体" w:hAnsi="宋体" w:cs="宋体"/>
          <w:sz w:val="28"/>
          <w:szCs w:val="28"/>
        </w:rPr>
        <w:t>（北京时间），逾时，采购人将拒绝接受磋商响应文件。</w:t>
      </w:r>
    </w:p>
    <w:p>
      <w:pPr>
        <w:adjustRightInd w:val="0"/>
        <w:snapToGrid w:val="0"/>
        <w:spacing w:line="460" w:lineRule="exact"/>
        <w:ind w:firstLine="560" w:firstLineChars="200"/>
        <w:rPr>
          <w:rFonts w:hint="eastAsia" w:ascii="宋体" w:hAnsi="宋体" w:cs="宋体"/>
          <w:i/>
          <w:sz w:val="28"/>
          <w:szCs w:val="28"/>
          <w:u w:val="single"/>
        </w:rPr>
      </w:pPr>
      <w:r>
        <w:rPr>
          <w:rFonts w:hint="eastAsia" w:ascii="宋体" w:hAnsi="宋体" w:cs="宋体"/>
          <w:sz w:val="28"/>
          <w:szCs w:val="28"/>
        </w:rPr>
        <w:t>地点：</w:t>
      </w:r>
      <w:r>
        <w:rPr>
          <w:rFonts w:hint="eastAsia" w:ascii="宋体" w:hAnsi="宋体" w:cs="宋体"/>
          <w:sz w:val="28"/>
          <w:szCs w:val="28"/>
          <w:highlight w:val="none"/>
          <w:lang w:val="en-US" w:eastAsia="zh-CN"/>
        </w:rPr>
        <w:t>南通市虹桥二中勤楼四楼会议室</w:t>
      </w:r>
      <w:r>
        <w:rPr>
          <w:rFonts w:hint="eastAsia" w:ascii="宋体" w:hAnsi="宋体" w:cs="宋体"/>
          <w:sz w:val="28"/>
          <w:szCs w:val="28"/>
        </w:rPr>
        <w:t>，如有变动另行通知。</w:t>
      </w:r>
    </w:p>
    <w:p>
      <w:pPr>
        <w:adjustRightInd w:val="0"/>
        <w:snapToGrid w:val="0"/>
        <w:spacing w:line="460" w:lineRule="exact"/>
        <w:ind w:firstLine="562" w:firstLineChars="200"/>
        <w:outlineLvl w:val="1"/>
        <w:rPr>
          <w:rFonts w:hint="eastAsia" w:ascii="宋体" w:hAnsi="宋体" w:cs="宋体"/>
          <w:b/>
          <w:sz w:val="28"/>
          <w:szCs w:val="28"/>
        </w:rPr>
      </w:pPr>
      <w:r>
        <w:rPr>
          <w:rFonts w:hint="eastAsia" w:ascii="宋体" w:hAnsi="宋体" w:cs="宋体"/>
          <w:b/>
          <w:sz w:val="28"/>
          <w:szCs w:val="28"/>
        </w:rPr>
        <w:t>五、公告期限</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自本公告发布之日起5个工作日。</w:t>
      </w:r>
    </w:p>
    <w:p>
      <w:pPr>
        <w:adjustRightInd w:val="0"/>
        <w:snapToGrid w:val="0"/>
        <w:spacing w:line="460" w:lineRule="exact"/>
        <w:ind w:firstLine="562" w:firstLineChars="200"/>
        <w:outlineLvl w:val="1"/>
        <w:rPr>
          <w:rFonts w:hint="eastAsia" w:ascii="宋体" w:hAnsi="宋体" w:cs="宋体"/>
          <w:b/>
          <w:sz w:val="28"/>
          <w:szCs w:val="28"/>
        </w:rPr>
      </w:pPr>
      <w:r>
        <w:rPr>
          <w:rFonts w:hint="eastAsia" w:ascii="宋体" w:hAnsi="宋体" w:cs="宋体"/>
          <w:b/>
          <w:sz w:val="28"/>
          <w:szCs w:val="28"/>
        </w:rPr>
        <w:t>六、其他补充事宜</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1.投标保证金：免收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2.项目磋商活动模式：见面磋商模式，供应商在</w:t>
      </w:r>
      <w:r>
        <w:rPr>
          <w:rFonts w:hint="eastAsia" w:ascii="宋体" w:hAnsi="宋体" w:cs="宋体"/>
          <w:sz w:val="28"/>
          <w:szCs w:val="28"/>
          <w:highlight w:val="none"/>
          <w:lang w:val="en-US" w:eastAsia="zh-CN"/>
        </w:rPr>
        <w:t>南通市虹桥二中勤楼四楼会议室</w:t>
      </w:r>
      <w:r>
        <w:rPr>
          <w:rFonts w:hint="eastAsia" w:ascii="宋体" w:hAnsi="宋体" w:cs="宋体"/>
          <w:sz w:val="28"/>
          <w:szCs w:val="28"/>
        </w:rPr>
        <w:t>参加磋商活动。</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3.项目演示、样品：无。</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4.对项目需求部分（供应商资格要求、项目需求、商务技术评分标准）的询问、质疑请向采购人提出，由采购人负责答复。</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pPr>
        <w:widowControl/>
        <w:shd w:val="clear" w:color="auto" w:fill="FFFFFF"/>
        <w:adjustRightInd w:val="0"/>
        <w:snapToGrid w:val="0"/>
        <w:spacing w:line="460" w:lineRule="exact"/>
        <w:ind w:firstLine="590" w:firstLineChars="200"/>
        <w:outlineLvl w:val="1"/>
        <w:rPr>
          <w:rFonts w:hint="eastAsia" w:ascii="宋体" w:hAnsi="宋体" w:cs="宋体"/>
          <w:b/>
          <w:spacing w:val="7"/>
          <w:kern w:val="0"/>
          <w:sz w:val="28"/>
          <w:szCs w:val="28"/>
        </w:rPr>
      </w:pPr>
      <w:r>
        <w:rPr>
          <w:rFonts w:hint="eastAsia" w:ascii="宋体" w:hAnsi="宋体" w:cs="宋体"/>
          <w:b/>
          <w:spacing w:val="7"/>
          <w:kern w:val="0"/>
          <w:sz w:val="28"/>
          <w:szCs w:val="28"/>
        </w:rPr>
        <w:t>七、凡对本次采购提出询问，请按以下方式联系。</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1.采购人信息</w:t>
      </w:r>
    </w:p>
    <w:p>
      <w:pPr>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名称：</w:t>
      </w:r>
      <w:r>
        <w:rPr>
          <w:rFonts w:hint="eastAsia" w:ascii="宋体" w:hAnsi="宋体" w:cs="宋体"/>
          <w:sz w:val="28"/>
          <w:szCs w:val="28"/>
          <w:lang w:eastAsia="zh-CN"/>
        </w:rPr>
        <w:t>南通市虹桥二中</w:t>
      </w:r>
    </w:p>
    <w:p>
      <w:pPr>
        <w:adjustRightInd w:val="0"/>
        <w:snapToGrid w:val="0"/>
        <w:spacing w:line="4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管老师</w:t>
      </w:r>
    </w:p>
    <w:p>
      <w:pPr>
        <w:adjustRightInd w:val="0"/>
        <w:snapToGrid w:val="0"/>
        <w:spacing w:line="46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联系方式：</w:t>
      </w:r>
      <w:r>
        <w:rPr>
          <w:rFonts w:hint="eastAsia" w:ascii="宋体" w:hAnsi="宋体" w:cs="宋体"/>
          <w:color w:val="auto"/>
          <w:sz w:val="28"/>
          <w:szCs w:val="28"/>
          <w:lang w:val="en-US" w:eastAsia="zh-CN"/>
        </w:rPr>
        <w:t>0513-69991233</w:t>
      </w:r>
    </w:p>
    <w:p>
      <w:pPr>
        <w:adjustRightInd w:val="0"/>
        <w:snapToGrid w:val="0"/>
        <w:spacing w:line="460" w:lineRule="exact"/>
        <w:ind w:firstLine="560" w:firstLineChars="200"/>
        <w:rPr>
          <w:rFonts w:hint="default" w:ascii="宋体" w:hAnsi="宋体" w:eastAsia="宋体" w:cs="宋体"/>
          <w:color w:val="0000FF"/>
          <w:sz w:val="28"/>
          <w:szCs w:val="28"/>
          <w:lang w:val="en-US" w:eastAsia="zh-CN"/>
        </w:rPr>
      </w:pPr>
    </w:p>
    <w:p>
      <w:pPr>
        <w:adjustRightInd w:val="0"/>
        <w:snapToGrid w:val="0"/>
        <w:spacing w:line="360" w:lineRule="auto"/>
        <w:jc w:val="center"/>
        <w:outlineLvl w:val="0"/>
        <w:rPr>
          <w:rFonts w:hint="eastAsia" w:ascii="宋体" w:hAnsi="宋体" w:cs="宋体"/>
          <w:bCs/>
          <w:sz w:val="36"/>
          <w:szCs w:val="36"/>
        </w:rPr>
      </w:pPr>
      <w:r>
        <w:rPr>
          <w:rFonts w:hint="eastAsia" w:ascii="宋体" w:hAnsi="宋体" w:cs="宋体"/>
          <w:bCs/>
          <w:sz w:val="36"/>
          <w:szCs w:val="36"/>
        </w:rPr>
        <w:br w:type="page"/>
      </w:r>
      <w:r>
        <w:rPr>
          <w:rFonts w:hint="eastAsia" w:ascii="宋体" w:hAnsi="宋体" w:cs="宋体"/>
          <w:bCs/>
          <w:sz w:val="36"/>
          <w:szCs w:val="36"/>
        </w:rPr>
        <w:t>第二部分 磋商须知</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0" w:name="_Toc513029203"/>
      <w:bookmarkStart w:id="1" w:name="_Toc120614214"/>
      <w:bookmarkStart w:id="2" w:name="_Toc16938519"/>
      <w:bookmarkStart w:id="3" w:name="_Toc20823275"/>
      <w:r>
        <w:rPr>
          <w:rFonts w:hint="eastAsia" w:ascii="宋体" w:hAnsi="宋体" w:cs="宋体"/>
          <w:b/>
          <w:bCs/>
          <w:kern w:val="0"/>
          <w:sz w:val="28"/>
          <w:szCs w:val="28"/>
        </w:rPr>
        <w:t>一、总则</w:t>
      </w:r>
      <w:bookmarkEnd w:id="0"/>
      <w:bookmarkEnd w:id="1"/>
      <w:bookmarkEnd w:id="2"/>
      <w:bookmarkEnd w:id="3"/>
    </w:p>
    <w:p>
      <w:pPr>
        <w:keepNext/>
        <w:adjustRightInd w:val="0"/>
        <w:snapToGrid w:val="0"/>
        <w:spacing w:line="460" w:lineRule="exact"/>
        <w:ind w:firstLine="560" w:firstLineChars="200"/>
        <w:rPr>
          <w:rFonts w:hint="eastAsia" w:ascii="宋体" w:hAnsi="宋体" w:cs="宋体"/>
          <w:b/>
          <w:bCs/>
          <w:kern w:val="0"/>
          <w:sz w:val="28"/>
          <w:szCs w:val="28"/>
        </w:rPr>
      </w:pPr>
      <w:bookmarkStart w:id="4" w:name="_Hlt16619475"/>
      <w:bookmarkEnd w:id="4"/>
      <w:bookmarkStart w:id="5" w:name="_Toc458694821"/>
      <w:bookmarkStart w:id="6" w:name="_Toc16938520"/>
      <w:bookmarkStart w:id="7" w:name="_Toc20823276"/>
      <w:bookmarkStart w:id="8" w:name="_Toc513029204"/>
      <w:r>
        <w:rPr>
          <w:rFonts w:hint="eastAsia" w:ascii="宋体" w:hAnsi="宋体" w:cs="宋体"/>
          <w:kern w:val="0"/>
          <w:sz w:val="28"/>
          <w:szCs w:val="28"/>
        </w:rPr>
        <w:t>1</w:t>
      </w:r>
      <w:bookmarkEnd w:id="5"/>
      <w:r>
        <w:rPr>
          <w:rFonts w:hint="eastAsia" w:ascii="宋体" w:hAnsi="宋体" w:cs="宋体"/>
          <w:kern w:val="0"/>
          <w:sz w:val="28"/>
          <w:szCs w:val="28"/>
        </w:rPr>
        <w:t>.采购方式</w:t>
      </w:r>
      <w:bookmarkEnd w:id="6"/>
      <w:bookmarkEnd w:id="7"/>
      <w:bookmarkEnd w:id="8"/>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1.1 本次采取磋商方式，本磋商文件仅适用于磋商公告中所述项目。</w:t>
      </w:r>
    </w:p>
    <w:p>
      <w:pPr>
        <w:keepNext/>
        <w:adjustRightInd w:val="0"/>
        <w:snapToGrid w:val="0"/>
        <w:spacing w:line="460" w:lineRule="exact"/>
        <w:ind w:firstLine="560" w:firstLineChars="200"/>
        <w:rPr>
          <w:rFonts w:hint="eastAsia" w:ascii="宋体" w:hAnsi="宋体" w:cs="宋体"/>
          <w:b/>
          <w:bCs/>
          <w:kern w:val="0"/>
          <w:sz w:val="28"/>
          <w:szCs w:val="28"/>
        </w:rPr>
      </w:pPr>
      <w:bookmarkStart w:id="9" w:name="_Toc513029205"/>
      <w:bookmarkStart w:id="10" w:name="_Toc16938521"/>
      <w:bookmarkStart w:id="11" w:name="_Toc20823277"/>
      <w:r>
        <w:rPr>
          <w:rFonts w:hint="eastAsia" w:ascii="宋体" w:hAnsi="宋体" w:cs="宋体"/>
          <w:kern w:val="0"/>
          <w:sz w:val="28"/>
          <w:szCs w:val="28"/>
        </w:rPr>
        <w:t>2.合格的</w:t>
      </w:r>
      <w:bookmarkEnd w:id="9"/>
      <w:bookmarkEnd w:id="10"/>
      <w:bookmarkEnd w:id="11"/>
      <w:r>
        <w:rPr>
          <w:rFonts w:hint="eastAsia" w:ascii="宋体" w:hAnsi="宋体" w:cs="宋体"/>
          <w:kern w:val="0"/>
          <w:sz w:val="28"/>
          <w:szCs w:val="28"/>
        </w:rPr>
        <w:t>供应商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2.1满足磋商公告中供应商的资格要求的规定。</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2.2 满足本文件实质性条款的规定。</w:t>
      </w:r>
    </w:p>
    <w:p>
      <w:pPr>
        <w:keepNext/>
        <w:adjustRightInd w:val="0"/>
        <w:snapToGrid w:val="0"/>
        <w:spacing w:line="460" w:lineRule="exact"/>
        <w:ind w:firstLine="560" w:firstLineChars="200"/>
        <w:rPr>
          <w:rFonts w:hint="eastAsia" w:ascii="宋体" w:hAnsi="宋体" w:cs="宋体"/>
          <w:b/>
          <w:bCs/>
          <w:kern w:val="0"/>
          <w:sz w:val="28"/>
          <w:szCs w:val="28"/>
        </w:rPr>
      </w:pPr>
      <w:bookmarkStart w:id="12" w:name="_Toc513029206"/>
      <w:bookmarkStart w:id="13" w:name="_Toc16938522"/>
      <w:bookmarkStart w:id="14" w:name="_Toc20823278"/>
      <w:r>
        <w:rPr>
          <w:rFonts w:hint="eastAsia" w:ascii="宋体" w:hAnsi="宋体" w:cs="宋体"/>
          <w:kern w:val="0"/>
          <w:sz w:val="28"/>
          <w:szCs w:val="28"/>
        </w:rPr>
        <w:t>3.适用法律</w:t>
      </w:r>
      <w:bookmarkEnd w:id="12"/>
      <w:bookmarkEnd w:id="13"/>
      <w:bookmarkEnd w:id="14"/>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3.1 本次采购及由此产生的合同受中华人民共和国有关的法律法规制约和保护。</w:t>
      </w:r>
    </w:p>
    <w:p>
      <w:pPr>
        <w:keepNext/>
        <w:adjustRightInd w:val="0"/>
        <w:snapToGrid w:val="0"/>
        <w:spacing w:line="460" w:lineRule="exact"/>
        <w:ind w:firstLine="560" w:firstLineChars="200"/>
        <w:rPr>
          <w:rFonts w:hint="eastAsia" w:ascii="宋体" w:hAnsi="宋体" w:cs="宋体"/>
          <w:b/>
          <w:bCs/>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.磋商文件的约束力</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lang w:val="en-US" w:eastAsia="zh-CN"/>
        </w:rPr>
        <w:t>4</w:t>
      </w:r>
      <w:r>
        <w:rPr>
          <w:rFonts w:hint="eastAsia" w:ascii="宋体" w:hAnsi="宋体" w:cs="宋体"/>
          <w:bCs/>
          <w:sz w:val="28"/>
          <w:szCs w:val="28"/>
        </w:rPr>
        <w:t>.1</w:t>
      </w:r>
      <w:r>
        <w:rPr>
          <w:rFonts w:hint="eastAsia" w:ascii="宋体" w:hAnsi="宋体" w:cs="宋体"/>
          <w:sz w:val="28"/>
          <w:szCs w:val="28"/>
        </w:rPr>
        <w:t xml:space="preserve"> 供应商一旦参加本项目采购活动，即被认为接受了本磋商文件的规定和约束。</w:t>
      </w:r>
    </w:p>
    <w:p>
      <w:pPr>
        <w:keepNext/>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.磋商文件的解释</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lang w:val="en-US" w:eastAsia="zh-CN"/>
        </w:rPr>
        <w:t>5</w:t>
      </w:r>
      <w:r>
        <w:rPr>
          <w:rFonts w:hint="eastAsia" w:ascii="宋体" w:hAnsi="宋体" w:cs="宋体"/>
          <w:bCs/>
          <w:sz w:val="28"/>
          <w:szCs w:val="28"/>
        </w:rPr>
        <w:t>.1</w:t>
      </w:r>
      <w:r>
        <w:rPr>
          <w:rFonts w:hint="eastAsia" w:ascii="宋体" w:hAnsi="宋体" w:cs="宋体"/>
          <w:sz w:val="28"/>
          <w:szCs w:val="28"/>
        </w:rPr>
        <w:t>磋商文件需求部分（供应商资格要求、项目需求、商务技术评分标准）由采购人解释。</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15" w:name="_Toc20823281"/>
      <w:bookmarkStart w:id="16" w:name="_Toc513029209"/>
      <w:bookmarkStart w:id="17" w:name="_Toc16938525"/>
      <w:bookmarkStart w:id="18" w:name="_Toc120614215"/>
      <w:r>
        <w:rPr>
          <w:rFonts w:hint="eastAsia" w:ascii="宋体" w:hAnsi="宋体" w:cs="宋体"/>
          <w:b/>
          <w:bCs/>
          <w:kern w:val="0"/>
          <w:sz w:val="28"/>
          <w:szCs w:val="28"/>
        </w:rPr>
        <w:t>二、磋商文件</w:t>
      </w:r>
      <w:bookmarkEnd w:id="15"/>
      <w:bookmarkEnd w:id="16"/>
      <w:bookmarkEnd w:id="17"/>
      <w:bookmarkEnd w:id="18"/>
    </w:p>
    <w:p>
      <w:pPr>
        <w:keepNext/>
        <w:adjustRightInd w:val="0"/>
        <w:snapToGrid w:val="0"/>
        <w:spacing w:line="460" w:lineRule="exact"/>
        <w:ind w:firstLine="560" w:firstLineChars="200"/>
        <w:rPr>
          <w:rFonts w:hint="eastAsia" w:ascii="宋体" w:hAnsi="宋体" w:cs="宋体"/>
          <w:b/>
          <w:bCs/>
          <w:kern w:val="0"/>
          <w:sz w:val="28"/>
          <w:szCs w:val="28"/>
        </w:rPr>
      </w:pPr>
      <w:bookmarkStart w:id="19" w:name="_Toc513029210"/>
      <w:bookmarkStart w:id="20" w:name="_Toc16938526"/>
      <w:bookmarkStart w:id="21" w:name="_Toc20823282"/>
      <w:r>
        <w:rPr>
          <w:rFonts w:hint="eastAsia" w:ascii="宋体" w:hAnsi="宋体" w:cs="宋体"/>
          <w:kern w:val="0"/>
          <w:sz w:val="28"/>
          <w:szCs w:val="28"/>
        </w:rPr>
        <w:t>1.磋商文件构成</w:t>
      </w:r>
      <w:bookmarkEnd w:id="19"/>
      <w:bookmarkEnd w:id="20"/>
      <w:bookmarkEnd w:id="21"/>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 xml:space="preserve"> 磋商文件由以下部分组成：</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（1）磋商公告</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（2）磋商须知</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（3）项目需求</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（4）评审方法和评审标准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（5）响应文件组成</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（6）附件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请仔细检查磋商文件是否齐全，如有缺漏请立即与采购</w:t>
      </w:r>
      <w:r>
        <w:rPr>
          <w:rFonts w:hint="eastAsia" w:ascii="宋体" w:hAnsi="宋体" w:cs="宋体"/>
          <w:sz w:val="28"/>
          <w:szCs w:val="28"/>
          <w:lang w:eastAsia="zh-CN"/>
        </w:rPr>
        <w:t>人</w:t>
      </w:r>
      <w:r>
        <w:rPr>
          <w:rFonts w:hint="eastAsia" w:ascii="宋体" w:hAnsi="宋体" w:cs="宋体"/>
          <w:sz w:val="28"/>
          <w:szCs w:val="28"/>
        </w:rPr>
        <w:t>联系解决。</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keepNext/>
        <w:adjustRightInd w:val="0"/>
        <w:snapToGrid w:val="0"/>
        <w:spacing w:line="460" w:lineRule="exact"/>
        <w:ind w:firstLine="560" w:firstLineChars="200"/>
        <w:rPr>
          <w:rFonts w:hint="eastAsia" w:ascii="宋体" w:hAnsi="宋体" w:cs="宋体"/>
          <w:b/>
          <w:bCs/>
          <w:kern w:val="0"/>
          <w:sz w:val="28"/>
          <w:szCs w:val="28"/>
        </w:rPr>
      </w:pPr>
      <w:bookmarkStart w:id="22" w:name="_Toc462564070"/>
      <w:bookmarkStart w:id="23" w:name="_Toc16938527"/>
      <w:bookmarkStart w:id="24" w:name="_Toc20823283"/>
      <w:bookmarkStart w:id="25" w:name="_Toc513029211"/>
      <w:r>
        <w:rPr>
          <w:rFonts w:hint="eastAsia" w:ascii="宋体" w:hAnsi="宋体" w:cs="宋体"/>
          <w:kern w:val="0"/>
          <w:sz w:val="28"/>
          <w:szCs w:val="28"/>
        </w:rPr>
        <w:t>2.磋商文件的澄清</w:t>
      </w:r>
      <w:bookmarkEnd w:id="22"/>
      <w:bookmarkEnd w:id="23"/>
      <w:bookmarkEnd w:id="24"/>
      <w:bookmarkEnd w:id="25"/>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2.2采购人视情组织答疑会</w:t>
      </w:r>
    </w:p>
    <w:p>
      <w:pPr>
        <w:keepNext/>
        <w:adjustRightInd w:val="0"/>
        <w:snapToGrid w:val="0"/>
        <w:spacing w:line="460" w:lineRule="exact"/>
        <w:ind w:firstLine="560" w:firstLineChars="200"/>
        <w:rPr>
          <w:rFonts w:hint="eastAsia" w:ascii="宋体" w:hAnsi="宋体" w:cs="宋体"/>
          <w:b/>
          <w:bCs/>
          <w:kern w:val="0"/>
          <w:sz w:val="28"/>
          <w:szCs w:val="28"/>
        </w:rPr>
      </w:pPr>
      <w:bookmarkStart w:id="26" w:name="_Toc462564071"/>
      <w:bookmarkStart w:id="27" w:name="_Toc20823284"/>
      <w:bookmarkStart w:id="28" w:name="_Toc16938528"/>
      <w:bookmarkStart w:id="29" w:name="_Toc513029212"/>
      <w:r>
        <w:rPr>
          <w:rFonts w:hint="eastAsia" w:ascii="宋体" w:hAnsi="宋体" w:cs="宋体"/>
          <w:kern w:val="0"/>
          <w:sz w:val="28"/>
          <w:szCs w:val="28"/>
        </w:rPr>
        <w:t>3.磋商文件的修改</w:t>
      </w:r>
      <w:bookmarkEnd w:id="26"/>
      <w:bookmarkEnd w:id="27"/>
      <w:bookmarkEnd w:id="28"/>
      <w:bookmarkEnd w:id="29"/>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3.1</w:t>
      </w:r>
      <w:r>
        <w:rPr>
          <w:rFonts w:hint="eastAsia" w:ascii="宋体" w:hAnsi="宋体" w:cs="宋体"/>
          <w:sz w:val="28"/>
          <w:szCs w:val="28"/>
        </w:rPr>
        <w:t xml:space="preserve"> 在响应文件提交截止时间前，采购</w:t>
      </w:r>
      <w:r>
        <w:rPr>
          <w:rFonts w:hint="eastAsia" w:ascii="宋体" w:hAnsi="宋体" w:cs="宋体"/>
          <w:sz w:val="28"/>
          <w:szCs w:val="28"/>
          <w:lang w:eastAsia="zh-CN"/>
        </w:rPr>
        <w:t>人</w:t>
      </w:r>
      <w:r>
        <w:rPr>
          <w:rFonts w:hint="eastAsia" w:ascii="宋体" w:hAnsi="宋体" w:cs="宋体"/>
          <w:sz w:val="28"/>
          <w:szCs w:val="28"/>
        </w:rPr>
        <w:t>可以对磋商文件进行修改。</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 xml:space="preserve">3.2 </w:t>
      </w:r>
      <w:r>
        <w:rPr>
          <w:rFonts w:hint="eastAsia" w:ascii="宋体" w:hAnsi="宋体" w:cs="宋体"/>
          <w:sz w:val="28"/>
          <w:szCs w:val="28"/>
        </w:rPr>
        <w:t>采购</w:t>
      </w:r>
      <w:r>
        <w:rPr>
          <w:rFonts w:hint="eastAsia" w:ascii="宋体" w:hAnsi="宋体" w:cs="宋体"/>
          <w:sz w:val="28"/>
          <w:szCs w:val="28"/>
          <w:lang w:eastAsia="zh-CN"/>
        </w:rPr>
        <w:t>人</w:t>
      </w:r>
      <w:r>
        <w:rPr>
          <w:rFonts w:hint="eastAsia" w:ascii="宋体" w:hAnsi="宋体" w:cs="宋体"/>
          <w:sz w:val="28"/>
          <w:szCs w:val="28"/>
        </w:rPr>
        <w:t>有权按照法定的要求推迟响应文件提交截止日期和磋商日期。</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磋商文件的修改将在</w:t>
      </w:r>
      <w:r>
        <w:rPr>
          <w:rFonts w:hint="eastAsia" w:ascii="宋体" w:hAnsi="宋体" w:cs="宋体"/>
          <w:sz w:val="28"/>
          <w:szCs w:val="28"/>
          <w:lang w:eastAsia="zh-CN"/>
        </w:rPr>
        <w:t>南通市教育局网站</w:t>
      </w:r>
      <w:r>
        <w:rPr>
          <w:rFonts w:hint="eastAsia" w:ascii="宋体" w:hAnsi="宋体" w:cs="宋体"/>
          <w:sz w:val="28"/>
          <w:szCs w:val="28"/>
        </w:rPr>
        <w:t>公布，补充文件将作为磋商文件的组成部分，并对供应商具有约束力。</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30" w:name="_Toc513029213"/>
      <w:bookmarkStart w:id="31" w:name="_Toc462564072"/>
      <w:bookmarkStart w:id="32" w:name="_Toc120614216"/>
      <w:bookmarkStart w:id="33" w:name="_Toc16938529"/>
      <w:bookmarkStart w:id="34" w:name="_Toc20823285"/>
      <w:r>
        <w:rPr>
          <w:rFonts w:hint="eastAsia" w:ascii="宋体" w:hAnsi="宋体" w:cs="宋体"/>
          <w:b/>
          <w:bCs/>
          <w:kern w:val="0"/>
          <w:sz w:val="28"/>
          <w:szCs w:val="28"/>
        </w:rPr>
        <w:t>三、响应文件的编制</w:t>
      </w:r>
      <w:bookmarkEnd w:id="30"/>
      <w:bookmarkEnd w:id="31"/>
      <w:bookmarkEnd w:id="32"/>
      <w:bookmarkEnd w:id="33"/>
      <w:bookmarkEnd w:id="34"/>
    </w:p>
    <w:p>
      <w:pPr>
        <w:keepNext/>
        <w:adjustRightInd w:val="0"/>
        <w:snapToGrid w:val="0"/>
        <w:spacing w:line="460" w:lineRule="exact"/>
        <w:ind w:firstLine="560" w:firstLineChars="200"/>
        <w:rPr>
          <w:rFonts w:hint="eastAsia" w:ascii="宋体" w:hAnsi="宋体" w:cs="宋体"/>
          <w:bCs/>
          <w:kern w:val="0"/>
          <w:sz w:val="28"/>
          <w:szCs w:val="28"/>
        </w:rPr>
      </w:pPr>
      <w:bookmarkStart w:id="35" w:name="_Toc16938530"/>
      <w:bookmarkStart w:id="36" w:name="_Toc513029214"/>
      <w:bookmarkStart w:id="37" w:name="_Toc462564073"/>
      <w:bookmarkStart w:id="38" w:name="_Toc20823286"/>
      <w:r>
        <w:rPr>
          <w:rFonts w:hint="eastAsia" w:ascii="宋体" w:hAnsi="宋体" w:cs="宋体"/>
          <w:kern w:val="0"/>
          <w:sz w:val="28"/>
          <w:szCs w:val="28"/>
        </w:rPr>
        <w:t>1.响应文件的语言及度量衡单位</w:t>
      </w:r>
      <w:bookmarkEnd w:id="35"/>
      <w:bookmarkEnd w:id="36"/>
      <w:bookmarkEnd w:id="37"/>
      <w:bookmarkEnd w:id="38"/>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1.1</w:t>
      </w:r>
      <w:r>
        <w:rPr>
          <w:rFonts w:hint="eastAsia" w:ascii="宋体" w:hAnsi="宋体" w:cs="宋体"/>
          <w:sz w:val="28"/>
          <w:szCs w:val="28"/>
        </w:rPr>
        <w:t>供应商提交的响应文件以及供应商与采购人就有关磋商的所有来往通知、函件和文件均应使用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1.2</w:t>
      </w:r>
      <w:r>
        <w:rPr>
          <w:rFonts w:hint="eastAsia" w:ascii="宋体" w:hAnsi="宋体" w:cs="宋体"/>
          <w:sz w:val="28"/>
          <w:szCs w:val="28"/>
        </w:rPr>
        <w:t xml:space="preserve"> 除技术性能另有规定外，响应文件所使用的度量衡单位，均须采用国家法定计量单位。</w:t>
      </w:r>
    </w:p>
    <w:p>
      <w:pPr>
        <w:keepNext/>
        <w:adjustRightInd w:val="0"/>
        <w:snapToGrid w:val="0"/>
        <w:spacing w:line="460" w:lineRule="exact"/>
        <w:ind w:firstLine="560" w:firstLineChars="200"/>
        <w:rPr>
          <w:rFonts w:hint="eastAsia" w:ascii="宋体" w:hAnsi="宋体" w:cs="宋体"/>
          <w:b/>
          <w:bCs/>
          <w:kern w:val="0"/>
          <w:sz w:val="28"/>
          <w:szCs w:val="28"/>
        </w:rPr>
      </w:pPr>
      <w:bookmarkStart w:id="39" w:name="_Toc513029215"/>
      <w:bookmarkStart w:id="40" w:name="_Toc462564074"/>
      <w:bookmarkStart w:id="41" w:name="_Toc20823287"/>
      <w:bookmarkStart w:id="42" w:name="_Toc16938531"/>
      <w:r>
        <w:rPr>
          <w:rFonts w:hint="eastAsia" w:ascii="宋体" w:hAnsi="宋体" w:cs="宋体"/>
          <w:kern w:val="0"/>
          <w:sz w:val="28"/>
          <w:szCs w:val="28"/>
        </w:rPr>
        <w:t>2.响应文件构成</w:t>
      </w:r>
      <w:bookmarkEnd w:id="39"/>
      <w:bookmarkEnd w:id="40"/>
      <w:bookmarkEnd w:id="41"/>
      <w:bookmarkEnd w:id="42"/>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2.1</w:t>
      </w:r>
      <w:r>
        <w:rPr>
          <w:rFonts w:hint="eastAsia" w:ascii="宋体" w:hAnsi="宋体" w:cs="宋体"/>
          <w:sz w:val="28"/>
          <w:szCs w:val="28"/>
        </w:rPr>
        <w:t xml:space="preserve"> 供应商编写的响应文件应包括资格审查文件、商务技术文件、价格文件。供应商按“第五部分 响应文件组成”要求编写响应文件。</w:t>
      </w:r>
    </w:p>
    <w:p>
      <w:pPr>
        <w:keepNext/>
        <w:adjustRightInd w:val="0"/>
        <w:snapToGrid w:val="0"/>
        <w:spacing w:line="460" w:lineRule="exact"/>
        <w:ind w:firstLine="560" w:firstLineChars="200"/>
        <w:rPr>
          <w:rFonts w:hint="eastAsia" w:ascii="宋体" w:hAnsi="宋体" w:cs="宋体"/>
          <w:b/>
          <w:bCs/>
          <w:kern w:val="0"/>
          <w:sz w:val="28"/>
          <w:szCs w:val="28"/>
        </w:rPr>
      </w:pPr>
      <w:bookmarkStart w:id="43" w:name="_Hlt26670360"/>
      <w:bookmarkEnd w:id="43"/>
      <w:bookmarkStart w:id="44" w:name="_Hlt26668975"/>
      <w:bookmarkEnd w:id="44"/>
      <w:bookmarkStart w:id="45" w:name="_Hlt26954838"/>
      <w:bookmarkEnd w:id="45"/>
      <w:bookmarkStart w:id="46" w:name="_Toc14577360"/>
      <w:bookmarkStart w:id="47" w:name="_Toc49090511"/>
      <w:r>
        <w:rPr>
          <w:rFonts w:hint="eastAsia" w:ascii="宋体" w:hAnsi="宋体" w:cs="宋体"/>
          <w:kern w:val="0"/>
          <w:sz w:val="28"/>
          <w:szCs w:val="28"/>
        </w:rPr>
        <w:t>3.</w:t>
      </w:r>
      <w:bookmarkEnd w:id="46"/>
      <w:bookmarkEnd w:id="47"/>
      <w:r>
        <w:rPr>
          <w:rFonts w:hint="eastAsia" w:ascii="宋体" w:hAnsi="宋体" w:cs="宋体"/>
          <w:kern w:val="0"/>
          <w:sz w:val="28"/>
          <w:szCs w:val="28"/>
        </w:rPr>
        <w:t>磋商响应有效期</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3.1磋商响应有效期为采购</w:t>
      </w:r>
      <w:r>
        <w:rPr>
          <w:rFonts w:hint="eastAsia" w:ascii="宋体" w:hAnsi="宋体" w:cs="宋体"/>
          <w:bCs/>
          <w:sz w:val="28"/>
          <w:szCs w:val="28"/>
          <w:lang w:eastAsia="zh-CN"/>
        </w:rPr>
        <w:t>人</w:t>
      </w:r>
      <w:r>
        <w:rPr>
          <w:rFonts w:hint="eastAsia" w:ascii="宋体" w:hAnsi="宋体" w:cs="宋体"/>
          <w:bCs/>
          <w:sz w:val="28"/>
          <w:szCs w:val="28"/>
        </w:rPr>
        <w:t>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。磋商响应有效期比规定短的将被视为非实质性响应而予以拒绝。</w:t>
      </w:r>
    </w:p>
    <w:p>
      <w:pPr>
        <w:keepNext/>
        <w:adjustRightInd w:val="0"/>
        <w:snapToGrid w:val="0"/>
        <w:spacing w:line="460" w:lineRule="exact"/>
        <w:ind w:firstLine="560" w:firstLineChars="200"/>
        <w:rPr>
          <w:rFonts w:hint="eastAsia" w:ascii="宋体" w:hAnsi="宋体" w:cs="宋体"/>
          <w:b/>
          <w:bCs/>
          <w:kern w:val="0"/>
          <w:sz w:val="28"/>
          <w:szCs w:val="28"/>
        </w:rPr>
      </w:pPr>
      <w:r>
        <w:rPr>
          <w:rFonts w:hint="eastAsia" w:ascii="宋体" w:hAnsi="宋体" w:cs="宋体"/>
          <w:kern w:val="0"/>
          <w:sz w:val="28"/>
          <w:szCs w:val="28"/>
        </w:rPr>
        <w:t>4. 磋商响应有效期的延长</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4.1在特殊情况下，采购</w:t>
      </w:r>
      <w:r>
        <w:rPr>
          <w:rFonts w:hint="eastAsia" w:ascii="宋体" w:hAnsi="宋体" w:cs="宋体"/>
          <w:bCs/>
          <w:sz w:val="28"/>
          <w:szCs w:val="28"/>
          <w:lang w:eastAsia="zh-CN"/>
        </w:rPr>
        <w:t>人</w:t>
      </w:r>
      <w:r>
        <w:rPr>
          <w:rFonts w:hint="eastAsia" w:ascii="宋体" w:hAnsi="宋体" w:cs="宋体"/>
          <w:bCs/>
          <w:sz w:val="28"/>
          <w:szCs w:val="28"/>
        </w:rPr>
        <w:t>于原磋商响应有效期满之前，可向磋商供应商提出延长磋商响应有效期的要求。这种要求与答复均应采用书面形式。供应商可以拒绝采购</w:t>
      </w:r>
      <w:r>
        <w:rPr>
          <w:rFonts w:hint="eastAsia" w:ascii="宋体" w:hAnsi="宋体" w:cs="宋体"/>
          <w:bCs/>
          <w:sz w:val="28"/>
          <w:szCs w:val="28"/>
          <w:lang w:eastAsia="zh-CN"/>
        </w:rPr>
        <w:t>人</w:t>
      </w:r>
      <w:r>
        <w:rPr>
          <w:rFonts w:hint="eastAsia" w:ascii="宋体" w:hAnsi="宋体" w:cs="宋体"/>
          <w:bCs/>
          <w:sz w:val="28"/>
          <w:szCs w:val="28"/>
        </w:rPr>
        <w:t>的这一要求而放弃磋商响应，同意延长磋商响应有效期的供应商既不能要求也不允许修改其响应文件。</w:t>
      </w:r>
      <w:r>
        <w:rPr>
          <w:rFonts w:hint="eastAsia" w:ascii="宋体" w:hAnsi="宋体" w:cs="宋体"/>
          <w:sz w:val="28"/>
          <w:szCs w:val="28"/>
        </w:rPr>
        <w:t>受磋商响应有效期约束的所有权利与义务均延长至新的有效期</w:t>
      </w:r>
      <w:r>
        <w:rPr>
          <w:rFonts w:hint="eastAsia" w:ascii="宋体" w:hAnsi="宋体" w:cs="宋体"/>
          <w:bCs/>
          <w:sz w:val="28"/>
          <w:szCs w:val="28"/>
        </w:rPr>
        <w:t>。</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48" w:name="_Hlt26954739"/>
      <w:bookmarkEnd w:id="48"/>
      <w:bookmarkStart w:id="49" w:name="_Hlt26954852"/>
      <w:bookmarkEnd w:id="49"/>
      <w:bookmarkStart w:id="50" w:name="_Toc120614217"/>
      <w:bookmarkStart w:id="51" w:name="_Toc16938540"/>
      <w:bookmarkStart w:id="52" w:name="_Toc20823296"/>
      <w:bookmarkStart w:id="53" w:name="_Toc513029224"/>
      <w:r>
        <w:rPr>
          <w:rFonts w:hint="eastAsia" w:ascii="宋体" w:hAnsi="宋体" w:cs="宋体"/>
          <w:b/>
          <w:bCs/>
          <w:kern w:val="0"/>
          <w:sz w:val="28"/>
          <w:szCs w:val="28"/>
        </w:rPr>
        <w:t>四、响应文件的提交</w:t>
      </w:r>
      <w:bookmarkEnd w:id="50"/>
      <w:bookmarkEnd w:id="51"/>
      <w:bookmarkEnd w:id="52"/>
      <w:bookmarkEnd w:id="53"/>
    </w:p>
    <w:p>
      <w:pPr>
        <w:adjustRightInd w:val="0"/>
        <w:snapToGrid w:val="0"/>
        <w:spacing w:line="460" w:lineRule="exact"/>
        <w:ind w:firstLine="560" w:firstLineChars="200"/>
        <w:rPr>
          <w:rFonts w:hint="eastAsia" w:ascii="宋体" w:hAnsi="宋体" w:cs="宋体"/>
          <w:kern w:val="0"/>
          <w:sz w:val="28"/>
          <w:szCs w:val="28"/>
        </w:rPr>
      </w:pPr>
      <w:bookmarkStart w:id="54" w:name="_Toc20823298"/>
      <w:bookmarkStart w:id="55" w:name="_Toc513029226"/>
      <w:bookmarkStart w:id="56" w:name="_Toc16938542"/>
      <w:r>
        <w:rPr>
          <w:rFonts w:hint="eastAsia" w:ascii="宋体" w:hAnsi="宋体" w:cs="宋体"/>
          <w:kern w:val="0"/>
          <w:sz w:val="28"/>
          <w:szCs w:val="28"/>
        </w:rPr>
        <w:t>1.响应文件的提交</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1.1纸质响应文件三部分内容【资格审查文件、商务技术文件、价格文件】须分别单独密封，并牢固装订成册，不得相互混淆，文件自编目录并连续标注页码，不得将内容拆开。价格文件不得出现于其他磋商文件中。</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1.2纸质响应文件每一部分内容均须提供“正本一份、副本一份”纸质响应文件，并将每一部分内容的正本、副本及图纸类等（如需提供图纸等其它资料的话）合并密封，分别装在三个密封袋或密封箱内（如有A3大小的图纸类，可单独密封），密封完好以不泄露投标文件内容为主要判断依据。</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1.3纸质响应文件须采用A4纸（图纸等除外），正、副本须打印并由法定代表人或授权人签字并加盖单位印章。文件内容中不得行间插字、涂改、增删，如修补错漏处，须由响应文件签署人签字并加盖公章。</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4</w:t>
      </w:r>
      <w:r>
        <w:rPr>
          <w:rFonts w:hint="eastAsia" w:ascii="宋体" w:hAnsi="宋体" w:cs="宋体"/>
          <w:kern w:val="0"/>
          <w:sz w:val="28"/>
          <w:szCs w:val="28"/>
        </w:rPr>
        <w:t>递交时间：供应商须在规定的响应文件接收截止时间前送达指定地点。供应商提交磋商文件，即视为已响应参加磋商活动。</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kern w:val="0"/>
          <w:sz w:val="28"/>
          <w:szCs w:val="28"/>
        </w:rPr>
        <w:t>友情提醒：</w:t>
      </w:r>
      <w:r>
        <w:rPr>
          <w:rFonts w:hint="eastAsia" w:ascii="宋体" w:hAnsi="宋体" w:cs="宋体"/>
          <w:kern w:val="0"/>
          <w:sz w:val="28"/>
          <w:szCs w:val="28"/>
          <w:lang w:eastAsia="zh-CN"/>
        </w:rPr>
        <w:t>采购人</w:t>
      </w:r>
      <w:r>
        <w:rPr>
          <w:rFonts w:hint="eastAsia" w:ascii="宋体" w:hAnsi="宋体" w:cs="宋体"/>
          <w:kern w:val="0"/>
          <w:sz w:val="28"/>
          <w:szCs w:val="28"/>
        </w:rPr>
        <w:t>将拒绝接收未按照磋商文件要求密封的响应文件，拒绝接收在响应文件接收截止时间后递交的响应文件。</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2.响应文件截止日期</w:t>
      </w:r>
      <w:bookmarkEnd w:id="54"/>
      <w:bookmarkEnd w:id="55"/>
      <w:bookmarkEnd w:id="56"/>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2.1 供应商提交响应文件的时间不得迟于磋商公告中规定的响应文件提交截止时间。</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供应商应充分考虑到交通路况、停车等风险因素，如因供应商自身原因造成的磋商响应文件提交不成功由供应商自行承担全部责任。</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 xml:space="preserve"> 采购</w:t>
      </w:r>
      <w:r>
        <w:rPr>
          <w:rFonts w:hint="eastAsia" w:ascii="宋体" w:hAnsi="宋体" w:cs="宋体"/>
          <w:bCs/>
          <w:sz w:val="28"/>
          <w:szCs w:val="28"/>
          <w:lang w:eastAsia="zh-CN"/>
        </w:rPr>
        <w:t>人</w:t>
      </w:r>
      <w:r>
        <w:rPr>
          <w:rFonts w:hint="eastAsia" w:ascii="宋体" w:hAnsi="宋体" w:cs="宋体"/>
          <w:bCs/>
          <w:sz w:val="28"/>
          <w:szCs w:val="28"/>
        </w:rPr>
        <w:t>可以按照规定，通过修改响应文件酌情延长响应文件提交截止日期，在此情况下，供应商的所有权利和义务以及供应商受制的截止日期均应以延长后新的截止日期为准。</w:t>
      </w:r>
    </w:p>
    <w:p>
      <w:pPr>
        <w:keepNext/>
        <w:adjustRightInd w:val="0"/>
        <w:snapToGrid w:val="0"/>
        <w:spacing w:line="460" w:lineRule="exact"/>
        <w:ind w:firstLine="560" w:firstLineChars="200"/>
        <w:rPr>
          <w:rFonts w:hint="eastAsia" w:ascii="宋体" w:hAnsi="宋体" w:cs="宋体"/>
          <w:b/>
          <w:bCs/>
          <w:kern w:val="0"/>
          <w:sz w:val="28"/>
          <w:szCs w:val="28"/>
        </w:rPr>
      </w:pPr>
      <w:bookmarkStart w:id="57" w:name="_Toc513029227"/>
      <w:bookmarkStart w:id="58" w:name="_Toc20823299"/>
      <w:bookmarkStart w:id="59" w:name="_Toc16938543"/>
      <w:r>
        <w:rPr>
          <w:rFonts w:hint="eastAsia" w:ascii="宋体" w:hAnsi="宋体" w:cs="宋体"/>
          <w:kern w:val="0"/>
          <w:sz w:val="28"/>
          <w:szCs w:val="28"/>
        </w:rPr>
        <w:t>3.响应文件</w:t>
      </w:r>
      <w:bookmarkEnd w:id="57"/>
      <w:bookmarkEnd w:id="58"/>
      <w:bookmarkEnd w:id="59"/>
      <w:r>
        <w:rPr>
          <w:rFonts w:hint="eastAsia" w:ascii="宋体" w:hAnsi="宋体" w:cs="宋体"/>
          <w:kern w:val="0"/>
          <w:sz w:val="28"/>
          <w:szCs w:val="28"/>
        </w:rPr>
        <w:t>的拒收</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3.1 采购</w:t>
      </w:r>
      <w:r>
        <w:rPr>
          <w:rFonts w:hint="eastAsia" w:ascii="宋体" w:hAnsi="宋体" w:cs="宋体"/>
          <w:bCs/>
          <w:sz w:val="28"/>
          <w:szCs w:val="28"/>
          <w:lang w:eastAsia="zh-CN"/>
        </w:rPr>
        <w:t>人</w:t>
      </w:r>
      <w:r>
        <w:rPr>
          <w:rFonts w:hint="eastAsia" w:ascii="宋体" w:hAnsi="宋体" w:cs="宋体"/>
          <w:bCs/>
          <w:sz w:val="28"/>
          <w:szCs w:val="28"/>
        </w:rPr>
        <w:t>拒绝接收在其规定的响应文件提交截止时间后提交的任何响应文件。</w:t>
      </w:r>
    </w:p>
    <w:p>
      <w:pPr>
        <w:keepNext/>
        <w:adjustRightInd w:val="0"/>
        <w:snapToGrid w:val="0"/>
        <w:spacing w:line="460" w:lineRule="exact"/>
        <w:ind w:firstLine="560" w:firstLineChars="200"/>
        <w:rPr>
          <w:rFonts w:hint="eastAsia" w:ascii="宋体" w:hAnsi="宋体" w:cs="宋体"/>
          <w:b/>
          <w:bCs/>
          <w:kern w:val="0"/>
          <w:sz w:val="28"/>
          <w:szCs w:val="28"/>
        </w:rPr>
      </w:pPr>
      <w:bookmarkStart w:id="60" w:name="_Toc513029228"/>
      <w:bookmarkStart w:id="61" w:name="_Toc16938544"/>
      <w:bookmarkStart w:id="62" w:name="_Toc20823300"/>
      <w:r>
        <w:rPr>
          <w:rFonts w:hint="eastAsia" w:ascii="宋体" w:hAnsi="宋体" w:cs="宋体"/>
          <w:kern w:val="0"/>
          <w:sz w:val="28"/>
          <w:szCs w:val="28"/>
        </w:rPr>
        <w:t>4. 响应文件的撤回和修改</w:t>
      </w:r>
      <w:bookmarkEnd w:id="60"/>
      <w:bookmarkEnd w:id="61"/>
      <w:bookmarkEnd w:id="62"/>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4.1 响应文件的撤回</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4.1.1 响应文件的撤回</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供应商可在响应文件提交截止时间前，书面撤回其磋商响应文件。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4.1.2 供应商撤回磋商响应文件，则认为其不再参与本项目磋商活动。</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4.2 响应文件的修改</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在响应文件提交截止时间之后，供应商不得再对其提交的响应文件进行修改。</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63" w:name="_Toc120614218"/>
      <w:bookmarkStart w:id="64" w:name="_Toc20823301"/>
      <w:bookmarkStart w:id="65" w:name="_Toc16938545"/>
      <w:bookmarkStart w:id="66" w:name="_Toc513029229"/>
      <w:r>
        <w:rPr>
          <w:rFonts w:hint="eastAsia" w:ascii="宋体" w:hAnsi="宋体" w:cs="宋体"/>
          <w:b/>
          <w:bCs/>
          <w:kern w:val="0"/>
          <w:sz w:val="28"/>
          <w:szCs w:val="28"/>
        </w:rPr>
        <w:t>五</w:t>
      </w:r>
      <w:bookmarkEnd w:id="63"/>
      <w:bookmarkEnd w:id="64"/>
      <w:bookmarkEnd w:id="65"/>
      <w:bookmarkEnd w:id="66"/>
      <w:bookmarkStart w:id="67" w:name="_Toc20823302"/>
      <w:bookmarkStart w:id="68" w:name="_Toc513029230"/>
      <w:bookmarkStart w:id="69" w:name="_Toc16938546"/>
      <w:r>
        <w:rPr>
          <w:rFonts w:hint="eastAsia" w:ascii="宋体" w:hAnsi="宋体" w:cs="宋体"/>
          <w:b/>
          <w:bCs/>
          <w:kern w:val="0"/>
          <w:sz w:val="28"/>
          <w:szCs w:val="28"/>
        </w:rPr>
        <w:t>、磋商与评审</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1.磋商仪式</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1.1采购</w:t>
      </w:r>
      <w:r>
        <w:rPr>
          <w:rFonts w:hint="eastAsia" w:ascii="宋体" w:hAnsi="宋体" w:cs="宋体"/>
          <w:bCs/>
          <w:sz w:val="28"/>
          <w:szCs w:val="28"/>
          <w:lang w:eastAsia="zh-CN"/>
        </w:rPr>
        <w:t>人</w:t>
      </w:r>
      <w:r>
        <w:rPr>
          <w:rFonts w:hint="eastAsia" w:ascii="宋体" w:hAnsi="宋体" w:cs="宋体"/>
          <w:bCs/>
          <w:sz w:val="28"/>
          <w:szCs w:val="28"/>
        </w:rPr>
        <w:t>将在磋商公告中规定的时间和地点组织磋商开始仪式。供应商应当在磋商公告中规定的时间和地点参加磋商活动。</w:t>
      </w:r>
    </w:p>
    <w:p>
      <w:pPr>
        <w:adjustRightInd w:val="0"/>
        <w:snapToGrid w:val="0"/>
        <w:spacing w:line="460" w:lineRule="exact"/>
        <w:ind w:firstLine="560" w:firstLineChars="200"/>
        <w:rPr>
          <w:rFonts w:hint="eastAsia" w:ascii="宋体" w:hAnsi="宋体" w:cs="宋体"/>
          <w:b/>
          <w:sz w:val="28"/>
          <w:szCs w:val="28"/>
        </w:rPr>
      </w:pPr>
      <w:r>
        <w:rPr>
          <w:rFonts w:hint="eastAsia" w:ascii="宋体" w:hAnsi="宋体" w:cs="宋体"/>
          <w:bCs/>
          <w:sz w:val="28"/>
          <w:szCs w:val="28"/>
        </w:rPr>
        <w:t>1.2 磋商活动的文件密封性检查工作</w:t>
      </w:r>
      <w:r>
        <w:rPr>
          <w:rFonts w:hint="eastAsia" w:ascii="宋体" w:hAnsi="宋体" w:cs="宋体"/>
          <w:sz w:val="28"/>
          <w:szCs w:val="28"/>
        </w:rPr>
        <w:t>由采购</w:t>
      </w:r>
      <w:r>
        <w:rPr>
          <w:rFonts w:hint="eastAsia" w:ascii="宋体" w:hAnsi="宋体" w:cs="宋体"/>
          <w:sz w:val="28"/>
          <w:szCs w:val="28"/>
          <w:lang w:eastAsia="zh-CN"/>
        </w:rPr>
        <w:t>人</w:t>
      </w:r>
      <w:r>
        <w:rPr>
          <w:rFonts w:hint="eastAsia" w:ascii="宋体" w:hAnsi="宋体" w:cs="宋体"/>
          <w:sz w:val="28"/>
          <w:szCs w:val="28"/>
        </w:rPr>
        <w:t>组织。</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1.3供应商在磋商过程中涉及到的磋商文件密封性检查、磋商结果确认等工作，按照采购</w:t>
      </w:r>
      <w:r>
        <w:rPr>
          <w:rFonts w:hint="eastAsia" w:ascii="宋体" w:hAnsi="宋体" w:cs="宋体"/>
          <w:bCs/>
          <w:sz w:val="28"/>
          <w:szCs w:val="28"/>
          <w:lang w:eastAsia="zh-CN"/>
        </w:rPr>
        <w:t>人</w:t>
      </w:r>
      <w:r>
        <w:rPr>
          <w:rFonts w:hint="eastAsia" w:ascii="宋体" w:hAnsi="宋体" w:cs="宋体"/>
          <w:bCs/>
          <w:sz w:val="28"/>
          <w:szCs w:val="28"/>
        </w:rPr>
        <w:t>指引进行。</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2.磋商小组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2.1磋商开始仪式结束后，采购</w:t>
      </w:r>
      <w:r>
        <w:rPr>
          <w:rFonts w:hint="eastAsia" w:ascii="宋体" w:hAnsi="宋体" w:cs="宋体"/>
          <w:sz w:val="28"/>
          <w:szCs w:val="28"/>
          <w:lang w:eastAsia="zh-CN"/>
        </w:rPr>
        <w:t>人</w:t>
      </w:r>
      <w:r>
        <w:rPr>
          <w:rFonts w:hint="eastAsia" w:ascii="宋体" w:hAnsi="宋体" w:cs="宋体"/>
          <w:sz w:val="28"/>
          <w:szCs w:val="28"/>
        </w:rPr>
        <w:t>将立即组织磋商小组进行评审。</w:t>
      </w:r>
    </w:p>
    <w:p>
      <w:pPr>
        <w:adjustRightInd w:val="0"/>
        <w:snapToGrid w:val="0"/>
        <w:spacing w:line="460" w:lineRule="exact"/>
        <w:ind w:firstLine="560" w:firstLineChars="200"/>
        <w:rPr>
          <w:rFonts w:hint="eastAsia" w:ascii="宋体" w:hAnsi="宋体" w:cs="宋体"/>
          <w:sz w:val="28"/>
          <w:szCs w:val="28"/>
          <w:highlight w:val="none"/>
        </w:rPr>
      </w:pPr>
      <w:r>
        <w:rPr>
          <w:rFonts w:hint="eastAsia" w:ascii="宋体" w:hAnsi="宋体" w:cs="宋体"/>
          <w:sz w:val="28"/>
          <w:szCs w:val="28"/>
        </w:rPr>
        <w:t>2.2磋商小组由采购人代表和评审专家共3人以上单数组成，</w:t>
      </w:r>
      <w:r>
        <w:rPr>
          <w:rFonts w:hint="eastAsia" w:ascii="宋体" w:hAnsi="宋体" w:cs="宋体"/>
          <w:sz w:val="28"/>
          <w:szCs w:val="28"/>
          <w:highlight w:val="none"/>
        </w:rPr>
        <w:t>其中评审专家人数不得少于磋商小组成员总数的2/3。采购人不得以评审专家身份参加本部门或本单位采购项目的评审。</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2.5磋商小组独立工作，负责评审所有响应文件并确定成交侯选人。</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 磋商评审过程的保密与公正</w:t>
      </w:r>
    </w:p>
    <w:p>
      <w:pPr>
        <w:tabs>
          <w:tab w:val="left" w:pos="900"/>
        </w:tabs>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3.1磋商小组、采购人和相关监督人员等与评审工作有关的人员，对评审情况以及在评审过程中获悉的国家秘密、商业秘密负有保密责任。</w:t>
      </w:r>
    </w:p>
    <w:p>
      <w:pPr>
        <w:tabs>
          <w:tab w:val="left" w:pos="900"/>
        </w:tabs>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3.2在磋商评审过程中，磋商供应商不得以任何行为影响磋商评审过程，否则其响应文件将被作为无效响应文件。</w:t>
      </w:r>
    </w:p>
    <w:p>
      <w:pPr>
        <w:tabs>
          <w:tab w:val="left" w:pos="900"/>
        </w:tabs>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sz w:val="28"/>
          <w:szCs w:val="28"/>
        </w:rPr>
        <w:t>3.4</w:t>
      </w:r>
      <w:r>
        <w:rPr>
          <w:rFonts w:hint="eastAsia" w:ascii="宋体" w:hAnsi="宋体" w:cs="宋体"/>
          <w:bCs/>
          <w:sz w:val="28"/>
          <w:szCs w:val="28"/>
        </w:rPr>
        <w:t>评审开始后，直至向成交供应商授予合同时止，凡是与审查、澄清、评价和比较响应的有关资料以及授标建议等，采购人、磋商小组均不得向供应商或与评标无关的其他人员透露。</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3.5在评审期间，采购</w:t>
      </w:r>
      <w:r>
        <w:rPr>
          <w:rFonts w:hint="eastAsia" w:ascii="宋体" w:hAnsi="宋体" w:cs="宋体"/>
          <w:sz w:val="28"/>
          <w:szCs w:val="28"/>
          <w:lang w:eastAsia="zh-CN"/>
        </w:rPr>
        <w:t>人</w:t>
      </w:r>
      <w:r>
        <w:rPr>
          <w:rFonts w:hint="eastAsia" w:ascii="宋体" w:hAnsi="宋体" w:cs="宋体"/>
          <w:sz w:val="28"/>
          <w:szCs w:val="28"/>
        </w:rPr>
        <w:t>将设专门人员与供应商联系。</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3.6采购</w:t>
      </w:r>
      <w:r>
        <w:rPr>
          <w:rFonts w:hint="eastAsia" w:ascii="宋体" w:hAnsi="宋体" w:cs="宋体"/>
          <w:sz w:val="28"/>
          <w:szCs w:val="28"/>
          <w:lang w:eastAsia="zh-CN"/>
        </w:rPr>
        <w:t>人</w:t>
      </w:r>
      <w:r>
        <w:rPr>
          <w:rFonts w:hint="eastAsia" w:ascii="宋体" w:hAnsi="宋体" w:cs="宋体"/>
          <w:sz w:val="28"/>
          <w:szCs w:val="28"/>
        </w:rPr>
        <w:t>和评审小组不向未成交的供应商解释未成交原因，也不公布评审过程中的相关细节。</w:t>
      </w:r>
    </w:p>
    <w:p>
      <w:pPr>
        <w:tabs>
          <w:tab w:val="left" w:pos="900"/>
        </w:tabs>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4.评审过程的澄清</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4.1评审期间，为有助于对响应文件的审查、评价和比较，磋商小组有权要求响应人对其响应文件进行澄清，但并非对每个供应商都作澄清要求。</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4.2接到磋商小组澄清要求的供应商应按磋商小组规定的时间和格式做出澄清，澄清的内容作为响应文件的补充部分，但实质性的内容不得做任何更改。</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sz w:val="28"/>
          <w:szCs w:val="28"/>
        </w:rPr>
        <w:t>4.3 接到磋商小组澄清要求的供应商如未按规定做出澄清，其风</w:t>
      </w:r>
      <w:r>
        <w:rPr>
          <w:rFonts w:hint="eastAsia" w:ascii="宋体" w:hAnsi="宋体" w:cs="宋体"/>
          <w:bCs/>
          <w:sz w:val="28"/>
          <w:szCs w:val="28"/>
        </w:rPr>
        <w:t>险由供应商自行承担。</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5.对响应文件的初审</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5.1响应文件初审分为资格性审查和符合性审查。</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5.1.1资格性检查：依据法律法规和磋商文件的规定，由采购人对响应文件中的资格审查文件进行审查。</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5.1.2符合性审查：依据磋商文件的规定，由磋商小组从响应文件的有效性、完整性和对磋商文件的响应程度进行审查，以确定是否对磋商文件的实质性要求作出响应。</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5.1.3未通过资格审查或符合性审查的供应商人，采购</w:t>
      </w:r>
      <w:r>
        <w:rPr>
          <w:rFonts w:hint="eastAsia" w:ascii="宋体" w:hAnsi="宋体" w:cs="宋体"/>
          <w:bCs/>
          <w:sz w:val="28"/>
          <w:szCs w:val="28"/>
          <w:lang w:eastAsia="zh-CN"/>
        </w:rPr>
        <w:t>人</w:t>
      </w:r>
      <w:r>
        <w:rPr>
          <w:rFonts w:hint="eastAsia" w:ascii="宋体" w:hAnsi="宋体" w:cs="宋体"/>
          <w:bCs/>
          <w:sz w:val="28"/>
          <w:szCs w:val="28"/>
        </w:rPr>
        <w:t>将告知未通过资格审查或符合性审查的原因，并记录存档。</w:t>
      </w:r>
    </w:p>
    <w:p>
      <w:pPr>
        <w:tabs>
          <w:tab w:val="left" w:pos="900"/>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5.3如果响应文件实质上没有响应磋商文件的要求，磋商小组将予以拒绝，供应商不得通过修改或撤销不合要求的偏离或保留而使其响应文件成为实质性响应的文件。</w:t>
      </w:r>
    </w:p>
    <w:p>
      <w:pPr>
        <w:tabs>
          <w:tab w:val="left" w:pos="900"/>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5.4磋商小组将对确定为实质性响应的文件进行进一步审核，看其是否有计算上或累加上的算术错误，修正错误的原则如下：</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（1）响应文件中</w:t>
      </w:r>
      <w:r>
        <w:rPr>
          <w:rFonts w:hint="eastAsia" w:ascii="宋体" w:hAnsi="宋体" w:cs="宋体"/>
          <w:kern w:val="0"/>
          <w:sz w:val="28"/>
          <w:szCs w:val="28"/>
        </w:rPr>
        <w:t>报价总表</w:t>
      </w:r>
      <w:r>
        <w:rPr>
          <w:rFonts w:hint="eastAsia" w:ascii="宋体" w:hAnsi="宋体" w:cs="宋体"/>
          <w:bCs/>
          <w:sz w:val="28"/>
          <w:szCs w:val="28"/>
        </w:rPr>
        <w:t>内容与响应文件中相应内容不一致的，以</w:t>
      </w:r>
      <w:r>
        <w:rPr>
          <w:rFonts w:hint="eastAsia" w:ascii="宋体" w:hAnsi="宋体" w:cs="宋体"/>
          <w:kern w:val="0"/>
          <w:sz w:val="28"/>
          <w:szCs w:val="28"/>
        </w:rPr>
        <w:t>报价总表</w:t>
      </w:r>
      <w:r>
        <w:rPr>
          <w:rFonts w:hint="eastAsia" w:ascii="宋体" w:hAnsi="宋体" w:cs="宋体"/>
          <w:bCs/>
          <w:sz w:val="28"/>
          <w:szCs w:val="28"/>
        </w:rPr>
        <w:t>为准。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（2）大写金额和小写金额不一致的，以大写金额为准。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（3）单价金额小数点或者百分比有明显错位的，以</w:t>
      </w:r>
      <w:r>
        <w:rPr>
          <w:rFonts w:hint="eastAsia" w:ascii="宋体" w:hAnsi="宋体" w:cs="宋体"/>
          <w:kern w:val="0"/>
          <w:sz w:val="28"/>
          <w:szCs w:val="28"/>
        </w:rPr>
        <w:t>报价总表</w:t>
      </w:r>
      <w:r>
        <w:rPr>
          <w:rFonts w:hint="eastAsia" w:ascii="宋体" w:hAnsi="宋体" w:cs="宋体"/>
          <w:bCs/>
          <w:sz w:val="28"/>
          <w:szCs w:val="28"/>
        </w:rPr>
        <w:t>的总价为准，并修改单价。</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（4）总价金额与按单价汇总金额不一致的，以单价金额计算结果为准。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同时出现两种以上错误的，按照前款规定的顺序修正。</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sz w:val="28"/>
          <w:szCs w:val="28"/>
        </w:rPr>
        <w:t>5</w:t>
      </w:r>
      <w:r>
        <w:rPr>
          <w:rFonts w:hint="eastAsia" w:ascii="宋体" w:hAnsi="宋体" w:cs="宋体"/>
          <w:bCs/>
          <w:sz w:val="28"/>
          <w:szCs w:val="28"/>
        </w:rPr>
        <w:t>.5磋商小组将按上述修正错误的方法调整响应文件中的报价，并告知供应商，调整后的价格应对供应商具有约束力。如果供应商不接受修正后的价格，则其磋商活动将被拒绝。</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5.6磋商小组将允许修正响应文件中不构成重大偏离的、微小的、非正规的、不一致的或不规则的地方，但这些修改不能影响任何供应商相应的名次排列。</w:t>
      </w:r>
    </w:p>
    <w:p>
      <w:pPr>
        <w:adjustRightInd w:val="0"/>
        <w:snapToGrid w:val="0"/>
        <w:spacing w:line="460" w:lineRule="exact"/>
        <w:ind w:firstLine="560" w:firstLineChars="200"/>
        <w:rPr>
          <w:rFonts w:hint="eastAsia" w:ascii="宋体" w:hAnsi="宋体" w:cs="宋体"/>
          <w:bCs/>
          <w:sz w:val="28"/>
          <w:szCs w:val="28"/>
          <w:highlight w:val="none"/>
        </w:rPr>
      </w:pPr>
      <w:r>
        <w:rPr>
          <w:rFonts w:hint="eastAsia" w:ascii="宋体" w:hAnsi="宋体" w:cs="宋体"/>
          <w:bCs/>
          <w:sz w:val="28"/>
          <w:szCs w:val="28"/>
        </w:rPr>
        <w:t>5.7</w:t>
      </w:r>
      <w:r>
        <w:rPr>
          <w:rFonts w:hint="eastAsia" w:ascii="宋体" w:hAnsi="宋体" w:cs="宋体"/>
          <w:sz w:val="28"/>
          <w:szCs w:val="28"/>
        </w:rPr>
        <w:t>供应商在评审全过程中应保持通讯畅通，</w:t>
      </w:r>
      <w:r>
        <w:rPr>
          <w:rFonts w:hint="eastAsia" w:ascii="宋体" w:hAnsi="宋体" w:cs="宋体"/>
          <w:sz w:val="28"/>
          <w:szCs w:val="28"/>
          <w:highlight w:val="none"/>
        </w:rPr>
        <w:t>并安排专人与磋商小组联系（适用于不见面磋商模式）。</w:t>
      </w:r>
    </w:p>
    <w:p>
      <w:pPr>
        <w:tabs>
          <w:tab w:val="left" w:pos="6555"/>
          <w:tab w:val="right" w:pos="8306"/>
        </w:tabs>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 被认定为未实质性响应磋商文件的响应文件的情形。</w:t>
      </w:r>
    </w:p>
    <w:p>
      <w:pPr>
        <w:tabs>
          <w:tab w:val="left" w:pos="6555"/>
          <w:tab w:val="right" w:pos="8306"/>
        </w:tabs>
        <w:adjustRightInd w:val="0"/>
        <w:snapToGrid w:val="0"/>
        <w:spacing w:line="460" w:lineRule="exact"/>
        <w:ind w:firstLine="560" w:firstLineChars="200"/>
        <w:rPr>
          <w:rFonts w:hint="eastAsia" w:ascii="宋体" w:hAnsi="宋体" w:cs="宋体"/>
          <w:b/>
          <w:sz w:val="28"/>
          <w:szCs w:val="28"/>
        </w:rPr>
      </w:pPr>
      <w:r>
        <w:rPr>
          <w:rFonts w:hint="eastAsia" w:ascii="宋体" w:hAnsi="宋体" w:cs="宋体"/>
          <w:bCs/>
          <w:sz w:val="28"/>
          <w:szCs w:val="28"/>
        </w:rPr>
        <w:t>6.1出现下列情形之一的，作无效响应处理。</w:t>
      </w:r>
      <w:r>
        <w:rPr>
          <w:rFonts w:hint="eastAsia" w:ascii="宋体" w:hAnsi="宋体" w:cs="宋体"/>
          <w:bCs/>
          <w:sz w:val="28"/>
          <w:szCs w:val="28"/>
        </w:rPr>
        <w:tab/>
      </w:r>
      <w:r>
        <w:rPr>
          <w:rFonts w:hint="eastAsia" w:ascii="宋体" w:hAnsi="宋体" w:cs="宋体"/>
          <w:b/>
          <w:sz w:val="28"/>
          <w:szCs w:val="28"/>
        </w:rPr>
        <w:tab/>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6.1.1供应商在规定的时间内未成功提交磋商响应文件的。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6.1.2未完整提交响应文件的。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6.1.3同一供应商提交两个（含两个）以上不同的响应报价的。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 xml:space="preserve">6.1.4不具备磋商文件中规定的资格要求的。 </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 xml:space="preserve">6.1.5响应报价超过了采购预算或最高限价的。 </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6.1.6未通过符合性检查的。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6.1.7不符合法律、法规和磋商文件中规定的其他实质性要求的。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6.1.9 响应文件含有采购人不能接受的附加条件的。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6.1.1</w:t>
      </w:r>
      <w:r>
        <w:rPr>
          <w:rFonts w:hint="eastAsia" w:ascii="宋体" w:hAnsi="宋体" w:cs="宋体"/>
          <w:bCs/>
          <w:sz w:val="28"/>
          <w:szCs w:val="28"/>
          <w:lang w:val="en-US" w:eastAsia="zh-CN"/>
        </w:rPr>
        <w:t>1</w:t>
      </w:r>
      <w:r>
        <w:rPr>
          <w:rFonts w:hint="eastAsia" w:ascii="宋体" w:hAnsi="宋体" w:cs="宋体"/>
          <w:bCs/>
          <w:sz w:val="28"/>
          <w:szCs w:val="28"/>
        </w:rPr>
        <w:t>响应文件未按照采购文件要求盖章、密封的。</w:t>
      </w:r>
    </w:p>
    <w:p>
      <w:pPr>
        <w:adjustRightInd w:val="0"/>
        <w:snapToGrid w:val="0"/>
        <w:spacing w:line="460" w:lineRule="exact"/>
        <w:ind w:firstLine="562" w:firstLineChars="200"/>
        <w:rPr>
          <w:rFonts w:hint="eastAsia" w:ascii="宋体" w:hAnsi="宋体" w:cs="宋体"/>
          <w:bCs/>
          <w:sz w:val="28"/>
          <w:szCs w:val="28"/>
        </w:rPr>
      </w:pPr>
      <w:r>
        <w:rPr>
          <w:rFonts w:hint="eastAsia" w:ascii="宋体" w:hAnsi="宋体" w:cs="宋体"/>
          <w:b/>
          <w:sz w:val="28"/>
          <w:szCs w:val="28"/>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6.1.13投标人的商务技术部分得分相差悬殊，评标委员会认为得分畸低者没有实质性响应的。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6.1.14其他法律、法规及本磋商文件规定的属无效响应的情形。</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6.2出现下列情形之一的，磋商失败。</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6.2.1符合条件的供应商或者对磋商文件作实质响应的供应商不足3家的（市场竞争不充分的科研项目，以及需要扶持的科技成果转化项目可以是2家）；</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6.2.2出现影响采购公正的违法违规行为的；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6.2.3因重大变故，采购任务取消的。</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6.2.4磋商小组认定磋商文件存在歧义、重大缺陷导致评审工作无法进行。</w:t>
      </w:r>
    </w:p>
    <w:p>
      <w:pPr>
        <w:adjustRightInd w:val="0"/>
        <w:snapToGrid w:val="0"/>
        <w:spacing w:line="460"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6.2.5 因系统故障原因造成磋商无法继续进行的</w:t>
      </w:r>
      <w:r>
        <w:rPr>
          <w:rFonts w:hint="eastAsia" w:ascii="宋体" w:hAnsi="宋体" w:cs="宋体"/>
          <w:sz w:val="28"/>
          <w:szCs w:val="28"/>
          <w:highlight w:val="none"/>
        </w:rPr>
        <w:t>（适用于不见面磋商模式）</w:t>
      </w:r>
      <w:r>
        <w:rPr>
          <w:rFonts w:hint="eastAsia" w:ascii="宋体" w:hAnsi="宋体" w:cs="宋体"/>
          <w:bCs/>
          <w:sz w:val="28"/>
          <w:szCs w:val="28"/>
          <w:highlight w:val="none"/>
        </w:rPr>
        <w:t>。</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截止时间结束后参加磋商的供应商或者在评审期间对磋商文件做出实质响应的供应商不足三家情况，除采购任务取消情形外，按照以下方式处理：</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1.采购文件存在不合理条款或者招标程序不符合规定的，采购人改正后依法重新招标采购；</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2采购文件没有不合理条款、采购程序符合规定，需要采用其他采购人式采购的，采购人应当依法报采购监管部门批准。</w:t>
      </w:r>
    </w:p>
    <w:bookmarkEnd w:id="67"/>
    <w:bookmarkEnd w:id="68"/>
    <w:bookmarkEnd w:id="69"/>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70" w:name="_Toc120614219"/>
      <w:r>
        <w:rPr>
          <w:rFonts w:hint="eastAsia" w:ascii="宋体" w:hAnsi="宋体" w:cs="宋体"/>
          <w:b/>
          <w:bCs/>
          <w:kern w:val="0"/>
          <w:sz w:val="28"/>
          <w:szCs w:val="28"/>
        </w:rPr>
        <w:t>六</w:t>
      </w:r>
      <w:bookmarkEnd w:id="70"/>
      <w:r>
        <w:rPr>
          <w:rFonts w:hint="eastAsia" w:ascii="宋体" w:hAnsi="宋体" w:cs="宋体"/>
          <w:b/>
          <w:bCs/>
          <w:kern w:val="0"/>
          <w:sz w:val="28"/>
          <w:szCs w:val="28"/>
        </w:rPr>
        <w:t>、成交</w:t>
      </w:r>
    </w:p>
    <w:p>
      <w:pPr>
        <w:keepNext/>
        <w:adjustRightInd w:val="0"/>
        <w:snapToGrid w:val="0"/>
        <w:spacing w:line="460" w:lineRule="exact"/>
        <w:ind w:firstLine="560" w:firstLineChars="200"/>
        <w:rPr>
          <w:rFonts w:hint="eastAsia" w:ascii="宋体" w:hAnsi="宋体" w:cs="宋体"/>
          <w:b/>
          <w:kern w:val="0"/>
          <w:sz w:val="28"/>
          <w:szCs w:val="28"/>
        </w:rPr>
      </w:pPr>
      <w:bookmarkStart w:id="71" w:name="_Toc16938554"/>
      <w:bookmarkStart w:id="72" w:name="_Toc20823310"/>
      <w:r>
        <w:rPr>
          <w:rFonts w:hint="eastAsia" w:ascii="宋体" w:hAnsi="宋体" w:cs="宋体"/>
          <w:kern w:val="0"/>
          <w:sz w:val="28"/>
          <w:szCs w:val="28"/>
        </w:rPr>
        <w:t>1.确定</w:t>
      </w:r>
      <w:bookmarkEnd w:id="71"/>
      <w:bookmarkEnd w:id="72"/>
      <w:r>
        <w:rPr>
          <w:rFonts w:hint="eastAsia" w:ascii="宋体" w:hAnsi="宋体" w:cs="宋体"/>
          <w:kern w:val="0"/>
          <w:sz w:val="28"/>
          <w:szCs w:val="28"/>
        </w:rPr>
        <w:t>成交单位</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 xml:space="preserve">1.1成交候选供应商的选取原则和数量见磋商文件第四部分规定。 </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1.2 采购人授权磋商小组在成交候选供应商中直接确定成交供应商。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 xml:space="preserve">1.3 </w:t>
      </w:r>
      <w:r>
        <w:rPr>
          <w:rFonts w:hint="eastAsia" w:ascii="宋体" w:hAnsi="宋体" w:cs="宋体"/>
          <w:sz w:val="28"/>
          <w:szCs w:val="28"/>
        </w:rPr>
        <w:t>采购</w:t>
      </w:r>
      <w:r>
        <w:rPr>
          <w:rFonts w:hint="eastAsia" w:ascii="宋体" w:hAnsi="宋体" w:cs="宋体"/>
          <w:sz w:val="28"/>
          <w:szCs w:val="28"/>
          <w:lang w:eastAsia="zh-CN"/>
        </w:rPr>
        <w:t>人</w:t>
      </w:r>
      <w:r>
        <w:rPr>
          <w:rFonts w:hint="eastAsia" w:ascii="宋体" w:hAnsi="宋体" w:cs="宋体"/>
          <w:sz w:val="28"/>
          <w:szCs w:val="28"/>
        </w:rPr>
        <w:t>将在“</w:t>
      </w:r>
      <w:r>
        <w:rPr>
          <w:rFonts w:hint="eastAsia" w:ascii="宋体" w:hAnsi="宋体" w:cs="宋体"/>
          <w:sz w:val="28"/>
          <w:szCs w:val="28"/>
          <w:lang w:eastAsia="zh-CN"/>
        </w:rPr>
        <w:t>南通市教育局网站</w:t>
      </w:r>
      <w:r>
        <w:rPr>
          <w:rFonts w:hint="eastAsia" w:ascii="宋体" w:hAnsi="宋体" w:cs="宋体"/>
          <w:sz w:val="28"/>
          <w:szCs w:val="28"/>
        </w:rPr>
        <w:t>”发布成交结果公告，公告期限为1个工作日。</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1.4若有充分证据证明，成交供应商出现下列情况之一的，一经查实，将被取消成交资格：</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1.4.1提供虚假材料谋取成交的。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1.4.2向采购人行贿或者评审专家提供其他不正当利益的。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1.4.3恶意竞争，最终总报价明显低于其自身合理成本且又无法提供证明的。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1.4.4属于本文件规定的无效条件，但在评审过程中又未被磋商小组发现的。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1.4.5与采购人或者其他供应商恶意串通的。</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1.4.6采取不正当手段诋毁、排挤其他供应商的。</w:t>
      </w:r>
    </w:p>
    <w:p>
      <w:pPr>
        <w:adjustRightInd w:val="0"/>
        <w:snapToGrid w:val="0"/>
        <w:spacing w:line="460" w:lineRule="exact"/>
        <w:ind w:firstLine="560" w:firstLineChars="200"/>
        <w:rPr>
          <w:rFonts w:hint="eastAsia" w:ascii="宋体" w:hAnsi="宋体" w:cs="宋体"/>
          <w:sz w:val="28"/>
          <w:szCs w:val="28"/>
        </w:rPr>
      </w:pPr>
      <w:bookmarkStart w:id="73" w:name="_Toc200451960"/>
      <w:r>
        <w:rPr>
          <w:rFonts w:hint="eastAsia" w:ascii="宋体" w:hAnsi="宋体" w:cs="宋体"/>
          <w:sz w:val="28"/>
          <w:szCs w:val="28"/>
        </w:rPr>
        <w:t>1.5.</w:t>
      </w:r>
      <w:r>
        <w:rPr>
          <w:rFonts w:hint="eastAsia" w:ascii="宋体" w:hAnsi="宋体" w:cs="宋体"/>
          <w:kern w:val="0"/>
          <w:sz w:val="28"/>
          <w:szCs w:val="28"/>
        </w:rPr>
        <w:t>有下列情形之一的，视为供应商串通参与磋商，响应无效：</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1.5.1不同供应商的响应文件由同一单位或者个人编制；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1.5.2不同供应商委托同一单位或者个人办理磋商事宜；</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1.5.3不同供应商的响应文件载明的项目管理成员或者联系人员为同一人；</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1.5.4不同供应商的响应文件异常一致或者响应报价呈规律性差异。</w:t>
      </w:r>
    </w:p>
    <w:p>
      <w:pPr>
        <w:keepNext/>
        <w:adjustRightInd w:val="0"/>
        <w:snapToGrid w:val="0"/>
        <w:spacing w:line="460" w:lineRule="exact"/>
        <w:ind w:firstLine="560" w:firstLineChars="200"/>
        <w:rPr>
          <w:rFonts w:hint="eastAsia" w:ascii="宋体" w:hAnsi="宋体" w:cs="宋体"/>
          <w:b/>
          <w:kern w:val="0"/>
          <w:sz w:val="28"/>
          <w:szCs w:val="28"/>
        </w:rPr>
      </w:pPr>
      <w:r>
        <w:rPr>
          <w:rFonts w:hint="eastAsia" w:ascii="宋体" w:hAnsi="宋体" w:cs="宋体"/>
          <w:kern w:val="0"/>
          <w:sz w:val="28"/>
          <w:szCs w:val="28"/>
        </w:rPr>
        <w:t>2.质疑处理</w:t>
      </w:r>
      <w:bookmarkEnd w:id="73"/>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2.2供应商认为磋商文件、采购过程和采购结果使自己的权益受到损害的，可以在知道或应知其权益受到损害之日起七个工作日内，以书面形式向采购人提出质疑。上述应知其权益受到损害之日，是指：</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sz w:val="28"/>
          <w:szCs w:val="28"/>
        </w:rPr>
        <w:t>2.2.1</w:t>
      </w:r>
      <w:r>
        <w:rPr>
          <w:rFonts w:hint="eastAsia" w:ascii="宋体" w:hAnsi="宋体" w:cs="宋体"/>
          <w:kern w:val="0"/>
          <w:sz w:val="28"/>
          <w:szCs w:val="28"/>
        </w:rPr>
        <w:t>对可以质疑的磋商文件提出质疑的，为收到磋商文件之日或者磋商文件公告期限届满之日；</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sz w:val="28"/>
          <w:szCs w:val="28"/>
        </w:rPr>
        <w:t>2.2.2</w:t>
      </w:r>
      <w:r>
        <w:rPr>
          <w:rFonts w:hint="eastAsia" w:ascii="宋体" w:hAnsi="宋体" w:cs="宋体"/>
          <w:kern w:val="0"/>
          <w:sz w:val="28"/>
          <w:szCs w:val="28"/>
        </w:rPr>
        <w:t>对采购过程提出质疑的，为各采购程序环节结束之日；</w:t>
      </w:r>
    </w:p>
    <w:p>
      <w:pPr>
        <w:adjustRightInd w:val="0"/>
        <w:snapToGrid w:val="0"/>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其中：对评审过程中涉及到的密封检查、身份核对、澄清等和程序性事项，供应商如有异议的，必须当时提出。否则，均视为供应商无异议。无论是否成交，供应商事后不得再就前述事项提出任何异议或质疑投诉。</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sz w:val="28"/>
          <w:szCs w:val="28"/>
        </w:rPr>
        <w:t>2.2.3</w:t>
      </w:r>
      <w:r>
        <w:rPr>
          <w:rFonts w:hint="eastAsia" w:ascii="宋体" w:hAnsi="宋体" w:cs="宋体"/>
          <w:kern w:val="0"/>
          <w:sz w:val="28"/>
          <w:szCs w:val="28"/>
        </w:rPr>
        <w:t>对成交结果提出质疑的，为成交结果公告期限届满之日。</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460" w:lineRule="exact"/>
        <w:ind w:firstLine="560" w:firstLineChars="200"/>
        <w:rPr>
          <w:rFonts w:hint="eastAsia"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w:t>
      </w:r>
      <w:r>
        <w:rPr>
          <w:rFonts w:hint="eastAsia" w:ascii="宋体" w:hAnsi="宋体" w:cs="宋体"/>
          <w:sz w:val="28"/>
          <w:szCs w:val="28"/>
          <w:lang w:eastAsia="zh-CN"/>
        </w:rPr>
        <w:t>和</w:t>
      </w:r>
      <w:r>
        <w:rPr>
          <w:rFonts w:hint="eastAsia" w:ascii="宋体" w:hAnsi="宋体" w:cs="宋体"/>
          <w:sz w:val="28"/>
          <w:szCs w:val="28"/>
        </w:rPr>
        <w:t>对其他事项的质疑等应当由采购人答复的质疑，请向采购人提出，由采购人负责答复。</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供应商提起质疑采取书面形式，可以现场送达，也可以邮寄。</w:t>
      </w:r>
    </w:p>
    <w:p>
      <w:pPr>
        <w:adjustRightInd w:val="0"/>
        <w:snapToGrid w:val="0"/>
        <w:spacing w:line="460" w:lineRule="exact"/>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rPr>
        <w:t>质疑受理部联系地址</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南通市虹桥二中</w:t>
      </w:r>
    </w:p>
    <w:p>
      <w:pPr>
        <w:adjustRightInd w:val="0"/>
        <w:snapToGrid w:val="0"/>
        <w:spacing w:line="460" w:lineRule="exact"/>
        <w:ind w:firstLine="1960" w:firstLineChars="700"/>
        <w:rPr>
          <w:rFonts w:hint="default" w:ascii="宋体" w:hAnsi="宋体" w:eastAsia="宋体" w:cs="宋体"/>
          <w:color w:val="auto"/>
          <w:sz w:val="28"/>
          <w:szCs w:val="28"/>
          <w:lang w:val="en-US" w:eastAsia="zh-CN"/>
        </w:rPr>
      </w:pPr>
      <w:r>
        <w:rPr>
          <w:rFonts w:hint="eastAsia" w:ascii="宋体" w:hAnsi="宋体" w:cs="宋体"/>
          <w:color w:val="auto"/>
          <w:sz w:val="28"/>
          <w:szCs w:val="28"/>
        </w:rPr>
        <w:t>联系电话：</w:t>
      </w:r>
      <w:r>
        <w:rPr>
          <w:rFonts w:hint="eastAsia" w:ascii="宋体" w:hAnsi="宋体" w:cs="宋体"/>
          <w:color w:val="auto"/>
          <w:sz w:val="28"/>
          <w:szCs w:val="28"/>
          <w:lang w:val="en-US" w:eastAsia="zh-CN"/>
        </w:rPr>
        <w:t>0513-69991233</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采购人质疑接收人及联系方式，见磋商文件第一部分。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 以下情形的质疑不予受理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2.5.1 内容不符合《政府采购质疑和投诉办法》第十二条规定的质疑。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2.5.2 超出法定期限的质疑。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2.5.3 未参加磋商活动的供应商或在磋商活动中自身权益未受到损害的供应商所提出的质疑。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2.6 供应商提出书面质疑必须有理、有据，不得捏造事实、提供虚假材料进行恶意质疑。否则，一经查实，采购</w:t>
      </w:r>
      <w:r>
        <w:rPr>
          <w:rFonts w:hint="eastAsia" w:ascii="宋体" w:hAnsi="宋体" w:cs="宋体"/>
          <w:sz w:val="28"/>
          <w:szCs w:val="28"/>
          <w:lang w:eastAsia="zh-CN"/>
        </w:rPr>
        <w:t>人</w:t>
      </w:r>
      <w:r>
        <w:rPr>
          <w:rFonts w:hint="eastAsia" w:ascii="宋体" w:hAnsi="宋体" w:cs="宋体"/>
          <w:sz w:val="28"/>
          <w:szCs w:val="28"/>
        </w:rPr>
        <w:t>有权依据有关规定，报请监管部门对该供应商进行相应的行政处罚和记录该供应商的失信信息。</w:t>
      </w:r>
    </w:p>
    <w:p>
      <w:pPr>
        <w:keepNext/>
        <w:adjustRightInd w:val="0"/>
        <w:snapToGrid w:val="0"/>
        <w:spacing w:line="460" w:lineRule="exact"/>
        <w:ind w:firstLine="560" w:firstLineChars="200"/>
        <w:rPr>
          <w:rFonts w:hint="eastAsia" w:ascii="宋体" w:hAnsi="宋体" w:cs="宋体"/>
          <w:b/>
          <w:kern w:val="0"/>
          <w:sz w:val="28"/>
          <w:szCs w:val="28"/>
        </w:rPr>
      </w:pPr>
      <w:r>
        <w:rPr>
          <w:rFonts w:hint="eastAsia" w:ascii="宋体" w:hAnsi="宋体" w:cs="宋体"/>
          <w:kern w:val="0"/>
          <w:sz w:val="28"/>
          <w:szCs w:val="28"/>
        </w:rPr>
        <w:t>3．成交通知书</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3.l</w:t>
      </w:r>
      <w:r>
        <w:rPr>
          <w:rFonts w:hint="eastAsia" w:ascii="宋体" w:hAnsi="宋体" w:cs="宋体"/>
          <w:b/>
          <w:sz w:val="28"/>
          <w:szCs w:val="28"/>
        </w:rPr>
        <w:t xml:space="preserve"> </w:t>
      </w:r>
      <w:r>
        <w:rPr>
          <w:rFonts w:hint="eastAsia" w:ascii="宋体" w:hAnsi="宋体" w:cs="宋体"/>
          <w:sz w:val="28"/>
          <w:szCs w:val="28"/>
        </w:rPr>
        <w:t>成交结果确定后，采购人将向成交供应商发出成交通知书。成交供应商应在成交结果公告期满后5个工作日内到采购</w:t>
      </w:r>
      <w:r>
        <w:rPr>
          <w:rFonts w:hint="eastAsia" w:ascii="宋体" w:hAnsi="宋体" w:cs="宋体"/>
          <w:sz w:val="28"/>
          <w:szCs w:val="28"/>
          <w:lang w:eastAsia="zh-CN"/>
        </w:rPr>
        <w:t>人处</w:t>
      </w:r>
      <w:r>
        <w:rPr>
          <w:rFonts w:hint="eastAsia" w:ascii="宋体" w:hAnsi="宋体" w:cs="宋体"/>
          <w:sz w:val="28"/>
          <w:szCs w:val="28"/>
        </w:rPr>
        <w:t>办理领取成交通知书手续，否则，由此产生的后果供应商自负。</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pPr>
        <w:keepNext/>
        <w:keepLines/>
        <w:adjustRightInd w:val="0"/>
        <w:snapToGrid w:val="0"/>
        <w:spacing w:line="460" w:lineRule="exact"/>
        <w:ind w:firstLine="562" w:firstLineChars="200"/>
        <w:outlineLvl w:val="1"/>
        <w:rPr>
          <w:rFonts w:hint="eastAsia" w:ascii="宋体" w:hAnsi="宋体" w:cs="宋体"/>
          <w:b/>
          <w:bCs/>
          <w:kern w:val="0"/>
          <w:sz w:val="28"/>
          <w:szCs w:val="28"/>
        </w:rPr>
      </w:pPr>
      <w:bookmarkStart w:id="74" w:name="_Toc120614220"/>
      <w:bookmarkStart w:id="75" w:name="_Toc513029236"/>
      <w:bookmarkStart w:id="76" w:name="_Toc16938552"/>
      <w:bookmarkStart w:id="77" w:name="_Toc20823308"/>
      <w:r>
        <w:rPr>
          <w:rFonts w:hint="eastAsia" w:ascii="宋体" w:hAnsi="宋体" w:cs="宋体"/>
          <w:b/>
          <w:bCs/>
          <w:kern w:val="0"/>
          <w:sz w:val="28"/>
          <w:szCs w:val="28"/>
        </w:rPr>
        <w:t>七、授予合同</w:t>
      </w:r>
      <w:bookmarkEnd w:id="74"/>
    </w:p>
    <w:bookmarkEnd w:id="75"/>
    <w:bookmarkEnd w:id="76"/>
    <w:bookmarkEnd w:id="77"/>
    <w:p>
      <w:pPr>
        <w:keepNext/>
        <w:adjustRightInd w:val="0"/>
        <w:snapToGrid w:val="0"/>
        <w:spacing w:line="460" w:lineRule="exact"/>
        <w:ind w:firstLine="560" w:firstLineChars="200"/>
        <w:rPr>
          <w:rFonts w:hint="eastAsia" w:ascii="宋体" w:hAnsi="宋体" w:cs="宋体"/>
          <w:b/>
          <w:kern w:val="0"/>
          <w:sz w:val="28"/>
          <w:szCs w:val="28"/>
        </w:rPr>
      </w:pPr>
      <w:bookmarkStart w:id="78" w:name="_Toc16938553"/>
      <w:bookmarkStart w:id="79" w:name="_Toc20823309"/>
      <w:bookmarkStart w:id="80" w:name="_Toc513029237"/>
      <w:r>
        <w:rPr>
          <w:rFonts w:hint="eastAsia" w:ascii="宋体" w:hAnsi="宋体" w:cs="宋体"/>
          <w:kern w:val="0"/>
          <w:sz w:val="28"/>
          <w:szCs w:val="28"/>
        </w:rPr>
        <w:t>1.签订合同</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.l成交供应商应当在成交通知书发出之日起十五日内，按照磋商文件确定的事项与采购人签订采购合同。</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pPr>
        <w:keepNext/>
        <w:adjustRightInd w:val="0"/>
        <w:snapToGrid w:val="0"/>
        <w:spacing w:line="460" w:lineRule="exact"/>
        <w:ind w:firstLine="560" w:firstLineChars="200"/>
        <w:rPr>
          <w:rFonts w:hint="eastAsia" w:ascii="宋体" w:hAnsi="宋体" w:cs="宋体"/>
          <w:b/>
          <w:kern w:val="0"/>
          <w:sz w:val="28"/>
          <w:szCs w:val="28"/>
        </w:rPr>
      </w:pPr>
      <w:r>
        <w:rPr>
          <w:rFonts w:hint="eastAsia" w:ascii="宋体" w:hAnsi="宋体" w:cs="宋体"/>
          <w:kern w:val="0"/>
          <w:sz w:val="28"/>
          <w:szCs w:val="28"/>
        </w:rPr>
        <w:t>2.货物和服务的追加、减少和添购。</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2.1合同履行中，采购人需追加与合同标的相同的货物和服务的，在不改变合同其他条款的前提下，可以与成交供应商协商签订补充合同，但所有补充合同的采购金额不超过原合同金额10%。</w:t>
      </w:r>
    </w:p>
    <w:p>
      <w:pPr>
        <w:keepNext/>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pPr>
        <w:adjustRightInd w:val="0"/>
        <w:snapToGrid w:val="0"/>
        <w:spacing w:line="360" w:lineRule="auto"/>
        <w:ind w:firstLine="562" w:firstLineChars="200"/>
        <w:rPr>
          <w:rFonts w:hint="eastAsia" w:ascii="宋体" w:hAnsi="宋体" w:cs="宋体"/>
          <w:b/>
          <w:sz w:val="28"/>
          <w:szCs w:val="28"/>
        </w:rPr>
      </w:pPr>
    </w:p>
    <w:bookmarkEnd w:id="78"/>
    <w:bookmarkEnd w:id="79"/>
    <w:bookmarkEnd w:id="80"/>
    <w:p>
      <w:pPr>
        <w:adjustRightInd w:val="0"/>
        <w:snapToGrid w:val="0"/>
        <w:spacing w:line="360" w:lineRule="auto"/>
        <w:jc w:val="center"/>
        <w:outlineLvl w:val="0"/>
        <w:rPr>
          <w:rFonts w:hint="eastAsia" w:ascii="宋体" w:hAnsi="宋体" w:cs="宋体"/>
          <w:sz w:val="28"/>
          <w:szCs w:val="28"/>
        </w:rPr>
      </w:pPr>
      <w:r>
        <w:rPr>
          <w:rFonts w:hint="eastAsia" w:ascii="宋体" w:hAnsi="宋体" w:cs="宋体"/>
          <w:bCs/>
          <w:sz w:val="36"/>
          <w:szCs w:val="36"/>
        </w:rPr>
        <w:br w:type="page"/>
      </w:r>
      <w:r>
        <w:rPr>
          <w:rFonts w:hint="eastAsia" w:ascii="宋体" w:hAnsi="宋体" w:cs="宋体"/>
          <w:bCs/>
          <w:sz w:val="36"/>
          <w:szCs w:val="36"/>
        </w:rPr>
        <w:t>第三部分 项目需求</w:t>
      </w:r>
    </w:p>
    <w:p>
      <w:pPr>
        <w:adjustRightInd w:val="0"/>
        <w:snapToGrid w:val="0"/>
        <w:spacing w:line="460" w:lineRule="exact"/>
        <w:ind w:firstLine="562" w:firstLineChars="200"/>
        <w:rPr>
          <w:rFonts w:hint="eastAsia" w:ascii="宋体" w:hAnsi="宋体" w:cs="宋体"/>
          <w:b/>
          <w:bCs/>
          <w:sz w:val="28"/>
          <w:szCs w:val="28"/>
        </w:rPr>
      </w:pPr>
      <w:r>
        <w:rPr>
          <w:rFonts w:hint="eastAsia" w:ascii="宋体" w:hAnsi="宋体" w:cs="宋体"/>
          <w:b/>
          <w:bCs/>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hint="eastAsia" w:ascii="宋体" w:hAnsi="宋体" w:cs="宋体"/>
          <w:b/>
          <w:bCs/>
          <w:sz w:val="28"/>
          <w:szCs w:val="28"/>
          <w:lang w:val="zh-CN"/>
        </w:rPr>
      </w:pPr>
      <w:r>
        <w:rPr>
          <w:rFonts w:hint="eastAsia" w:ascii="宋体" w:hAnsi="宋体" w:cs="宋体"/>
          <w:b/>
          <w:bCs/>
          <w:sz w:val="28"/>
          <w:szCs w:val="28"/>
        </w:rPr>
        <w:t>一、</w:t>
      </w:r>
      <w:r>
        <w:rPr>
          <w:rFonts w:hint="eastAsia" w:ascii="宋体" w:hAnsi="宋体" w:cs="宋体"/>
          <w:b/>
          <w:bCs/>
          <w:sz w:val="28"/>
          <w:szCs w:val="28"/>
          <w:lang w:val="zh-CN"/>
        </w:rPr>
        <w:t>项目概况</w:t>
      </w:r>
    </w:p>
    <w:p>
      <w:pPr>
        <w:keepNext w:val="0"/>
        <w:keepLines w:val="0"/>
        <w:pageBreakBefore w:val="0"/>
        <w:widowControl/>
        <w:kinsoku/>
        <w:wordWrap/>
        <w:overflowPunct/>
        <w:topLinePunct w:val="0"/>
        <w:autoSpaceDE/>
        <w:autoSpaceDN/>
        <w:bidi w:val="0"/>
        <w:adjustRightInd/>
        <w:spacing w:line="460" w:lineRule="exact"/>
        <w:ind w:firstLine="560" w:firstLineChars="200"/>
        <w:textAlignment w:val="auto"/>
        <w:rPr>
          <w:rFonts w:hint="eastAsia" w:ascii="宋体" w:hAnsi="宋体" w:eastAsia="宋体" w:cs="宋体"/>
          <w:sz w:val="28"/>
          <w:szCs w:val="28"/>
          <w:highlight w:val="white"/>
          <w:lang w:val="zh-CN"/>
        </w:rPr>
      </w:pPr>
      <w:r>
        <w:rPr>
          <w:rFonts w:hint="eastAsia" w:ascii="宋体" w:hAnsi="宋体" w:eastAsia="宋体" w:cs="宋体"/>
          <w:sz w:val="28"/>
          <w:szCs w:val="28"/>
          <w:highlight w:val="white"/>
          <w:lang w:val="zh-CN"/>
        </w:rPr>
        <w:t>本项目为南通市虹桥二中消防维保项目，为保障学校财产和人员生命安全，保持消防设备设施正常有效运行，特对校园消防设备设施提供维修保养服务。</w:t>
      </w:r>
    </w:p>
    <w:p>
      <w:pPr>
        <w:keepNext w:val="0"/>
        <w:keepLines w:val="0"/>
        <w:pageBreakBefore w:val="0"/>
        <w:widowControl/>
        <w:kinsoku/>
        <w:wordWrap/>
        <w:overflowPunct/>
        <w:topLinePunct w:val="0"/>
        <w:autoSpaceDE/>
        <w:autoSpaceDN/>
        <w:bidi w:val="0"/>
        <w:adjustRightInd/>
        <w:spacing w:line="460" w:lineRule="exact"/>
        <w:ind w:firstLine="562" w:firstLineChars="200"/>
        <w:textAlignment w:val="auto"/>
        <w:rPr>
          <w:rFonts w:ascii="宋体" w:hAnsi="宋体" w:cs="宋体"/>
          <w:b/>
          <w:bCs/>
          <w:sz w:val="28"/>
          <w:szCs w:val="28"/>
          <w:highlight w:val="none"/>
        </w:rPr>
      </w:pPr>
      <w:r>
        <w:rPr>
          <w:rFonts w:hint="eastAsia" w:ascii="宋体" w:hAnsi="宋体" w:cs="宋体"/>
          <w:b/>
          <w:bCs/>
          <w:sz w:val="28"/>
          <w:szCs w:val="28"/>
        </w:rPr>
        <w:t>二、消防维保服务范围（包括但不限于以下内容）及要求</w:t>
      </w:r>
      <w:r>
        <w:rPr>
          <w:rFonts w:hint="eastAsia" w:ascii="宋体" w:hAnsi="宋体" w:cs="宋体"/>
          <w:b/>
          <w:bCs/>
          <w:sz w:val="28"/>
          <w:szCs w:val="28"/>
          <w:lang w:eastAsia="zh-CN"/>
        </w:rPr>
        <w:t>，</w:t>
      </w:r>
      <w:r>
        <w:rPr>
          <w:rFonts w:hint="eastAsia" w:ascii="宋体" w:hAnsi="宋体" w:cs="宋体"/>
          <w:b/>
          <w:bCs/>
          <w:sz w:val="28"/>
          <w:szCs w:val="28"/>
          <w:highlight w:val="none"/>
          <w:lang w:val="en-US" w:eastAsia="zh-CN"/>
        </w:rPr>
        <w:t>所有年季月日的检查必须有学校工作人员参加，并且签字。</w:t>
      </w:r>
    </w:p>
    <w:p>
      <w:pPr>
        <w:keepNext w:val="0"/>
        <w:keepLines w:val="0"/>
        <w:pageBreakBefore w:val="0"/>
        <w:kinsoku/>
        <w:wordWrap/>
        <w:overflowPunct/>
        <w:topLinePunct w:val="0"/>
        <w:autoSpaceDE/>
        <w:autoSpaceDN/>
        <w:bidi w:val="0"/>
        <w:adjustRightInd/>
        <w:spacing w:line="460" w:lineRule="exact"/>
        <w:ind w:firstLine="562" w:firstLineChars="200"/>
        <w:textAlignment w:val="auto"/>
        <w:rPr>
          <w:rFonts w:hint="default" w:ascii="宋体" w:hAnsi="宋体" w:eastAsia="宋体" w:cs="宋体"/>
          <w:b/>
          <w:bCs/>
          <w:sz w:val="28"/>
          <w:szCs w:val="28"/>
          <w:lang w:val="en-US" w:eastAsia="zh-CN"/>
        </w:rPr>
      </w:pPr>
      <w:r>
        <w:rPr>
          <w:rFonts w:hint="eastAsia" w:ascii="宋体" w:hAnsi="宋体" w:cs="宋体"/>
          <w:b/>
          <w:bCs/>
          <w:sz w:val="28"/>
          <w:szCs w:val="28"/>
        </w:rPr>
        <w:t>（一）火灾自动报警系统（含消防广播、消防电话、电气火灾监控系统）</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1、每月检查和试验火灾自动报警系统的下列功能：</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（1）检查复位、消音、故障报警等功能是否正常。如发现不正常，做好记录并及时处理；</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（2）试验火灾报警主机的声、光显示及自检是否正常；</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（3）主电源和备用电源自动转换试验，检查其功能是否正常；</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（4）检查手动／自动转换开关，如电源转换开关、灭火转换开关等是否正常；</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（5）直观检查所有消防用电设备的动力线、控制线、报警信号传输线、接地线、接线盒及设备等是否处于安全无损状态；</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（6）采用加烟(或加温)的方法分期分批(10％)试验探测器的动作是否正常，及确认灯显示。试验中发现有故障或失效的探测器应及时拆换。</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（7）巡视检查探测器、手动报警按钮和指示装置的位置是否准确，有无缺漏、脱落和丢失，每个探测器的下方及周围各方向，手动报警按钮的周围是否留有规定的空白空间。</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（8）维修保养电话插孔、重要场所的对讲电话、播音设备、扬声器等使之处于正常完好状态。</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2、每季度检查和试验火灾自动报警系统的下列功能</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（1）触发产生终端设备的监测信号，火灾报警传输设备或用户信息传输装置应接收到相关信息，并将上述信息上传，查看城市消防监控中心，应收到相关信息。</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（2）切断主电源，能自动转换到备用电源；主电源恢复时，能自动转换到主电源；应有主、备电源工作状态指示。</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（3）图形显示装置：在测试火灾报警控制器和消防联动控制器的火灾报警功能及故障报警功能时，观察图形显示装置，应能准确显示相应信号的物理位置，并能优先显示火灾报警信号相对应的界面。</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（4）在测试火灾报警控制器和消防联动控制器的火灾报警功能及故障报警功能时，核对火灾显示盘报警信息及位置，应和火灾报警控制器显示一致；应能发出警报声音，并具备消音、复位功能。</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（5）对于非火灾报警控制器供电的火灾显示盘（区域显示器），关闭主电源，观察备用电源转换及故障报警情况。</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（6）对电话插孔和对讲电话的通话功能、事故应急广播进行试验，并对试验中发现的问题和故障加以排除。</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3、每年检查和试验火灾自动报警系统的下列功能</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（1）采用加烟(或加温)的方法对安装的所有探测器、手动报警按钮全部检查试验一遍；</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（2）应保证每年对每一只输出模块至少进行一次启动功能试验检查；</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（3）每年应保证对每一台区域显示器至少进行一次火灾报警显示功能检查；</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（4）每年应保证对每一只火灾警报器至少进行一次火灾警报功能检查；</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（5）主电源和备用电源自动转换试验，检查其功能是否正常；</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（6）检查手动／自动转换开关，如电源转换开关、灭火转换开关等转换开关是否正常；</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（7）检查所有接线端子是否有松动、破损和脱落现象；</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（8）清扫控制器（柜）外表面灰尘，用吹尘器或刷子清除柜内灰尘杂物；</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（9）按规定，探测器应当投入使用2年后每隔3年全部进行检测清洗一遍。清洗后作响应阈值及其他必要的功能试验，试验不合格探测器一律报废，更换新的探测器。</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（二）消防给水系统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1、消防储水设备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（1）每月查看消防储水设备水位及消防用水不被他用的状况；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（2）每月查看补水设施；</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w:t>
      </w:r>
      <w:r>
        <w:rPr>
          <w:rFonts w:hint="eastAsia" w:ascii="宋体" w:hAnsi="宋体" w:eastAsia="宋体" w:cs="宋体"/>
          <w:kern w:val="0"/>
          <w:sz w:val="28"/>
          <w:szCs w:val="28"/>
          <w:lang w:val="en-US" w:eastAsia="zh-CN" w:bidi="ar-SA"/>
        </w:rPr>
        <w:t>3</w:t>
      </w:r>
      <w:r>
        <w:rPr>
          <w:rFonts w:hint="eastAsia" w:ascii="宋体" w:hAnsi="宋体" w:eastAsia="宋体" w:cs="宋体"/>
          <w:kern w:val="0"/>
          <w:sz w:val="28"/>
          <w:szCs w:val="28"/>
          <w:lang w:val="zh-CN" w:eastAsia="zh-CN" w:bidi="ar-SA"/>
        </w:rPr>
        <w:t>）消防水池、消防水箱的水根据当地环境、气候条件不定期更换；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w:t>
      </w:r>
      <w:r>
        <w:rPr>
          <w:rFonts w:hint="eastAsia" w:ascii="宋体" w:hAnsi="宋体" w:eastAsia="宋体" w:cs="宋体"/>
          <w:kern w:val="0"/>
          <w:sz w:val="28"/>
          <w:szCs w:val="28"/>
          <w:lang w:val="en-US" w:eastAsia="zh-CN" w:bidi="ar-SA"/>
        </w:rPr>
        <w:t>4</w:t>
      </w:r>
      <w:r>
        <w:rPr>
          <w:rFonts w:hint="eastAsia" w:ascii="宋体" w:hAnsi="宋体" w:eastAsia="宋体" w:cs="宋体"/>
          <w:kern w:val="0"/>
          <w:sz w:val="28"/>
          <w:szCs w:val="28"/>
          <w:lang w:val="zh-CN" w:eastAsia="zh-CN" w:bidi="ar-SA"/>
        </w:rPr>
        <w:t>）寒冷季节，对消防储水设备及时检查，确保任何部位均不得结冰，保证水源充足；</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每年对消防储水设备进行检查，修补缺损和重新油漆。</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2、消防管路系统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（1）观察稳压泵的启动频率，确定管网有无渗漏现象；</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（2）外观检查：检查管道有无机械损伤、油漆脱落、锈蚀等，管道固定是否牢固，发现问题应及时处理；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（3）清除堵塞：系统管道中,可能因施工疏忽残留有砂、石、木屑或水源带来的垃圾、铁锈等，这样会造成喷头堵塞、报警阀关闭不严、水力警铃输水管堵塞等；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（4）每季度需对不少于20%的管道末端进行放水，确保管道内的水质良好，并对水流指示器的报警功能进行检查。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3、稳压泵及气压水罐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每月检查应依据如下步骤进行﹕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（1）打开排气阀，检查是否能够自动加压；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（2）打开试验排水阀，检查减水时能否自动供水，加压装置及供水装置压力表是否显示正常；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（3）打开排气阀或试验排水阀时，为防止气压水罐内的压力较高造成危险应慢慢将阀门打开。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4、消防水泵</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（1）每月查看水泵和阀门的标志；转动阀门手轮，检查阀门状态；观察阀杆及手轮位置；阀杆是否需要加注润滑油。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每月在泵房控制柜处启动水泵，查看运行情况。消防水泵应每月启动运转1～3次；当消防水泵为自动控制启动时，应每月类比自动控制的条件启动运转1～3次。手动、自动控制启水泵1～3次，查信号有否反馈，水压是否上升，电机转动是否正常。有无变形、发热等状况。轴与电机、连接部件是否有松动、锈蚀、变形、发热，是否要加油。运行时间一般不少于5分钟。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（3）每月在消防主机控制室启动水泵，查看运行及反馈信号。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（4）每月检查消防水泵动力运行是否可靠，水泵能否正常运转，流量和压力能否保证；电力上有无保证不间断供电设施，其性能是否良好。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（5）每月检查主、备泵能否自动切换。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（6）每月检查压力表是否变形、水泵启动后动作是否正常。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（7）每月启动水泵后，打开试验阀，观察压力保持情况。</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5、</w:t>
      </w:r>
      <w:r>
        <w:rPr>
          <w:rFonts w:hint="eastAsia" w:ascii="宋体" w:hAnsi="宋体" w:eastAsia="宋体" w:cs="宋体"/>
          <w:kern w:val="0"/>
          <w:sz w:val="28"/>
          <w:szCs w:val="28"/>
          <w:lang w:val="zh-CN" w:eastAsia="zh-CN" w:bidi="ar-SA"/>
        </w:rPr>
        <w:t>消防水泵接合器的接口及附件、标志牌每月检查一次，保证接口完好、无渗漏、闷盖齐全。</w:t>
      </w:r>
      <w:r>
        <w:rPr>
          <w:rFonts w:hint="eastAsia" w:ascii="宋体" w:hAnsi="宋体" w:eastAsia="宋体" w:cs="宋体"/>
          <w:kern w:val="0"/>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6、室内消火栓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每月对消火栓进行如下检查﹕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（1）确保消火栓周围没有障碍物阻挡,取用方便；</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（2）确保消火栓外观整洁、标示清晰、无机械损伤及严重腐蚀；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（3）检查消火栓有无生锈漏水现象;栓口的橡胶垫圈等密封件有无损坏或丢失;消火栓的闸阀开启是否灵活，必要时应对阀杆加润滑油。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（4）对室内消火栓还应检查消火栓箱内的水枪、水带等设备是否完备配套，水龙带有无霉腐；破玻按钮工作状态正常。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7、室外消火栓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室外消火栓应每季度进行一次检查保养，其内容主要包括：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（1）用专用扳手转动消火栓启闭杆，观察其灵活性。必要时加注润滑油。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（2）检查出水口闷盖是否密封，有无缺损。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（3）检查栓体外表油漆有无剥落，有无锈蚀，如有应及时修补。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（4）每年开春后入冬前对地上消火栓逐一进行出水试验。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 xml:space="preserve">（5）定期检查消火栓前端阀门井。 </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（6）保持配套器材的完备有效。</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（三）自动喷水灭火系统（含自动跟踪定位射流系统）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1、每月检查并启动电磁阀试验，动作失常时及时更换。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2、系统上所有的控制阀门均采用铅封或锁链固定在开启或规定的状态。每月对铅封、锁链进行一次检查，当有破坏或损坏时应及时修理更换。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3、每月对自动喷水头进行一次外观及备用数量检查，发现有不正常的喷头及时更换；当喷头上有异物时应及时消除。更换或安装喷头均使用专用工具。</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4、每月对自动喷水系统的压力进行检查，任何应处于开启状态的阀门是否被关闭，压力表是否正常，系统压力是否处于正常状态，如发现问题及时处理。</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（四）应急照明和疏散指示系统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1、每月检查应急照明和疏散指示灯，是否处于正常充电及等候状态，对持续运行的消防应急照明灯，检查光源是否正常点亮，如光源故障及时处理更换；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2、日常维护中发现应急照明和疏散指示灯损坏，及时维修更换；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3、每季作一次应急灯转换试验，以检验消防照明灯能否正常投入应急状态；</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4、每季作一次全充放试验。</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（五）防火分隔阻火系统（含防火门监控系统）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1、防火卷帘门维护保养：</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（1）每月定期运行检查；</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（2）清除卷闸电机及传动链条表面灰尘，并加润滑油；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（3）检查控制箱内器件，紧固接线端子，清洁箱内及表面灰尘；</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（4）检查手动开关控制盒，清洁按钮上的污物；</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（5）检查卷闸上下行程开关，开关滑轨加润滑油；</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（6）检查电动刹车手动开关和手动起闸装置；</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（7）手动上升和下降防火闸，检查运行情况，并调整上下行程开关位置，令卷闸开启或关闭处于适当的位置。测试过程严防卷闸冲顶或冲底；</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（8）靠近卷闸附近的烟、温感检查自动落闸，消防中心监控员在联动台上测试遥控落闸功能；</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2、防火门维护保养：</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（1）每月检查防火门的开启力度是否适中，闭门器有无漏油或松动；</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（2）检查防火门的密封性是否良好，钢质防火门有无生锈、脱漆现象；</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（3）检查双扇防火门的关闭顺序是否正确；</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（4）检查防火门、防火卷帘门周围有无影响门正常启闭的障碍物，门能否处于正常启、闭状态，门的附件是否齐全完好。</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3、每季试验自动方式启动防火卷帘门、防火门和手动按钮启动防火卷帘门，抽检数量不少于总数的30%。</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（六）防排烟系统</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1、按设备规定的保养计划进行机器的保养。</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（1）手动盘动风机检查松紧度，发现异常马上检修；</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（2）检查风机的风叶，清楚表面灰尘；</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（3）加注润滑油，检查坚固风机接线端子；</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（4）清除控制箱表面和内部的灰尘，检查箱内器件；</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（5）检查风机与风管间的软界，发现破损应立即更换；</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（6）手动启动风机检查运行情况；</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（7）定期对防火阀、排烟防火阀的操作机构加油润滑，确保机构传动灵活可靠。</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2、每月检查排烟机的工作环境以及排烟机、电源控制柜、排烟口、防火阀等是否处于正常完好状态。</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3、每月实验手动方式启动防排烟机，每季试验联动防排烟一次，抽检数量不少于总数的20%。每半年试验自动方式打开排烟口、启动排烟机，抽检数量不少于总数50%。</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（七）灭火器的维护保养</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1、检查移动式灭火器（手提式）压力指针是否在绿区；</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2、检查移动式灭火器外观是否完好，有无变形、脱漆或配件缺失；</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3、检查移动式灭火器药剂贮瓶有无过期失效。</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（八）微型消防站的维护</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检查微型消防站器械是否齐全、功能完好；</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（九）制作消防平面图（采用亚克力板反打制作）</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1、消防控制室：</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（1）消防总平面布局图，标明消防通道、扑救面、室外消火栓、水泵接合器、消控室位置、建筑通向室外主要出口、学校出入口等部位；</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（2）将各楼宇报警设备编号点位定位楼层图平面图并以纸张的形式粘贴于消控室以便发生报警时及时对照。</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2、各单体建筑每层疏散引导图。</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3、消防标识标牌材料费用由成交供应商承担。</w:t>
      </w:r>
    </w:p>
    <w:p>
      <w:pPr>
        <w:keepNext w:val="0"/>
        <w:keepLines w:val="0"/>
        <w:pageBreakBefore w:val="0"/>
        <w:widowControl w:val="0"/>
        <w:kinsoku/>
        <w:wordWrap/>
        <w:overflowPunct/>
        <w:topLinePunct w:val="0"/>
        <w:autoSpaceDE/>
        <w:autoSpaceDN/>
        <w:bidi w:val="0"/>
        <w:adjustRightInd/>
        <w:spacing w:line="460" w:lineRule="exact"/>
        <w:ind w:firstLine="562" w:firstLineChars="200"/>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（十）其他</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1、每年不少于4次消防活动，包括单位人员培训至少2次及消防演练至少2次，要求成交供应商邀请消防支队参加。</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2、每年对消防系统进行一次综合试验，同时出具年度消防设备维护保养总结报告，保证年度检测时合格；如有不合格项目，乙方负责及时整改和维护，并承担相应费用，确保消防系统正常安全运行。</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outlineLvl w:val="0"/>
        <w:rPr>
          <w:rFonts w:hint="eastAsia" w:ascii="宋体" w:hAnsi="宋体" w:eastAsia="宋体" w:cs="宋体"/>
          <w:kern w:val="0"/>
          <w:sz w:val="28"/>
          <w:szCs w:val="28"/>
          <w:lang w:val="zh-CN" w:eastAsia="zh-CN" w:bidi="ar-SA"/>
        </w:rPr>
      </w:pPr>
      <w:r>
        <w:rPr>
          <w:rFonts w:hint="eastAsia" w:ascii="宋体" w:hAnsi="宋体" w:eastAsia="宋体" w:cs="宋体"/>
          <w:kern w:val="0"/>
          <w:sz w:val="28"/>
          <w:szCs w:val="28"/>
          <w:lang w:val="zh-CN" w:eastAsia="zh-CN" w:bidi="ar-SA"/>
        </w:rPr>
        <w:t>3、现场维保、施工人员必须具有作业人员上岗证书。拆卸、搬迁和安装过程中，不得损坏其它公共设施及个人财产，文明施工，工完场清。供应商自带维护施工所需用具，并能正确使用各种操作工具，确保施工人员和采购单位相关工作人员的人身和财产的安全；</w:t>
      </w:r>
    </w:p>
    <w:p>
      <w:pPr>
        <w:spacing w:line="460" w:lineRule="exact"/>
        <w:ind w:firstLine="562" w:firstLineChars="200"/>
        <w:rPr>
          <w:rFonts w:hint="eastAsia" w:ascii="宋体" w:hAnsi="宋体" w:cs="宋体"/>
          <w:b/>
          <w:bCs/>
          <w:sz w:val="28"/>
          <w:szCs w:val="28"/>
        </w:rPr>
      </w:pPr>
    </w:p>
    <w:p>
      <w:pPr>
        <w:spacing w:line="460" w:lineRule="exact"/>
        <w:ind w:firstLine="562" w:firstLineChars="200"/>
        <w:rPr>
          <w:rFonts w:hint="eastAsia" w:ascii="宋体" w:hAnsi="宋体" w:cs="宋体"/>
          <w:b/>
          <w:bCs/>
          <w:sz w:val="28"/>
          <w:szCs w:val="28"/>
          <w:lang w:val="zh-CN"/>
        </w:rPr>
      </w:pPr>
      <w:r>
        <w:rPr>
          <w:rFonts w:hint="eastAsia" w:ascii="宋体" w:hAnsi="宋体" w:cs="宋体"/>
          <w:b/>
          <w:bCs/>
          <w:sz w:val="28"/>
          <w:szCs w:val="28"/>
        </w:rPr>
        <w:t>三、</w:t>
      </w:r>
      <w:r>
        <w:rPr>
          <w:rFonts w:hint="eastAsia" w:ascii="宋体" w:hAnsi="宋体" w:cs="宋体"/>
          <w:b/>
          <w:bCs/>
          <w:sz w:val="28"/>
          <w:szCs w:val="28"/>
          <w:lang w:val="zh-CN"/>
        </w:rPr>
        <w:t>耗材及配件费用说明</w:t>
      </w:r>
    </w:p>
    <w:p>
      <w:pPr>
        <w:pStyle w:val="23"/>
        <w:spacing w:before="0" w:beforeAutospacing="0" w:after="0" w:afterAutospacing="0" w:line="460" w:lineRule="exact"/>
        <w:ind w:firstLine="560" w:firstLineChars="200"/>
        <w:rPr>
          <w:rFonts w:hint="eastAsia"/>
          <w:sz w:val="28"/>
          <w:szCs w:val="28"/>
        </w:rPr>
      </w:pPr>
      <w:r>
        <w:rPr>
          <w:rFonts w:hint="eastAsia"/>
          <w:sz w:val="28"/>
          <w:szCs w:val="28"/>
        </w:rPr>
        <w:t>1、单价100元以内的耗材及配件由中标方免费提供并更换。配件及耗材包括但不限于以下内容：</w:t>
      </w:r>
    </w:p>
    <w:tbl>
      <w:tblPr>
        <w:tblStyle w:val="28"/>
        <w:tblW w:w="6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977"/>
        <w:gridCol w:w="1991"/>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序号</w:t>
            </w:r>
          </w:p>
        </w:tc>
        <w:tc>
          <w:tcPr>
            <w:tcW w:w="2977" w:type="dxa"/>
            <w:noWrap/>
            <w:vAlign w:val="bottom"/>
          </w:tcPr>
          <w:p>
            <w:pPr>
              <w:widowControl/>
              <w:jc w:val="center"/>
              <w:rPr>
                <w:rFonts w:ascii="宋体" w:hAnsi="宋体"/>
                <w:kern w:val="0"/>
                <w:sz w:val="24"/>
              </w:rPr>
            </w:pPr>
            <w:r>
              <w:rPr>
                <w:rFonts w:hint="eastAsia" w:ascii="宋体" w:hAnsi="宋体"/>
                <w:kern w:val="0"/>
                <w:sz w:val="24"/>
              </w:rPr>
              <w:t>设备名称</w:t>
            </w:r>
          </w:p>
        </w:tc>
        <w:tc>
          <w:tcPr>
            <w:tcW w:w="1991" w:type="dxa"/>
            <w:noWrap/>
            <w:vAlign w:val="bottom"/>
          </w:tcPr>
          <w:p>
            <w:pPr>
              <w:widowControl/>
              <w:jc w:val="center"/>
              <w:rPr>
                <w:rFonts w:ascii="宋体" w:hAnsi="宋体"/>
                <w:kern w:val="0"/>
                <w:sz w:val="24"/>
              </w:rPr>
            </w:pPr>
            <w:r>
              <w:rPr>
                <w:rFonts w:hint="eastAsia" w:ascii="宋体" w:hAnsi="宋体"/>
                <w:kern w:val="0"/>
                <w:sz w:val="24"/>
              </w:rPr>
              <w:t>型号</w:t>
            </w:r>
          </w:p>
        </w:tc>
        <w:tc>
          <w:tcPr>
            <w:tcW w:w="844" w:type="dxa"/>
            <w:noWrap/>
            <w:vAlign w:val="bottom"/>
          </w:tcPr>
          <w:p>
            <w:pPr>
              <w:widowControl/>
              <w:jc w:val="center"/>
              <w:rPr>
                <w:rFonts w:ascii="宋体" w:hAnsi="宋体"/>
                <w:kern w:val="0"/>
                <w:sz w:val="24"/>
              </w:rPr>
            </w:pPr>
            <w:r>
              <w:rPr>
                <w:rFonts w:hint="eastAsia" w:ascii="宋体" w:hAnsi="宋体"/>
                <w:kern w:val="0"/>
                <w:sz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1</w:t>
            </w:r>
          </w:p>
        </w:tc>
        <w:tc>
          <w:tcPr>
            <w:tcW w:w="2977" w:type="dxa"/>
            <w:noWrap/>
            <w:vAlign w:val="bottom"/>
          </w:tcPr>
          <w:p>
            <w:pPr>
              <w:widowControl/>
              <w:jc w:val="center"/>
              <w:rPr>
                <w:rFonts w:ascii="宋体" w:hAnsi="宋体"/>
                <w:kern w:val="0"/>
                <w:sz w:val="24"/>
              </w:rPr>
            </w:pPr>
            <w:r>
              <w:rPr>
                <w:rFonts w:hint="eastAsia" w:ascii="宋体" w:hAnsi="宋体"/>
                <w:kern w:val="0"/>
                <w:sz w:val="24"/>
              </w:rPr>
              <w:t>沟槽件</w:t>
            </w:r>
          </w:p>
        </w:tc>
        <w:tc>
          <w:tcPr>
            <w:tcW w:w="1991" w:type="dxa"/>
            <w:noWrap/>
            <w:vAlign w:val="bottom"/>
          </w:tcPr>
          <w:p>
            <w:pPr>
              <w:widowControl/>
              <w:jc w:val="center"/>
              <w:rPr>
                <w:rFonts w:ascii="宋体" w:hAnsi="宋体"/>
                <w:kern w:val="0"/>
                <w:sz w:val="24"/>
              </w:rPr>
            </w:pPr>
            <w:r>
              <w:rPr>
                <w:rFonts w:ascii="宋体" w:hAnsi="宋体"/>
                <w:kern w:val="0"/>
                <w:sz w:val="24"/>
              </w:rPr>
              <w:t xml:space="preserve"> DN65</w:t>
            </w:r>
            <w:r>
              <w:rPr>
                <w:rFonts w:hint="eastAsia" w:ascii="宋体" w:hAnsi="宋体"/>
                <w:kern w:val="0"/>
                <w:sz w:val="24"/>
              </w:rPr>
              <w:t>～</w:t>
            </w:r>
            <w:r>
              <w:rPr>
                <w:rFonts w:ascii="宋体" w:hAnsi="宋体"/>
                <w:kern w:val="0"/>
                <w:sz w:val="24"/>
              </w:rPr>
              <w:t>DN150</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2</w:t>
            </w:r>
          </w:p>
        </w:tc>
        <w:tc>
          <w:tcPr>
            <w:tcW w:w="2977" w:type="dxa"/>
            <w:noWrap/>
            <w:vAlign w:val="bottom"/>
          </w:tcPr>
          <w:p>
            <w:pPr>
              <w:widowControl/>
              <w:jc w:val="center"/>
              <w:rPr>
                <w:rFonts w:ascii="宋体" w:hAnsi="宋体"/>
                <w:kern w:val="0"/>
                <w:sz w:val="24"/>
              </w:rPr>
            </w:pPr>
            <w:r>
              <w:rPr>
                <w:rFonts w:hint="eastAsia" w:ascii="宋体" w:hAnsi="宋体"/>
                <w:kern w:val="0"/>
                <w:sz w:val="24"/>
              </w:rPr>
              <w:t>小铜嘴阀门</w:t>
            </w:r>
          </w:p>
        </w:tc>
        <w:tc>
          <w:tcPr>
            <w:tcW w:w="1991" w:type="dxa"/>
            <w:noWrap/>
            <w:vAlign w:val="bottom"/>
          </w:tcPr>
          <w:p>
            <w:pPr>
              <w:widowControl/>
              <w:jc w:val="center"/>
              <w:rPr>
                <w:rFonts w:ascii="宋体" w:hAnsi="宋体"/>
                <w:kern w:val="0"/>
                <w:sz w:val="24"/>
              </w:rPr>
            </w:pPr>
            <w:r>
              <w:rPr>
                <w:rFonts w:ascii="宋体" w:hAnsi="宋体"/>
                <w:kern w:val="0"/>
                <w:sz w:val="24"/>
              </w:rPr>
              <w:t xml:space="preserve"> DN15</w:t>
            </w:r>
            <w:r>
              <w:rPr>
                <w:rFonts w:hint="eastAsia" w:ascii="宋体" w:hAnsi="宋体"/>
                <w:kern w:val="0"/>
                <w:sz w:val="24"/>
              </w:rPr>
              <w:t>～</w:t>
            </w:r>
            <w:r>
              <w:rPr>
                <w:rFonts w:ascii="宋体" w:hAnsi="宋体"/>
                <w:kern w:val="0"/>
                <w:sz w:val="24"/>
              </w:rPr>
              <w:t>DN25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3</w:t>
            </w:r>
          </w:p>
        </w:tc>
        <w:tc>
          <w:tcPr>
            <w:tcW w:w="2977" w:type="dxa"/>
            <w:noWrap/>
            <w:vAlign w:val="bottom"/>
          </w:tcPr>
          <w:p>
            <w:pPr>
              <w:widowControl/>
              <w:jc w:val="center"/>
              <w:rPr>
                <w:rFonts w:ascii="宋体" w:hAnsi="宋体"/>
                <w:kern w:val="0"/>
                <w:sz w:val="24"/>
              </w:rPr>
            </w:pPr>
            <w:r>
              <w:rPr>
                <w:rFonts w:hint="eastAsia" w:ascii="宋体" w:hAnsi="宋体"/>
                <w:kern w:val="0"/>
                <w:sz w:val="24"/>
              </w:rPr>
              <w:t>室内消火栓栓头</w:t>
            </w:r>
          </w:p>
        </w:tc>
        <w:tc>
          <w:tcPr>
            <w:tcW w:w="1991" w:type="dxa"/>
            <w:noWrap/>
            <w:vAlign w:val="bottom"/>
          </w:tcPr>
          <w:p>
            <w:pPr>
              <w:widowControl/>
              <w:jc w:val="center"/>
              <w:rPr>
                <w:rFonts w:ascii="宋体" w:hAnsi="宋体"/>
                <w:kern w:val="0"/>
                <w:sz w:val="24"/>
              </w:rPr>
            </w:pPr>
            <w:r>
              <w:rPr>
                <w:rFonts w:ascii="宋体" w:hAnsi="宋体"/>
                <w:kern w:val="0"/>
                <w:sz w:val="24"/>
              </w:rPr>
              <w:t>DN65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4</w:t>
            </w:r>
          </w:p>
        </w:tc>
        <w:tc>
          <w:tcPr>
            <w:tcW w:w="2977" w:type="dxa"/>
            <w:noWrap/>
            <w:vAlign w:val="bottom"/>
          </w:tcPr>
          <w:p>
            <w:pPr>
              <w:widowControl/>
              <w:jc w:val="center"/>
              <w:rPr>
                <w:rFonts w:ascii="宋体" w:hAnsi="宋体"/>
                <w:kern w:val="0"/>
                <w:sz w:val="24"/>
              </w:rPr>
            </w:pPr>
            <w:r>
              <w:rPr>
                <w:rFonts w:hint="eastAsia" w:ascii="宋体" w:hAnsi="宋体"/>
                <w:kern w:val="0"/>
                <w:sz w:val="24"/>
              </w:rPr>
              <w:t>室内消火栓手轮</w:t>
            </w:r>
          </w:p>
        </w:tc>
        <w:tc>
          <w:tcPr>
            <w:tcW w:w="1991" w:type="dxa"/>
            <w:noWrap/>
            <w:vAlign w:val="bottom"/>
          </w:tcPr>
          <w:p>
            <w:pPr>
              <w:widowControl/>
              <w:jc w:val="center"/>
              <w:rPr>
                <w:rFonts w:ascii="宋体" w:hAnsi="宋体"/>
                <w:kern w:val="0"/>
                <w:sz w:val="24"/>
              </w:rPr>
            </w:pPr>
            <w:r>
              <w:rPr>
                <w:rFonts w:ascii="宋体" w:hAnsi="宋体"/>
                <w:kern w:val="0"/>
                <w:sz w:val="24"/>
              </w:rPr>
              <w:t>DN65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5</w:t>
            </w:r>
          </w:p>
        </w:tc>
        <w:tc>
          <w:tcPr>
            <w:tcW w:w="2977" w:type="dxa"/>
            <w:noWrap/>
            <w:vAlign w:val="bottom"/>
          </w:tcPr>
          <w:p>
            <w:pPr>
              <w:widowControl/>
              <w:jc w:val="center"/>
              <w:rPr>
                <w:rFonts w:ascii="宋体" w:hAnsi="宋体"/>
                <w:kern w:val="0"/>
                <w:sz w:val="24"/>
              </w:rPr>
            </w:pPr>
            <w:r>
              <w:rPr>
                <w:rFonts w:hint="eastAsia" w:ascii="宋体" w:hAnsi="宋体"/>
                <w:kern w:val="0"/>
                <w:sz w:val="24"/>
              </w:rPr>
              <w:t>室内消火栓接扣</w:t>
            </w:r>
          </w:p>
        </w:tc>
        <w:tc>
          <w:tcPr>
            <w:tcW w:w="1991" w:type="dxa"/>
            <w:noWrap/>
            <w:vAlign w:val="bottom"/>
          </w:tcPr>
          <w:p>
            <w:pPr>
              <w:widowControl/>
              <w:jc w:val="center"/>
              <w:rPr>
                <w:rFonts w:ascii="宋体" w:hAnsi="宋体"/>
                <w:kern w:val="0"/>
                <w:sz w:val="24"/>
              </w:rPr>
            </w:pPr>
            <w:r>
              <w:rPr>
                <w:rFonts w:ascii="宋体" w:hAnsi="宋体"/>
                <w:kern w:val="0"/>
                <w:sz w:val="24"/>
              </w:rPr>
              <w:t>DN65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6</w:t>
            </w:r>
          </w:p>
        </w:tc>
        <w:tc>
          <w:tcPr>
            <w:tcW w:w="2977" w:type="dxa"/>
            <w:noWrap/>
            <w:vAlign w:val="bottom"/>
          </w:tcPr>
          <w:p>
            <w:pPr>
              <w:widowControl/>
              <w:jc w:val="center"/>
              <w:rPr>
                <w:rFonts w:ascii="宋体" w:hAnsi="宋体"/>
                <w:kern w:val="0"/>
                <w:sz w:val="24"/>
              </w:rPr>
            </w:pPr>
            <w:r>
              <w:rPr>
                <w:rFonts w:hint="eastAsia" w:ascii="宋体" w:hAnsi="宋体"/>
                <w:kern w:val="0"/>
                <w:sz w:val="24"/>
              </w:rPr>
              <w:t>消防水带接扣</w:t>
            </w:r>
          </w:p>
        </w:tc>
        <w:tc>
          <w:tcPr>
            <w:tcW w:w="1991" w:type="dxa"/>
            <w:noWrap/>
            <w:vAlign w:val="bottom"/>
          </w:tcPr>
          <w:p>
            <w:pPr>
              <w:widowControl/>
              <w:jc w:val="center"/>
              <w:rPr>
                <w:rFonts w:ascii="宋体" w:hAnsi="宋体"/>
                <w:kern w:val="0"/>
                <w:sz w:val="24"/>
              </w:rPr>
            </w:pPr>
            <w:r>
              <w:rPr>
                <w:rFonts w:ascii="宋体" w:hAnsi="宋体"/>
                <w:kern w:val="0"/>
                <w:sz w:val="24"/>
              </w:rPr>
              <w:t>DN65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7</w:t>
            </w:r>
          </w:p>
        </w:tc>
        <w:tc>
          <w:tcPr>
            <w:tcW w:w="2977" w:type="dxa"/>
            <w:noWrap/>
            <w:vAlign w:val="bottom"/>
          </w:tcPr>
          <w:p>
            <w:pPr>
              <w:widowControl/>
              <w:jc w:val="center"/>
              <w:rPr>
                <w:rFonts w:ascii="宋体" w:hAnsi="宋体"/>
                <w:kern w:val="0"/>
                <w:sz w:val="24"/>
              </w:rPr>
            </w:pPr>
            <w:r>
              <w:rPr>
                <w:rFonts w:hint="eastAsia" w:ascii="宋体" w:hAnsi="宋体"/>
                <w:kern w:val="0"/>
                <w:sz w:val="24"/>
              </w:rPr>
              <w:t>消防卷盘阀门</w:t>
            </w:r>
          </w:p>
        </w:tc>
        <w:tc>
          <w:tcPr>
            <w:tcW w:w="1991" w:type="dxa"/>
            <w:noWrap/>
            <w:vAlign w:val="bottom"/>
          </w:tcPr>
          <w:p>
            <w:pPr>
              <w:widowControl/>
              <w:jc w:val="center"/>
              <w:rPr>
                <w:rFonts w:ascii="宋体" w:hAnsi="宋体"/>
                <w:kern w:val="0"/>
                <w:sz w:val="24"/>
              </w:rPr>
            </w:pPr>
            <w:r>
              <w:rPr>
                <w:rFonts w:ascii="宋体" w:hAnsi="宋体"/>
                <w:kern w:val="0"/>
                <w:sz w:val="24"/>
              </w:rPr>
              <w:t>19mm</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8</w:t>
            </w:r>
          </w:p>
        </w:tc>
        <w:tc>
          <w:tcPr>
            <w:tcW w:w="2977" w:type="dxa"/>
            <w:noWrap/>
            <w:vAlign w:val="bottom"/>
          </w:tcPr>
          <w:p>
            <w:pPr>
              <w:widowControl/>
              <w:jc w:val="center"/>
              <w:rPr>
                <w:rFonts w:ascii="宋体" w:hAnsi="宋体"/>
                <w:kern w:val="0"/>
                <w:sz w:val="24"/>
              </w:rPr>
            </w:pPr>
            <w:r>
              <w:rPr>
                <w:rFonts w:hint="eastAsia" w:ascii="宋体" w:hAnsi="宋体"/>
                <w:kern w:val="0"/>
                <w:sz w:val="24"/>
              </w:rPr>
              <w:t>室外消火栓标识</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9</w:t>
            </w:r>
          </w:p>
        </w:tc>
        <w:tc>
          <w:tcPr>
            <w:tcW w:w="2977" w:type="dxa"/>
            <w:noWrap/>
            <w:vAlign w:val="bottom"/>
          </w:tcPr>
          <w:p>
            <w:pPr>
              <w:widowControl/>
              <w:jc w:val="center"/>
              <w:rPr>
                <w:rFonts w:ascii="宋体" w:hAnsi="宋体"/>
                <w:kern w:val="0"/>
                <w:sz w:val="24"/>
              </w:rPr>
            </w:pPr>
            <w:r>
              <w:rPr>
                <w:rFonts w:hint="eastAsia" w:ascii="宋体" w:hAnsi="宋体"/>
                <w:kern w:val="0"/>
                <w:sz w:val="24"/>
              </w:rPr>
              <w:t>喷淋头</w:t>
            </w:r>
          </w:p>
        </w:tc>
        <w:tc>
          <w:tcPr>
            <w:tcW w:w="1991" w:type="dxa"/>
            <w:noWrap/>
            <w:vAlign w:val="bottom"/>
          </w:tcPr>
          <w:p>
            <w:pPr>
              <w:widowControl/>
              <w:jc w:val="center"/>
              <w:rPr>
                <w:rFonts w:ascii="宋体" w:hAnsi="宋体"/>
                <w:kern w:val="0"/>
                <w:sz w:val="24"/>
              </w:rPr>
            </w:pPr>
            <w:r>
              <w:rPr>
                <w:rFonts w:ascii="宋体" w:hAnsi="宋体"/>
                <w:kern w:val="0"/>
                <w:sz w:val="24"/>
              </w:rPr>
              <w:t>DN15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10</w:t>
            </w:r>
          </w:p>
        </w:tc>
        <w:tc>
          <w:tcPr>
            <w:tcW w:w="2977" w:type="dxa"/>
            <w:noWrap/>
            <w:vAlign w:val="bottom"/>
          </w:tcPr>
          <w:p>
            <w:pPr>
              <w:widowControl/>
              <w:jc w:val="center"/>
              <w:rPr>
                <w:rFonts w:ascii="宋体" w:hAnsi="宋体"/>
                <w:kern w:val="0"/>
                <w:sz w:val="24"/>
              </w:rPr>
            </w:pPr>
            <w:r>
              <w:rPr>
                <w:rFonts w:hint="eastAsia" w:ascii="宋体" w:hAnsi="宋体"/>
                <w:kern w:val="0"/>
                <w:sz w:val="24"/>
              </w:rPr>
              <w:t>集热罩</w:t>
            </w:r>
          </w:p>
        </w:tc>
        <w:tc>
          <w:tcPr>
            <w:tcW w:w="1991" w:type="dxa"/>
            <w:noWrap/>
            <w:vAlign w:val="bottom"/>
          </w:tcPr>
          <w:p>
            <w:pPr>
              <w:widowControl/>
              <w:jc w:val="center"/>
              <w:rPr>
                <w:rFonts w:ascii="宋体" w:hAnsi="宋体"/>
                <w:kern w:val="0"/>
                <w:sz w:val="24"/>
              </w:rPr>
            </w:pPr>
            <w:r>
              <w:rPr>
                <w:rFonts w:ascii="宋体" w:hAnsi="宋体"/>
                <w:kern w:val="0"/>
                <w:sz w:val="24"/>
              </w:rPr>
              <w:t>DN15</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11</w:t>
            </w:r>
          </w:p>
        </w:tc>
        <w:tc>
          <w:tcPr>
            <w:tcW w:w="2977" w:type="dxa"/>
            <w:noWrap/>
            <w:vAlign w:val="bottom"/>
          </w:tcPr>
          <w:p>
            <w:pPr>
              <w:widowControl/>
              <w:jc w:val="center"/>
              <w:rPr>
                <w:rFonts w:ascii="宋体" w:hAnsi="宋体"/>
                <w:kern w:val="0"/>
                <w:sz w:val="24"/>
              </w:rPr>
            </w:pPr>
            <w:r>
              <w:rPr>
                <w:rFonts w:hint="eastAsia" w:ascii="宋体" w:hAnsi="宋体"/>
                <w:kern w:val="0"/>
                <w:sz w:val="24"/>
              </w:rPr>
              <w:t>镀锌管配件</w:t>
            </w:r>
            <w:r>
              <w:rPr>
                <w:rFonts w:ascii="宋体" w:hAnsi="宋体"/>
                <w:kern w:val="0"/>
                <w:sz w:val="24"/>
              </w:rPr>
              <w:t xml:space="preserve">  </w:t>
            </w:r>
            <w:r>
              <w:rPr>
                <w:rFonts w:hint="eastAsia" w:ascii="宋体" w:hAnsi="宋体"/>
                <w:kern w:val="0"/>
                <w:sz w:val="24"/>
              </w:rPr>
              <w:t>弯头</w:t>
            </w:r>
            <w:r>
              <w:rPr>
                <w:rFonts w:ascii="宋体" w:hAnsi="宋体"/>
                <w:kern w:val="0"/>
                <w:sz w:val="24"/>
              </w:rPr>
              <w:t xml:space="preserve"> </w:t>
            </w:r>
            <w:r>
              <w:rPr>
                <w:rFonts w:hint="eastAsia" w:ascii="宋体" w:hAnsi="宋体"/>
                <w:kern w:val="0"/>
                <w:sz w:val="24"/>
              </w:rPr>
              <w:t>直接</w:t>
            </w:r>
            <w:r>
              <w:rPr>
                <w:rFonts w:ascii="宋体" w:hAnsi="宋体"/>
                <w:kern w:val="0"/>
                <w:sz w:val="24"/>
              </w:rPr>
              <w:t xml:space="preserve"> </w:t>
            </w:r>
          </w:p>
        </w:tc>
        <w:tc>
          <w:tcPr>
            <w:tcW w:w="1991" w:type="dxa"/>
            <w:noWrap/>
            <w:vAlign w:val="bottom"/>
          </w:tcPr>
          <w:p>
            <w:pPr>
              <w:widowControl/>
              <w:jc w:val="center"/>
              <w:rPr>
                <w:rFonts w:ascii="宋体" w:hAnsi="宋体"/>
                <w:kern w:val="0"/>
                <w:sz w:val="24"/>
              </w:rPr>
            </w:pPr>
            <w:r>
              <w:rPr>
                <w:rFonts w:ascii="宋体" w:hAnsi="宋体"/>
                <w:kern w:val="0"/>
                <w:sz w:val="24"/>
              </w:rPr>
              <w:t>DN25</w:t>
            </w:r>
            <w:r>
              <w:rPr>
                <w:rFonts w:hint="eastAsia" w:ascii="宋体" w:hAnsi="宋体"/>
                <w:kern w:val="0"/>
                <w:sz w:val="24"/>
              </w:rPr>
              <w:t>～</w:t>
            </w:r>
            <w:r>
              <w:rPr>
                <w:rFonts w:ascii="宋体" w:hAnsi="宋体"/>
                <w:kern w:val="0"/>
                <w:sz w:val="24"/>
              </w:rPr>
              <w:t>DN100</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12</w:t>
            </w:r>
          </w:p>
        </w:tc>
        <w:tc>
          <w:tcPr>
            <w:tcW w:w="2977" w:type="dxa"/>
            <w:noWrap/>
            <w:vAlign w:val="bottom"/>
          </w:tcPr>
          <w:p>
            <w:pPr>
              <w:widowControl/>
              <w:jc w:val="center"/>
              <w:rPr>
                <w:rFonts w:ascii="宋体" w:hAnsi="宋体"/>
                <w:kern w:val="0"/>
                <w:sz w:val="24"/>
              </w:rPr>
            </w:pPr>
            <w:r>
              <w:rPr>
                <w:rFonts w:hint="eastAsia" w:ascii="宋体" w:hAnsi="宋体"/>
                <w:kern w:val="0"/>
                <w:sz w:val="24"/>
              </w:rPr>
              <w:t>镀锌管配件</w:t>
            </w:r>
            <w:r>
              <w:rPr>
                <w:rFonts w:ascii="宋体" w:hAnsi="宋体"/>
                <w:kern w:val="0"/>
                <w:sz w:val="24"/>
              </w:rPr>
              <w:t xml:space="preserve"> </w:t>
            </w:r>
            <w:r>
              <w:rPr>
                <w:rFonts w:hint="eastAsia" w:ascii="宋体" w:hAnsi="宋体"/>
                <w:kern w:val="0"/>
                <w:sz w:val="24"/>
              </w:rPr>
              <w:t>三通</w:t>
            </w:r>
            <w:r>
              <w:rPr>
                <w:rFonts w:ascii="宋体" w:hAnsi="宋体"/>
                <w:kern w:val="0"/>
                <w:sz w:val="24"/>
              </w:rPr>
              <w:t xml:space="preserve"> </w:t>
            </w:r>
            <w:r>
              <w:rPr>
                <w:rFonts w:hint="eastAsia" w:ascii="宋体" w:hAnsi="宋体"/>
                <w:kern w:val="0"/>
                <w:sz w:val="24"/>
              </w:rPr>
              <w:t>大小头</w:t>
            </w:r>
          </w:p>
        </w:tc>
        <w:tc>
          <w:tcPr>
            <w:tcW w:w="1991" w:type="dxa"/>
            <w:noWrap/>
            <w:vAlign w:val="bottom"/>
          </w:tcPr>
          <w:p>
            <w:pPr>
              <w:widowControl/>
              <w:jc w:val="center"/>
              <w:rPr>
                <w:rFonts w:ascii="宋体" w:hAnsi="宋体"/>
                <w:kern w:val="0"/>
                <w:sz w:val="24"/>
              </w:rPr>
            </w:pPr>
            <w:r>
              <w:rPr>
                <w:rFonts w:ascii="宋体" w:hAnsi="宋体"/>
                <w:kern w:val="0"/>
                <w:sz w:val="24"/>
              </w:rPr>
              <w:t>DN15</w:t>
            </w:r>
            <w:r>
              <w:rPr>
                <w:rFonts w:hint="eastAsia" w:ascii="宋体" w:hAnsi="宋体"/>
                <w:kern w:val="0"/>
                <w:sz w:val="24"/>
              </w:rPr>
              <w:t>～</w:t>
            </w:r>
            <w:r>
              <w:rPr>
                <w:rFonts w:ascii="宋体" w:hAnsi="宋体"/>
                <w:kern w:val="0"/>
                <w:sz w:val="24"/>
              </w:rPr>
              <w:t>DN100</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ascii="宋体" w:hAnsi="宋体"/>
                <w:kern w:val="0"/>
                <w:sz w:val="24"/>
              </w:rPr>
              <w:t>1</w:t>
            </w:r>
            <w:r>
              <w:rPr>
                <w:rFonts w:hint="eastAsia" w:ascii="宋体" w:hAnsi="宋体"/>
                <w:kern w:val="0"/>
                <w:sz w:val="24"/>
              </w:rPr>
              <w:t>3</w:t>
            </w:r>
          </w:p>
        </w:tc>
        <w:tc>
          <w:tcPr>
            <w:tcW w:w="2977" w:type="dxa"/>
            <w:noWrap/>
            <w:vAlign w:val="bottom"/>
          </w:tcPr>
          <w:p>
            <w:pPr>
              <w:widowControl/>
              <w:jc w:val="center"/>
              <w:rPr>
                <w:rFonts w:ascii="宋体" w:hAnsi="宋体"/>
                <w:kern w:val="0"/>
                <w:sz w:val="24"/>
              </w:rPr>
            </w:pPr>
            <w:r>
              <w:rPr>
                <w:rFonts w:hint="eastAsia" w:ascii="宋体" w:hAnsi="宋体"/>
                <w:kern w:val="0"/>
                <w:sz w:val="24"/>
              </w:rPr>
              <w:t>卡箍</w:t>
            </w:r>
          </w:p>
        </w:tc>
        <w:tc>
          <w:tcPr>
            <w:tcW w:w="1991" w:type="dxa"/>
            <w:noWrap/>
            <w:vAlign w:val="bottom"/>
          </w:tcPr>
          <w:p>
            <w:pPr>
              <w:widowControl/>
              <w:jc w:val="center"/>
              <w:rPr>
                <w:rFonts w:ascii="宋体" w:hAnsi="宋体"/>
                <w:kern w:val="0"/>
                <w:sz w:val="24"/>
              </w:rPr>
            </w:pPr>
            <w:r>
              <w:rPr>
                <w:rFonts w:ascii="宋体" w:hAnsi="宋体"/>
                <w:kern w:val="0"/>
                <w:sz w:val="24"/>
              </w:rPr>
              <w:t>DN150</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14</w:t>
            </w:r>
          </w:p>
        </w:tc>
        <w:tc>
          <w:tcPr>
            <w:tcW w:w="2977" w:type="dxa"/>
            <w:noWrap/>
            <w:vAlign w:val="bottom"/>
          </w:tcPr>
          <w:p>
            <w:pPr>
              <w:widowControl/>
              <w:jc w:val="center"/>
              <w:rPr>
                <w:rFonts w:ascii="宋体" w:hAnsi="宋体"/>
                <w:kern w:val="0"/>
                <w:sz w:val="24"/>
              </w:rPr>
            </w:pPr>
            <w:r>
              <w:rPr>
                <w:rFonts w:hint="eastAsia" w:ascii="宋体" w:hAnsi="宋体"/>
                <w:kern w:val="0"/>
                <w:sz w:val="24"/>
              </w:rPr>
              <w:t>法兰</w:t>
            </w:r>
          </w:p>
        </w:tc>
        <w:tc>
          <w:tcPr>
            <w:tcW w:w="1991" w:type="dxa"/>
            <w:noWrap/>
            <w:vAlign w:val="bottom"/>
          </w:tcPr>
          <w:p>
            <w:pPr>
              <w:widowControl/>
              <w:jc w:val="center"/>
              <w:rPr>
                <w:rFonts w:ascii="宋体" w:hAnsi="宋体"/>
                <w:kern w:val="0"/>
                <w:sz w:val="24"/>
              </w:rPr>
            </w:pPr>
            <w:r>
              <w:rPr>
                <w:rFonts w:ascii="宋体" w:hAnsi="宋体"/>
                <w:kern w:val="0"/>
                <w:sz w:val="24"/>
              </w:rPr>
              <w:t>DN150</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15</w:t>
            </w:r>
          </w:p>
        </w:tc>
        <w:tc>
          <w:tcPr>
            <w:tcW w:w="2977" w:type="dxa"/>
            <w:noWrap/>
            <w:vAlign w:val="bottom"/>
          </w:tcPr>
          <w:p>
            <w:pPr>
              <w:widowControl/>
              <w:jc w:val="center"/>
              <w:rPr>
                <w:rFonts w:ascii="宋体" w:hAnsi="宋体"/>
                <w:kern w:val="0"/>
                <w:sz w:val="24"/>
              </w:rPr>
            </w:pPr>
            <w:r>
              <w:rPr>
                <w:rFonts w:hint="eastAsia" w:ascii="宋体" w:hAnsi="宋体"/>
                <w:kern w:val="0"/>
                <w:sz w:val="24"/>
              </w:rPr>
              <w:t>压力开关</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16</w:t>
            </w:r>
          </w:p>
        </w:tc>
        <w:tc>
          <w:tcPr>
            <w:tcW w:w="2977" w:type="dxa"/>
            <w:noWrap/>
            <w:vAlign w:val="bottom"/>
          </w:tcPr>
          <w:p>
            <w:pPr>
              <w:widowControl/>
              <w:jc w:val="center"/>
              <w:rPr>
                <w:rFonts w:ascii="宋体" w:hAnsi="宋体"/>
                <w:kern w:val="0"/>
                <w:sz w:val="24"/>
              </w:rPr>
            </w:pPr>
            <w:r>
              <w:rPr>
                <w:rFonts w:hint="eastAsia" w:ascii="宋体" w:hAnsi="宋体"/>
                <w:kern w:val="0"/>
                <w:sz w:val="24"/>
              </w:rPr>
              <w:t>警铃</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17</w:t>
            </w:r>
          </w:p>
        </w:tc>
        <w:tc>
          <w:tcPr>
            <w:tcW w:w="2977" w:type="dxa"/>
            <w:noWrap/>
            <w:vAlign w:val="bottom"/>
          </w:tcPr>
          <w:p>
            <w:pPr>
              <w:widowControl/>
              <w:jc w:val="center"/>
              <w:rPr>
                <w:rFonts w:ascii="宋体" w:hAnsi="宋体"/>
                <w:kern w:val="0"/>
                <w:sz w:val="24"/>
              </w:rPr>
            </w:pPr>
            <w:r>
              <w:rPr>
                <w:rFonts w:hint="eastAsia" w:ascii="宋体" w:hAnsi="宋体"/>
                <w:kern w:val="0"/>
                <w:sz w:val="24"/>
              </w:rPr>
              <w:t>延迟器</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18</w:t>
            </w:r>
          </w:p>
        </w:tc>
        <w:tc>
          <w:tcPr>
            <w:tcW w:w="2977" w:type="dxa"/>
            <w:noWrap/>
            <w:vAlign w:val="bottom"/>
          </w:tcPr>
          <w:p>
            <w:pPr>
              <w:widowControl/>
              <w:jc w:val="center"/>
              <w:rPr>
                <w:rFonts w:ascii="宋体" w:hAnsi="宋体"/>
                <w:kern w:val="0"/>
                <w:sz w:val="24"/>
              </w:rPr>
            </w:pPr>
            <w:r>
              <w:rPr>
                <w:rFonts w:hint="eastAsia" w:ascii="宋体" w:hAnsi="宋体"/>
                <w:kern w:val="0"/>
                <w:sz w:val="24"/>
              </w:rPr>
              <w:t>普通压力表</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19</w:t>
            </w:r>
          </w:p>
        </w:tc>
        <w:tc>
          <w:tcPr>
            <w:tcW w:w="2977" w:type="dxa"/>
            <w:noWrap/>
            <w:vAlign w:val="bottom"/>
          </w:tcPr>
          <w:p>
            <w:pPr>
              <w:widowControl/>
              <w:jc w:val="center"/>
              <w:rPr>
                <w:rFonts w:ascii="宋体" w:hAnsi="宋体"/>
                <w:kern w:val="0"/>
                <w:sz w:val="24"/>
              </w:rPr>
            </w:pPr>
            <w:r>
              <w:rPr>
                <w:rFonts w:hint="eastAsia" w:ascii="宋体" w:hAnsi="宋体"/>
                <w:kern w:val="0"/>
                <w:sz w:val="24"/>
              </w:rPr>
              <w:t>小型继电器</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20</w:t>
            </w:r>
          </w:p>
        </w:tc>
        <w:tc>
          <w:tcPr>
            <w:tcW w:w="2977" w:type="dxa"/>
            <w:noWrap/>
            <w:vAlign w:val="bottom"/>
          </w:tcPr>
          <w:p>
            <w:pPr>
              <w:widowControl/>
              <w:jc w:val="center"/>
              <w:rPr>
                <w:rFonts w:ascii="宋体" w:hAnsi="宋体"/>
                <w:kern w:val="0"/>
                <w:sz w:val="24"/>
              </w:rPr>
            </w:pPr>
            <w:r>
              <w:rPr>
                <w:rFonts w:hint="eastAsia" w:ascii="宋体" w:hAnsi="宋体"/>
                <w:kern w:val="0"/>
                <w:sz w:val="24"/>
              </w:rPr>
              <w:t>普通接触器</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21</w:t>
            </w:r>
          </w:p>
        </w:tc>
        <w:tc>
          <w:tcPr>
            <w:tcW w:w="2977" w:type="dxa"/>
            <w:noWrap/>
            <w:vAlign w:val="bottom"/>
          </w:tcPr>
          <w:p>
            <w:pPr>
              <w:widowControl/>
              <w:jc w:val="center"/>
              <w:rPr>
                <w:rFonts w:ascii="宋体" w:hAnsi="宋体"/>
                <w:kern w:val="0"/>
                <w:sz w:val="24"/>
              </w:rPr>
            </w:pPr>
            <w:r>
              <w:rPr>
                <w:rFonts w:hint="eastAsia" w:ascii="宋体" w:hAnsi="宋体"/>
                <w:kern w:val="0"/>
                <w:sz w:val="24"/>
              </w:rPr>
              <w:t>热继电器</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22</w:t>
            </w:r>
          </w:p>
        </w:tc>
        <w:tc>
          <w:tcPr>
            <w:tcW w:w="2977" w:type="dxa"/>
            <w:noWrap/>
            <w:vAlign w:val="bottom"/>
          </w:tcPr>
          <w:p>
            <w:pPr>
              <w:widowControl/>
              <w:jc w:val="center"/>
              <w:rPr>
                <w:rFonts w:ascii="宋体" w:hAnsi="宋体"/>
                <w:kern w:val="0"/>
                <w:sz w:val="24"/>
              </w:rPr>
            </w:pPr>
            <w:r>
              <w:rPr>
                <w:rFonts w:hint="eastAsia" w:ascii="宋体" w:hAnsi="宋体"/>
                <w:kern w:val="0"/>
                <w:sz w:val="24"/>
              </w:rPr>
              <w:t>空气开关</w:t>
            </w:r>
            <w:r>
              <w:rPr>
                <w:rFonts w:ascii="宋体" w:hAnsi="宋体"/>
                <w:kern w:val="0"/>
                <w:sz w:val="24"/>
              </w:rPr>
              <w:t>0-63A</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23</w:t>
            </w:r>
          </w:p>
        </w:tc>
        <w:tc>
          <w:tcPr>
            <w:tcW w:w="2977" w:type="dxa"/>
            <w:noWrap/>
            <w:vAlign w:val="bottom"/>
          </w:tcPr>
          <w:p>
            <w:pPr>
              <w:widowControl/>
              <w:jc w:val="center"/>
              <w:rPr>
                <w:rFonts w:ascii="宋体" w:hAnsi="宋体"/>
                <w:kern w:val="0"/>
                <w:sz w:val="24"/>
              </w:rPr>
            </w:pPr>
            <w:r>
              <w:rPr>
                <w:rFonts w:hint="eastAsia" w:ascii="宋体" w:hAnsi="宋体"/>
                <w:kern w:val="0"/>
                <w:sz w:val="24"/>
              </w:rPr>
              <w:t>保险丝</w:t>
            </w:r>
          </w:p>
        </w:tc>
        <w:tc>
          <w:tcPr>
            <w:tcW w:w="1991" w:type="dxa"/>
            <w:noWrap/>
            <w:vAlign w:val="bottom"/>
          </w:tcPr>
          <w:p>
            <w:pPr>
              <w:widowControl/>
              <w:jc w:val="center"/>
              <w:rPr>
                <w:rFonts w:ascii="宋体" w:hAnsi="宋体"/>
                <w:kern w:val="0"/>
                <w:sz w:val="24"/>
              </w:rPr>
            </w:pPr>
            <w:r>
              <w:rPr>
                <w:rFonts w:ascii="宋体" w:hAnsi="宋体"/>
                <w:kern w:val="0"/>
                <w:sz w:val="24"/>
              </w:rPr>
              <w:t>/</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24</w:t>
            </w:r>
          </w:p>
        </w:tc>
        <w:tc>
          <w:tcPr>
            <w:tcW w:w="2977" w:type="dxa"/>
            <w:noWrap/>
            <w:vAlign w:val="bottom"/>
          </w:tcPr>
          <w:p>
            <w:pPr>
              <w:widowControl/>
              <w:jc w:val="center"/>
              <w:rPr>
                <w:rFonts w:ascii="宋体" w:hAnsi="宋体"/>
                <w:kern w:val="0"/>
                <w:sz w:val="24"/>
              </w:rPr>
            </w:pPr>
            <w:r>
              <w:rPr>
                <w:rFonts w:hint="eastAsia" w:ascii="宋体" w:hAnsi="宋体"/>
                <w:kern w:val="0"/>
                <w:sz w:val="24"/>
              </w:rPr>
              <w:t>点型感烟探测器</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25</w:t>
            </w:r>
          </w:p>
        </w:tc>
        <w:tc>
          <w:tcPr>
            <w:tcW w:w="2977" w:type="dxa"/>
            <w:noWrap/>
            <w:vAlign w:val="bottom"/>
          </w:tcPr>
          <w:p>
            <w:pPr>
              <w:widowControl/>
              <w:jc w:val="center"/>
              <w:rPr>
                <w:rFonts w:ascii="宋体" w:hAnsi="宋体"/>
                <w:kern w:val="0"/>
                <w:sz w:val="24"/>
              </w:rPr>
            </w:pPr>
            <w:r>
              <w:rPr>
                <w:rFonts w:hint="eastAsia" w:ascii="宋体" w:hAnsi="宋体"/>
                <w:kern w:val="0"/>
                <w:sz w:val="24"/>
              </w:rPr>
              <w:t>点型感温探测器</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26</w:t>
            </w:r>
          </w:p>
        </w:tc>
        <w:tc>
          <w:tcPr>
            <w:tcW w:w="2977" w:type="dxa"/>
            <w:noWrap/>
            <w:vAlign w:val="bottom"/>
          </w:tcPr>
          <w:p>
            <w:pPr>
              <w:widowControl/>
              <w:jc w:val="center"/>
              <w:rPr>
                <w:rFonts w:ascii="宋体" w:hAnsi="宋体"/>
                <w:kern w:val="0"/>
                <w:sz w:val="24"/>
              </w:rPr>
            </w:pPr>
            <w:r>
              <w:rPr>
                <w:rFonts w:hint="eastAsia" w:ascii="宋体" w:hAnsi="宋体"/>
                <w:kern w:val="0"/>
                <w:sz w:val="24"/>
              </w:rPr>
              <w:t>手动报警按钮</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27</w:t>
            </w:r>
          </w:p>
        </w:tc>
        <w:tc>
          <w:tcPr>
            <w:tcW w:w="2977" w:type="dxa"/>
            <w:noWrap/>
            <w:vAlign w:val="bottom"/>
          </w:tcPr>
          <w:p>
            <w:pPr>
              <w:widowControl/>
              <w:jc w:val="center"/>
              <w:rPr>
                <w:rFonts w:ascii="宋体" w:hAnsi="宋体"/>
                <w:kern w:val="0"/>
                <w:sz w:val="24"/>
              </w:rPr>
            </w:pPr>
            <w:r>
              <w:rPr>
                <w:rFonts w:hint="eastAsia" w:ascii="宋体" w:hAnsi="宋体"/>
                <w:kern w:val="0"/>
                <w:sz w:val="24"/>
              </w:rPr>
              <w:t>声光警报器</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28</w:t>
            </w:r>
          </w:p>
        </w:tc>
        <w:tc>
          <w:tcPr>
            <w:tcW w:w="2977" w:type="dxa"/>
            <w:noWrap/>
            <w:vAlign w:val="bottom"/>
          </w:tcPr>
          <w:p>
            <w:pPr>
              <w:widowControl/>
              <w:jc w:val="center"/>
              <w:rPr>
                <w:rFonts w:ascii="宋体" w:hAnsi="宋体"/>
                <w:kern w:val="0"/>
                <w:sz w:val="24"/>
              </w:rPr>
            </w:pPr>
            <w:r>
              <w:rPr>
                <w:rFonts w:hint="eastAsia" w:ascii="宋体" w:hAnsi="宋体"/>
                <w:kern w:val="0"/>
                <w:sz w:val="24"/>
              </w:rPr>
              <w:t>消火栓按钮</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29</w:t>
            </w:r>
          </w:p>
        </w:tc>
        <w:tc>
          <w:tcPr>
            <w:tcW w:w="2977" w:type="dxa"/>
            <w:noWrap/>
            <w:vAlign w:val="bottom"/>
          </w:tcPr>
          <w:p>
            <w:pPr>
              <w:widowControl/>
              <w:jc w:val="center"/>
              <w:rPr>
                <w:rFonts w:ascii="宋体" w:hAnsi="宋体"/>
                <w:kern w:val="0"/>
                <w:sz w:val="24"/>
              </w:rPr>
            </w:pPr>
            <w:r>
              <w:rPr>
                <w:rFonts w:hint="eastAsia" w:ascii="宋体" w:hAnsi="宋体"/>
                <w:kern w:val="0"/>
                <w:sz w:val="24"/>
              </w:rPr>
              <w:t>输入</w:t>
            </w:r>
            <w:r>
              <w:rPr>
                <w:rFonts w:ascii="宋体" w:hAnsi="宋体"/>
                <w:kern w:val="0"/>
                <w:sz w:val="24"/>
              </w:rPr>
              <w:t>/</w:t>
            </w:r>
            <w:r>
              <w:rPr>
                <w:rFonts w:hint="eastAsia" w:ascii="宋体" w:hAnsi="宋体"/>
                <w:kern w:val="0"/>
                <w:sz w:val="24"/>
              </w:rPr>
              <w:t>输出模块</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30</w:t>
            </w:r>
          </w:p>
        </w:tc>
        <w:tc>
          <w:tcPr>
            <w:tcW w:w="2977" w:type="dxa"/>
            <w:noWrap/>
            <w:vAlign w:val="bottom"/>
          </w:tcPr>
          <w:p>
            <w:pPr>
              <w:widowControl/>
              <w:jc w:val="center"/>
              <w:rPr>
                <w:rFonts w:ascii="宋体" w:hAnsi="宋体"/>
                <w:kern w:val="0"/>
                <w:sz w:val="24"/>
              </w:rPr>
            </w:pPr>
            <w:r>
              <w:rPr>
                <w:rFonts w:hint="eastAsia" w:ascii="宋体" w:hAnsi="宋体"/>
                <w:kern w:val="0"/>
                <w:sz w:val="24"/>
              </w:rPr>
              <w:t>中继模块</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31</w:t>
            </w:r>
          </w:p>
        </w:tc>
        <w:tc>
          <w:tcPr>
            <w:tcW w:w="2977" w:type="dxa"/>
            <w:noWrap/>
            <w:vAlign w:val="bottom"/>
          </w:tcPr>
          <w:p>
            <w:pPr>
              <w:widowControl/>
              <w:jc w:val="center"/>
              <w:rPr>
                <w:rFonts w:ascii="宋体" w:hAnsi="宋体"/>
                <w:kern w:val="0"/>
                <w:sz w:val="24"/>
              </w:rPr>
            </w:pPr>
            <w:r>
              <w:rPr>
                <w:rFonts w:hint="eastAsia" w:ascii="宋体" w:hAnsi="宋体"/>
                <w:kern w:val="0"/>
                <w:sz w:val="24"/>
              </w:rPr>
              <w:t>多线模块</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松江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32</w:t>
            </w:r>
          </w:p>
        </w:tc>
        <w:tc>
          <w:tcPr>
            <w:tcW w:w="2977" w:type="dxa"/>
            <w:noWrap/>
            <w:vAlign w:val="bottom"/>
          </w:tcPr>
          <w:p>
            <w:pPr>
              <w:widowControl/>
              <w:jc w:val="center"/>
              <w:rPr>
                <w:rFonts w:ascii="宋体" w:hAnsi="宋体"/>
                <w:kern w:val="0"/>
                <w:sz w:val="24"/>
              </w:rPr>
            </w:pPr>
            <w:r>
              <w:rPr>
                <w:rFonts w:hint="eastAsia" w:ascii="宋体" w:hAnsi="宋体"/>
                <w:kern w:val="0"/>
                <w:sz w:val="24"/>
              </w:rPr>
              <w:t>安全出口、疏散指示灯</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9" w:type="dxa"/>
            <w:noWrap/>
            <w:vAlign w:val="bottom"/>
          </w:tcPr>
          <w:p>
            <w:pPr>
              <w:widowControl/>
              <w:jc w:val="center"/>
              <w:rPr>
                <w:rFonts w:ascii="宋体" w:hAnsi="宋体"/>
                <w:kern w:val="0"/>
                <w:sz w:val="24"/>
              </w:rPr>
            </w:pPr>
            <w:r>
              <w:rPr>
                <w:rFonts w:hint="eastAsia" w:ascii="宋体" w:hAnsi="宋体"/>
                <w:kern w:val="0"/>
                <w:sz w:val="24"/>
              </w:rPr>
              <w:t>33</w:t>
            </w:r>
          </w:p>
        </w:tc>
        <w:tc>
          <w:tcPr>
            <w:tcW w:w="2977" w:type="dxa"/>
            <w:noWrap/>
            <w:vAlign w:val="bottom"/>
          </w:tcPr>
          <w:p>
            <w:pPr>
              <w:widowControl/>
              <w:jc w:val="center"/>
              <w:rPr>
                <w:rFonts w:ascii="宋体" w:hAnsi="宋体"/>
                <w:kern w:val="0"/>
                <w:sz w:val="24"/>
              </w:rPr>
            </w:pPr>
            <w:r>
              <w:rPr>
                <w:rFonts w:hint="eastAsia" w:ascii="宋体" w:hAnsi="宋体"/>
                <w:kern w:val="0"/>
                <w:sz w:val="24"/>
              </w:rPr>
              <w:t>应急灯</w:t>
            </w:r>
          </w:p>
        </w:tc>
        <w:tc>
          <w:tcPr>
            <w:tcW w:w="1991" w:type="dxa"/>
            <w:noWrap/>
            <w:vAlign w:val="bottom"/>
          </w:tcPr>
          <w:p>
            <w:pPr>
              <w:widowControl/>
              <w:jc w:val="center"/>
              <w:rPr>
                <w:rFonts w:ascii="宋体" w:hAnsi="宋体"/>
                <w:kern w:val="0"/>
                <w:sz w:val="24"/>
              </w:rPr>
            </w:pPr>
            <w:r>
              <w:rPr>
                <w:rFonts w:hint="eastAsia" w:ascii="宋体" w:hAnsi="宋体"/>
                <w:kern w:val="0"/>
                <w:sz w:val="24"/>
              </w:rPr>
              <w:t>　</w:t>
            </w:r>
          </w:p>
        </w:tc>
        <w:tc>
          <w:tcPr>
            <w:tcW w:w="844" w:type="dxa"/>
            <w:noWrap/>
            <w:vAlign w:val="bottom"/>
          </w:tcPr>
          <w:p>
            <w:pPr>
              <w:widowControl/>
              <w:jc w:val="center"/>
              <w:rPr>
                <w:rFonts w:ascii="宋体" w:hAnsi="宋体"/>
                <w:kern w:val="0"/>
                <w:sz w:val="24"/>
              </w:rPr>
            </w:pPr>
            <w:r>
              <w:rPr>
                <w:rFonts w:hint="eastAsia" w:ascii="宋体" w:hAnsi="宋体"/>
                <w:kern w:val="0"/>
                <w:sz w:val="24"/>
              </w:rPr>
              <w:t>国标</w:t>
            </w:r>
          </w:p>
        </w:tc>
      </w:tr>
    </w:tbl>
    <w:p>
      <w:pPr>
        <w:spacing w:line="460" w:lineRule="exact"/>
        <w:ind w:firstLine="560" w:firstLineChars="200"/>
        <w:rPr>
          <w:rFonts w:hint="eastAsia"/>
          <w:sz w:val="28"/>
          <w:szCs w:val="28"/>
        </w:rPr>
      </w:pPr>
      <w:r>
        <w:rPr>
          <w:rFonts w:hint="eastAsia"/>
          <w:sz w:val="28"/>
          <w:szCs w:val="28"/>
        </w:rPr>
        <w:t>上述表格未列示的市场价低于100元的材料配件，由供应商负责免费提供并更换。</w:t>
      </w:r>
    </w:p>
    <w:p>
      <w:pPr>
        <w:spacing w:line="460" w:lineRule="exact"/>
        <w:ind w:firstLine="560" w:firstLineChars="200"/>
        <w:rPr>
          <w:rFonts w:hint="eastAsia"/>
          <w:sz w:val="28"/>
          <w:szCs w:val="28"/>
        </w:rPr>
      </w:pPr>
      <w:r>
        <w:rPr>
          <w:rFonts w:hint="eastAsia"/>
          <w:sz w:val="28"/>
          <w:szCs w:val="28"/>
        </w:rPr>
        <w:t>2、单价高于100元的配件费用由学校承担，如校方认为配件报价偏高，也可自行购买后成交供应商免费更换，对此成交供应商不得有异议。</w:t>
      </w:r>
    </w:p>
    <w:p>
      <w:pPr>
        <w:spacing w:line="460" w:lineRule="exact"/>
        <w:ind w:firstLine="560" w:firstLineChars="200"/>
        <w:rPr>
          <w:rFonts w:hint="eastAsia"/>
          <w:sz w:val="28"/>
          <w:szCs w:val="28"/>
        </w:rPr>
      </w:pPr>
      <w:r>
        <w:rPr>
          <w:rFonts w:hint="eastAsia"/>
          <w:sz w:val="28"/>
          <w:szCs w:val="28"/>
        </w:rPr>
        <w:t>3、材料更换前，必须得到采购方同意，否则不予结算。同时，更换时必须有采购方人员在现场且签字确认，所更换的废旧材料由采购方保存，供应商不得以任何理由带离学校，否则不予结算。</w:t>
      </w:r>
    </w:p>
    <w:p>
      <w:pPr>
        <w:spacing w:line="460" w:lineRule="exact"/>
        <w:ind w:firstLine="560" w:firstLineChars="200"/>
        <w:rPr>
          <w:rFonts w:hint="eastAsia" w:ascii="宋体" w:hAnsi="宋体" w:cs="宋体"/>
          <w:sz w:val="28"/>
          <w:szCs w:val="28"/>
        </w:rPr>
      </w:pPr>
      <w:r>
        <w:rPr>
          <w:rFonts w:hint="eastAsia"/>
          <w:sz w:val="28"/>
          <w:szCs w:val="28"/>
        </w:rPr>
        <w:t>4、所有新配置和更换的消防设备器材均需提供一年质保。</w:t>
      </w:r>
    </w:p>
    <w:p>
      <w:pPr>
        <w:pStyle w:val="15"/>
        <w:tabs>
          <w:tab w:val="left" w:pos="0"/>
        </w:tabs>
        <w:snapToGrid w:val="0"/>
        <w:spacing w:line="460" w:lineRule="exact"/>
        <w:ind w:firstLine="562" w:firstLineChars="200"/>
        <w:rPr>
          <w:rFonts w:hint="eastAsia" w:hAnsi="宋体" w:cs="宋体"/>
          <w:b/>
          <w:bCs/>
          <w:sz w:val="28"/>
          <w:szCs w:val="28"/>
        </w:rPr>
      </w:pPr>
      <w:r>
        <w:rPr>
          <w:rFonts w:hint="eastAsia" w:hAnsi="宋体" w:cs="宋体"/>
          <w:b/>
          <w:bCs/>
          <w:sz w:val="28"/>
          <w:szCs w:val="28"/>
        </w:rPr>
        <w:t>四、服务期限</w:t>
      </w:r>
    </w:p>
    <w:p>
      <w:pPr>
        <w:pStyle w:val="15"/>
        <w:tabs>
          <w:tab w:val="left" w:pos="0"/>
        </w:tabs>
        <w:snapToGrid w:val="0"/>
        <w:spacing w:line="460" w:lineRule="exact"/>
        <w:ind w:firstLine="560" w:firstLineChars="200"/>
        <w:rPr>
          <w:rFonts w:hint="eastAsia"/>
          <w:sz w:val="28"/>
          <w:szCs w:val="28"/>
        </w:rPr>
      </w:pPr>
      <w:r>
        <w:rPr>
          <w:rFonts w:hint="eastAsia"/>
          <w:sz w:val="28"/>
          <w:szCs w:val="28"/>
        </w:rPr>
        <w:t>合同服务期限：1年。一年消防维保服务结束后，在供应商承诺不增加服务费且当年消防维保服务后评价合格、同时满足相关法律法规的前提下，可续签次年服务合同，续签不超过两次。</w:t>
      </w:r>
    </w:p>
    <w:p>
      <w:pPr>
        <w:pStyle w:val="15"/>
        <w:tabs>
          <w:tab w:val="left" w:pos="0"/>
        </w:tabs>
        <w:snapToGrid w:val="0"/>
        <w:spacing w:line="460" w:lineRule="exact"/>
        <w:ind w:firstLine="562" w:firstLineChars="200"/>
        <w:rPr>
          <w:rFonts w:hint="eastAsia" w:hAnsi="宋体" w:eastAsia="宋体" w:cs="宋体"/>
          <w:b/>
          <w:bCs/>
          <w:sz w:val="28"/>
          <w:szCs w:val="28"/>
          <w:lang w:eastAsia="zh-CN"/>
        </w:rPr>
      </w:pPr>
      <w:r>
        <w:rPr>
          <w:rFonts w:hint="eastAsia" w:hAnsi="宋体" w:cs="宋体"/>
          <w:b/>
          <w:bCs/>
          <w:sz w:val="28"/>
          <w:szCs w:val="28"/>
        </w:rPr>
        <w:t>五、</w:t>
      </w:r>
      <w:r>
        <w:rPr>
          <w:rFonts w:hint="eastAsia" w:hAnsi="宋体" w:cs="宋体"/>
          <w:b/>
          <w:bCs/>
          <w:sz w:val="28"/>
          <w:szCs w:val="28"/>
          <w:lang w:eastAsia="zh-CN"/>
        </w:rPr>
        <w:t>付款方式</w:t>
      </w:r>
    </w:p>
    <w:p>
      <w:pPr>
        <w:pStyle w:val="15"/>
        <w:tabs>
          <w:tab w:val="left" w:pos="0"/>
        </w:tabs>
        <w:snapToGrid w:val="0"/>
        <w:spacing w:line="460" w:lineRule="exact"/>
        <w:ind w:firstLine="560" w:firstLineChars="200"/>
        <w:rPr>
          <w:rFonts w:hint="eastAsia"/>
          <w:sz w:val="28"/>
          <w:szCs w:val="28"/>
        </w:rPr>
      </w:pPr>
      <w:r>
        <w:rPr>
          <w:rFonts w:hint="eastAsia"/>
          <w:sz w:val="28"/>
          <w:szCs w:val="28"/>
        </w:rPr>
        <w:t>【特别提醒】付款方式不接受负偏离及任何意图改变付款方式的意图表达，否则作无效磋商处理。</w:t>
      </w:r>
    </w:p>
    <w:p>
      <w:pPr>
        <w:pStyle w:val="15"/>
        <w:tabs>
          <w:tab w:val="left" w:pos="0"/>
        </w:tabs>
        <w:snapToGrid w:val="0"/>
        <w:spacing w:line="460" w:lineRule="exact"/>
        <w:ind w:firstLine="560" w:firstLineChars="200"/>
        <w:rPr>
          <w:rFonts w:hint="eastAsia"/>
          <w:sz w:val="28"/>
          <w:szCs w:val="28"/>
        </w:rPr>
      </w:pPr>
      <w:r>
        <w:rPr>
          <w:rFonts w:hint="eastAsia"/>
          <w:sz w:val="28"/>
          <w:szCs w:val="28"/>
        </w:rPr>
        <w:t>1.按季（或三个月）验收，按季付款，每季度付25%的维保款</w:t>
      </w:r>
    </w:p>
    <w:p>
      <w:pPr>
        <w:pStyle w:val="15"/>
        <w:tabs>
          <w:tab w:val="left" w:pos="0"/>
        </w:tabs>
        <w:snapToGrid w:val="0"/>
        <w:spacing w:line="460" w:lineRule="exact"/>
        <w:ind w:firstLine="560" w:firstLineChars="200"/>
        <w:rPr>
          <w:rFonts w:hint="eastAsia"/>
          <w:sz w:val="28"/>
          <w:szCs w:val="28"/>
        </w:rPr>
      </w:pPr>
      <w:r>
        <w:rPr>
          <w:rFonts w:hint="eastAsia"/>
          <w:sz w:val="28"/>
          <w:szCs w:val="28"/>
        </w:rPr>
        <w:t>2.中标人凭以下有效文件与采购人结算：</w:t>
      </w:r>
    </w:p>
    <w:p>
      <w:pPr>
        <w:pStyle w:val="15"/>
        <w:tabs>
          <w:tab w:val="left" w:pos="0"/>
        </w:tabs>
        <w:snapToGrid w:val="0"/>
        <w:spacing w:line="460" w:lineRule="exact"/>
        <w:ind w:firstLine="560" w:firstLineChars="200"/>
        <w:rPr>
          <w:rFonts w:hint="eastAsia"/>
          <w:sz w:val="28"/>
          <w:szCs w:val="28"/>
        </w:rPr>
      </w:pPr>
      <w:r>
        <w:rPr>
          <w:rFonts w:hint="eastAsia"/>
          <w:sz w:val="28"/>
          <w:szCs w:val="28"/>
        </w:rPr>
        <w:t>（1）成交通知书；</w:t>
      </w:r>
    </w:p>
    <w:p>
      <w:pPr>
        <w:pStyle w:val="15"/>
        <w:tabs>
          <w:tab w:val="left" w:pos="0"/>
        </w:tabs>
        <w:snapToGrid w:val="0"/>
        <w:spacing w:line="460" w:lineRule="exact"/>
        <w:ind w:firstLine="560" w:firstLineChars="200"/>
        <w:rPr>
          <w:rFonts w:hint="eastAsia"/>
          <w:sz w:val="28"/>
          <w:szCs w:val="28"/>
        </w:rPr>
      </w:pPr>
      <w:r>
        <w:rPr>
          <w:rFonts w:hint="eastAsia"/>
          <w:sz w:val="28"/>
          <w:szCs w:val="28"/>
        </w:rPr>
        <w:t>（2）合同；</w:t>
      </w:r>
    </w:p>
    <w:p>
      <w:pPr>
        <w:pStyle w:val="15"/>
        <w:tabs>
          <w:tab w:val="left" w:pos="0"/>
        </w:tabs>
        <w:snapToGrid w:val="0"/>
        <w:spacing w:line="460" w:lineRule="exact"/>
        <w:ind w:firstLine="560" w:firstLineChars="200"/>
        <w:rPr>
          <w:rFonts w:hint="eastAsia"/>
          <w:sz w:val="28"/>
          <w:szCs w:val="28"/>
        </w:rPr>
      </w:pPr>
      <w:r>
        <w:rPr>
          <w:rFonts w:hint="eastAsia"/>
          <w:sz w:val="28"/>
          <w:szCs w:val="28"/>
        </w:rPr>
        <w:t>（3）中标人开具的正式发票。</w:t>
      </w:r>
    </w:p>
    <w:p>
      <w:pPr>
        <w:pStyle w:val="15"/>
        <w:tabs>
          <w:tab w:val="left" w:pos="0"/>
        </w:tabs>
        <w:snapToGrid w:val="0"/>
        <w:spacing w:line="460" w:lineRule="exact"/>
        <w:ind w:firstLine="562" w:firstLineChars="200"/>
        <w:rPr>
          <w:rFonts w:hint="eastAsia" w:hAnsi="宋体" w:eastAsia="宋体" w:cs="宋体"/>
          <w:b/>
          <w:bCs/>
          <w:sz w:val="28"/>
          <w:szCs w:val="28"/>
          <w:lang w:eastAsia="zh-CN"/>
        </w:rPr>
      </w:pPr>
      <w:r>
        <w:rPr>
          <w:rFonts w:hint="eastAsia" w:hAnsi="宋体" w:cs="宋体"/>
          <w:b/>
          <w:bCs/>
          <w:sz w:val="28"/>
          <w:szCs w:val="28"/>
        </w:rPr>
        <w:t>六、</w:t>
      </w:r>
      <w:r>
        <w:rPr>
          <w:rFonts w:hint="eastAsia" w:hAnsi="宋体" w:cs="宋体"/>
          <w:b/>
          <w:bCs/>
          <w:sz w:val="28"/>
          <w:szCs w:val="28"/>
          <w:lang w:eastAsia="zh-CN"/>
        </w:rPr>
        <w:t>其他</w:t>
      </w:r>
    </w:p>
    <w:p>
      <w:pPr>
        <w:pStyle w:val="15"/>
        <w:tabs>
          <w:tab w:val="left" w:pos="0"/>
        </w:tabs>
        <w:snapToGrid w:val="0"/>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1、成交供应商在接到用户单位电话维修通知后，供应商必须2小时以内响应，24小时以内完成甲方提出的维修要求。保证6小时到达售后服务现场。如需更换设备或送修，在7个工作日内负责解决。未及时修复的，采购人有权另行安排其他队伍进行维修，所产生的维修费用从合同价款中直接扣除。供应商超时或未在规定的时间内及时维修，造成的损失费用由成交供应商自行承担。</w:t>
      </w:r>
    </w:p>
    <w:p>
      <w:pPr>
        <w:pStyle w:val="15"/>
        <w:tabs>
          <w:tab w:val="left" w:pos="0"/>
        </w:tabs>
        <w:snapToGrid w:val="0"/>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2、供应商需安排有资质人员负责维保，在维修保养过程中的人身安全等安全责任由供应商负责，采购单位不承担任何责任和费用。</w:t>
      </w:r>
    </w:p>
    <w:p>
      <w:pPr>
        <w:adjustRightInd w:val="0"/>
        <w:snapToGrid w:val="0"/>
        <w:spacing w:line="460" w:lineRule="exact"/>
        <w:ind w:firstLine="560" w:firstLineChars="200"/>
        <w:rPr>
          <w:rFonts w:hint="eastAsia" w:ascii="宋体" w:hAnsi="宋体" w:cs="宋体"/>
          <w:color w:val="auto"/>
          <w:sz w:val="28"/>
          <w:szCs w:val="28"/>
          <w:lang w:val="zh-CN"/>
        </w:rPr>
      </w:pPr>
      <w:r>
        <w:rPr>
          <w:rFonts w:hint="eastAsia" w:ascii="宋体" w:hAnsi="宋体" w:cs="宋体"/>
          <w:sz w:val="28"/>
          <w:szCs w:val="28"/>
          <w:lang w:val="zh-CN"/>
        </w:rPr>
        <w:t>3、供应商投标报价前，需到采购方踏勘现场，一旦成交，不得对消防设施现状提任何疑议，签订合同后，开始维保。</w:t>
      </w:r>
      <w:r>
        <w:rPr>
          <w:rFonts w:hint="eastAsia" w:hAnsi="宋体" w:cs="宋体"/>
          <w:color w:val="auto"/>
          <w:sz w:val="28"/>
          <w:szCs w:val="28"/>
          <w:lang w:val="en-US" w:eastAsia="zh-CN"/>
        </w:rPr>
        <w:t>现场勘查时间为2024年5月9日上午8:00-11:00，采购单位联系人：管老师，联系方式：</w:t>
      </w:r>
      <w:r>
        <w:rPr>
          <w:rFonts w:hint="eastAsia" w:ascii="宋体" w:hAnsi="宋体" w:cs="宋体"/>
          <w:color w:val="auto"/>
          <w:sz w:val="28"/>
          <w:szCs w:val="28"/>
          <w:lang w:val="en-US" w:eastAsia="zh-CN"/>
        </w:rPr>
        <w:t>0513-69</w:t>
      </w:r>
      <w:bookmarkStart w:id="81" w:name="_GoBack"/>
      <w:bookmarkEnd w:id="81"/>
      <w:r>
        <w:rPr>
          <w:rFonts w:hint="eastAsia" w:ascii="宋体" w:hAnsi="宋体" w:cs="宋体"/>
          <w:color w:val="auto"/>
          <w:sz w:val="28"/>
          <w:szCs w:val="28"/>
          <w:lang w:val="en-US" w:eastAsia="zh-CN"/>
        </w:rPr>
        <w:t>991233。</w:t>
      </w:r>
    </w:p>
    <w:p>
      <w:pPr>
        <w:pStyle w:val="15"/>
        <w:tabs>
          <w:tab w:val="left" w:pos="0"/>
        </w:tabs>
        <w:snapToGrid w:val="0"/>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4、每次维修、保养后将维修、保养情况填写《消防养护作业报告或维修单》，交校方核实确认、签字。每月向校方提供一份《消防养护作业报告》，报告内容需包括项目需求中的所有内容，作为工作依据，双方保留签字依据。</w:t>
      </w:r>
    </w:p>
    <w:p>
      <w:pPr>
        <w:pStyle w:val="15"/>
        <w:tabs>
          <w:tab w:val="left" w:pos="0"/>
        </w:tabs>
        <w:snapToGrid w:val="0"/>
        <w:spacing w:line="460" w:lineRule="exact"/>
        <w:ind w:firstLine="560" w:firstLineChars="200"/>
        <w:rPr>
          <w:rFonts w:hint="eastAsia" w:ascii="宋体" w:hAnsi="宋体" w:cs="宋体"/>
          <w:sz w:val="28"/>
          <w:szCs w:val="28"/>
          <w:lang w:val="zh-CN"/>
        </w:rPr>
      </w:pPr>
      <w:r>
        <w:rPr>
          <w:rFonts w:hint="eastAsia" w:ascii="宋体" w:hAnsi="宋体" w:cs="宋体"/>
          <w:sz w:val="28"/>
          <w:szCs w:val="28"/>
          <w:lang w:val="zh-CN"/>
        </w:rPr>
        <w:t>5、供应商要确保各种消防设施正常运转，在各级各类检查中合格，否则采购方有权拒绝支付供应商维保费。</w:t>
      </w:r>
    </w:p>
    <w:p>
      <w:pPr>
        <w:tabs>
          <w:tab w:val="left" w:pos="1134"/>
        </w:tabs>
        <w:snapToGrid w:val="0"/>
        <w:spacing w:line="460" w:lineRule="exact"/>
        <w:ind w:firstLine="560" w:firstLineChars="200"/>
      </w:pPr>
      <w:r>
        <w:rPr>
          <w:rFonts w:hint="eastAsia" w:ascii="宋体" w:hAnsi="宋体" w:cs="宋体"/>
          <w:sz w:val="28"/>
          <w:szCs w:val="28"/>
          <w:lang w:val="zh-CN"/>
        </w:rPr>
        <w:t>6、供应商原因未能及时提供维保或配件更换服务的，被校方检查到的，每次每处扣供应商服务费200元，并责令及时整改；被上级或消防等部门检查到的，每次每处扣供应商2000元。一年内累计检查通报问题达3次的，采购人有权中止服务合同和拒绝支付服务费、扣留履约保证金，对此供应商必须响应。</w:t>
      </w:r>
    </w:p>
    <w:p>
      <w:pPr>
        <w:pStyle w:val="60"/>
        <w:spacing w:line="460" w:lineRule="exact"/>
        <w:ind w:firstLine="562" w:firstLineChars="200"/>
        <w:rPr>
          <w:rFonts w:ascii="宋体" w:hAnsi="宋体" w:eastAsia="宋体" w:cs="宋体"/>
          <w:b/>
          <w:kern w:val="2"/>
          <w:sz w:val="28"/>
          <w:szCs w:val="28"/>
        </w:rPr>
      </w:pPr>
    </w:p>
    <w:p>
      <w:pPr>
        <w:spacing w:line="460" w:lineRule="exact"/>
        <w:jc w:val="center"/>
        <w:rPr>
          <w:rFonts w:hint="eastAsia" w:ascii="宋体" w:hAnsi="宋体" w:cs="宋体"/>
          <w:b/>
          <w:sz w:val="32"/>
          <w:szCs w:val="32"/>
        </w:rPr>
      </w:pPr>
      <w:r>
        <w:rPr>
          <w:bCs/>
        </w:rPr>
        <w:br w:type="page"/>
      </w:r>
      <w:r>
        <w:rPr>
          <w:rFonts w:hint="eastAsia" w:ascii="宋体" w:hAnsi="宋体" w:cs="宋体"/>
          <w:bCs/>
          <w:sz w:val="36"/>
          <w:szCs w:val="36"/>
        </w:rPr>
        <w:t>第四部分 评审方法和评审标准</w:t>
      </w:r>
    </w:p>
    <w:p>
      <w:pPr>
        <w:adjustRightInd w:val="0"/>
        <w:snapToGrid w:val="0"/>
        <w:spacing w:line="460" w:lineRule="exact"/>
        <w:ind w:firstLine="562" w:firstLineChars="200"/>
        <w:jc w:val="left"/>
        <w:textAlignment w:val="baseline"/>
        <w:outlineLvl w:val="1"/>
        <w:rPr>
          <w:rFonts w:hint="eastAsia" w:ascii="宋体" w:hAnsi="宋体" w:cs="宋体"/>
          <w:b/>
          <w:sz w:val="28"/>
          <w:szCs w:val="28"/>
        </w:rPr>
      </w:pPr>
      <w:r>
        <w:rPr>
          <w:rFonts w:hint="eastAsia" w:ascii="宋体" w:hAnsi="宋体" w:cs="宋体"/>
          <w:b/>
          <w:sz w:val="28"/>
          <w:szCs w:val="28"/>
        </w:rPr>
        <w:t>一、</w:t>
      </w:r>
      <w:r>
        <w:rPr>
          <w:rFonts w:hint="eastAsia" w:ascii="宋体" w:hAnsi="宋体" w:cs="宋体"/>
          <w:bCs/>
          <w:sz w:val="28"/>
          <w:szCs w:val="28"/>
        </w:rPr>
        <w:t>磋商方式</w:t>
      </w:r>
    </w:p>
    <w:p>
      <w:pPr>
        <w:tabs>
          <w:tab w:val="left" w:pos="3585"/>
        </w:tabs>
        <w:adjustRightInd w:val="0"/>
        <w:snapToGrid w:val="0"/>
        <w:spacing w:line="460" w:lineRule="exact"/>
        <w:ind w:firstLine="537" w:firstLineChars="192"/>
        <w:rPr>
          <w:rFonts w:hint="eastAsia" w:ascii="宋体" w:hAnsi="宋体" w:cs="宋体"/>
          <w:sz w:val="28"/>
          <w:szCs w:val="28"/>
        </w:rPr>
      </w:pPr>
      <w:r>
        <w:rPr>
          <w:rFonts w:hint="eastAsia" w:ascii="宋体" w:hAnsi="宋体" w:cs="宋体"/>
          <w:sz w:val="28"/>
          <w:szCs w:val="28"/>
        </w:rPr>
        <w:t>见面磋商模式：供应商在采购文件规定的时间和地点参加磋商活动。</w:t>
      </w:r>
    </w:p>
    <w:p>
      <w:pPr>
        <w:adjustRightInd w:val="0"/>
        <w:snapToGrid w:val="0"/>
        <w:spacing w:line="460" w:lineRule="exact"/>
        <w:ind w:firstLine="562" w:firstLineChars="200"/>
        <w:jc w:val="left"/>
        <w:textAlignment w:val="baseline"/>
        <w:outlineLvl w:val="1"/>
        <w:rPr>
          <w:rFonts w:hint="eastAsia" w:ascii="宋体" w:hAnsi="宋体" w:cs="宋体"/>
          <w:sz w:val="28"/>
          <w:szCs w:val="28"/>
        </w:rPr>
      </w:pPr>
      <w:r>
        <w:rPr>
          <w:rFonts w:hint="eastAsia" w:ascii="宋体" w:hAnsi="宋体" w:cs="宋体"/>
          <w:b/>
          <w:sz w:val="28"/>
          <w:szCs w:val="28"/>
        </w:rPr>
        <w:t>二、</w:t>
      </w:r>
      <w:r>
        <w:rPr>
          <w:rFonts w:hint="eastAsia" w:ascii="宋体" w:hAnsi="宋体" w:cs="宋体"/>
          <w:sz w:val="28"/>
          <w:szCs w:val="28"/>
        </w:rPr>
        <w:t>磋商程序及评审方法和标准</w:t>
      </w:r>
    </w:p>
    <w:p>
      <w:pPr>
        <w:adjustRightInd w:val="0"/>
        <w:snapToGrid w:val="0"/>
        <w:spacing w:line="460" w:lineRule="exact"/>
        <w:ind w:firstLine="691" w:firstLineChars="247"/>
        <w:rPr>
          <w:rFonts w:hint="eastAsia" w:ascii="宋体" w:hAnsi="宋体" w:cs="宋体"/>
          <w:bCs/>
          <w:sz w:val="28"/>
          <w:szCs w:val="28"/>
        </w:rPr>
      </w:pPr>
      <w:r>
        <w:rPr>
          <w:rFonts w:hint="eastAsia" w:ascii="宋体" w:hAnsi="宋体" w:cs="宋体"/>
          <w:bCs/>
          <w:sz w:val="28"/>
          <w:szCs w:val="28"/>
        </w:rPr>
        <w:t>1.评审方法：综合评分法，经磋商确定最终采购需求和提交最后报价的供应商后，由磋商小组采用综合评分法对提交最后报价的供应商的响应文件和最后报价进行综合评分。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460" w:lineRule="exact"/>
        <w:ind w:firstLine="700" w:firstLineChars="250"/>
        <w:rPr>
          <w:rFonts w:hint="eastAsia" w:ascii="宋体" w:hAnsi="宋体" w:cs="宋体"/>
          <w:bCs/>
          <w:sz w:val="28"/>
          <w:szCs w:val="28"/>
        </w:rPr>
      </w:pPr>
      <w:r>
        <w:rPr>
          <w:rFonts w:hint="eastAsia" w:ascii="宋体" w:hAnsi="宋体" w:cs="宋体"/>
          <w:bCs/>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bCs/>
          <w:sz w:val="28"/>
          <w:szCs w:val="28"/>
        </w:rPr>
        <w:t>商务技术部分评审结束后进入最后报价环节，最后报价将作为评审价。</w:t>
      </w:r>
      <w:r>
        <w:rPr>
          <w:rFonts w:hint="eastAsia" w:ascii="宋体" w:hAnsi="宋体" w:cs="宋体"/>
          <w:bCs/>
          <w:sz w:val="28"/>
          <w:szCs w:val="28"/>
          <w:lang w:eastAsia="zh-CN"/>
        </w:rPr>
        <w:t>采购人</w:t>
      </w:r>
      <w:r>
        <w:rPr>
          <w:rFonts w:hint="eastAsia" w:ascii="宋体" w:hAnsi="宋体" w:cs="宋体"/>
          <w:bCs/>
          <w:sz w:val="28"/>
          <w:szCs w:val="28"/>
        </w:rPr>
        <w:t>发送最后报价填报通知后，所有的响应供应商须在15分钟内填写并提交最后报价，未在规定时间内提交最后报价的，视作无效响应处理。</w:t>
      </w:r>
    </w:p>
    <w:p>
      <w:pPr>
        <w:adjustRightInd w:val="0"/>
        <w:snapToGrid w:val="0"/>
        <w:spacing w:line="460" w:lineRule="exact"/>
        <w:ind w:firstLine="555"/>
        <w:rPr>
          <w:rFonts w:hint="eastAsia" w:ascii="宋体" w:hAnsi="宋体" w:cs="宋体"/>
          <w:sz w:val="28"/>
          <w:szCs w:val="28"/>
        </w:rPr>
      </w:pPr>
      <w:r>
        <w:rPr>
          <w:rFonts w:hint="eastAsia" w:ascii="宋体" w:hAnsi="宋体" w:cs="宋体"/>
          <w:sz w:val="28"/>
          <w:szCs w:val="28"/>
        </w:rPr>
        <w:t>供应商商务、技术部分和价格部分的合计分值，为该供应商的评审总得分。</w:t>
      </w:r>
    </w:p>
    <w:p>
      <w:pPr>
        <w:adjustRightInd w:val="0"/>
        <w:snapToGrid w:val="0"/>
        <w:spacing w:line="460" w:lineRule="exact"/>
        <w:ind w:firstLine="555"/>
        <w:rPr>
          <w:rFonts w:hint="eastAsia" w:ascii="宋体" w:hAnsi="宋体" w:cs="宋体"/>
          <w:sz w:val="28"/>
          <w:szCs w:val="28"/>
        </w:rPr>
      </w:pPr>
      <w:r>
        <w:rPr>
          <w:rFonts w:hint="eastAsia" w:ascii="宋体" w:hAnsi="宋体" w:cs="宋体"/>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adjustRightInd w:val="0"/>
        <w:snapToGrid w:val="0"/>
        <w:spacing w:line="460" w:lineRule="exact"/>
        <w:ind w:firstLine="555"/>
        <w:rPr>
          <w:rFonts w:hint="eastAsia" w:ascii="宋体" w:hAnsi="宋体" w:cs="宋体"/>
          <w:sz w:val="28"/>
          <w:szCs w:val="28"/>
        </w:rPr>
      </w:pPr>
      <w:r>
        <w:rPr>
          <w:rFonts w:hint="eastAsia" w:ascii="宋体" w:hAnsi="宋体" w:cs="宋体"/>
          <w:sz w:val="28"/>
          <w:szCs w:val="28"/>
        </w:rPr>
        <w:t>评委在认真审阅响应文件的基础上，根据各响应文件的响应程度独立评判，不得统一打分。</w:t>
      </w:r>
    </w:p>
    <w:p>
      <w:pPr>
        <w:adjustRightInd w:val="0"/>
        <w:snapToGrid w:val="0"/>
        <w:spacing w:line="460" w:lineRule="exact"/>
        <w:ind w:firstLine="555"/>
        <w:rPr>
          <w:rFonts w:hint="eastAsia" w:ascii="宋体" w:hAnsi="宋体" w:cs="宋体"/>
          <w:sz w:val="28"/>
          <w:szCs w:val="28"/>
        </w:rPr>
      </w:pPr>
      <w:r>
        <w:rPr>
          <w:rFonts w:hint="eastAsia" w:ascii="宋体" w:hAnsi="宋体" w:cs="宋体"/>
          <w:sz w:val="28"/>
          <w:szCs w:val="28"/>
        </w:rPr>
        <w:t>技术商务部分评审结束后，再开启最后报价计算分值。总分值为100分，加分和减分因素除外。</w:t>
      </w:r>
    </w:p>
    <w:p>
      <w:pPr>
        <w:adjustRightInd w:val="0"/>
        <w:snapToGrid w:val="0"/>
        <w:spacing w:line="460" w:lineRule="exact"/>
        <w:ind w:firstLine="579" w:firstLineChars="206"/>
        <w:outlineLvl w:val="2"/>
        <w:rPr>
          <w:rFonts w:hint="eastAsia" w:ascii="宋体" w:hAnsi="宋体" w:cs="宋体"/>
          <w:b/>
          <w:sz w:val="28"/>
          <w:szCs w:val="28"/>
        </w:rPr>
      </w:pPr>
      <w:r>
        <w:rPr>
          <w:rFonts w:hint="eastAsia" w:ascii="宋体" w:hAnsi="宋体" w:cs="宋体"/>
          <w:b/>
          <w:sz w:val="28"/>
          <w:szCs w:val="28"/>
        </w:rPr>
        <w:t>（一）采购人（代表）对供应商资格进行审查。</w:t>
      </w:r>
    </w:p>
    <w:p>
      <w:pPr>
        <w:adjustRightInd w:val="0"/>
        <w:snapToGrid w:val="0"/>
        <w:spacing w:line="460" w:lineRule="exact"/>
        <w:ind w:firstLine="576" w:firstLineChars="206"/>
        <w:rPr>
          <w:rFonts w:hint="eastAsia" w:ascii="宋体" w:hAnsi="宋体" w:cs="宋体"/>
          <w:kern w:val="0"/>
          <w:sz w:val="28"/>
          <w:szCs w:val="28"/>
        </w:rPr>
      </w:pPr>
      <w:r>
        <w:rPr>
          <w:rFonts w:hint="eastAsia" w:ascii="宋体" w:hAnsi="宋体" w:cs="宋体"/>
          <w:kern w:val="0"/>
          <w:sz w:val="28"/>
          <w:szCs w:val="28"/>
        </w:rPr>
        <w:t>供应商资格不合格的，其响应文件判定为无效响应文件。</w:t>
      </w:r>
    </w:p>
    <w:p>
      <w:pPr>
        <w:adjustRightInd w:val="0"/>
        <w:snapToGrid w:val="0"/>
        <w:spacing w:line="460" w:lineRule="exact"/>
        <w:ind w:firstLine="579" w:firstLineChars="206"/>
        <w:outlineLvl w:val="2"/>
        <w:rPr>
          <w:rFonts w:hint="eastAsia" w:ascii="宋体" w:hAnsi="宋体" w:cs="宋体"/>
          <w:b/>
          <w:sz w:val="28"/>
          <w:szCs w:val="28"/>
        </w:rPr>
      </w:pPr>
      <w:r>
        <w:rPr>
          <w:rFonts w:hint="eastAsia" w:ascii="宋体" w:hAnsi="宋体" w:cs="宋体"/>
          <w:b/>
          <w:sz w:val="28"/>
          <w:szCs w:val="28"/>
        </w:rPr>
        <w:t>（二）磋商小组对符合资格供应商的响应文件进行符合性审查。</w:t>
      </w:r>
    </w:p>
    <w:p>
      <w:pPr>
        <w:adjustRightInd w:val="0"/>
        <w:snapToGrid w:val="0"/>
        <w:spacing w:line="460" w:lineRule="exact"/>
        <w:ind w:firstLine="576" w:firstLineChars="206"/>
        <w:rPr>
          <w:rFonts w:hint="eastAsia" w:ascii="宋体" w:hAnsi="宋体" w:cs="宋体"/>
          <w:kern w:val="0"/>
          <w:sz w:val="28"/>
          <w:szCs w:val="28"/>
        </w:rPr>
      </w:pPr>
      <w:r>
        <w:rPr>
          <w:rFonts w:hint="eastAsia" w:ascii="宋体" w:hAnsi="宋体" w:cs="宋体"/>
          <w:kern w:val="0"/>
          <w:sz w:val="28"/>
          <w:szCs w:val="28"/>
        </w:rPr>
        <w:t xml:space="preserve">未通过符合性审查的响应文件，将被判为不满足磋商文件实质性要求。 </w:t>
      </w:r>
    </w:p>
    <w:p>
      <w:pPr>
        <w:adjustRightInd w:val="0"/>
        <w:snapToGrid w:val="0"/>
        <w:spacing w:line="460" w:lineRule="exact"/>
        <w:ind w:firstLine="560" w:firstLineChars="200"/>
        <w:jc w:val="left"/>
        <w:outlineLvl w:val="2"/>
        <w:rPr>
          <w:rFonts w:hint="eastAsia" w:ascii="宋体" w:hAnsi="宋体" w:cs="宋体"/>
          <w:sz w:val="28"/>
          <w:szCs w:val="28"/>
          <w:lang w:val="zh-CN"/>
        </w:rPr>
      </w:pPr>
      <w:r>
        <w:rPr>
          <w:rFonts w:hint="eastAsia" w:ascii="宋体" w:hAnsi="宋体" w:cs="宋体"/>
          <w:sz w:val="28"/>
          <w:szCs w:val="28"/>
          <w:lang w:val="zh-CN"/>
        </w:rPr>
        <w:t>（三）商务技术分：</w:t>
      </w:r>
      <w:r>
        <w:rPr>
          <w:rFonts w:hint="eastAsia" w:ascii="宋体" w:hAnsi="宋体" w:cs="宋体"/>
          <w:sz w:val="28"/>
          <w:szCs w:val="28"/>
          <w:lang w:val="en-US" w:eastAsia="zh-CN"/>
        </w:rPr>
        <w:t>8</w:t>
      </w:r>
      <w:r>
        <w:rPr>
          <w:rFonts w:hint="eastAsia" w:ascii="宋体" w:hAnsi="宋体" w:cs="宋体"/>
          <w:sz w:val="28"/>
          <w:szCs w:val="28"/>
        </w:rPr>
        <w:t>0</w:t>
      </w:r>
      <w:r>
        <w:rPr>
          <w:rFonts w:hint="eastAsia" w:ascii="宋体" w:hAnsi="宋体" w:cs="宋体"/>
          <w:sz w:val="28"/>
          <w:szCs w:val="28"/>
          <w:lang w:val="zh-CN"/>
        </w:rPr>
        <w:t>分</w:t>
      </w:r>
    </w:p>
    <w:p>
      <w:pPr>
        <w:adjustRightInd w:val="0"/>
        <w:snapToGrid w:val="0"/>
        <w:spacing w:line="460" w:lineRule="exact"/>
        <w:ind w:firstLine="700" w:firstLineChars="250"/>
        <w:jc w:val="left"/>
        <w:rPr>
          <w:rFonts w:hint="eastAsia" w:ascii="宋体" w:hAnsi="宋体" w:cs="宋体"/>
          <w:sz w:val="28"/>
          <w:szCs w:val="28"/>
        </w:rPr>
      </w:pPr>
      <w:r>
        <w:rPr>
          <w:rFonts w:hint="eastAsia" w:ascii="宋体" w:hAnsi="宋体" w:cs="宋体"/>
          <w:sz w:val="28"/>
          <w:szCs w:val="28"/>
        </w:rPr>
        <w:t>各供应商得分为磋商小组成员评分的算术平均分，分值保留小数点后两位。</w:t>
      </w:r>
    </w:p>
    <w:tbl>
      <w:tblPr>
        <w:tblStyle w:val="2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5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rPr>
                <w:rFonts w:ascii="仿宋" w:hAnsi="仿宋" w:cs="仿宋"/>
                <w:b/>
                <w:sz w:val="24"/>
                <w:szCs w:val="24"/>
              </w:rPr>
            </w:pPr>
            <w:r>
              <w:rPr>
                <w:rFonts w:hint="eastAsia" w:ascii="仿宋" w:hAnsi="仿宋" w:cs="仿宋"/>
                <w:b/>
                <w:sz w:val="24"/>
                <w:szCs w:val="24"/>
              </w:rPr>
              <w:t>序号</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rPr>
                <w:rFonts w:ascii="仿宋" w:hAnsi="仿宋" w:cs="仿宋"/>
                <w:b/>
                <w:sz w:val="24"/>
                <w:szCs w:val="24"/>
              </w:rPr>
            </w:pPr>
            <w:r>
              <w:rPr>
                <w:rFonts w:hint="eastAsia" w:ascii="仿宋" w:hAnsi="仿宋" w:cs="仿宋"/>
                <w:b/>
                <w:sz w:val="24"/>
                <w:szCs w:val="24"/>
              </w:rPr>
              <w:t>评分内容</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60" w:lineRule="exact"/>
              <w:jc w:val="center"/>
              <w:rPr>
                <w:rFonts w:ascii="仿宋" w:hAnsi="仿宋" w:cs="仿宋"/>
                <w:b/>
                <w:sz w:val="24"/>
                <w:szCs w:val="24"/>
              </w:rPr>
            </w:pPr>
            <w:r>
              <w:rPr>
                <w:rFonts w:hint="eastAsia" w:ascii="仿宋" w:hAnsi="仿宋" w:cs="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ascii="仿宋" w:hAnsi="仿宋" w:cs="仿宋"/>
                <w:color w:val="000000"/>
                <w:kern w:val="0"/>
                <w:sz w:val="24"/>
                <w:szCs w:val="24"/>
              </w:rPr>
            </w:pPr>
            <w:r>
              <w:rPr>
                <w:rFonts w:hint="eastAsia" w:ascii="仿宋" w:hAnsi="仿宋" w:cs="仿宋"/>
                <w:color w:val="000000"/>
                <w:kern w:val="0"/>
                <w:sz w:val="24"/>
                <w:szCs w:val="24"/>
              </w:rPr>
              <w:t>1</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仿宋" w:hAnsi="仿宋" w:eastAsia="宋体" w:cs="仿宋"/>
                <w:color w:val="000000"/>
                <w:kern w:val="0"/>
                <w:sz w:val="24"/>
                <w:szCs w:val="24"/>
                <w:lang w:eastAsia="zh-CN"/>
              </w:rPr>
            </w:pPr>
            <w:r>
              <w:rPr>
                <w:rFonts w:hint="eastAsia" w:ascii="仿宋" w:hAnsi="仿宋" w:cs="仿宋"/>
                <w:color w:val="000000"/>
                <w:kern w:val="0"/>
                <w:sz w:val="24"/>
                <w:szCs w:val="24"/>
              </w:rPr>
              <w:t>管理体系认证</w:t>
            </w:r>
            <w:r>
              <w:rPr>
                <w:rFonts w:hint="eastAsia" w:ascii="仿宋" w:hAnsi="仿宋" w:cs="仿宋"/>
                <w:color w:val="000000"/>
                <w:kern w:val="0"/>
                <w:sz w:val="24"/>
                <w:szCs w:val="24"/>
                <w:lang w:eastAsia="zh-CN"/>
              </w:rPr>
              <w:t>（</w:t>
            </w:r>
            <w:r>
              <w:rPr>
                <w:rFonts w:hint="eastAsia" w:ascii="仿宋" w:hAnsi="仿宋" w:cs="仿宋"/>
                <w:color w:val="000000"/>
                <w:kern w:val="0"/>
                <w:sz w:val="24"/>
                <w:szCs w:val="24"/>
                <w:lang w:val="en-US" w:eastAsia="zh-CN"/>
              </w:rPr>
              <w:t>6分</w:t>
            </w:r>
            <w:r>
              <w:rPr>
                <w:rFonts w:hint="eastAsia" w:ascii="仿宋" w:hAnsi="仿宋" w:cs="仿宋"/>
                <w:color w:val="000000"/>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pStyle w:val="27"/>
              <w:keepNext w:val="0"/>
              <w:keepLines w:val="0"/>
              <w:pageBreakBefore w:val="0"/>
              <w:kinsoku/>
              <w:wordWrap/>
              <w:overflowPunct/>
              <w:topLinePunct w:val="0"/>
              <w:autoSpaceDE/>
              <w:autoSpaceDN/>
              <w:bidi w:val="0"/>
              <w:spacing w:after="0" w:line="460" w:lineRule="exact"/>
              <w:ind w:left="0" w:leftChars="0" w:firstLine="0" w:firstLineChars="0"/>
              <w:jc w:val="left"/>
              <w:rPr>
                <w:rFonts w:ascii="仿宋" w:hAnsi="仿宋" w:cs="仿宋"/>
                <w:sz w:val="24"/>
                <w:szCs w:val="24"/>
              </w:rPr>
            </w:pPr>
            <w:r>
              <w:rPr>
                <w:rFonts w:hint="eastAsia" w:ascii="仿宋" w:hAnsi="仿宋" w:cs="仿宋"/>
                <w:sz w:val="24"/>
                <w:szCs w:val="24"/>
              </w:rPr>
              <w:t>具有ISO9001质量管理体系认证、ISO14001环境管理体系</w:t>
            </w:r>
            <w:r>
              <w:rPr>
                <w:rFonts w:hint="eastAsia" w:ascii="仿宋" w:hAnsi="仿宋" w:cs="仿宋"/>
                <w:sz w:val="24"/>
                <w:szCs w:val="24"/>
                <w:lang w:eastAsia="zh-CN"/>
              </w:rPr>
              <w:t>认证</w:t>
            </w:r>
            <w:r>
              <w:rPr>
                <w:rFonts w:hint="eastAsia" w:ascii="仿宋" w:hAnsi="仿宋" w:cs="仿宋"/>
                <w:sz w:val="24"/>
                <w:szCs w:val="24"/>
              </w:rPr>
              <w:t>、</w:t>
            </w:r>
            <w:r>
              <w:rPr>
                <w:rFonts w:hint="eastAsia" w:ascii="仿宋" w:hAnsi="仿宋" w:cs="仿宋"/>
                <w:sz w:val="24"/>
                <w:szCs w:val="24"/>
                <w:lang w:val="en-US" w:eastAsia="zh-CN"/>
              </w:rPr>
              <w:t>ISO45001职业健康安全管理体系认证</w:t>
            </w:r>
            <w:r>
              <w:rPr>
                <w:rFonts w:hint="eastAsia" w:ascii="仿宋" w:hAnsi="仿宋" w:cs="仿宋"/>
                <w:sz w:val="24"/>
                <w:szCs w:val="24"/>
              </w:rPr>
              <w:t>证书的，每提供一个得2分，最多得6分。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ascii="仿宋" w:hAnsi="仿宋" w:cs="仿宋"/>
                <w:color w:val="000000"/>
                <w:kern w:val="0"/>
                <w:sz w:val="24"/>
                <w:szCs w:val="24"/>
              </w:rPr>
            </w:pPr>
            <w:r>
              <w:rPr>
                <w:rFonts w:hint="eastAsia" w:ascii="仿宋" w:hAnsi="仿宋" w:cs="仿宋"/>
                <w:color w:val="000000"/>
                <w:kern w:val="0"/>
                <w:sz w:val="24"/>
                <w:szCs w:val="24"/>
              </w:rPr>
              <w:t>2</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cs="宋体"/>
                <w:bCs/>
                <w:sz w:val="24"/>
              </w:rPr>
            </w:pPr>
            <w:r>
              <w:rPr>
                <w:rFonts w:hint="eastAsia" w:ascii="宋体" w:hAnsi="宋体" w:cs="宋体"/>
                <w:bCs/>
                <w:sz w:val="24"/>
              </w:rPr>
              <w:t>荣誉获奖</w:t>
            </w:r>
          </w:p>
          <w:p>
            <w:pPr>
              <w:keepNext w:val="0"/>
              <w:keepLines w:val="0"/>
              <w:pageBreakBefore w:val="0"/>
              <w:widowControl/>
              <w:kinsoku/>
              <w:wordWrap/>
              <w:overflowPunct/>
              <w:topLinePunct w:val="0"/>
              <w:autoSpaceDE/>
              <w:autoSpaceDN/>
              <w:bidi w:val="0"/>
              <w:spacing w:line="460" w:lineRule="exact"/>
              <w:jc w:val="center"/>
              <w:rPr>
                <w:rFonts w:ascii="仿宋" w:hAnsi="仿宋" w:cs="仿宋"/>
                <w:color w:val="000000"/>
                <w:kern w:val="0"/>
                <w:sz w:val="24"/>
                <w:szCs w:val="24"/>
              </w:rPr>
            </w:pPr>
            <w:r>
              <w:rPr>
                <w:rFonts w:hint="eastAsia" w:ascii="仿宋" w:hAnsi="仿宋" w:cs="仿宋"/>
                <w:color w:val="000000"/>
                <w:kern w:val="0"/>
                <w:sz w:val="24"/>
                <w:szCs w:val="24"/>
                <w:lang w:eastAsia="zh-CN"/>
              </w:rPr>
              <w:t>（</w:t>
            </w:r>
            <w:r>
              <w:rPr>
                <w:rFonts w:hint="eastAsia" w:ascii="仿宋" w:hAnsi="仿宋" w:cs="仿宋"/>
                <w:color w:val="000000"/>
                <w:kern w:val="0"/>
                <w:sz w:val="24"/>
                <w:szCs w:val="24"/>
                <w:lang w:val="en-US" w:eastAsia="zh-CN"/>
              </w:rPr>
              <w:t>6分</w:t>
            </w:r>
            <w:r>
              <w:rPr>
                <w:rFonts w:hint="eastAsia" w:ascii="仿宋" w:hAnsi="仿宋" w:cs="仿宋"/>
                <w:color w:val="000000"/>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rPr>
                <w:rFonts w:ascii="仿宋" w:hAnsi="仿宋" w:cs="仿宋"/>
                <w:sz w:val="24"/>
                <w:szCs w:val="24"/>
              </w:rPr>
            </w:pPr>
            <w:r>
              <w:rPr>
                <w:rFonts w:hint="eastAsia" w:ascii="仿宋" w:hAnsi="仿宋" w:cs="仿宋"/>
                <w:sz w:val="24"/>
                <w:szCs w:val="24"/>
              </w:rPr>
              <w:t>投标供应商承接的消防维保案例或服务对象在维保服务合同期内获得市（县）及以上政府</w:t>
            </w:r>
            <w:r>
              <w:rPr>
                <w:rFonts w:hint="eastAsia" w:ascii="宋体" w:hAnsi="宋体" w:eastAsia="宋体" w:cs="宋体"/>
                <w:sz w:val="24"/>
                <w:szCs w:val="24"/>
                <w:lang w:val="en-US" w:eastAsia="zh-CN"/>
              </w:rPr>
              <w:t>部门</w:t>
            </w:r>
            <w:r>
              <w:rPr>
                <w:rFonts w:hint="eastAsia" w:ascii="宋体" w:hAnsi="宋体" w:eastAsia="宋体" w:cs="宋体"/>
                <w:sz w:val="24"/>
                <w:szCs w:val="24"/>
              </w:rPr>
              <w:t>消防</w:t>
            </w:r>
            <w:r>
              <w:rPr>
                <w:rFonts w:hint="eastAsia" w:ascii="宋体" w:hAnsi="宋体" w:eastAsia="宋体" w:cs="宋体"/>
                <w:sz w:val="24"/>
                <w:szCs w:val="24"/>
                <w:lang w:eastAsia="zh-CN"/>
              </w:rPr>
              <w:t>、</w:t>
            </w:r>
            <w:r>
              <w:rPr>
                <w:rFonts w:hint="eastAsia" w:ascii="宋体" w:hAnsi="宋体" w:eastAsia="宋体" w:cs="宋体"/>
                <w:sz w:val="24"/>
                <w:szCs w:val="24"/>
              </w:rPr>
              <w:t>安全先进荣誉的</w:t>
            </w:r>
            <w:r>
              <w:rPr>
                <w:rFonts w:hint="eastAsia" w:ascii="仿宋" w:hAnsi="仿宋" w:cs="仿宋"/>
                <w:sz w:val="24"/>
                <w:szCs w:val="24"/>
              </w:rPr>
              <w:t>，有一个得3分，最多得6分。需提供维保合同和荣誉证书复印件。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rPr>
                <w:rFonts w:ascii="仿宋" w:hAnsi="仿宋" w:cs="仿宋"/>
                <w:color w:val="000000"/>
                <w:kern w:val="0"/>
                <w:sz w:val="24"/>
                <w:szCs w:val="24"/>
              </w:rPr>
            </w:pPr>
            <w:r>
              <w:rPr>
                <w:rFonts w:hint="eastAsia" w:ascii="仿宋" w:hAnsi="仿宋" w:cs="仿宋"/>
                <w:color w:val="000000"/>
                <w:kern w:val="0"/>
                <w:sz w:val="24"/>
                <w:szCs w:val="24"/>
              </w:rPr>
              <w:t>3</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hint="eastAsia" w:ascii="宋体" w:hAnsi="宋体" w:cs="宋体"/>
                <w:sz w:val="24"/>
              </w:rPr>
            </w:pPr>
            <w:r>
              <w:rPr>
                <w:rFonts w:hint="eastAsia" w:ascii="宋体" w:hAnsi="宋体" w:cs="宋体"/>
                <w:sz w:val="24"/>
              </w:rPr>
              <w:t>类似业绩</w:t>
            </w:r>
          </w:p>
          <w:p>
            <w:pPr>
              <w:keepNext w:val="0"/>
              <w:keepLines w:val="0"/>
              <w:pageBreakBefore w:val="0"/>
              <w:widowControl/>
              <w:kinsoku/>
              <w:wordWrap/>
              <w:overflowPunct/>
              <w:topLinePunct w:val="0"/>
              <w:autoSpaceDE/>
              <w:autoSpaceDN/>
              <w:bidi w:val="0"/>
              <w:spacing w:line="460" w:lineRule="exact"/>
              <w:jc w:val="center"/>
              <w:rPr>
                <w:rFonts w:ascii="仿宋" w:hAnsi="仿宋" w:cs="仿宋"/>
                <w:color w:val="000000"/>
                <w:kern w:val="0"/>
                <w:sz w:val="24"/>
                <w:szCs w:val="24"/>
              </w:rPr>
            </w:pPr>
            <w:r>
              <w:rPr>
                <w:rFonts w:hint="eastAsia" w:ascii="仿宋" w:hAnsi="仿宋" w:cs="仿宋"/>
                <w:color w:val="auto"/>
                <w:kern w:val="0"/>
                <w:sz w:val="24"/>
                <w:szCs w:val="24"/>
                <w:lang w:eastAsia="zh-CN"/>
              </w:rPr>
              <w:t>（</w:t>
            </w:r>
            <w:r>
              <w:rPr>
                <w:rFonts w:hint="eastAsia" w:ascii="仿宋" w:hAnsi="仿宋" w:cs="仿宋"/>
                <w:color w:val="auto"/>
                <w:kern w:val="0"/>
                <w:sz w:val="24"/>
                <w:szCs w:val="24"/>
                <w:lang w:val="en-US" w:eastAsia="zh-CN"/>
              </w:rPr>
              <w:t>16分</w:t>
            </w:r>
            <w:r>
              <w:rPr>
                <w:rFonts w:hint="eastAsia" w:ascii="仿宋" w:hAnsi="仿宋" w:cs="仿宋"/>
                <w:color w:val="auto"/>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rPr>
                <w:rFonts w:ascii="仿宋" w:hAnsi="仿宋" w:cs="仿宋"/>
                <w:sz w:val="24"/>
                <w:szCs w:val="24"/>
              </w:rPr>
            </w:pPr>
            <w:r>
              <w:rPr>
                <w:rFonts w:hint="eastAsia" w:ascii="宋体" w:hAnsi="宋体" w:cs="宋体"/>
                <w:sz w:val="24"/>
                <w:shd w:val="clear" w:color="auto" w:fill="FFFFFF"/>
              </w:rPr>
              <w:t>投标供应商提供2020年1月1日以来承接类似的消防维保服务业绩，每提供一份得4分，最多得</w:t>
            </w:r>
            <w:r>
              <w:rPr>
                <w:rFonts w:hint="eastAsia" w:ascii="宋体" w:hAnsi="宋体" w:cs="宋体"/>
                <w:sz w:val="24"/>
                <w:shd w:val="clear" w:color="auto" w:fill="FFFFFF"/>
                <w:lang w:val="en-US" w:eastAsia="zh-CN"/>
              </w:rPr>
              <w:t>16</w:t>
            </w:r>
            <w:r>
              <w:rPr>
                <w:rFonts w:hint="eastAsia" w:ascii="宋体" w:hAnsi="宋体" w:cs="宋体"/>
                <w:sz w:val="24"/>
                <w:shd w:val="clear" w:color="auto" w:fill="FFFFFF"/>
              </w:rPr>
              <w:t>分。需同时提供服务合同及业主对供应商履约情况的评价资料，不提供或提供不全的不得分。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60" w:lineRule="exact"/>
              <w:jc w:val="center"/>
              <w:rPr>
                <w:rFonts w:ascii="仿宋" w:hAnsi="仿宋" w:cs="仿宋"/>
                <w:color w:val="000000"/>
                <w:kern w:val="0"/>
                <w:sz w:val="24"/>
                <w:szCs w:val="24"/>
              </w:rPr>
            </w:pPr>
            <w:r>
              <w:rPr>
                <w:rFonts w:ascii="仿宋" w:hAnsi="仿宋" w:cs="仿宋"/>
                <w:color w:val="000000"/>
                <w:kern w:val="0"/>
                <w:sz w:val="24"/>
                <w:szCs w:val="24"/>
              </w:rPr>
              <w:t>4</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pageBreakBefore w:val="0"/>
              <w:kinsoku/>
              <w:wordWrap/>
              <w:overflowPunct/>
              <w:topLinePunct w:val="0"/>
              <w:autoSpaceDE/>
              <w:autoSpaceDN/>
              <w:bidi w:val="0"/>
              <w:spacing w:after="0" w:line="460" w:lineRule="exact"/>
              <w:ind w:left="0" w:leftChars="0"/>
              <w:rPr>
                <w:rFonts w:ascii="仿宋" w:hAnsi="仿宋" w:cs="仿宋"/>
                <w:color w:val="000000"/>
                <w:kern w:val="0"/>
                <w:sz w:val="24"/>
                <w:szCs w:val="24"/>
              </w:rPr>
            </w:pPr>
            <w:r>
              <w:rPr>
                <w:rFonts w:hint="eastAsia" w:ascii="宋体" w:hAnsi="宋体" w:eastAsia="宋体" w:cs="宋体"/>
                <w:sz w:val="24"/>
                <w:szCs w:val="24"/>
              </w:rPr>
              <w:t>拟投入维保服务人员能力</w:t>
            </w:r>
            <w:r>
              <w:rPr>
                <w:rFonts w:hint="eastAsia" w:ascii="仿宋" w:hAnsi="仿宋" w:cs="仿宋"/>
                <w:color w:val="000000"/>
                <w:kern w:val="0"/>
                <w:sz w:val="24"/>
                <w:szCs w:val="24"/>
                <w:lang w:eastAsia="zh-CN"/>
              </w:rPr>
              <w:t>（</w:t>
            </w:r>
            <w:r>
              <w:rPr>
                <w:rFonts w:hint="eastAsia" w:ascii="仿宋" w:hAnsi="仿宋" w:cs="仿宋"/>
                <w:color w:val="000000"/>
                <w:kern w:val="0"/>
                <w:sz w:val="24"/>
                <w:szCs w:val="24"/>
                <w:lang w:val="en-US" w:eastAsia="zh-CN"/>
              </w:rPr>
              <w:t>12分</w:t>
            </w:r>
            <w:r>
              <w:rPr>
                <w:rFonts w:hint="eastAsia" w:ascii="仿宋" w:hAnsi="仿宋" w:cs="仿宋"/>
                <w:color w:val="000000"/>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pageBreakBefore w:val="0"/>
              <w:kinsoku/>
              <w:wordWrap/>
              <w:overflowPunct/>
              <w:topLinePunct w:val="0"/>
              <w:autoSpaceDE/>
              <w:autoSpaceDN/>
              <w:bidi w:val="0"/>
              <w:spacing w:after="0" w:line="460" w:lineRule="exact"/>
              <w:ind w:left="0" w:leftChars="0"/>
              <w:rPr>
                <w:rFonts w:ascii="仿宋" w:hAnsi="仿宋" w:cs="仿宋"/>
                <w:sz w:val="24"/>
                <w:szCs w:val="24"/>
              </w:rPr>
            </w:pPr>
            <w:r>
              <w:rPr>
                <w:rFonts w:hint="eastAsia" w:ascii="宋体" w:hAnsi="宋体" w:eastAsia="宋体" w:cs="宋体"/>
                <w:sz w:val="24"/>
                <w:szCs w:val="24"/>
              </w:rPr>
              <w:t>评委就投标人提供针对本项目拟投入维保服务人员消防维保服务能力、职业资格、技术职称情况进行对比打分</w:t>
            </w:r>
            <w:r>
              <w:rPr>
                <w:rFonts w:hint="eastAsia" w:ascii="宋体" w:hAnsi="宋体" w:cs="宋体"/>
                <w:sz w:val="24"/>
                <w:szCs w:val="24"/>
                <w:lang w:eastAsia="zh-CN"/>
              </w:rPr>
              <w:t>。</w:t>
            </w:r>
            <w:r>
              <w:rPr>
                <w:rFonts w:hint="eastAsia" w:ascii="宋体" w:hAnsi="宋体" w:cs="宋体"/>
                <w:color w:val="000000"/>
                <w:sz w:val="24"/>
                <w:szCs w:val="24"/>
                <w:lang w:eastAsia="zh-CN"/>
              </w:rPr>
              <w:t>针对本项目配备的人员服务响应能力完全满足本项目维保工作需要的得1</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分；针对本项目配备的人员服务响应能力基本满足本项目维保工作需要的得</w:t>
            </w:r>
            <w:r>
              <w:rPr>
                <w:rFonts w:hint="eastAsia" w:ascii="宋体" w:hAnsi="宋体" w:cs="宋体"/>
                <w:color w:val="000000"/>
                <w:sz w:val="24"/>
                <w:szCs w:val="24"/>
                <w:lang w:val="en-US" w:eastAsia="zh-CN"/>
              </w:rPr>
              <w:t>6</w:t>
            </w:r>
            <w:r>
              <w:rPr>
                <w:rFonts w:hint="eastAsia" w:ascii="宋体" w:hAnsi="宋体" w:cs="宋体"/>
                <w:color w:val="000000"/>
                <w:sz w:val="24"/>
                <w:szCs w:val="24"/>
                <w:lang w:eastAsia="zh-CN"/>
              </w:rPr>
              <w:t>分；针对本项目配备的人员服务响应能力较难满足本项目维保工作需要的得</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rPr>
                <w:rFonts w:ascii="仿宋" w:hAnsi="仿宋" w:cs="仿宋"/>
                <w:sz w:val="24"/>
                <w:szCs w:val="24"/>
              </w:rPr>
            </w:pPr>
            <w:r>
              <w:rPr>
                <w:rFonts w:ascii="仿宋" w:hAnsi="仿宋" w:cs="仿宋"/>
                <w:sz w:val="24"/>
                <w:szCs w:val="24"/>
              </w:rPr>
              <w:t>6</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pageBreakBefore w:val="0"/>
              <w:kinsoku/>
              <w:wordWrap/>
              <w:overflowPunct/>
              <w:topLinePunct w:val="0"/>
              <w:autoSpaceDE/>
              <w:autoSpaceDN/>
              <w:bidi w:val="0"/>
              <w:spacing w:after="0" w:line="460" w:lineRule="exact"/>
              <w:ind w:left="0" w:leftChars="0"/>
              <w:rPr>
                <w:rFonts w:ascii="仿宋" w:hAnsi="仿宋" w:cs="仿宋"/>
                <w:sz w:val="24"/>
                <w:szCs w:val="24"/>
              </w:rPr>
            </w:pPr>
            <w:r>
              <w:rPr>
                <w:rFonts w:hint="eastAsia" w:ascii="宋体" w:hAnsi="宋体" w:eastAsia="宋体" w:cs="宋体"/>
                <w:sz w:val="24"/>
                <w:szCs w:val="24"/>
              </w:rPr>
              <w:t>拟投入维保服务和检测设备</w:t>
            </w:r>
            <w:r>
              <w:rPr>
                <w:rFonts w:hint="eastAsia" w:ascii="仿宋" w:hAnsi="仿宋" w:cs="仿宋"/>
                <w:color w:val="auto"/>
                <w:kern w:val="0"/>
                <w:sz w:val="24"/>
                <w:szCs w:val="24"/>
                <w:lang w:eastAsia="zh-CN"/>
              </w:rPr>
              <w:t>（</w:t>
            </w:r>
            <w:r>
              <w:rPr>
                <w:rFonts w:hint="eastAsia" w:ascii="仿宋" w:hAnsi="仿宋" w:cs="仿宋"/>
                <w:color w:val="auto"/>
                <w:kern w:val="0"/>
                <w:sz w:val="24"/>
                <w:szCs w:val="24"/>
                <w:lang w:val="en-US" w:eastAsia="zh-CN"/>
              </w:rPr>
              <w:t>12分</w:t>
            </w:r>
            <w:r>
              <w:rPr>
                <w:rFonts w:hint="eastAsia" w:ascii="仿宋" w:hAnsi="仿宋" w:cs="仿宋"/>
                <w:color w:val="auto"/>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pageBreakBefore w:val="0"/>
              <w:kinsoku/>
              <w:wordWrap/>
              <w:overflowPunct/>
              <w:topLinePunct w:val="0"/>
              <w:autoSpaceDE/>
              <w:autoSpaceDN/>
              <w:bidi w:val="0"/>
              <w:spacing w:after="0" w:line="460" w:lineRule="exact"/>
              <w:ind w:left="0" w:leftChars="0"/>
              <w:rPr>
                <w:rFonts w:ascii="仿宋" w:hAnsi="仿宋" w:cs="仿宋"/>
                <w:sz w:val="24"/>
                <w:szCs w:val="24"/>
              </w:rPr>
            </w:pPr>
            <w:r>
              <w:rPr>
                <w:rFonts w:hint="eastAsia" w:ascii="宋体" w:hAnsi="宋体" w:eastAsia="宋体" w:cs="宋体"/>
                <w:sz w:val="24"/>
                <w:szCs w:val="24"/>
              </w:rPr>
              <w:t>评委就投标人提供针对本项目拟投入维保服务和检测设备情况进行对比打分。</w:t>
            </w:r>
            <w:r>
              <w:rPr>
                <w:rFonts w:hint="eastAsia" w:ascii="宋体" w:hAnsi="宋体" w:cs="宋体"/>
                <w:sz w:val="24"/>
                <w:szCs w:val="24"/>
                <w:lang w:eastAsia="zh-CN"/>
              </w:rPr>
              <w:t>检测设备装备</w:t>
            </w:r>
            <w:r>
              <w:rPr>
                <w:rFonts w:hint="eastAsia" w:ascii="宋体" w:hAnsi="宋体" w:eastAsia="宋体" w:cs="宋体"/>
                <w:sz w:val="24"/>
                <w:szCs w:val="24"/>
              </w:rPr>
              <w:t>齐全充分响应项目需求得</w:t>
            </w:r>
            <w:r>
              <w:rPr>
                <w:rFonts w:hint="eastAsia" w:ascii="宋体" w:hAnsi="宋体" w:cs="宋体"/>
                <w:sz w:val="24"/>
                <w:szCs w:val="24"/>
                <w:lang w:val="en-US" w:eastAsia="zh-CN"/>
              </w:rPr>
              <w:t>12</w:t>
            </w:r>
            <w:r>
              <w:rPr>
                <w:rFonts w:hint="eastAsia" w:ascii="宋体" w:hAnsi="宋体" w:eastAsia="宋体" w:cs="宋体"/>
                <w:sz w:val="24"/>
                <w:szCs w:val="24"/>
              </w:rPr>
              <w:t>分；</w:t>
            </w:r>
            <w:r>
              <w:rPr>
                <w:rFonts w:hint="eastAsia" w:ascii="宋体" w:hAnsi="宋体" w:cs="宋体"/>
                <w:sz w:val="24"/>
                <w:szCs w:val="24"/>
                <w:lang w:eastAsia="zh-CN"/>
              </w:rPr>
              <w:t>检测设备</w:t>
            </w:r>
            <w:r>
              <w:rPr>
                <w:rFonts w:hint="eastAsia" w:ascii="宋体" w:hAnsi="宋体" w:eastAsia="宋体" w:cs="宋体"/>
                <w:sz w:val="24"/>
                <w:szCs w:val="24"/>
              </w:rPr>
              <w:t>装备较为齐全且能够响应项目需求得</w:t>
            </w:r>
            <w:r>
              <w:rPr>
                <w:rFonts w:hint="eastAsia" w:ascii="宋体" w:hAnsi="宋体" w:cs="宋体"/>
                <w:sz w:val="24"/>
                <w:szCs w:val="24"/>
                <w:lang w:val="en-US" w:eastAsia="zh-CN"/>
              </w:rPr>
              <w:t>6</w:t>
            </w:r>
            <w:r>
              <w:rPr>
                <w:rFonts w:hint="eastAsia" w:ascii="宋体" w:hAnsi="宋体" w:eastAsia="宋体" w:cs="宋体"/>
                <w:sz w:val="24"/>
                <w:szCs w:val="24"/>
              </w:rPr>
              <w:t>分；</w:t>
            </w:r>
            <w:r>
              <w:rPr>
                <w:rFonts w:hint="eastAsia" w:ascii="宋体" w:hAnsi="宋体" w:cs="宋体"/>
                <w:sz w:val="24"/>
                <w:szCs w:val="24"/>
                <w:lang w:eastAsia="zh-CN"/>
              </w:rPr>
              <w:t>检测设备</w:t>
            </w:r>
            <w:r>
              <w:rPr>
                <w:rFonts w:hint="eastAsia" w:ascii="宋体" w:hAnsi="宋体" w:eastAsia="宋体" w:cs="宋体"/>
                <w:sz w:val="24"/>
                <w:szCs w:val="24"/>
              </w:rPr>
              <w:t>装备基本齐全但较难响应项目需求得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cs="宋体"/>
                <w:sz w:val="24"/>
                <w:szCs w:val="24"/>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rPr>
                <w:rFonts w:hint="default" w:ascii="仿宋" w:hAnsi="仿宋" w:eastAsia="宋体" w:cs="仿宋"/>
                <w:sz w:val="24"/>
                <w:szCs w:val="24"/>
                <w:lang w:val="en-US" w:eastAsia="zh-CN"/>
              </w:rPr>
            </w:pPr>
            <w:r>
              <w:rPr>
                <w:rFonts w:hint="eastAsia" w:ascii="仿宋" w:hAnsi="仿宋" w:cs="仿宋"/>
                <w:sz w:val="24"/>
                <w:szCs w:val="24"/>
                <w:lang w:val="en-US" w:eastAsia="zh-CN"/>
              </w:rPr>
              <w:t>7</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textAlignment w:val="baseline"/>
              <w:rPr>
                <w:rFonts w:hint="eastAsia" w:ascii="宋体" w:hAnsi="宋体" w:cs="宋体"/>
                <w:sz w:val="24"/>
              </w:rPr>
            </w:pPr>
            <w:r>
              <w:rPr>
                <w:rFonts w:hint="eastAsia" w:ascii="宋体" w:hAnsi="宋体" w:eastAsia="宋体" w:cs="宋体"/>
                <w:sz w:val="24"/>
                <w:szCs w:val="24"/>
              </w:rPr>
              <w:t>维保服务响应方案和承诺</w:t>
            </w:r>
            <w:r>
              <w:rPr>
                <w:rFonts w:hint="eastAsia" w:ascii="仿宋" w:hAnsi="仿宋" w:cs="仿宋"/>
                <w:color w:val="000000"/>
                <w:kern w:val="0"/>
                <w:sz w:val="24"/>
                <w:szCs w:val="24"/>
                <w:lang w:eastAsia="zh-CN"/>
              </w:rPr>
              <w:t>（</w:t>
            </w:r>
            <w:r>
              <w:rPr>
                <w:rFonts w:hint="eastAsia" w:ascii="仿宋" w:hAnsi="仿宋" w:cs="仿宋"/>
                <w:color w:val="000000"/>
                <w:kern w:val="0"/>
                <w:sz w:val="24"/>
                <w:szCs w:val="24"/>
                <w:lang w:val="en-US" w:eastAsia="zh-CN"/>
              </w:rPr>
              <w:t>16分</w:t>
            </w:r>
            <w:r>
              <w:rPr>
                <w:rFonts w:hint="eastAsia" w:ascii="仿宋" w:hAnsi="仿宋" w:cs="仿宋"/>
                <w:color w:val="000000"/>
                <w:kern w:val="0"/>
                <w:sz w:val="24"/>
                <w:szCs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pageBreakBefore w:val="0"/>
              <w:kinsoku/>
              <w:wordWrap/>
              <w:overflowPunct/>
              <w:topLinePunct w:val="0"/>
              <w:autoSpaceDE/>
              <w:autoSpaceDN/>
              <w:bidi w:val="0"/>
              <w:spacing w:after="0" w:line="460" w:lineRule="exact"/>
              <w:ind w:left="0" w:leftChars="0"/>
              <w:rPr>
                <w:rFonts w:hint="default" w:ascii="宋体" w:hAnsi="宋体" w:eastAsia="宋体" w:cs="宋体"/>
                <w:sz w:val="24"/>
                <w:lang w:val="en-US" w:eastAsia="zh-CN"/>
              </w:rPr>
            </w:pPr>
            <w:r>
              <w:rPr>
                <w:rFonts w:hint="eastAsia" w:ascii="宋体" w:hAnsi="宋体" w:eastAsia="宋体" w:cs="宋体"/>
                <w:sz w:val="24"/>
                <w:szCs w:val="24"/>
              </w:rPr>
              <w:t>评委就投标人针对本项目维保服务方案进行横向对比打分，包括服务</w:t>
            </w:r>
            <w:r>
              <w:rPr>
                <w:rFonts w:hint="eastAsia" w:ascii="宋体" w:hAnsi="宋体" w:eastAsia="宋体" w:cs="宋体"/>
                <w:sz w:val="24"/>
                <w:szCs w:val="24"/>
                <w:lang w:val="en-US" w:eastAsia="zh-CN"/>
              </w:rPr>
              <w:t>响应</w:t>
            </w:r>
            <w:r>
              <w:rPr>
                <w:rFonts w:hint="eastAsia" w:ascii="宋体" w:hAnsi="宋体" w:eastAsia="宋体" w:cs="宋体"/>
                <w:sz w:val="24"/>
                <w:szCs w:val="24"/>
              </w:rPr>
              <w:t>、定期巡检、隐患识别整改、设备运行维护、故障排除响应、设备运行监测、优惠协作措施、服务承诺等</w:t>
            </w:r>
            <w:r>
              <w:rPr>
                <w:rFonts w:hint="eastAsia" w:ascii="宋体" w:hAnsi="宋体" w:cs="宋体"/>
                <w:sz w:val="24"/>
                <w:szCs w:val="24"/>
                <w:lang w:eastAsia="zh-CN"/>
              </w:rPr>
              <w:t>。维保服务方案内容全面，科学合理，有很强的操作性和针对性得</w:t>
            </w:r>
            <w:r>
              <w:rPr>
                <w:rFonts w:hint="eastAsia" w:ascii="宋体" w:hAnsi="宋体" w:cs="宋体"/>
                <w:sz w:val="24"/>
                <w:szCs w:val="24"/>
                <w:lang w:val="en-US" w:eastAsia="zh-CN"/>
              </w:rPr>
              <w:t>16</w:t>
            </w:r>
            <w:r>
              <w:rPr>
                <w:rFonts w:hint="eastAsia" w:ascii="宋体" w:hAnsi="宋体" w:cs="宋体"/>
                <w:sz w:val="24"/>
                <w:szCs w:val="24"/>
                <w:lang w:eastAsia="zh-CN"/>
              </w:rPr>
              <w:t>分；维保服务方案内容较全面，有一定的操作性和针对性得</w:t>
            </w:r>
            <w:r>
              <w:rPr>
                <w:rFonts w:hint="eastAsia" w:ascii="宋体" w:hAnsi="宋体" w:cs="宋体"/>
                <w:sz w:val="24"/>
                <w:szCs w:val="24"/>
                <w:lang w:val="en-US" w:eastAsia="zh-CN"/>
              </w:rPr>
              <w:t>10</w:t>
            </w:r>
            <w:r>
              <w:rPr>
                <w:rFonts w:hint="eastAsia" w:ascii="宋体" w:hAnsi="宋体" w:cs="宋体"/>
                <w:sz w:val="24"/>
                <w:szCs w:val="24"/>
                <w:lang w:eastAsia="zh-CN"/>
              </w:rPr>
              <w:t>分；维保服务方案内容有所欠缺，操作性和针对性一般得</w:t>
            </w:r>
            <w:r>
              <w:rPr>
                <w:rFonts w:hint="eastAsia" w:ascii="宋体" w:hAnsi="宋体" w:cs="宋体"/>
                <w:sz w:val="24"/>
                <w:szCs w:val="24"/>
                <w:lang w:val="en-US" w:eastAsia="zh-CN"/>
              </w:rPr>
              <w:t>4</w:t>
            </w:r>
            <w:r>
              <w:rPr>
                <w:rFonts w:hint="eastAsia" w:ascii="宋体" w:hAnsi="宋体" w:cs="宋体"/>
                <w:sz w:val="24"/>
                <w:szCs w:val="24"/>
                <w:lang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rPr>
                <w:rFonts w:hint="eastAsia" w:ascii="仿宋" w:hAnsi="仿宋" w:eastAsia="宋体" w:cs="仿宋"/>
                <w:sz w:val="24"/>
                <w:szCs w:val="24"/>
                <w:lang w:val="en-US" w:eastAsia="zh-CN"/>
              </w:rPr>
            </w:pPr>
            <w:r>
              <w:rPr>
                <w:rFonts w:hint="eastAsia" w:ascii="仿宋" w:hAnsi="仿宋" w:cs="仿宋"/>
                <w:sz w:val="24"/>
                <w:szCs w:val="24"/>
                <w:lang w:val="en-US" w:eastAsia="zh-CN"/>
              </w:rPr>
              <w:t>8</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center"/>
              <w:textAlignment w:val="baseline"/>
              <w:rPr>
                <w:rFonts w:hint="eastAsia" w:ascii="宋体" w:hAnsi="宋体" w:eastAsia="宋体" w:cs="宋体"/>
                <w:sz w:val="24"/>
                <w:lang w:eastAsia="zh-CN"/>
              </w:rPr>
            </w:pPr>
            <w:r>
              <w:rPr>
                <w:rFonts w:hint="eastAsia" w:ascii="宋体" w:hAnsi="宋体" w:cs="宋体"/>
                <w:kern w:val="0"/>
                <w:sz w:val="24"/>
              </w:rPr>
              <w:t>单价在100元（含100元）以内的消防更换部件承诺</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12分</w:t>
            </w:r>
            <w:r>
              <w:rPr>
                <w:rFonts w:hint="eastAsia" w:ascii="宋体" w:hAnsi="宋体" w:cs="宋体"/>
                <w:kern w:val="0"/>
                <w:sz w:val="24"/>
                <w:lang w:eastAsia="zh-CN"/>
              </w:rPr>
              <w:t>）</w:t>
            </w:r>
          </w:p>
        </w:tc>
        <w:tc>
          <w:tcPr>
            <w:tcW w:w="6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60" w:lineRule="exact"/>
              <w:jc w:val="left"/>
              <w:rPr>
                <w:rFonts w:hint="eastAsia" w:ascii="宋体" w:hAnsi="宋体" w:cs="宋体"/>
                <w:sz w:val="24"/>
              </w:rPr>
            </w:pPr>
            <w:r>
              <w:rPr>
                <w:rFonts w:hint="eastAsia" w:ascii="宋体" w:hAnsi="宋体" w:cs="宋体"/>
                <w:sz w:val="24"/>
              </w:rPr>
              <w:t>学校适用的单价在100元（含100元）以内的消防耗材及配件，每增加一个部件（采购方所列品种之外）得0.5分，最多得1</w:t>
            </w:r>
            <w:r>
              <w:rPr>
                <w:rFonts w:hint="eastAsia" w:ascii="宋体" w:hAnsi="宋体" w:cs="宋体"/>
                <w:sz w:val="24"/>
                <w:lang w:val="en-US" w:eastAsia="zh-CN"/>
              </w:rPr>
              <w:t>2</w:t>
            </w:r>
            <w:r>
              <w:rPr>
                <w:rFonts w:hint="eastAsia" w:ascii="宋体" w:hAnsi="宋体" w:cs="宋体"/>
                <w:sz w:val="24"/>
              </w:rPr>
              <w:t>分。（品名相同、型号大小不同，不重复计数）</w:t>
            </w:r>
          </w:p>
          <w:p>
            <w:pPr>
              <w:keepNext w:val="0"/>
              <w:keepLines w:val="0"/>
              <w:pageBreakBefore w:val="0"/>
              <w:kinsoku/>
              <w:wordWrap/>
              <w:overflowPunct/>
              <w:topLinePunct w:val="0"/>
              <w:autoSpaceDE/>
              <w:autoSpaceDN/>
              <w:bidi w:val="0"/>
              <w:spacing w:line="460" w:lineRule="exact"/>
              <w:jc w:val="left"/>
              <w:textAlignment w:val="baseline"/>
              <w:rPr>
                <w:rFonts w:hint="eastAsia" w:ascii="宋体" w:hAnsi="宋体" w:cs="宋体"/>
                <w:sz w:val="24"/>
              </w:rPr>
            </w:pPr>
            <w:r>
              <w:rPr>
                <w:rFonts w:hint="eastAsia" w:ascii="宋体" w:hAnsi="宋体" w:cs="宋体"/>
                <w:b/>
                <w:kern w:val="0"/>
                <w:sz w:val="24"/>
              </w:rPr>
              <w:t>注：承诺书格式自拟。</w:t>
            </w:r>
          </w:p>
        </w:tc>
      </w:tr>
    </w:tbl>
    <w:p>
      <w:pPr>
        <w:spacing w:line="460" w:lineRule="exact"/>
        <w:ind w:firstLine="562" w:firstLineChars="200"/>
        <w:outlineLvl w:val="2"/>
        <w:rPr>
          <w:rFonts w:hint="eastAsia" w:ascii="宋体" w:hAnsi="宋体" w:cs="宋体"/>
          <w:sz w:val="28"/>
          <w:szCs w:val="28"/>
        </w:rPr>
      </w:pPr>
      <w:r>
        <w:rPr>
          <w:rFonts w:hint="eastAsia" w:ascii="宋体" w:hAnsi="宋体" w:cs="宋体"/>
          <w:b/>
          <w:sz w:val="28"/>
          <w:szCs w:val="28"/>
        </w:rPr>
        <w:t>（四）</w:t>
      </w:r>
      <w:r>
        <w:rPr>
          <w:rFonts w:hint="eastAsia" w:ascii="宋体" w:hAnsi="宋体" w:cs="宋体"/>
          <w:b/>
          <w:sz w:val="28"/>
          <w:szCs w:val="28"/>
          <w:lang w:val="zh-CN"/>
        </w:rPr>
        <w:t>价格分</w:t>
      </w:r>
      <w:r>
        <w:rPr>
          <w:rFonts w:hint="eastAsia" w:ascii="宋体" w:hAnsi="宋体" w:cs="宋体"/>
          <w:b/>
          <w:sz w:val="28"/>
          <w:szCs w:val="28"/>
        </w:rPr>
        <w:t>：</w:t>
      </w:r>
      <w:r>
        <w:rPr>
          <w:rFonts w:hint="eastAsia" w:ascii="宋体" w:hAnsi="宋体" w:cs="宋体"/>
          <w:sz w:val="28"/>
          <w:szCs w:val="28"/>
          <w:lang w:val="en-US" w:eastAsia="zh-CN"/>
        </w:rPr>
        <w:t>2</w:t>
      </w:r>
      <w:r>
        <w:rPr>
          <w:rFonts w:hint="eastAsia" w:ascii="宋体" w:hAnsi="宋体" w:cs="宋体"/>
          <w:sz w:val="28"/>
          <w:szCs w:val="28"/>
        </w:rPr>
        <w:t>0</w:t>
      </w:r>
      <w:r>
        <w:rPr>
          <w:rFonts w:hint="eastAsia" w:ascii="宋体" w:hAnsi="宋体" w:cs="宋体"/>
          <w:sz w:val="28"/>
          <w:szCs w:val="28"/>
          <w:lang w:val="zh-CN"/>
        </w:rPr>
        <w:t>分</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磋商报价得分=（磋商基准价/最后磋商报价）×价格权值×100</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adjustRightInd w:val="0"/>
        <w:snapToGrid w:val="0"/>
        <w:spacing w:line="460" w:lineRule="exact"/>
        <w:ind w:firstLine="570"/>
        <w:outlineLvl w:val="2"/>
        <w:rPr>
          <w:rFonts w:hint="eastAsia" w:ascii="宋体" w:hAnsi="宋体" w:cs="宋体"/>
          <w:bCs/>
          <w:sz w:val="28"/>
          <w:szCs w:val="28"/>
        </w:rPr>
      </w:pPr>
      <w:r>
        <w:rPr>
          <w:rFonts w:hint="eastAsia" w:ascii="宋体" w:hAnsi="宋体" w:cs="宋体"/>
          <w:b/>
          <w:sz w:val="28"/>
          <w:szCs w:val="28"/>
        </w:rPr>
        <w:t>（五）成交供应商的确定</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磋商小组汇总各评委评分后，按照得分从高到低的顺序推荐三名成交候选人，并编写评审报告。</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采购人委托磋商小组直接确定排名第一的成交候选人为成交供应商。</w:t>
      </w:r>
    </w:p>
    <w:p>
      <w:pPr>
        <w:adjustRightInd w:val="0"/>
        <w:snapToGrid w:val="0"/>
        <w:spacing w:line="460" w:lineRule="exact"/>
        <w:ind w:firstLine="557" w:firstLineChars="198"/>
        <w:outlineLvl w:val="2"/>
        <w:rPr>
          <w:rFonts w:hint="eastAsia" w:ascii="宋体" w:hAnsi="宋体" w:cs="宋体"/>
          <w:b/>
          <w:sz w:val="28"/>
          <w:szCs w:val="28"/>
        </w:rPr>
      </w:pPr>
      <w:r>
        <w:rPr>
          <w:rFonts w:hint="eastAsia" w:ascii="宋体" w:hAnsi="宋体" w:cs="宋体"/>
          <w:b/>
          <w:sz w:val="28"/>
          <w:szCs w:val="28"/>
        </w:rPr>
        <w:t>（六）采购人代表宣布评审结果</w:t>
      </w:r>
    </w:p>
    <w:p>
      <w:pPr>
        <w:adjustRightInd w:val="0"/>
        <w:snapToGrid w:val="0"/>
        <w:spacing w:line="460" w:lineRule="exact"/>
        <w:ind w:firstLine="562" w:firstLineChars="200"/>
        <w:outlineLvl w:val="2"/>
        <w:rPr>
          <w:rFonts w:hint="eastAsia" w:ascii="宋体" w:hAnsi="宋体" w:cs="宋体"/>
          <w:b/>
          <w:sz w:val="28"/>
          <w:szCs w:val="28"/>
        </w:rPr>
      </w:pPr>
      <w:r>
        <w:rPr>
          <w:rFonts w:hint="eastAsia" w:ascii="宋体" w:hAnsi="宋体" w:cs="宋体"/>
          <w:b/>
          <w:sz w:val="28"/>
          <w:szCs w:val="28"/>
        </w:rPr>
        <w:t>（七）公告成交结果</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自确定成交供应商之日起2个工作日内，在</w:t>
      </w:r>
      <w:r>
        <w:rPr>
          <w:rFonts w:hint="eastAsia" w:ascii="宋体" w:hAnsi="宋体" w:cs="宋体"/>
          <w:sz w:val="28"/>
          <w:szCs w:val="28"/>
          <w:lang w:eastAsia="zh-CN"/>
        </w:rPr>
        <w:t>南通市教育局网站</w:t>
      </w:r>
      <w:r>
        <w:rPr>
          <w:rFonts w:hint="eastAsia" w:ascii="宋体" w:hAnsi="宋体" w:cs="宋体"/>
          <w:sz w:val="28"/>
          <w:szCs w:val="28"/>
        </w:rPr>
        <w:t>公告成交结果，公告期限为1个工作日。</w:t>
      </w:r>
    </w:p>
    <w:p>
      <w:pPr>
        <w:adjustRightInd w:val="0"/>
        <w:snapToGrid w:val="0"/>
        <w:spacing w:line="460" w:lineRule="exact"/>
        <w:ind w:firstLine="562" w:firstLineChars="200"/>
        <w:outlineLvl w:val="2"/>
        <w:rPr>
          <w:rFonts w:hint="eastAsia" w:ascii="宋体" w:hAnsi="宋体" w:cs="宋体"/>
          <w:b/>
          <w:bCs/>
          <w:sz w:val="28"/>
          <w:szCs w:val="28"/>
        </w:rPr>
      </w:pPr>
      <w:r>
        <w:rPr>
          <w:rFonts w:hint="eastAsia" w:ascii="宋体" w:hAnsi="宋体" w:cs="宋体"/>
          <w:b/>
          <w:sz w:val="28"/>
          <w:szCs w:val="28"/>
        </w:rPr>
        <w:t>（八）</w:t>
      </w:r>
      <w:r>
        <w:rPr>
          <w:rFonts w:hint="eastAsia" w:ascii="宋体" w:hAnsi="宋体" w:cs="宋体"/>
          <w:b/>
          <w:bCs/>
          <w:sz w:val="28"/>
          <w:szCs w:val="28"/>
        </w:rPr>
        <w:t>发放成交通知书</w:t>
      </w:r>
    </w:p>
    <w:p>
      <w:pPr>
        <w:adjustRightInd w:val="0"/>
        <w:snapToGrid w:val="0"/>
        <w:spacing w:line="460" w:lineRule="exact"/>
        <w:ind w:firstLine="560" w:firstLineChars="200"/>
        <w:rPr>
          <w:rFonts w:hint="eastAsia" w:ascii="宋体" w:hAnsi="宋体" w:cs="宋体"/>
          <w:bCs/>
          <w:sz w:val="28"/>
          <w:szCs w:val="28"/>
        </w:rPr>
      </w:pPr>
      <w:r>
        <w:rPr>
          <w:rFonts w:hint="eastAsia" w:ascii="宋体" w:hAnsi="宋体" w:cs="宋体"/>
          <w:sz w:val="28"/>
          <w:szCs w:val="28"/>
        </w:rPr>
        <w:t>公告成交结果的同时，采购</w:t>
      </w:r>
      <w:r>
        <w:rPr>
          <w:rFonts w:hint="eastAsia" w:ascii="宋体" w:hAnsi="宋体" w:cs="宋体"/>
          <w:sz w:val="28"/>
          <w:szCs w:val="28"/>
          <w:lang w:eastAsia="zh-CN"/>
        </w:rPr>
        <w:t>人</w:t>
      </w:r>
      <w:r>
        <w:rPr>
          <w:rFonts w:hint="eastAsia" w:ascii="宋体" w:hAnsi="宋体" w:cs="宋体"/>
          <w:bCs/>
          <w:sz w:val="28"/>
          <w:szCs w:val="28"/>
        </w:rPr>
        <w:t>向成交供应商发放成交通知书。</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pPr>
        <w:snapToGrid w:val="0"/>
        <w:spacing w:line="460" w:lineRule="exact"/>
        <w:ind w:firstLine="562" w:firstLineChars="200"/>
        <w:rPr>
          <w:rFonts w:hint="eastAsia" w:ascii="宋体" w:hAnsi="宋体" w:cs="宋体"/>
          <w:b/>
          <w:sz w:val="28"/>
          <w:szCs w:val="28"/>
        </w:rPr>
      </w:pPr>
      <w:r>
        <w:rPr>
          <w:rFonts w:hint="eastAsia" w:ascii="宋体" w:hAnsi="宋体" w:cs="宋体"/>
          <w:b/>
          <w:sz w:val="28"/>
          <w:szCs w:val="28"/>
        </w:rPr>
        <w:t>（九）其他</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当中标候选人无正当理由放弃中标，被查实存在影响中标结果的违法行为等情形，采购人有权按照相关法律法规的规定对其采取惩戒措施，包含但不限于列入采购失信人黑名单等措施。</w:t>
      </w:r>
    </w:p>
    <w:p>
      <w:pPr>
        <w:adjustRightInd w:val="0"/>
        <w:snapToGrid w:val="0"/>
        <w:spacing w:line="460" w:lineRule="exact"/>
        <w:ind w:firstLine="570"/>
        <w:rPr>
          <w:rFonts w:hint="eastAsia" w:ascii="宋体" w:hAnsi="宋体" w:cs="宋体"/>
          <w:sz w:val="28"/>
          <w:szCs w:val="28"/>
        </w:rPr>
      </w:pPr>
      <w:r>
        <w:rPr>
          <w:rFonts w:hint="eastAsia" w:ascii="宋体" w:hAnsi="宋体" w:cs="宋体"/>
          <w:sz w:val="28"/>
          <w:szCs w:val="28"/>
        </w:rPr>
        <w:t>当中标候选人放弃中标、因不可抗力不能履行合同，或者被查实存在影响中标结果的违法行为等情形，不符合中标条件的，招标人重新招标。</w:t>
      </w:r>
    </w:p>
    <w:p>
      <w:pPr>
        <w:adjustRightInd w:val="0"/>
        <w:snapToGrid w:val="0"/>
        <w:spacing w:line="360" w:lineRule="auto"/>
        <w:jc w:val="center"/>
        <w:outlineLvl w:val="0"/>
        <w:rPr>
          <w:rFonts w:hint="eastAsia" w:ascii="宋体" w:hAnsi="宋体" w:cs="宋体"/>
          <w:b/>
          <w:sz w:val="28"/>
          <w:szCs w:val="28"/>
        </w:rPr>
      </w:pPr>
      <w:r>
        <w:rPr>
          <w:rFonts w:hint="eastAsia" w:ascii="宋体" w:hAnsi="宋体" w:cs="宋体"/>
          <w:b/>
          <w:sz w:val="36"/>
          <w:szCs w:val="36"/>
        </w:rPr>
        <w:br w:type="page"/>
      </w:r>
      <w:r>
        <w:rPr>
          <w:rFonts w:hint="eastAsia" w:ascii="宋体" w:hAnsi="宋体" w:cs="宋体"/>
          <w:bCs/>
          <w:sz w:val="36"/>
          <w:szCs w:val="36"/>
        </w:rPr>
        <w:t>第五部分 响应文件组成</w:t>
      </w:r>
    </w:p>
    <w:p>
      <w:pPr>
        <w:adjustRightInd w:val="0"/>
        <w:snapToGrid w:val="0"/>
        <w:spacing w:line="460" w:lineRule="exact"/>
        <w:ind w:firstLine="562" w:firstLineChars="200"/>
        <w:jc w:val="left"/>
        <w:rPr>
          <w:rFonts w:hint="eastAsia" w:ascii="宋体" w:hAnsi="宋体" w:cs="宋体"/>
          <w:b/>
          <w:sz w:val="28"/>
          <w:szCs w:val="28"/>
        </w:rPr>
      </w:pPr>
      <w:r>
        <w:rPr>
          <w:rFonts w:hint="eastAsia" w:ascii="宋体" w:hAnsi="宋体" w:cs="宋体"/>
          <w:b/>
          <w:sz w:val="28"/>
          <w:szCs w:val="28"/>
        </w:rPr>
        <w:t>响应文件由资格审查文件、商务技术文件、价格文件、电子响应文件四部分组成。</w:t>
      </w:r>
    </w:p>
    <w:p>
      <w:pPr>
        <w:adjustRightInd w:val="0"/>
        <w:snapToGrid w:val="0"/>
        <w:spacing w:line="460" w:lineRule="exact"/>
        <w:ind w:firstLine="562" w:firstLineChars="200"/>
        <w:outlineLvl w:val="1"/>
        <w:rPr>
          <w:rFonts w:hint="eastAsia" w:ascii="宋体" w:hAnsi="宋体" w:cs="宋体"/>
          <w:b/>
          <w:bCs/>
          <w:kern w:val="0"/>
          <w:sz w:val="28"/>
          <w:szCs w:val="28"/>
          <w:lang w:val="zh-CN"/>
        </w:rPr>
      </w:pPr>
      <w:r>
        <w:rPr>
          <w:rFonts w:hint="eastAsia" w:ascii="宋体" w:hAnsi="宋体" w:cs="宋体"/>
          <w:b/>
          <w:bCs/>
          <w:kern w:val="0"/>
          <w:sz w:val="28"/>
          <w:szCs w:val="28"/>
          <w:lang w:val="zh-CN"/>
        </w:rPr>
        <w:t>一、资格审查文件（不能出现商务技术文件、价格文件）</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投标人符合本项目投标人资格要求的承诺函</w:t>
      </w:r>
      <w:r>
        <w:rPr>
          <w:rFonts w:hint="eastAsia" w:ascii="宋体" w:hAnsi="宋体" w:cs="宋体"/>
          <w:kern w:val="0"/>
          <w:sz w:val="28"/>
          <w:szCs w:val="28"/>
          <w:lang w:val="zh-CN"/>
        </w:rPr>
        <w:t>（格式见附件1）；</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2.法定代表人身份证明书（格式见附件2）；</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3.法定代表人授权委托书原件，磋商代表本人身份证复印件（格式见附件3）；</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4.提供营业执照副本复印件并加盖公章。</w:t>
      </w:r>
    </w:p>
    <w:p>
      <w:pPr>
        <w:adjustRightInd w:val="0"/>
        <w:snapToGrid w:val="0"/>
        <w:spacing w:line="460" w:lineRule="exact"/>
        <w:ind w:firstLine="562" w:firstLineChars="200"/>
        <w:outlineLvl w:val="1"/>
        <w:rPr>
          <w:rFonts w:hint="eastAsia" w:ascii="宋体" w:hAnsi="宋体" w:cs="宋体"/>
          <w:b/>
          <w:bCs/>
          <w:kern w:val="0"/>
          <w:sz w:val="28"/>
          <w:szCs w:val="28"/>
          <w:lang w:val="zh-CN"/>
        </w:rPr>
      </w:pPr>
      <w:r>
        <w:rPr>
          <w:rFonts w:hint="eastAsia" w:ascii="宋体" w:hAnsi="宋体" w:cs="宋体"/>
          <w:b/>
          <w:bCs/>
          <w:kern w:val="0"/>
          <w:sz w:val="28"/>
          <w:szCs w:val="28"/>
          <w:lang w:val="zh-CN"/>
        </w:rPr>
        <w:t>二、商务技术文件（不能出现价格文件）</w:t>
      </w:r>
    </w:p>
    <w:p>
      <w:pPr>
        <w:adjustRightInd w:val="0"/>
        <w:snapToGrid w:val="0"/>
        <w:spacing w:line="460" w:lineRule="exact"/>
        <w:ind w:firstLine="560" w:firstLineChars="200"/>
        <w:rPr>
          <w:rFonts w:ascii="宋体" w:hAnsi="宋体" w:cs="宋体"/>
          <w:kern w:val="0"/>
          <w:sz w:val="28"/>
          <w:szCs w:val="28"/>
        </w:rPr>
      </w:pPr>
      <w:r>
        <w:rPr>
          <w:rFonts w:hint="eastAsia" w:ascii="宋体" w:hAnsi="宋体" w:cs="宋体"/>
          <w:kern w:val="0"/>
          <w:sz w:val="28"/>
          <w:szCs w:val="28"/>
        </w:rPr>
        <w:t>1.方案、业绩等；</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en-US" w:eastAsia="zh-CN"/>
        </w:rPr>
        <w:t>2</w:t>
      </w:r>
      <w:r>
        <w:rPr>
          <w:rFonts w:hint="eastAsia" w:ascii="宋体" w:hAnsi="宋体" w:cs="宋体"/>
          <w:kern w:val="0"/>
          <w:sz w:val="28"/>
          <w:szCs w:val="28"/>
        </w:rPr>
        <w:t>.</w:t>
      </w:r>
      <w:r>
        <w:rPr>
          <w:rFonts w:hint="eastAsia" w:ascii="宋体" w:hAnsi="宋体" w:cs="宋体"/>
          <w:kern w:val="0"/>
          <w:sz w:val="28"/>
          <w:szCs w:val="28"/>
          <w:lang w:val="zh-CN"/>
        </w:rPr>
        <w:t>为方便评委评审，请供应商按评审办法中所涉及的事项顺序进行编制，可以补充相关材料；</w:t>
      </w:r>
    </w:p>
    <w:p>
      <w:pPr>
        <w:adjustRightInd w:val="0"/>
        <w:snapToGrid w:val="0"/>
        <w:spacing w:line="460" w:lineRule="exact"/>
        <w:ind w:firstLine="560" w:firstLineChars="200"/>
        <w:rPr>
          <w:rFonts w:hint="eastAsia" w:ascii="宋体" w:hAnsi="宋体" w:cs="宋体"/>
          <w:bCs/>
          <w:kern w:val="0"/>
          <w:sz w:val="28"/>
          <w:szCs w:val="28"/>
          <w:lang w:val="zh-CN"/>
        </w:rPr>
      </w:pPr>
      <w:r>
        <w:rPr>
          <w:rFonts w:hint="eastAsia" w:ascii="宋体" w:hAnsi="宋体" w:cs="宋体"/>
          <w:kern w:val="0"/>
          <w:sz w:val="28"/>
          <w:szCs w:val="28"/>
          <w:lang w:val="en-US" w:eastAsia="zh-CN"/>
        </w:rPr>
        <w:t>3</w:t>
      </w:r>
      <w:r>
        <w:rPr>
          <w:rFonts w:hint="eastAsia" w:ascii="宋体" w:hAnsi="宋体" w:cs="宋体"/>
          <w:kern w:val="0"/>
          <w:sz w:val="28"/>
          <w:szCs w:val="28"/>
          <w:lang w:val="zh-CN"/>
        </w:rPr>
        <w:t>.评审办法中未涉及的事项，供应商认为需要提交的其他资料。</w:t>
      </w:r>
    </w:p>
    <w:p>
      <w:pPr>
        <w:adjustRightInd w:val="0"/>
        <w:snapToGrid w:val="0"/>
        <w:spacing w:line="460" w:lineRule="exact"/>
        <w:ind w:firstLine="562" w:firstLineChars="200"/>
        <w:outlineLvl w:val="1"/>
        <w:rPr>
          <w:rFonts w:hint="eastAsia" w:ascii="宋体" w:hAnsi="宋体" w:cs="宋体"/>
          <w:b/>
          <w:bCs/>
          <w:kern w:val="0"/>
          <w:sz w:val="28"/>
          <w:szCs w:val="28"/>
          <w:lang w:val="zh-CN"/>
        </w:rPr>
      </w:pPr>
      <w:r>
        <w:rPr>
          <w:rFonts w:hint="eastAsia" w:ascii="宋体" w:hAnsi="宋体" w:cs="宋体"/>
          <w:b/>
          <w:bCs/>
          <w:kern w:val="0"/>
          <w:sz w:val="28"/>
          <w:szCs w:val="28"/>
          <w:lang w:val="zh-CN"/>
        </w:rPr>
        <w:t>三、价格文件</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1.报价总表（格式见附件</w:t>
      </w:r>
      <w:r>
        <w:rPr>
          <w:rFonts w:hint="eastAsia" w:ascii="宋体" w:hAnsi="宋体" w:cs="宋体"/>
          <w:kern w:val="0"/>
          <w:sz w:val="28"/>
          <w:szCs w:val="28"/>
          <w:lang w:val="en-US" w:eastAsia="zh-CN"/>
        </w:rPr>
        <w:t>4</w:t>
      </w:r>
      <w:r>
        <w:rPr>
          <w:rFonts w:hint="eastAsia" w:ascii="宋体" w:hAnsi="宋体" w:cs="宋体"/>
          <w:kern w:val="0"/>
          <w:sz w:val="28"/>
          <w:szCs w:val="28"/>
          <w:lang w:val="zh-CN"/>
        </w:rPr>
        <w:t>）；</w:t>
      </w:r>
    </w:p>
    <w:p>
      <w:pPr>
        <w:adjustRightInd w:val="0"/>
        <w:snapToGrid w:val="0"/>
        <w:spacing w:line="460" w:lineRule="exact"/>
        <w:ind w:firstLine="560" w:firstLineChars="200"/>
        <w:rPr>
          <w:rFonts w:hint="eastAsia"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eastAsia="zh-CN"/>
        </w:rPr>
        <w:t>报价明细</w:t>
      </w:r>
      <w:r>
        <w:rPr>
          <w:rFonts w:hint="eastAsia" w:ascii="宋体" w:hAnsi="宋体" w:cs="宋体"/>
          <w:kern w:val="0"/>
          <w:sz w:val="28"/>
          <w:szCs w:val="28"/>
        </w:rPr>
        <w:t>表</w:t>
      </w:r>
      <w:r>
        <w:rPr>
          <w:rFonts w:hint="eastAsia" w:ascii="宋体" w:hAnsi="宋体" w:cs="宋体"/>
          <w:kern w:val="0"/>
          <w:sz w:val="28"/>
          <w:szCs w:val="28"/>
          <w:lang w:val="zh-CN"/>
        </w:rPr>
        <w:t>（格式见附件</w:t>
      </w:r>
      <w:r>
        <w:rPr>
          <w:rFonts w:hint="eastAsia" w:ascii="宋体" w:hAnsi="宋体" w:cs="宋体"/>
          <w:kern w:val="0"/>
          <w:sz w:val="28"/>
          <w:szCs w:val="28"/>
          <w:lang w:val="en-US" w:eastAsia="zh-CN"/>
        </w:rPr>
        <w:t>5</w:t>
      </w:r>
      <w:r>
        <w:rPr>
          <w:rFonts w:hint="eastAsia" w:ascii="宋体" w:hAnsi="宋体" w:cs="宋体"/>
          <w:kern w:val="0"/>
          <w:sz w:val="28"/>
          <w:szCs w:val="28"/>
          <w:lang w:val="zh-CN"/>
        </w:rPr>
        <w:t>）</w:t>
      </w:r>
      <w:r>
        <w:rPr>
          <w:rFonts w:hint="eastAsia" w:ascii="宋体" w:hAnsi="宋体" w:cs="宋体"/>
          <w:kern w:val="0"/>
          <w:sz w:val="28"/>
          <w:szCs w:val="28"/>
        </w:rPr>
        <w:t>；</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rPr>
        <w:t>3.</w:t>
      </w:r>
      <w:r>
        <w:rPr>
          <w:rFonts w:hint="eastAsia" w:ascii="宋体" w:hAnsi="宋体" w:cs="宋体"/>
          <w:kern w:val="0"/>
          <w:sz w:val="28"/>
          <w:szCs w:val="28"/>
          <w:lang w:val="zh-CN"/>
        </w:rPr>
        <w:t>供应商信用承诺书（格式见附件</w:t>
      </w:r>
      <w:r>
        <w:rPr>
          <w:rFonts w:hint="eastAsia" w:ascii="宋体" w:hAnsi="宋体" w:cs="宋体"/>
          <w:kern w:val="0"/>
          <w:sz w:val="28"/>
          <w:szCs w:val="28"/>
          <w:lang w:val="en-US" w:eastAsia="zh-CN"/>
        </w:rPr>
        <w:t>6</w:t>
      </w:r>
      <w:r>
        <w:rPr>
          <w:rFonts w:hint="eastAsia" w:ascii="宋体" w:hAnsi="宋体" w:cs="宋体"/>
          <w:kern w:val="0"/>
          <w:sz w:val="28"/>
          <w:szCs w:val="28"/>
          <w:lang w:val="zh-CN"/>
        </w:rPr>
        <w:t>）。</w:t>
      </w:r>
    </w:p>
    <w:p>
      <w:pPr>
        <w:adjustRightInd w:val="0"/>
        <w:snapToGrid w:val="0"/>
        <w:spacing w:line="460" w:lineRule="exact"/>
        <w:ind w:firstLine="562" w:firstLineChars="200"/>
        <w:outlineLvl w:val="1"/>
        <w:rPr>
          <w:rFonts w:hint="eastAsia" w:ascii="宋体" w:hAnsi="宋体" w:cs="宋体"/>
          <w:kern w:val="0"/>
          <w:sz w:val="28"/>
          <w:szCs w:val="28"/>
        </w:rPr>
      </w:pPr>
      <w:r>
        <w:rPr>
          <w:rFonts w:hint="eastAsia" w:ascii="宋体" w:hAnsi="宋体" w:cs="宋体"/>
          <w:b/>
          <w:bCs/>
          <w:kern w:val="0"/>
          <w:sz w:val="28"/>
          <w:szCs w:val="28"/>
        </w:rPr>
        <w:t>四、电子响应文件（一份）</w:t>
      </w:r>
    </w:p>
    <w:p>
      <w:pPr>
        <w:adjustRightInd w:val="0"/>
        <w:snapToGrid w:val="0"/>
        <w:spacing w:line="460" w:lineRule="exact"/>
        <w:ind w:firstLine="560" w:firstLineChars="200"/>
        <w:rPr>
          <w:rFonts w:hint="eastAsia" w:ascii="宋体" w:hAnsi="宋体" w:cs="宋体"/>
          <w:kern w:val="0"/>
          <w:sz w:val="28"/>
          <w:szCs w:val="28"/>
          <w:lang w:val="zh-CN"/>
        </w:rPr>
      </w:pPr>
      <w:r>
        <w:rPr>
          <w:rFonts w:hint="eastAsia" w:ascii="宋体" w:hAnsi="宋体" w:cs="宋体"/>
          <w:kern w:val="0"/>
          <w:sz w:val="28"/>
          <w:szCs w:val="28"/>
        </w:rPr>
        <w:t>电子响应文件的内容为“资格审查文件、商务技术文件、价格文件”的打印盖章后的响应文件的扫描件（资格审查文件、商务技术文件、价格文件需分别逐页连续扫描为三个独立的PDF文件）。</w:t>
      </w: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contextualSpacing/>
        <w:rPr>
          <w:rFonts w:hint="eastAsia" w:ascii="宋体" w:hAnsi="宋体" w:cs="宋体"/>
          <w:b/>
          <w:sz w:val="30"/>
          <w:szCs w:val="30"/>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pPr>
        <w:spacing w:line="360" w:lineRule="auto"/>
        <w:jc w:val="center"/>
        <w:rPr>
          <w:rFonts w:hint="eastAsia" w:ascii="宋体" w:hAnsi="宋体" w:cs="宋体"/>
          <w:b/>
          <w:sz w:val="30"/>
          <w:szCs w:val="30"/>
        </w:rPr>
      </w:pPr>
      <w:r>
        <w:rPr>
          <w:rFonts w:hint="eastAsia" w:ascii="宋体" w:hAnsi="宋体" w:cs="宋体"/>
          <w:b/>
          <w:sz w:val="30"/>
          <w:szCs w:val="30"/>
        </w:rPr>
        <w:t>投标人符合本项目投标人资格要求的承诺函</w:t>
      </w:r>
    </w:p>
    <w:p>
      <w:pPr>
        <w:spacing w:line="360" w:lineRule="auto"/>
        <w:rPr>
          <w:rFonts w:hint="eastAsia"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（项目编号）投标活动。针对本项目投标人资格要求做出如下承诺：</w:t>
      </w:r>
    </w:p>
    <w:p>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bCs/>
          <w:sz w:val="24"/>
          <w:szCs w:val="21"/>
        </w:rPr>
      </w:pPr>
    </w:p>
    <w:p>
      <w:pPr>
        <w:spacing w:line="360" w:lineRule="auto"/>
        <w:ind w:firstLine="480" w:firstLineChars="200"/>
        <w:rPr>
          <w:rFonts w:hint="eastAsia" w:ascii="宋体" w:hAnsi="宋体" w:cs="宋体"/>
          <w:bCs/>
          <w:sz w:val="24"/>
          <w:szCs w:val="21"/>
        </w:rPr>
      </w:pPr>
    </w:p>
    <w:p>
      <w:pPr>
        <w:spacing w:line="360" w:lineRule="auto"/>
        <w:ind w:firstLine="480" w:firstLineChars="200"/>
        <w:rPr>
          <w:rFonts w:hint="eastAsia" w:ascii="宋体" w:hAnsi="宋体" w:cs="宋体"/>
          <w:bCs/>
          <w:sz w:val="24"/>
          <w:szCs w:val="21"/>
        </w:rPr>
      </w:pPr>
    </w:p>
    <w:p>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pPr>
        <w:spacing w:line="360" w:lineRule="auto"/>
        <w:ind w:firstLine="480" w:firstLineChars="200"/>
        <w:jc w:val="right"/>
        <w:rPr>
          <w:rFonts w:hint="eastAsia" w:ascii="宋体" w:hAnsi="宋体" w:cs="宋体"/>
          <w:bCs/>
          <w:sz w:val="24"/>
          <w:szCs w:val="21"/>
        </w:rPr>
      </w:pPr>
    </w:p>
    <w:p>
      <w:pPr>
        <w:spacing w:line="360" w:lineRule="auto"/>
        <w:ind w:firstLine="480" w:firstLineChars="200"/>
        <w:jc w:val="right"/>
        <w:rPr>
          <w:rFonts w:hint="eastAsia" w:ascii="宋体" w:hAnsi="宋体" w:cs="宋体"/>
          <w:bCs/>
          <w:sz w:val="24"/>
          <w:szCs w:val="21"/>
        </w:rPr>
      </w:pPr>
    </w:p>
    <w:p>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contextualSpacing/>
        <w:rPr>
          <w:rFonts w:hint="eastAsia"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附件2</w:t>
      </w: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先生/女士： 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360" w:lineRule="auto"/>
        <w:ind w:firstLine="48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rPr>
          <w:rFonts w:hint="eastAsia" w:ascii="宋体" w:hAnsi="宋体" w:cs="宋体"/>
          <w:sz w:val="24"/>
        </w:rPr>
      </w:pPr>
    </w:p>
    <w:p>
      <w:pPr>
        <w:spacing w:line="360" w:lineRule="auto"/>
        <w:rPr>
          <w:rFonts w:hint="eastAsia" w:ascii="宋体" w:hAnsi="宋体" w:cs="宋体"/>
          <w:b/>
          <w:sz w:val="24"/>
        </w:rPr>
      </w:pPr>
      <w:r>
        <w:rPr>
          <w:rFonts w:hint="eastAsia" w:ascii="宋体" w:hAnsi="宋体" w:cs="宋体"/>
          <w:b/>
          <w:sz w:val="24"/>
        </w:rPr>
        <w:t>注：提供法定代表人的身份证复印件盖公章</w:t>
      </w:r>
    </w:p>
    <w:p>
      <w:pPr>
        <w:spacing w:line="360" w:lineRule="auto"/>
        <w:ind w:firstLine="480" w:firstLineChars="200"/>
        <w:rPr>
          <w:rFonts w:hint="eastAsia" w:ascii="宋体" w:hAnsi="宋体" w:cs="宋体"/>
          <w:sz w:val="24"/>
        </w:rPr>
      </w:pPr>
    </w:p>
    <w:p>
      <w:pPr>
        <w:spacing w:line="360" w:lineRule="auto"/>
        <w:rPr>
          <w:rFonts w:hint="eastAsia" w:ascii="宋体" w:hAnsi="宋体" w:cs="宋体"/>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ind w:firstLine="540" w:firstLineChars="192"/>
        <w:contextualSpacing/>
        <w:rPr>
          <w:rFonts w:hint="eastAsia" w:ascii="宋体" w:hAnsi="宋体" w:cs="宋体"/>
          <w:b/>
          <w:kern w:val="0"/>
          <w:sz w:val="28"/>
          <w:szCs w:val="28"/>
          <w:lang w:val="zh-CN"/>
        </w:rPr>
      </w:pPr>
    </w:p>
    <w:p>
      <w:pPr>
        <w:snapToGrid w:val="0"/>
        <w:spacing w:line="360" w:lineRule="auto"/>
        <w:contextualSpacing/>
        <w:rPr>
          <w:rFonts w:hint="eastAsia"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附件3</w:t>
      </w:r>
    </w:p>
    <w:p>
      <w:pPr>
        <w:spacing w:line="360" w:lineRule="auto"/>
        <w:jc w:val="center"/>
        <w:rPr>
          <w:rFonts w:hint="eastAsia" w:ascii="宋体" w:hAnsi="宋体" w:cs="宋体"/>
          <w:sz w:val="32"/>
          <w:szCs w:val="32"/>
        </w:rPr>
      </w:pPr>
    </w:p>
    <w:p>
      <w:pPr>
        <w:spacing w:line="360" w:lineRule="auto"/>
        <w:ind w:firstLine="560" w:firstLineChars="200"/>
        <w:jc w:val="center"/>
        <w:rPr>
          <w:rFonts w:hint="eastAsia" w:ascii="宋体" w:hAnsi="宋体" w:cs="宋体"/>
          <w:sz w:val="28"/>
          <w:szCs w:val="28"/>
        </w:rPr>
      </w:pPr>
      <w:r>
        <w:rPr>
          <w:rFonts w:hint="eastAsia" w:ascii="宋体" w:hAnsi="宋体" w:cs="宋体"/>
          <w:sz w:val="28"/>
          <w:szCs w:val="28"/>
        </w:rPr>
        <w:t>法定代表人授权委托书</w:t>
      </w:r>
    </w:p>
    <w:p>
      <w:pPr>
        <w:spacing w:line="360" w:lineRule="auto"/>
        <w:ind w:firstLine="560" w:firstLineChars="200"/>
        <w:rPr>
          <w:rFonts w:hint="eastAsia" w:ascii="宋体" w:hAnsi="宋体" w:cs="宋体"/>
          <w:sz w:val="28"/>
          <w:szCs w:val="28"/>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本人------（姓名）系————（授权单位名称）的法定代表人，现委托-------（姓名）（身份证号——————）为我方代理人，以我方名义全权处理与本次采购项目（编号：----------）有关的一切事务，其法律后果由我方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本授权书于---年---月---日起生效。代理人无转委托权。</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代理人(被授权人):------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授权单位名称（盖章）：-----</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授权单位法定代表人（签字或盖章）：-----</w:t>
      </w:r>
    </w:p>
    <w:p>
      <w:pPr>
        <w:spacing w:line="360" w:lineRule="auto"/>
        <w:ind w:firstLine="560" w:firstLineChars="200"/>
        <w:jc w:val="right"/>
        <w:rPr>
          <w:rFonts w:hint="eastAsia" w:ascii="宋体" w:hAnsi="宋体" w:cs="宋体"/>
          <w:sz w:val="28"/>
          <w:szCs w:val="28"/>
        </w:rPr>
      </w:pPr>
    </w:p>
    <w:p>
      <w:pPr>
        <w:spacing w:line="360" w:lineRule="auto"/>
        <w:ind w:firstLine="560" w:firstLineChars="200"/>
        <w:jc w:val="right"/>
        <w:rPr>
          <w:rFonts w:hint="eastAsia" w:ascii="宋体" w:hAnsi="宋体" w:cs="宋体"/>
          <w:sz w:val="28"/>
          <w:szCs w:val="28"/>
        </w:rPr>
      </w:pPr>
      <w:r>
        <w:rPr>
          <w:rFonts w:hint="eastAsia" w:ascii="宋体" w:hAnsi="宋体" w:cs="宋体"/>
          <w:sz w:val="28"/>
          <w:szCs w:val="28"/>
        </w:rPr>
        <w:t>XXXX年XX月XX日</w:t>
      </w:r>
    </w:p>
    <w:p>
      <w:pPr>
        <w:snapToGrid w:val="0"/>
        <w:spacing w:line="360" w:lineRule="auto"/>
        <w:ind w:firstLine="562" w:firstLineChars="200"/>
        <w:contextualSpacing/>
        <w:rPr>
          <w:rFonts w:hint="eastAsia" w:ascii="宋体" w:hAnsi="宋体" w:cs="宋体"/>
          <w:b/>
          <w:kern w:val="0"/>
          <w:sz w:val="28"/>
          <w:szCs w:val="28"/>
        </w:rPr>
      </w:pPr>
    </w:p>
    <w:p>
      <w:pPr>
        <w:snapToGrid w:val="0"/>
        <w:spacing w:line="360" w:lineRule="auto"/>
        <w:ind w:firstLine="562" w:firstLineChars="200"/>
        <w:contextualSpacing/>
        <w:rPr>
          <w:rFonts w:hint="eastAsia" w:ascii="宋体" w:hAnsi="宋体" w:cs="宋体"/>
          <w:b/>
          <w:kern w:val="0"/>
          <w:sz w:val="28"/>
          <w:szCs w:val="28"/>
        </w:rPr>
      </w:pPr>
      <w:r>
        <w:rPr>
          <w:rFonts w:hint="eastAsia" w:ascii="宋体" w:hAnsi="宋体" w:cs="宋体"/>
          <w:b/>
          <w:kern w:val="0"/>
          <w:sz w:val="28"/>
          <w:szCs w:val="28"/>
        </w:rPr>
        <w:t>注：提供投标代表本人身份证复印件盖公章</w:t>
      </w:r>
    </w:p>
    <w:p>
      <w:pPr>
        <w:snapToGrid w:val="0"/>
        <w:spacing w:line="360" w:lineRule="auto"/>
        <w:ind w:firstLine="562" w:firstLineChars="200"/>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pStyle w:val="27"/>
        <w:ind w:firstLine="562"/>
        <w:rPr>
          <w:rFonts w:hint="eastAsia" w:ascii="宋体" w:hAnsi="宋体" w:cs="宋体"/>
          <w:b/>
          <w:kern w:val="0"/>
          <w:sz w:val="28"/>
          <w:szCs w:val="28"/>
        </w:rPr>
      </w:pPr>
    </w:p>
    <w:p>
      <w:pPr>
        <w:pStyle w:val="27"/>
        <w:ind w:firstLine="562"/>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00" w:lineRule="auto"/>
        <w:outlineLvl w:val="0"/>
        <w:rPr>
          <w:rFonts w:hint="eastAsia" w:ascii="宋体" w:hAnsi="宋体" w:eastAsia="宋体" w:cs="宋体"/>
          <w:kern w:val="0"/>
          <w:sz w:val="32"/>
          <w:szCs w:val="32"/>
          <w:lang w:eastAsia="zh-CN"/>
        </w:rPr>
      </w:pPr>
      <w:r>
        <w:rPr>
          <w:rFonts w:hint="eastAsia" w:ascii="宋体" w:hAnsi="宋体" w:cs="宋体"/>
          <w:kern w:val="0"/>
          <w:sz w:val="32"/>
          <w:szCs w:val="32"/>
        </w:rPr>
        <w:br w:type="page"/>
      </w:r>
      <w:r>
        <w:rPr>
          <w:rFonts w:hint="eastAsia" w:ascii="宋体" w:hAnsi="宋体" w:cs="宋体"/>
          <w:kern w:val="0"/>
          <w:sz w:val="32"/>
          <w:szCs w:val="32"/>
        </w:rPr>
        <w:t>附件</w:t>
      </w:r>
      <w:r>
        <w:rPr>
          <w:rFonts w:hint="eastAsia" w:ascii="宋体" w:hAnsi="宋体" w:cs="宋体"/>
          <w:kern w:val="0"/>
          <w:sz w:val="32"/>
          <w:szCs w:val="32"/>
          <w:lang w:val="en-US" w:eastAsia="zh-CN"/>
        </w:rPr>
        <w:t>4</w:t>
      </w:r>
    </w:p>
    <w:p>
      <w:pPr>
        <w:widowControl/>
        <w:spacing w:before="100" w:beforeAutospacing="1" w:after="100" w:afterAutospacing="1" w:line="360" w:lineRule="auto"/>
        <w:jc w:val="center"/>
        <w:rPr>
          <w:rFonts w:hint="eastAsia" w:ascii="宋体" w:hAnsi="宋体" w:cs="宋体"/>
          <w:kern w:val="0"/>
          <w:sz w:val="32"/>
          <w:szCs w:val="32"/>
        </w:rPr>
      </w:pPr>
      <w:r>
        <w:rPr>
          <w:rFonts w:hint="eastAsia" w:ascii="宋体" w:hAnsi="宋体" w:cs="宋体"/>
          <w:b/>
          <w:bCs/>
          <w:kern w:val="0"/>
          <w:sz w:val="32"/>
          <w:szCs w:val="32"/>
        </w:rPr>
        <w:t>报价总表</w:t>
      </w:r>
    </w:p>
    <w:p>
      <w:pPr>
        <w:spacing w:line="360" w:lineRule="auto"/>
        <w:rPr>
          <w:rFonts w:hint="eastAsia" w:ascii="宋体" w:hAnsi="宋体" w:cs="宋体"/>
          <w:kern w:val="0"/>
          <w:sz w:val="28"/>
          <w:szCs w:val="28"/>
          <w:u w:val="single"/>
        </w:rPr>
      </w:pPr>
      <w:r>
        <w:rPr>
          <w:rFonts w:hint="eastAsia" w:ascii="宋体" w:hAnsi="宋体" w:cs="宋体"/>
          <w:kern w:val="0"/>
          <w:sz w:val="28"/>
          <w:szCs w:val="28"/>
        </w:rPr>
        <w:t>供应商全称（加盖公章）：</w:t>
      </w:r>
    </w:p>
    <w:p>
      <w:pPr>
        <w:spacing w:line="360" w:lineRule="auto"/>
        <w:rPr>
          <w:rFonts w:hint="eastAsia" w:ascii="宋体" w:hAnsi="宋体" w:cs="宋体"/>
          <w:kern w:val="0"/>
          <w:sz w:val="28"/>
          <w:szCs w:val="28"/>
          <w:u w:val="single"/>
        </w:rPr>
      </w:pPr>
      <w:r>
        <w:rPr>
          <w:rFonts w:hint="eastAsia" w:ascii="宋体" w:hAnsi="宋体" w:cs="宋体"/>
          <w:kern w:val="0"/>
          <w:sz w:val="28"/>
          <w:szCs w:val="28"/>
        </w:rPr>
        <w:t>项目名称：</w:t>
      </w:r>
    </w:p>
    <w:p>
      <w:pPr>
        <w:spacing w:line="360" w:lineRule="auto"/>
        <w:rPr>
          <w:rFonts w:hint="eastAsia" w:ascii="宋体" w:hAnsi="宋体" w:cs="宋体"/>
          <w:kern w:val="0"/>
          <w:sz w:val="28"/>
          <w:szCs w:val="28"/>
        </w:rPr>
      </w:pPr>
      <w:r>
        <w:rPr>
          <w:rFonts w:hint="eastAsia" w:ascii="宋体" w:hAnsi="宋体" w:cs="宋体"/>
          <w:kern w:val="0"/>
          <w:sz w:val="28"/>
          <w:szCs w:val="28"/>
        </w:rPr>
        <w:t>项目编号：</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pct"/>
            <w:noWrap w:val="0"/>
            <w:vAlign w:val="top"/>
          </w:tcPr>
          <w:p>
            <w:pPr>
              <w:spacing w:line="360" w:lineRule="auto"/>
              <w:jc w:val="center"/>
              <w:rPr>
                <w:rFonts w:hint="eastAsia" w:ascii="宋体" w:hAnsi="宋体" w:cs="宋体"/>
                <w:szCs w:val="22"/>
              </w:rPr>
            </w:pPr>
            <w:r>
              <w:rPr>
                <w:rFonts w:hint="eastAsia" w:ascii="宋体" w:hAnsi="宋体" w:cs="宋体"/>
                <w:kern w:val="0"/>
                <w:sz w:val="28"/>
                <w:szCs w:val="28"/>
              </w:rPr>
              <w:t>磋商货物、服务名称</w:t>
            </w:r>
          </w:p>
        </w:tc>
        <w:tc>
          <w:tcPr>
            <w:tcW w:w="2630" w:type="pct"/>
            <w:noWrap w:val="0"/>
            <w:vAlign w:val="top"/>
          </w:tcPr>
          <w:p>
            <w:pPr>
              <w:spacing w:line="360" w:lineRule="auto"/>
              <w:jc w:val="center"/>
              <w:rPr>
                <w:rFonts w:hint="eastAsia" w:ascii="宋体" w:hAnsi="宋体" w:cs="宋体"/>
                <w:szCs w:val="22"/>
              </w:rPr>
            </w:pPr>
            <w:r>
              <w:rPr>
                <w:rFonts w:hint="eastAsia" w:ascii="宋体" w:hAnsi="宋体" w:cs="宋体"/>
                <w:kern w:val="0"/>
                <w:sz w:val="28"/>
                <w:szCs w:val="28"/>
              </w:rPr>
              <w:t>磋商总报价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9" w:type="pct"/>
            <w:noWrap w:val="0"/>
            <w:vAlign w:val="top"/>
          </w:tcPr>
          <w:p>
            <w:pPr>
              <w:spacing w:line="360" w:lineRule="auto"/>
              <w:jc w:val="left"/>
              <w:rPr>
                <w:rFonts w:hint="eastAsia" w:ascii="宋体" w:hAnsi="宋体" w:cs="宋体"/>
                <w:szCs w:val="22"/>
              </w:rPr>
            </w:pPr>
          </w:p>
        </w:tc>
        <w:tc>
          <w:tcPr>
            <w:tcW w:w="2630" w:type="pct"/>
            <w:noWrap w:val="0"/>
            <w:vAlign w:val="center"/>
          </w:tcPr>
          <w:p>
            <w:pPr>
              <w:spacing w:line="360" w:lineRule="auto"/>
              <w:rPr>
                <w:rFonts w:hint="eastAsia" w:ascii="宋体" w:hAnsi="宋体" w:cs="宋体"/>
                <w:kern w:val="0"/>
                <w:sz w:val="28"/>
                <w:szCs w:val="28"/>
              </w:rPr>
            </w:pPr>
            <w:r>
              <w:rPr>
                <w:rFonts w:hint="eastAsia" w:ascii="宋体" w:hAnsi="宋体" w:cs="宋体"/>
                <w:kern w:val="0"/>
                <w:sz w:val="28"/>
                <w:szCs w:val="28"/>
              </w:rPr>
              <w:t>大写：</w:t>
            </w:r>
          </w:p>
          <w:p>
            <w:pPr>
              <w:spacing w:line="360" w:lineRule="auto"/>
              <w:rPr>
                <w:rFonts w:hint="eastAsia" w:ascii="宋体" w:hAnsi="宋体" w:cs="宋体"/>
                <w:szCs w:val="22"/>
                <w:u w:val="single"/>
              </w:rPr>
            </w:pPr>
            <w:r>
              <w:rPr>
                <w:rFonts w:hint="eastAsia" w:ascii="宋体" w:hAnsi="宋体" w:cs="宋体"/>
                <w:kern w:val="0"/>
                <w:sz w:val="28"/>
                <w:szCs w:val="28"/>
              </w:rPr>
              <w:t>小写：        元（人民币）</w:t>
            </w:r>
          </w:p>
        </w:tc>
      </w:tr>
    </w:tbl>
    <w:p>
      <w:pPr>
        <w:spacing w:line="360" w:lineRule="auto"/>
        <w:rPr>
          <w:rFonts w:hint="eastAsia" w:ascii="宋体" w:hAnsi="宋体" w:cs="宋体"/>
          <w:kern w:val="0"/>
          <w:sz w:val="28"/>
          <w:szCs w:val="28"/>
        </w:rPr>
      </w:pPr>
      <w:r>
        <w:rPr>
          <w:rFonts w:hint="eastAsia" w:ascii="宋体" w:hAnsi="宋体" w:cs="宋体"/>
          <w:kern w:val="0"/>
          <w:sz w:val="28"/>
          <w:szCs w:val="28"/>
        </w:rPr>
        <w:t>日期：</w:t>
      </w:r>
    </w:p>
    <w:p>
      <w:pPr>
        <w:spacing w:line="360" w:lineRule="auto"/>
        <w:rPr>
          <w:rFonts w:hint="eastAsia" w:ascii="宋体" w:hAnsi="宋体" w:cs="宋体"/>
          <w:kern w:val="0"/>
          <w:sz w:val="28"/>
          <w:szCs w:val="28"/>
        </w:rPr>
      </w:pPr>
      <w:r>
        <w:rPr>
          <w:rFonts w:hint="eastAsia" w:ascii="宋体" w:hAnsi="宋体" w:cs="宋体"/>
          <w:kern w:val="0"/>
          <w:sz w:val="28"/>
          <w:szCs w:val="28"/>
        </w:rPr>
        <w:t>填写说明：</w:t>
      </w:r>
    </w:p>
    <w:p>
      <w:pPr>
        <w:spacing w:line="360" w:lineRule="auto"/>
        <w:rPr>
          <w:rFonts w:hint="eastAsia" w:ascii="宋体" w:hAnsi="宋体" w:cs="宋体"/>
          <w:kern w:val="0"/>
          <w:sz w:val="28"/>
          <w:szCs w:val="28"/>
        </w:rPr>
      </w:pPr>
      <w:r>
        <w:rPr>
          <w:rFonts w:hint="eastAsia" w:ascii="宋体" w:hAnsi="宋体" w:cs="宋体"/>
          <w:kern w:val="0"/>
          <w:sz w:val="28"/>
          <w:szCs w:val="28"/>
        </w:rPr>
        <w:t>1、报价总表必须加盖供应商公章（复印件无效）。</w:t>
      </w: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snapToGrid w:val="0"/>
        <w:spacing w:line="360" w:lineRule="auto"/>
        <w:ind w:firstLine="540" w:firstLineChars="192"/>
        <w:contextualSpacing/>
        <w:rPr>
          <w:rFonts w:hint="eastAsia" w:ascii="宋体" w:hAnsi="宋体" w:cs="宋体"/>
          <w:b/>
          <w:kern w:val="0"/>
          <w:sz w:val="28"/>
          <w:szCs w:val="28"/>
        </w:rPr>
      </w:pPr>
    </w:p>
    <w:p>
      <w:pPr>
        <w:pStyle w:val="8"/>
        <w:jc w:val="left"/>
        <w:rPr>
          <w:rFonts w:hint="eastAsia" w:ascii="宋体" w:hAnsi="宋体" w:cs="宋体"/>
          <w:kern w:val="0"/>
          <w:sz w:val="32"/>
          <w:szCs w:val="32"/>
          <w:lang w:val="en-US" w:eastAsia="zh-CN"/>
        </w:rPr>
      </w:pPr>
      <w:r>
        <w:rPr>
          <w:rFonts w:hint="eastAsia" w:ascii="宋体" w:hAnsi="宋体" w:cs="宋体"/>
          <w:sz w:val="32"/>
          <w:szCs w:val="32"/>
        </w:rPr>
        <w:br w:type="page"/>
      </w:r>
      <w:r>
        <w:rPr>
          <w:rFonts w:hint="eastAsia" w:ascii="宋体" w:hAnsi="宋体" w:cs="宋体"/>
          <w:kern w:val="0"/>
          <w:sz w:val="32"/>
          <w:szCs w:val="32"/>
        </w:rPr>
        <w:t>附件</w:t>
      </w:r>
      <w:r>
        <w:rPr>
          <w:rFonts w:hint="eastAsia" w:ascii="宋体" w:hAnsi="宋体" w:cs="宋体"/>
          <w:kern w:val="0"/>
          <w:sz w:val="32"/>
          <w:szCs w:val="32"/>
          <w:lang w:val="en-US" w:eastAsia="zh-CN"/>
        </w:rPr>
        <w:t>5</w:t>
      </w:r>
    </w:p>
    <w:p>
      <w:pPr>
        <w:pStyle w:val="8"/>
        <w:rPr>
          <w:rFonts w:hint="default"/>
          <w:lang w:val="en-US" w:eastAsia="zh-CN"/>
        </w:rPr>
      </w:pPr>
      <w:r>
        <w:rPr>
          <w:rFonts w:hint="eastAsia" w:ascii="宋体" w:hAnsi="宋体" w:eastAsia="宋体" w:cs="宋体"/>
          <w:sz w:val="28"/>
          <w:szCs w:val="28"/>
          <w:lang w:val="en-US" w:eastAsia="zh-CN"/>
        </w:rPr>
        <w:t>报价明细表</w:t>
      </w:r>
    </w:p>
    <w:p>
      <w:pPr>
        <w:pStyle w:val="62"/>
        <w:rPr>
          <w:rFonts w:hint="eastAsia" w:ascii="宋体" w:hAnsi="宋体" w:eastAsia="宋体" w:cs="宋体"/>
          <w:sz w:val="28"/>
          <w:szCs w:val="28"/>
          <w:lang w:eastAsia="zh-CN"/>
        </w:rPr>
      </w:pPr>
    </w:p>
    <w:tbl>
      <w:tblPr>
        <w:tblStyle w:val="2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pPr>
              <w:snapToGrid w:val="0"/>
              <w:spacing w:line="360" w:lineRule="auto"/>
              <w:jc w:val="center"/>
              <w:rPr>
                <w:rFonts w:ascii="宋体" w:hAnsi="宋体"/>
                <w:b/>
                <w:szCs w:val="21"/>
              </w:rPr>
            </w:pPr>
            <w:r>
              <w:rPr>
                <w:rFonts w:hint="eastAsia" w:ascii="宋体" w:hAnsi="宋体"/>
                <w:b/>
                <w:szCs w:val="21"/>
              </w:rPr>
              <w:t>序号</w:t>
            </w:r>
          </w:p>
        </w:tc>
        <w:tc>
          <w:tcPr>
            <w:tcW w:w="1321" w:type="dxa"/>
            <w:noWrap w:val="0"/>
            <w:vAlign w:val="center"/>
          </w:tcPr>
          <w:p>
            <w:pPr>
              <w:snapToGrid w:val="0"/>
              <w:spacing w:line="360" w:lineRule="auto"/>
              <w:jc w:val="center"/>
              <w:rPr>
                <w:rFonts w:ascii="宋体" w:hAnsi="宋体"/>
                <w:b/>
                <w:szCs w:val="21"/>
              </w:rPr>
            </w:pPr>
            <w:r>
              <w:rPr>
                <w:rFonts w:hint="eastAsia" w:ascii="宋体" w:hAnsi="宋体"/>
                <w:b/>
                <w:szCs w:val="21"/>
              </w:rPr>
              <w:t>名称</w:t>
            </w:r>
          </w:p>
        </w:tc>
        <w:tc>
          <w:tcPr>
            <w:tcW w:w="1417" w:type="dxa"/>
            <w:noWrap w:val="0"/>
            <w:vAlign w:val="center"/>
          </w:tcPr>
          <w:p>
            <w:pPr>
              <w:snapToGrid w:val="0"/>
              <w:spacing w:line="360" w:lineRule="auto"/>
              <w:jc w:val="center"/>
              <w:rPr>
                <w:rFonts w:ascii="宋体" w:hAnsi="宋体"/>
                <w:b/>
                <w:szCs w:val="21"/>
              </w:rPr>
            </w:pPr>
            <w:r>
              <w:rPr>
                <w:rFonts w:hint="eastAsia" w:ascii="宋体" w:hAnsi="宋体"/>
                <w:b/>
                <w:szCs w:val="21"/>
              </w:rPr>
              <w:t>服务范围</w:t>
            </w:r>
          </w:p>
        </w:tc>
        <w:tc>
          <w:tcPr>
            <w:tcW w:w="1418" w:type="dxa"/>
            <w:noWrap w:val="0"/>
            <w:vAlign w:val="center"/>
          </w:tcPr>
          <w:p>
            <w:pPr>
              <w:snapToGrid w:val="0"/>
              <w:spacing w:line="360" w:lineRule="auto"/>
              <w:jc w:val="center"/>
              <w:rPr>
                <w:rFonts w:ascii="宋体" w:hAnsi="宋体"/>
                <w:b/>
                <w:szCs w:val="21"/>
              </w:rPr>
            </w:pPr>
            <w:r>
              <w:rPr>
                <w:rFonts w:hint="eastAsia" w:ascii="宋体" w:hAnsi="宋体"/>
                <w:b/>
                <w:szCs w:val="21"/>
              </w:rPr>
              <w:t>服务要求</w:t>
            </w:r>
          </w:p>
        </w:tc>
        <w:tc>
          <w:tcPr>
            <w:tcW w:w="1275" w:type="dxa"/>
            <w:noWrap w:val="0"/>
            <w:vAlign w:val="center"/>
          </w:tcPr>
          <w:p>
            <w:pPr>
              <w:snapToGrid w:val="0"/>
              <w:spacing w:line="360" w:lineRule="auto"/>
              <w:jc w:val="center"/>
              <w:rPr>
                <w:rFonts w:ascii="宋体" w:hAnsi="宋体"/>
                <w:b/>
                <w:szCs w:val="21"/>
              </w:rPr>
            </w:pPr>
            <w:r>
              <w:rPr>
                <w:rFonts w:hint="eastAsia" w:ascii="宋体" w:hAnsi="宋体"/>
                <w:b/>
                <w:szCs w:val="21"/>
              </w:rPr>
              <w:t>服务时间</w:t>
            </w:r>
          </w:p>
        </w:tc>
        <w:tc>
          <w:tcPr>
            <w:tcW w:w="1276" w:type="dxa"/>
            <w:noWrap w:val="0"/>
            <w:vAlign w:val="center"/>
          </w:tcPr>
          <w:p>
            <w:pPr>
              <w:snapToGrid w:val="0"/>
              <w:spacing w:line="360" w:lineRule="auto"/>
              <w:jc w:val="center"/>
              <w:rPr>
                <w:rFonts w:ascii="宋体" w:hAnsi="宋体"/>
                <w:b/>
                <w:szCs w:val="21"/>
              </w:rPr>
            </w:pPr>
            <w:r>
              <w:rPr>
                <w:rFonts w:hint="eastAsia" w:ascii="宋体" w:hAnsi="宋体"/>
                <w:b/>
                <w:szCs w:val="21"/>
              </w:rPr>
              <w:t>服务标准</w:t>
            </w:r>
          </w:p>
        </w:tc>
        <w:tc>
          <w:tcPr>
            <w:tcW w:w="851" w:type="dxa"/>
            <w:noWrap w:val="0"/>
            <w:vAlign w:val="center"/>
          </w:tcPr>
          <w:p>
            <w:pPr>
              <w:snapToGrid w:val="0"/>
              <w:spacing w:line="360" w:lineRule="auto"/>
              <w:jc w:val="center"/>
              <w:rPr>
                <w:rFonts w:ascii="宋体" w:hAnsi="宋体"/>
                <w:b/>
                <w:szCs w:val="21"/>
              </w:rPr>
            </w:pPr>
            <w:r>
              <w:rPr>
                <w:rFonts w:hint="eastAsia" w:ascii="宋体" w:hAnsi="宋体"/>
                <w:b/>
                <w:szCs w:val="21"/>
              </w:rPr>
              <w:t>金额</w:t>
            </w:r>
          </w:p>
        </w:tc>
        <w:tc>
          <w:tcPr>
            <w:tcW w:w="1151" w:type="dxa"/>
            <w:noWrap w:val="0"/>
            <w:vAlign w:val="center"/>
          </w:tcPr>
          <w:p>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noWrap w:val="0"/>
            <w:vAlign w:val="center"/>
          </w:tcPr>
          <w:p>
            <w:pPr>
              <w:snapToGrid w:val="0"/>
              <w:spacing w:line="360" w:lineRule="auto"/>
              <w:jc w:val="center"/>
              <w:rPr>
                <w:rFonts w:ascii="仿宋_GB2312" w:hAnsi="宋体" w:eastAsia="仿宋_GB2312"/>
                <w:sz w:val="24"/>
              </w:rPr>
            </w:pPr>
          </w:p>
        </w:tc>
        <w:tc>
          <w:tcPr>
            <w:tcW w:w="1417" w:type="dxa"/>
            <w:noWrap w:val="0"/>
            <w:vAlign w:val="center"/>
          </w:tcPr>
          <w:p>
            <w:pPr>
              <w:snapToGrid w:val="0"/>
              <w:spacing w:line="360" w:lineRule="auto"/>
              <w:jc w:val="center"/>
              <w:rPr>
                <w:rFonts w:ascii="仿宋_GB2312" w:hAnsi="宋体" w:eastAsia="仿宋_GB2312"/>
                <w:sz w:val="24"/>
              </w:rPr>
            </w:pPr>
          </w:p>
        </w:tc>
        <w:tc>
          <w:tcPr>
            <w:tcW w:w="1418" w:type="dxa"/>
            <w:noWrap w:val="0"/>
            <w:vAlign w:val="center"/>
          </w:tcPr>
          <w:p>
            <w:pPr>
              <w:snapToGrid w:val="0"/>
              <w:spacing w:line="360" w:lineRule="auto"/>
              <w:jc w:val="center"/>
              <w:rPr>
                <w:rFonts w:ascii="仿宋_GB2312" w:hAnsi="宋体" w:eastAsia="仿宋_GB2312"/>
                <w:sz w:val="24"/>
              </w:rPr>
            </w:pPr>
          </w:p>
        </w:tc>
        <w:tc>
          <w:tcPr>
            <w:tcW w:w="1275"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151"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noWrap w:val="0"/>
            <w:vAlign w:val="center"/>
          </w:tcPr>
          <w:p>
            <w:pPr>
              <w:snapToGrid w:val="0"/>
              <w:spacing w:line="360" w:lineRule="auto"/>
              <w:jc w:val="center"/>
              <w:rPr>
                <w:rFonts w:ascii="仿宋_GB2312" w:hAnsi="宋体" w:eastAsia="仿宋_GB2312"/>
                <w:sz w:val="24"/>
              </w:rPr>
            </w:pPr>
          </w:p>
        </w:tc>
        <w:tc>
          <w:tcPr>
            <w:tcW w:w="1417" w:type="dxa"/>
            <w:noWrap w:val="0"/>
            <w:vAlign w:val="center"/>
          </w:tcPr>
          <w:p>
            <w:pPr>
              <w:snapToGrid w:val="0"/>
              <w:spacing w:line="360" w:lineRule="auto"/>
              <w:jc w:val="center"/>
              <w:rPr>
                <w:rFonts w:ascii="仿宋_GB2312" w:hAnsi="宋体" w:eastAsia="仿宋_GB2312"/>
                <w:sz w:val="24"/>
              </w:rPr>
            </w:pPr>
          </w:p>
        </w:tc>
        <w:tc>
          <w:tcPr>
            <w:tcW w:w="1418" w:type="dxa"/>
            <w:noWrap w:val="0"/>
            <w:vAlign w:val="center"/>
          </w:tcPr>
          <w:p>
            <w:pPr>
              <w:snapToGrid w:val="0"/>
              <w:spacing w:line="360" w:lineRule="auto"/>
              <w:jc w:val="center"/>
              <w:rPr>
                <w:rFonts w:ascii="仿宋_GB2312" w:hAnsi="宋体" w:eastAsia="仿宋_GB2312"/>
                <w:sz w:val="24"/>
              </w:rPr>
            </w:pPr>
          </w:p>
        </w:tc>
        <w:tc>
          <w:tcPr>
            <w:tcW w:w="1275"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151"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noWrap w:val="0"/>
            <w:vAlign w:val="center"/>
          </w:tcPr>
          <w:p>
            <w:pPr>
              <w:snapToGrid w:val="0"/>
              <w:spacing w:line="360" w:lineRule="auto"/>
              <w:jc w:val="center"/>
              <w:rPr>
                <w:rFonts w:ascii="仿宋_GB2312" w:hAnsi="宋体" w:eastAsia="仿宋_GB2312"/>
                <w:sz w:val="24"/>
              </w:rPr>
            </w:pPr>
          </w:p>
        </w:tc>
        <w:tc>
          <w:tcPr>
            <w:tcW w:w="1417" w:type="dxa"/>
            <w:noWrap w:val="0"/>
            <w:vAlign w:val="center"/>
          </w:tcPr>
          <w:p>
            <w:pPr>
              <w:snapToGrid w:val="0"/>
              <w:spacing w:line="360" w:lineRule="auto"/>
              <w:jc w:val="center"/>
              <w:rPr>
                <w:rFonts w:ascii="仿宋_GB2312" w:hAnsi="宋体" w:eastAsia="仿宋_GB2312"/>
                <w:sz w:val="24"/>
              </w:rPr>
            </w:pPr>
          </w:p>
        </w:tc>
        <w:tc>
          <w:tcPr>
            <w:tcW w:w="1418" w:type="dxa"/>
            <w:noWrap w:val="0"/>
            <w:vAlign w:val="center"/>
          </w:tcPr>
          <w:p>
            <w:pPr>
              <w:snapToGrid w:val="0"/>
              <w:spacing w:line="360" w:lineRule="auto"/>
              <w:jc w:val="center"/>
              <w:rPr>
                <w:rFonts w:ascii="仿宋_GB2312" w:hAnsi="宋体" w:eastAsia="仿宋_GB2312"/>
                <w:sz w:val="24"/>
              </w:rPr>
            </w:pPr>
          </w:p>
        </w:tc>
        <w:tc>
          <w:tcPr>
            <w:tcW w:w="1275"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151"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noWrap w:val="0"/>
            <w:vAlign w:val="center"/>
          </w:tcPr>
          <w:p>
            <w:pPr>
              <w:snapToGrid w:val="0"/>
              <w:spacing w:line="360" w:lineRule="auto"/>
              <w:jc w:val="center"/>
              <w:rPr>
                <w:rFonts w:ascii="仿宋_GB2312" w:hAnsi="宋体" w:eastAsia="仿宋_GB2312"/>
                <w:sz w:val="24"/>
              </w:rPr>
            </w:pPr>
          </w:p>
        </w:tc>
        <w:tc>
          <w:tcPr>
            <w:tcW w:w="1417" w:type="dxa"/>
            <w:noWrap w:val="0"/>
            <w:vAlign w:val="center"/>
          </w:tcPr>
          <w:p>
            <w:pPr>
              <w:snapToGrid w:val="0"/>
              <w:spacing w:line="360" w:lineRule="auto"/>
              <w:jc w:val="center"/>
              <w:rPr>
                <w:rFonts w:ascii="仿宋_GB2312" w:hAnsi="宋体" w:eastAsia="仿宋_GB2312"/>
                <w:sz w:val="24"/>
              </w:rPr>
            </w:pPr>
          </w:p>
        </w:tc>
        <w:tc>
          <w:tcPr>
            <w:tcW w:w="1418" w:type="dxa"/>
            <w:noWrap w:val="0"/>
            <w:vAlign w:val="center"/>
          </w:tcPr>
          <w:p>
            <w:pPr>
              <w:snapToGrid w:val="0"/>
              <w:spacing w:line="360" w:lineRule="auto"/>
              <w:jc w:val="center"/>
              <w:rPr>
                <w:rFonts w:ascii="仿宋_GB2312" w:hAnsi="宋体" w:eastAsia="仿宋_GB2312"/>
                <w:sz w:val="24"/>
              </w:rPr>
            </w:pPr>
          </w:p>
        </w:tc>
        <w:tc>
          <w:tcPr>
            <w:tcW w:w="1275"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151"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pPr>
              <w:snapToGrid w:val="0"/>
              <w:spacing w:line="360" w:lineRule="auto"/>
              <w:jc w:val="center"/>
              <w:rPr>
                <w:rFonts w:ascii="仿宋_GB2312" w:hAnsi="宋体" w:eastAsia="仿宋_GB2312"/>
                <w:sz w:val="24"/>
              </w:rPr>
            </w:pPr>
          </w:p>
        </w:tc>
        <w:tc>
          <w:tcPr>
            <w:tcW w:w="1321" w:type="dxa"/>
            <w:noWrap w:val="0"/>
            <w:vAlign w:val="center"/>
          </w:tcPr>
          <w:p>
            <w:pPr>
              <w:snapToGrid w:val="0"/>
              <w:spacing w:line="360" w:lineRule="auto"/>
              <w:jc w:val="center"/>
              <w:rPr>
                <w:rFonts w:ascii="仿宋_GB2312" w:hAnsi="宋体" w:eastAsia="仿宋_GB2312"/>
                <w:sz w:val="24"/>
              </w:rPr>
            </w:pPr>
          </w:p>
        </w:tc>
        <w:tc>
          <w:tcPr>
            <w:tcW w:w="1417" w:type="dxa"/>
            <w:noWrap w:val="0"/>
            <w:vAlign w:val="center"/>
          </w:tcPr>
          <w:p>
            <w:pPr>
              <w:snapToGrid w:val="0"/>
              <w:spacing w:line="360" w:lineRule="auto"/>
              <w:jc w:val="center"/>
              <w:rPr>
                <w:rFonts w:ascii="仿宋_GB2312" w:hAnsi="宋体" w:eastAsia="仿宋_GB2312"/>
                <w:sz w:val="24"/>
              </w:rPr>
            </w:pPr>
          </w:p>
        </w:tc>
        <w:tc>
          <w:tcPr>
            <w:tcW w:w="1418" w:type="dxa"/>
            <w:noWrap w:val="0"/>
            <w:vAlign w:val="center"/>
          </w:tcPr>
          <w:p>
            <w:pPr>
              <w:snapToGrid w:val="0"/>
              <w:spacing w:line="360" w:lineRule="auto"/>
              <w:jc w:val="center"/>
              <w:rPr>
                <w:rFonts w:ascii="仿宋_GB2312" w:hAnsi="宋体" w:eastAsia="仿宋_GB2312"/>
                <w:sz w:val="24"/>
              </w:rPr>
            </w:pPr>
          </w:p>
        </w:tc>
        <w:tc>
          <w:tcPr>
            <w:tcW w:w="1275"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151"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09" w:type="dxa"/>
            <w:gridSpan w:val="7"/>
            <w:noWrap w:val="0"/>
            <w:vAlign w:val="center"/>
          </w:tcPr>
          <w:p>
            <w:pPr>
              <w:snapToGrid w:val="0"/>
              <w:spacing w:line="360" w:lineRule="auto"/>
              <w:jc w:val="center"/>
              <w:rPr>
                <w:rFonts w:ascii="仿宋_GB2312" w:hAnsi="宋体" w:eastAsia="仿宋_GB2312"/>
                <w:sz w:val="24"/>
              </w:rPr>
            </w:pPr>
          </w:p>
        </w:tc>
      </w:tr>
    </w:tbl>
    <w:p>
      <w:pPr>
        <w:snapToGrid w:val="0"/>
        <w:spacing w:line="500" w:lineRule="exact"/>
        <w:ind w:left="1322" w:hanging="1321" w:hangingChars="472"/>
        <w:rPr>
          <w:rFonts w:hint="eastAsia" w:ascii="宋体" w:hAnsi="宋体" w:eastAsia="宋体" w:cs="宋体"/>
          <w:sz w:val="28"/>
          <w:szCs w:val="28"/>
        </w:rPr>
      </w:pPr>
    </w:p>
    <w:p>
      <w:pPr>
        <w:spacing w:line="360" w:lineRule="auto"/>
        <w:ind w:firstLine="3080" w:firstLineChars="1100"/>
        <w:jc w:val="right"/>
        <w:rPr>
          <w:rFonts w:hint="eastAsia" w:ascii="宋体" w:hAnsi="宋体" w:cs="宋体"/>
          <w:kern w:val="0"/>
          <w:sz w:val="28"/>
          <w:szCs w:val="28"/>
          <w:lang w:val="zh-CN" w:bidi="ar"/>
        </w:rPr>
      </w:pPr>
    </w:p>
    <w:p>
      <w:pPr>
        <w:spacing w:line="360" w:lineRule="auto"/>
        <w:ind w:firstLine="3080" w:firstLineChars="1100"/>
        <w:jc w:val="right"/>
        <w:rPr>
          <w:rFonts w:hint="eastAsia" w:ascii="宋体" w:hAnsi="宋体" w:cs="宋体"/>
          <w:kern w:val="0"/>
          <w:sz w:val="28"/>
          <w:szCs w:val="28"/>
          <w:lang w:val="zh-CN" w:bidi="ar"/>
        </w:rPr>
      </w:pPr>
    </w:p>
    <w:p>
      <w:pPr>
        <w:spacing w:line="360" w:lineRule="auto"/>
        <w:ind w:firstLine="3080" w:firstLineChars="1100"/>
        <w:jc w:val="right"/>
        <w:rPr>
          <w:rFonts w:hint="eastAsia"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pPr>
        <w:spacing w:line="360" w:lineRule="auto"/>
        <w:ind w:firstLine="3080" w:firstLineChars="1100"/>
        <w:jc w:val="right"/>
        <w:rPr>
          <w:rFonts w:hint="eastAsia" w:ascii="宋体" w:hAnsi="宋体" w:cs="宋体"/>
          <w:sz w:val="28"/>
          <w:szCs w:val="28"/>
          <w:u w:val="single"/>
          <w:lang w:val="zh-CN"/>
        </w:rPr>
      </w:pPr>
      <w:r>
        <w:rPr>
          <w:rFonts w:hint="eastAsia" w:ascii="宋体" w:hAnsi="宋体" w:cs="宋体"/>
          <w:kern w:val="0"/>
          <w:sz w:val="28"/>
          <w:szCs w:val="28"/>
          <w:lang w:val="zh-CN" w:bidi="ar"/>
        </w:rPr>
        <w:t>法定代表人（签字或盖章）：</w:t>
      </w:r>
    </w:p>
    <w:p>
      <w:pPr>
        <w:spacing w:line="360" w:lineRule="auto"/>
        <w:ind w:firstLine="3080" w:firstLineChars="1100"/>
        <w:jc w:val="right"/>
        <w:rPr>
          <w:rFonts w:hint="eastAsia" w:ascii="宋体" w:hAnsi="宋体" w:cs="宋体"/>
          <w:kern w:val="0"/>
          <w:sz w:val="28"/>
          <w:szCs w:val="28"/>
          <w:lang w:val="zh-CN"/>
        </w:rPr>
      </w:pPr>
      <w:r>
        <w:rPr>
          <w:rFonts w:hint="eastAsia" w:ascii="宋体" w:hAnsi="宋体" w:cs="宋体"/>
          <w:kern w:val="0"/>
          <w:sz w:val="28"/>
          <w:szCs w:val="28"/>
          <w:lang w:val="zh-CN" w:bidi="ar"/>
        </w:rPr>
        <w:t>时间：  年  月   日</w:t>
      </w:r>
    </w:p>
    <w:p>
      <w:pPr>
        <w:snapToGrid w:val="0"/>
        <w:spacing w:line="360" w:lineRule="auto"/>
        <w:jc w:val="left"/>
        <w:rPr>
          <w:rFonts w:hint="eastAsia" w:ascii="宋体" w:hAnsi="宋体" w:eastAsia="宋体" w:cs="宋体"/>
          <w:sz w:val="32"/>
          <w:szCs w:val="32"/>
          <w:lang w:eastAsia="zh-CN"/>
        </w:rPr>
      </w:pPr>
      <w:r>
        <w:rPr>
          <w:rFonts w:hint="eastAsia" w:ascii="宋体" w:hAnsi="宋体" w:cs="宋体"/>
          <w:sz w:val="32"/>
          <w:szCs w:val="32"/>
        </w:rPr>
        <w:br w:type="page"/>
      </w:r>
      <w:r>
        <w:rPr>
          <w:rFonts w:hint="eastAsia" w:ascii="宋体" w:hAnsi="宋体" w:cs="宋体"/>
          <w:sz w:val="32"/>
          <w:szCs w:val="32"/>
        </w:rPr>
        <w:t>附件</w:t>
      </w:r>
      <w:r>
        <w:rPr>
          <w:rFonts w:hint="eastAsia" w:ascii="宋体" w:hAnsi="宋体" w:cs="宋体"/>
          <w:sz w:val="32"/>
          <w:szCs w:val="32"/>
          <w:lang w:val="en-US" w:eastAsia="zh-CN"/>
        </w:rPr>
        <w:t>6</w:t>
      </w:r>
    </w:p>
    <w:p>
      <w:pPr>
        <w:spacing w:before="240" w:line="360" w:lineRule="auto"/>
        <w:jc w:val="center"/>
        <w:rPr>
          <w:rFonts w:hint="eastAsia" w:ascii="宋体" w:hAnsi="宋体" w:cs="宋体"/>
          <w:b/>
          <w:sz w:val="32"/>
          <w:szCs w:val="32"/>
          <w:lang w:bidi="ar"/>
        </w:rPr>
      </w:pPr>
      <w:r>
        <w:rPr>
          <w:rFonts w:hint="eastAsia" w:ascii="宋体" w:hAnsi="宋体" w:cs="宋体"/>
          <w:b/>
          <w:sz w:val="32"/>
          <w:szCs w:val="32"/>
          <w:lang w:bidi="ar"/>
        </w:rPr>
        <w:t>供应商信用承诺书</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二、严格依照国家和省、市、县关于政府采购等方面的法律、法规、规章、规范性文件，参加</w:t>
      </w:r>
      <w:r>
        <w:rPr>
          <w:rFonts w:hint="eastAsia" w:ascii="宋体" w:hAnsi="宋体" w:cs="宋体"/>
          <w:kern w:val="0"/>
          <w:sz w:val="24"/>
          <w:lang w:bidi="ar"/>
        </w:rPr>
        <w:t>采购人组织的</w:t>
      </w:r>
      <w:r>
        <w:rPr>
          <w:rFonts w:hint="eastAsia" w:ascii="宋体" w:hAnsi="宋体" w:cs="宋体"/>
          <w:kern w:val="0"/>
          <w:sz w:val="24"/>
          <w:lang w:val="zh-CN" w:bidi="ar"/>
        </w:rPr>
        <w:t>招标投标活动；积极履行社会责任，促进廉政建设；</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bidi="ar"/>
        </w:rPr>
        <w:t>七、上述承诺已向本单位员工作了宣传教育；</w:t>
      </w:r>
    </w:p>
    <w:p>
      <w:pPr>
        <w:tabs>
          <w:tab w:val="left" w:pos="4860"/>
        </w:tabs>
        <w:spacing w:line="360" w:lineRule="auto"/>
        <w:ind w:right="1560"/>
        <w:jc w:val="left"/>
        <w:rPr>
          <w:rFonts w:hint="eastAsia" w:ascii="宋体" w:hAnsi="宋体" w:cs="宋体"/>
          <w:b/>
          <w:kern w:val="0"/>
          <w:sz w:val="24"/>
          <w:lang w:val="zh-CN" w:bidi="ar"/>
        </w:rPr>
      </w:pPr>
      <w:r>
        <w:rPr>
          <w:rFonts w:hint="eastAsia" w:ascii="宋体" w:hAnsi="宋体" w:cs="宋体"/>
          <w:b/>
          <w:kern w:val="0"/>
          <w:sz w:val="24"/>
          <w:lang w:val="zh-CN" w:bidi="ar"/>
        </w:rPr>
        <w:t>如有违反上述承诺的不良行为，本单位同意将其予以上网公示。</w:t>
      </w:r>
    </w:p>
    <w:p>
      <w:pPr>
        <w:spacing w:line="360" w:lineRule="auto"/>
        <w:ind w:firstLine="3080" w:firstLineChars="1100"/>
        <w:rPr>
          <w:rFonts w:hint="eastAsia" w:ascii="宋体" w:hAnsi="宋体" w:cs="宋体"/>
          <w:sz w:val="28"/>
          <w:szCs w:val="28"/>
        </w:rPr>
      </w:pPr>
      <w:r>
        <w:rPr>
          <w:rFonts w:hint="eastAsia" w:ascii="宋体" w:hAnsi="宋体" w:cs="宋体"/>
          <w:sz w:val="28"/>
          <w:szCs w:val="28"/>
        </w:rPr>
        <w:t xml:space="preserve">  </w:t>
      </w:r>
    </w:p>
    <w:p>
      <w:pPr>
        <w:spacing w:line="360" w:lineRule="auto"/>
        <w:ind w:firstLine="3080" w:firstLineChars="1100"/>
        <w:rPr>
          <w:rFonts w:hint="eastAsia"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pPr>
        <w:spacing w:line="360" w:lineRule="auto"/>
        <w:ind w:firstLine="3080" w:firstLineChars="1100"/>
        <w:rPr>
          <w:rFonts w:hint="eastAsia" w:ascii="宋体" w:hAnsi="宋体" w:cs="宋体"/>
          <w:sz w:val="28"/>
          <w:szCs w:val="28"/>
          <w:u w:val="single"/>
          <w:lang w:val="zh-CN"/>
        </w:rPr>
      </w:pPr>
      <w:r>
        <w:rPr>
          <w:rFonts w:hint="eastAsia" w:ascii="宋体" w:hAnsi="宋体" w:cs="宋体"/>
          <w:kern w:val="0"/>
          <w:sz w:val="28"/>
          <w:szCs w:val="28"/>
          <w:lang w:val="zh-CN" w:bidi="ar"/>
        </w:rPr>
        <w:t>法定代表人（签字或盖章）：</w:t>
      </w:r>
    </w:p>
    <w:p>
      <w:pPr>
        <w:spacing w:line="360" w:lineRule="auto"/>
        <w:ind w:firstLine="3080" w:firstLineChars="1100"/>
        <w:rPr>
          <w:rFonts w:hint="eastAsia" w:ascii="宋体" w:hAnsi="宋体" w:cs="宋体"/>
          <w:kern w:val="0"/>
          <w:sz w:val="28"/>
          <w:szCs w:val="28"/>
          <w:lang w:val="zh-CN"/>
        </w:rPr>
      </w:pPr>
      <w:r>
        <w:rPr>
          <w:rFonts w:hint="eastAsia" w:ascii="宋体" w:hAnsi="宋体" w:cs="宋体"/>
          <w:kern w:val="0"/>
          <w:sz w:val="28"/>
          <w:szCs w:val="28"/>
          <w:lang w:val="zh-CN" w:bidi="ar"/>
        </w:rPr>
        <w:t>时间：  年  月   日</w:t>
      </w:r>
    </w:p>
    <w:p>
      <w:pPr>
        <w:spacing w:line="360" w:lineRule="auto"/>
        <w:rPr>
          <w:rFonts w:hint="eastAsia" w:ascii="宋体" w:hAnsi="宋体" w:cs="宋体"/>
        </w:rPr>
      </w:pPr>
    </w:p>
    <w:p>
      <w:pPr>
        <w:spacing w:line="360" w:lineRule="auto"/>
        <w:rPr>
          <w:rFonts w:hint="eastAsia" w:ascii="宋体" w:hAnsi="宋体" w:cs="宋体"/>
        </w:rPr>
      </w:pPr>
    </w:p>
    <w:p>
      <w:pPr>
        <w:snapToGrid w:val="0"/>
        <w:spacing w:line="360" w:lineRule="auto"/>
        <w:rPr>
          <w:rFonts w:hint="eastAsia" w:ascii="宋体" w:hAnsi="宋体" w:eastAsia="宋体" w:cs="宋体"/>
          <w:sz w:val="32"/>
          <w:szCs w:val="32"/>
          <w:lang w:eastAsia="zh-CN"/>
        </w:rPr>
      </w:pPr>
      <w:r>
        <w:rPr>
          <w:rFonts w:hint="eastAsia" w:ascii="宋体" w:hAnsi="宋体" w:cs="宋体"/>
          <w:sz w:val="32"/>
          <w:szCs w:val="32"/>
        </w:rPr>
        <w:br w:type="page"/>
      </w:r>
      <w:r>
        <w:rPr>
          <w:rFonts w:hint="eastAsia" w:ascii="宋体" w:hAnsi="宋体" w:cs="宋体"/>
          <w:sz w:val="32"/>
          <w:szCs w:val="32"/>
        </w:rPr>
        <w:t>附件</w:t>
      </w:r>
      <w:r>
        <w:rPr>
          <w:rFonts w:hint="eastAsia" w:ascii="宋体" w:hAnsi="宋体" w:cs="宋体"/>
          <w:sz w:val="32"/>
          <w:szCs w:val="32"/>
          <w:lang w:val="en-US" w:eastAsia="zh-CN"/>
        </w:rPr>
        <w:t>7</w:t>
      </w:r>
    </w:p>
    <w:p>
      <w:pPr>
        <w:spacing w:line="360" w:lineRule="auto"/>
        <w:jc w:val="center"/>
        <w:rPr>
          <w:rFonts w:hint="eastAsia" w:ascii="宋体" w:hAnsi="宋体" w:cs="宋体"/>
          <w:bCs/>
          <w:sz w:val="40"/>
          <w:szCs w:val="40"/>
        </w:rPr>
      </w:pPr>
      <w:r>
        <w:rPr>
          <w:rFonts w:hint="eastAsia" w:ascii="宋体" w:hAnsi="宋体" w:cs="宋体"/>
          <w:bCs/>
          <w:sz w:val="40"/>
          <w:szCs w:val="40"/>
        </w:rPr>
        <w:t>质疑函范本</w:t>
      </w:r>
    </w:p>
    <w:p>
      <w:pPr>
        <w:adjustRightInd w:val="0"/>
        <w:snapToGrid w:val="0"/>
        <w:spacing w:before="240" w:beforeLines="100" w:line="360" w:lineRule="auto"/>
        <w:rPr>
          <w:rFonts w:hint="eastAsia" w:ascii="宋体" w:hAnsi="宋体" w:cs="宋体"/>
          <w:bCs/>
          <w:sz w:val="28"/>
          <w:szCs w:val="28"/>
        </w:rPr>
      </w:pPr>
      <w:r>
        <w:rPr>
          <w:rFonts w:hint="eastAsia" w:ascii="宋体" w:hAnsi="宋体" w:cs="宋体"/>
          <w:bCs/>
          <w:sz w:val="28"/>
          <w:szCs w:val="28"/>
        </w:rPr>
        <w:t>一、质疑供应商基本信息</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质疑供应商：</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地址：邮编：</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联系人：联系电话：</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授权代表：</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联系电话：</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地址：邮编：</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二、质疑项目基本情况</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质疑项目的名称：</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质疑项目的编号：包号：</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采购人名称：</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采购文件获取日期：</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三、质疑事项具体内容</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质疑事项1：</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事实依据：</w:t>
      </w:r>
    </w:p>
    <w:p>
      <w:pPr>
        <w:adjustRightInd w:val="0"/>
        <w:snapToGrid w:val="0"/>
        <w:spacing w:line="360" w:lineRule="auto"/>
        <w:rPr>
          <w:rFonts w:hint="eastAsia" w:ascii="宋体" w:hAnsi="宋体" w:cs="宋体"/>
          <w:sz w:val="28"/>
          <w:szCs w:val="28"/>
        </w:rPr>
      </w:pP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法律依据：</w:t>
      </w:r>
    </w:p>
    <w:p>
      <w:pPr>
        <w:adjustRightInd w:val="0"/>
        <w:snapToGrid w:val="0"/>
        <w:spacing w:line="360" w:lineRule="auto"/>
        <w:rPr>
          <w:rFonts w:hint="eastAsia" w:ascii="宋体" w:hAnsi="宋体" w:cs="宋体"/>
          <w:sz w:val="28"/>
          <w:szCs w:val="28"/>
          <w:u w:val="dotted"/>
        </w:rPr>
      </w:pP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质疑事项2</w:t>
      </w:r>
    </w:p>
    <w:p>
      <w:pPr>
        <w:adjustRightInd w:val="0"/>
        <w:snapToGrid w:val="0"/>
        <w:spacing w:line="360" w:lineRule="auto"/>
        <w:rPr>
          <w:rFonts w:hint="eastAsia" w:ascii="宋体" w:hAnsi="宋体" w:cs="宋体"/>
          <w:sz w:val="28"/>
          <w:szCs w:val="28"/>
        </w:rPr>
      </w:pPr>
      <w:r>
        <w:rPr>
          <w:rFonts w:hint="eastAsia" w:ascii="宋体" w:hAnsi="宋体" w:cs="宋体"/>
          <w:sz w:val="28"/>
          <w:szCs w:val="28"/>
        </w:rPr>
        <w:t>……</w:t>
      </w:r>
    </w:p>
    <w:p>
      <w:pPr>
        <w:adjustRightInd w:val="0"/>
        <w:snapToGrid w:val="0"/>
        <w:spacing w:line="360" w:lineRule="auto"/>
        <w:rPr>
          <w:rFonts w:hint="eastAsia" w:ascii="宋体" w:hAnsi="宋体" w:cs="宋体"/>
          <w:bCs/>
          <w:sz w:val="28"/>
          <w:szCs w:val="28"/>
        </w:rPr>
      </w:pPr>
      <w:r>
        <w:rPr>
          <w:rFonts w:hint="eastAsia" w:ascii="宋体" w:hAnsi="宋体" w:cs="宋体"/>
          <w:bCs/>
          <w:sz w:val="28"/>
          <w:szCs w:val="28"/>
        </w:rPr>
        <w:t>四、与质疑事项相关的质疑请求</w:t>
      </w:r>
    </w:p>
    <w:p>
      <w:pPr>
        <w:adjustRightInd w:val="0"/>
        <w:snapToGrid w:val="0"/>
        <w:spacing w:line="360" w:lineRule="auto"/>
        <w:rPr>
          <w:rFonts w:hint="eastAsia" w:ascii="宋体" w:hAnsi="宋体" w:cs="宋体"/>
          <w:sz w:val="28"/>
          <w:szCs w:val="28"/>
          <w:u w:val="dotted"/>
        </w:rPr>
      </w:pPr>
      <w:r>
        <w:rPr>
          <w:rFonts w:hint="eastAsia" w:ascii="宋体" w:hAnsi="宋体" w:cs="宋体"/>
          <w:sz w:val="28"/>
          <w:szCs w:val="28"/>
        </w:rPr>
        <w:t>请求：</w:t>
      </w:r>
    </w:p>
    <w:p>
      <w:pPr>
        <w:spacing w:line="360" w:lineRule="auto"/>
        <w:rPr>
          <w:rFonts w:hint="eastAsia" w:ascii="宋体" w:hAnsi="宋体" w:cs="宋体"/>
          <w:sz w:val="28"/>
          <w:szCs w:val="28"/>
        </w:rPr>
      </w:pPr>
      <w:r>
        <w:rPr>
          <w:rFonts w:hint="eastAsia" w:ascii="宋体" w:hAnsi="宋体" w:cs="宋体"/>
          <w:sz w:val="28"/>
          <w:szCs w:val="28"/>
        </w:rPr>
        <w:t xml:space="preserve">签字(签章)：                   公章：                      </w:t>
      </w:r>
    </w:p>
    <w:p>
      <w:pPr>
        <w:spacing w:line="360" w:lineRule="auto"/>
        <w:rPr>
          <w:rFonts w:hint="eastAsia" w:ascii="宋体" w:hAnsi="宋体" w:cs="宋体"/>
          <w:sz w:val="28"/>
          <w:szCs w:val="28"/>
        </w:rPr>
      </w:pPr>
      <w:r>
        <w:rPr>
          <w:rFonts w:hint="eastAsia" w:ascii="宋体" w:hAnsi="宋体" w:cs="宋体"/>
          <w:sz w:val="28"/>
          <w:szCs w:val="28"/>
        </w:rPr>
        <w:t xml:space="preserve">日期：    </w:t>
      </w:r>
    </w:p>
    <w:p>
      <w:pPr>
        <w:adjustRightInd w:val="0"/>
        <w:snapToGrid w:val="0"/>
        <w:spacing w:line="360" w:lineRule="auto"/>
        <w:rPr>
          <w:rFonts w:hint="eastAsia" w:ascii="宋体" w:hAnsi="宋体" w:cs="宋体"/>
          <w:sz w:val="28"/>
          <w:szCs w:val="28"/>
        </w:rPr>
      </w:pPr>
    </w:p>
    <w:p>
      <w:pPr>
        <w:spacing w:line="360" w:lineRule="auto"/>
        <w:rPr>
          <w:rFonts w:hint="eastAsia" w:ascii="宋体" w:hAnsi="宋体" w:cs="宋体"/>
          <w:b/>
          <w:sz w:val="28"/>
          <w:szCs w:val="28"/>
        </w:rPr>
      </w:pPr>
    </w:p>
    <w:p>
      <w:pPr>
        <w:spacing w:line="360" w:lineRule="auto"/>
        <w:rPr>
          <w:rFonts w:hint="eastAsia" w:ascii="宋体" w:hAnsi="宋体" w:cs="宋体"/>
          <w:b/>
          <w:sz w:val="28"/>
          <w:szCs w:val="28"/>
        </w:rPr>
      </w:pPr>
    </w:p>
    <w:p>
      <w:pPr>
        <w:spacing w:line="360" w:lineRule="auto"/>
        <w:rPr>
          <w:rFonts w:hint="eastAsia" w:ascii="宋体" w:hAnsi="宋体" w:cs="宋体"/>
          <w:b/>
          <w:sz w:val="28"/>
          <w:szCs w:val="28"/>
        </w:rPr>
      </w:pPr>
      <w:r>
        <w:rPr>
          <w:rFonts w:hint="eastAsia" w:ascii="宋体" w:hAnsi="宋体" w:cs="宋体"/>
          <w:b/>
          <w:sz w:val="28"/>
          <w:szCs w:val="28"/>
        </w:rPr>
        <w:t>质疑函制作说明：</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1.供应商提出质疑时，应提交质疑函和必要的证明材料。</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3.质疑供应商若对项目的某一分包进行质疑，质疑函中应列明具体分包号。</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4.质疑函的质疑事项应具体、明确，并有必要的事实依据和法律依据。</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5.质疑函的质疑请求应与质疑事项相关。</w:t>
      </w:r>
    </w:p>
    <w:p>
      <w:pPr>
        <w:widowControl/>
        <w:spacing w:line="360" w:lineRule="auto"/>
        <w:ind w:firstLine="560" w:firstLineChars="200"/>
        <w:jc w:val="left"/>
        <w:rPr>
          <w:rFonts w:hint="eastAsia"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swiss"/>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1"/>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06"/>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04"/>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pStyle w:val="10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96"/>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GZhMTU4NmQwYmE2M2Y0YWZmNDc0NDE2OGY2OWQ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C38"/>
    <w:rsid w:val="003164A3"/>
    <w:rsid w:val="00320476"/>
    <w:rsid w:val="00320B07"/>
    <w:rsid w:val="00320C34"/>
    <w:rsid w:val="00321CBF"/>
    <w:rsid w:val="0032216A"/>
    <w:rsid w:val="003228A9"/>
    <w:rsid w:val="00322B57"/>
    <w:rsid w:val="00330686"/>
    <w:rsid w:val="0033200D"/>
    <w:rsid w:val="00334C59"/>
    <w:rsid w:val="003406AD"/>
    <w:rsid w:val="003436D0"/>
    <w:rsid w:val="00343D2E"/>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767"/>
    <w:rsid w:val="0073472E"/>
    <w:rsid w:val="00736373"/>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2873D3"/>
    <w:rsid w:val="01401F5A"/>
    <w:rsid w:val="01C51F26"/>
    <w:rsid w:val="021B6523"/>
    <w:rsid w:val="02861C5D"/>
    <w:rsid w:val="02864E82"/>
    <w:rsid w:val="028E5BF7"/>
    <w:rsid w:val="02A46519"/>
    <w:rsid w:val="02C34EEE"/>
    <w:rsid w:val="02F30FA1"/>
    <w:rsid w:val="030663D5"/>
    <w:rsid w:val="031D75DC"/>
    <w:rsid w:val="034F46D6"/>
    <w:rsid w:val="03784CB1"/>
    <w:rsid w:val="04051239"/>
    <w:rsid w:val="04CC6B4B"/>
    <w:rsid w:val="053E2C54"/>
    <w:rsid w:val="0654321E"/>
    <w:rsid w:val="068C1FDE"/>
    <w:rsid w:val="06B0131B"/>
    <w:rsid w:val="06F91383"/>
    <w:rsid w:val="079A247E"/>
    <w:rsid w:val="079B2882"/>
    <w:rsid w:val="07B71116"/>
    <w:rsid w:val="07F27FE4"/>
    <w:rsid w:val="08405380"/>
    <w:rsid w:val="08980A8D"/>
    <w:rsid w:val="08A07782"/>
    <w:rsid w:val="09572537"/>
    <w:rsid w:val="09694699"/>
    <w:rsid w:val="09992B4F"/>
    <w:rsid w:val="09E8138B"/>
    <w:rsid w:val="09EB6079"/>
    <w:rsid w:val="0A6071C9"/>
    <w:rsid w:val="0AA572D2"/>
    <w:rsid w:val="0AB63A17"/>
    <w:rsid w:val="0AD03B89"/>
    <w:rsid w:val="0AF60B0D"/>
    <w:rsid w:val="0B067BB8"/>
    <w:rsid w:val="0B896BF3"/>
    <w:rsid w:val="0B8B296C"/>
    <w:rsid w:val="0B8F7378"/>
    <w:rsid w:val="0B9818EB"/>
    <w:rsid w:val="0BA5348D"/>
    <w:rsid w:val="0BC31006"/>
    <w:rsid w:val="0C26412E"/>
    <w:rsid w:val="0C9418F5"/>
    <w:rsid w:val="0C9B41C4"/>
    <w:rsid w:val="0CF757AC"/>
    <w:rsid w:val="0D2C751C"/>
    <w:rsid w:val="0D57008A"/>
    <w:rsid w:val="0D7D135A"/>
    <w:rsid w:val="0D9E4C87"/>
    <w:rsid w:val="0DA56F93"/>
    <w:rsid w:val="0DB52476"/>
    <w:rsid w:val="0DCE1A94"/>
    <w:rsid w:val="0DDC0C86"/>
    <w:rsid w:val="0E7E1C83"/>
    <w:rsid w:val="0E7E5E5F"/>
    <w:rsid w:val="0F603F8D"/>
    <w:rsid w:val="1049527D"/>
    <w:rsid w:val="106A2B50"/>
    <w:rsid w:val="10B34976"/>
    <w:rsid w:val="110F725F"/>
    <w:rsid w:val="11163121"/>
    <w:rsid w:val="11285B62"/>
    <w:rsid w:val="11380EA0"/>
    <w:rsid w:val="11B30526"/>
    <w:rsid w:val="12214824"/>
    <w:rsid w:val="12315DC0"/>
    <w:rsid w:val="12362D47"/>
    <w:rsid w:val="12DD0C75"/>
    <w:rsid w:val="12FA67BA"/>
    <w:rsid w:val="13026738"/>
    <w:rsid w:val="13304B67"/>
    <w:rsid w:val="134566BC"/>
    <w:rsid w:val="135774FE"/>
    <w:rsid w:val="13A46379"/>
    <w:rsid w:val="13AD66FE"/>
    <w:rsid w:val="13F310AE"/>
    <w:rsid w:val="13FA243C"/>
    <w:rsid w:val="142011A6"/>
    <w:rsid w:val="14564609"/>
    <w:rsid w:val="14583120"/>
    <w:rsid w:val="15215C70"/>
    <w:rsid w:val="15495F87"/>
    <w:rsid w:val="1574342C"/>
    <w:rsid w:val="15965C16"/>
    <w:rsid w:val="15A444A6"/>
    <w:rsid w:val="16277A0B"/>
    <w:rsid w:val="16852D6C"/>
    <w:rsid w:val="16884649"/>
    <w:rsid w:val="16C94348"/>
    <w:rsid w:val="17517F11"/>
    <w:rsid w:val="17B24919"/>
    <w:rsid w:val="17B4163D"/>
    <w:rsid w:val="17F94FFE"/>
    <w:rsid w:val="1813218C"/>
    <w:rsid w:val="182F467F"/>
    <w:rsid w:val="185B7983"/>
    <w:rsid w:val="18AF29F3"/>
    <w:rsid w:val="18DC65B5"/>
    <w:rsid w:val="190805F5"/>
    <w:rsid w:val="19660714"/>
    <w:rsid w:val="197C2955"/>
    <w:rsid w:val="19E82C89"/>
    <w:rsid w:val="1A4268EB"/>
    <w:rsid w:val="1A444411"/>
    <w:rsid w:val="1A5279E9"/>
    <w:rsid w:val="1AD43112"/>
    <w:rsid w:val="1B925650"/>
    <w:rsid w:val="1C8B1F64"/>
    <w:rsid w:val="1CD25790"/>
    <w:rsid w:val="1D3544E5"/>
    <w:rsid w:val="1D787557"/>
    <w:rsid w:val="1E036392"/>
    <w:rsid w:val="1E097B16"/>
    <w:rsid w:val="1E53284B"/>
    <w:rsid w:val="1E5F512D"/>
    <w:rsid w:val="1E892E63"/>
    <w:rsid w:val="1EE70F94"/>
    <w:rsid w:val="1F4F3A29"/>
    <w:rsid w:val="1F9B16E8"/>
    <w:rsid w:val="20085EE1"/>
    <w:rsid w:val="20255070"/>
    <w:rsid w:val="202B6819"/>
    <w:rsid w:val="20EE6FC1"/>
    <w:rsid w:val="20EF1D98"/>
    <w:rsid w:val="21606878"/>
    <w:rsid w:val="2193780B"/>
    <w:rsid w:val="219C0FD7"/>
    <w:rsid w:val="21FA130C"/>
    <w:rsid w:val="22027AEB"/>
    <w:rsid w:val="2235090D"/>
    <w:rsid w:val="22547340"/>
    <w:rsid w:val="226570FE"/>
    <w:rsid w:val="230A5C39"/>
    <w:rsid w:val="23545E69"/>
    <w:rsid w:val="23A42D0F"/>
    <w:rsid w:val="23A60FED"/>
    <w:rsid w:val="24062928"/>
    <w:rsid w:val="244217C3"/>
    <w:rsid w:val="24446463"/>
    <w:rsid w:val="24462A2D"/>
    <w:rsid w:val="246B6A3F"/>
    <w:rsid w:val="24AF1021"/>
    <w:rsid w:val="255E9A8F"/>
    <w:rsid w:val="25761FE8"/>
    <w:rsid w:val="25A55F80"/>
    <w:rsid w:val="26B36D0C"/>
    <w:rsid w:val="26C70FC3"/>
    <w:rsid w:val="272F3A51"/>
    <w:rsid w:val="27333F23"/>
    <w:rsid w:val="275F73B4"/>
    <w:rsid w:val="27E17743"/>
    <w:rsid w:val="27F00097"/>
    <w:rsid w:val="280803EC"/>
    <w:rsid w:val="281C69CE"/>
    <w:rsid w:val="282E0237"/>
    <w:rsid w:val="28643197"/>
    <w:rsid w:val="28B44E58"/>
    <w:rsid w:val="28C01D17"/>
    <w:rsid w:val="28C661CF"/>
    <w:rsid w:val="29362D86"/>
    <w:rsid w:val="293E0BC6"/>
    <w:rsid w:val="29A11347"/>
    <w:rsid w:val="2A27165A"/>
    <w:rsid w:val="2A4E3D69"/>
    <w:rsid w:val="2A9B5D68"/>
    <w:rsid w:val="2B5F21E3"/>
    <w:rsid w:val="2B987F6F"/>
    <w:rsid w:val="2BAD5B8F"/>
    <w:rsid w:val="2BAE36BF"/>
    <w:rsid w:val="2BCB3F2A"/>
    <w:rsid w:val="2C102611"/>
    <w:rsid w:val="2C29369E"/>
    <w:rsid w:val="2C35294C"/>
    <w:rsid w:val="2CF27CFD"/>
    <w:rsid w:val="2D5914BC"/>
    <w:rsid w:val="2D821071"/>
    <w:rsid w:val="2DC14C40"/>
    <w:rsid w:val="2DCD2FDA"/>
    <w:rsid w:val="2DD81DDD"/>
    <w:rsid w:val="2E057444"/>
    <w:rsid w:val="2E216B3B"/>
    <w:rsid w:val="2E4A46A0"/>
    <w:rsid w:val="2E513149"/>
    <w:rsid w:val="2E7D5CEC"/>
    <w:rsid w:val="2EB07E70"/>
    <w:rsid w:val="2EB23ECC"/>
    <w:rsid w:val="2EBC5641"/>
    <w:rsid w:val="2EF72DA2"/>
    <w:rsid w:val="2F0267D5"/>
    <w:rsid w:val="2F3515C3"/>
    <w:rsid w:val="2F391C13"/>
    <w:rsid w:val="2F3F38D4"/>
    <w:rsid w:val="2F7970D7"/>
    <w:rsid w:val="301339CC"/>
    <w:rsid w:val="3083145F"/>
    <w:rsid w:val="30E958BB"/>
    <w:rsid w:val="31320866"/>
    <w:rsid w:val="313B43AB"/>
    <w:rsid w:val="317407C0"/>
    <w:rsid w:val="31AB7E01"/>
    <w:rsid w:val="32B3311C"/>
    <w:rsid w:val="3312555B"/>
    <w:rsid w:val="33274478"/>
    <w:rsid w:val="334502B8"/>
    <w:rsid w:val="3384079C"/>
    <w:rsid w:val="33AA6EA7"/>
    <w:rsid w:val="33E54C86"/>
    <w:rsid w:val="342F6C69"/>
    <w:rsid w:val="34A00986"/>
    <w:rsid w:val="34FF1114"/>
    <w:rsid w:val="35386E11"/>
    <w:rsid w:val="35BD291C"/>
    <w:rsid w:val="35E655F5"/>
    <w:rsid w:val="36BE3D73"/>
    <w:rsid w:val="36E44AE2"/>
    <w:rsid w:val="37741972"/>
    <w:rsid w:val="377443BF"/>
    <w:rsid w:val="380A6843"/>
    <w:rsid w:val="38BD73CD"/>
    <w:rsid w:val="39243934"/>
    <w:rsid w:val="39535BFE"/>
    <w:rsid w:val="398B7F95"/>
    <w:rsid w:val="39A96F72"/>
    <w:rsid w:val="39B5458C"/>
    <w:rsid w:val="39CE38A0"/>
    <w:rsid w:val="3A1C4963"/>
    <w:rsid w:val="3A5570FB"/>
    <w:rsid w:val="3A563FC1"/>
    <w:rsid w:val="3A97759B"/>
    <w:rsid w:val="3A990BD3"/>
    <w:rsid w:val="3AC86541"/>
    <w:rsid w:val="3B4E2FFF"/>
    <w:rsid w:val="3B6049CB"/>
    <w:rsid w:val="3BAC29ED"/>
    <w:rsid w:val="3BB367AF"/>
    <w:rsid w:val="3BD03227"/>
    <w:rsid w:val="3C024B7D"/>
    <w:rsid w:val="3C7F4EBC"/>
    <w:rsid w:val="3C862210"/>
    <w:rsid w:val="3D205A10"/>
    <w:rsid w:val="3D5671AA"/>
    <w:rsid w:val="3D8E2068"/>
    <w:rsid w:val="3DFF4595"/>
    <w:rsid w:val="3E1D7CAF"/>
    <w:rsid w:val="3E7E66A3"/>
    <w:rsid w:val="3EAD286A"/>
    <w:rsid w:val="3F676329"/>
    <w:rsid w:val="3F676452"/>
    <w:rsid w:val="3FE756BB"/>
    <w:rsid w:val="40972C3D"/>
    <w:rsid w:val="40B777E0"/>
    <w:rsid w:val="40C03A0A"/>
    <w:rsid w:val="40C96B6F"/>
    <w:rsid w:val="40E26775"/>
    <w:rsid w:val="40FF1D3F"/>
    <w:rsid w:val="41445C3F"/>
    <w:rsid w:val="41655958"/>
    <w:rsid w:val="418954B3"/>
    <w:rsid w:val="4194717D"/>
    <w:rsid w:val="42661790"/>
    <w:rsid w:val="42E163F2"/>
    <w:rsid w:val="43087E22"/>
    <w:rsid w:val="435528D9"/>
    <w:rsid w:val="4357078B"/>
    <w:rsid w:val="4379029A"/>
    <w:rsid w:val="43A46303"/>
    <w:rsid w:val="43A7763B"/>
    <w:rsid w:val="43AC108E"/>
    <w:rsid w:val="43CA2CF3"/>
    <w:rsid w:val="440A1978"/>
    <w:rsid w:val="441962C2"/>
    <w:rsid w:val="4440689F"/>
    <w:rsid w:val="447E0969"/>
    <w:rsid w:val="45647867"/>
    <w:rsid w:val="4582210E"/>
    <w:rsid w:val="45C86CE6"/>
    <w:rsid w:val="45F14B9E"/>
    <w:rsid w:val="45FA5F64"/>
    <w:rsid w:val="460743C1"/>
    <w:rsid w:val="46144D30"/>
    <w:rsid w:val="467F21AA"/>
    <w:rsid w:val="46BF4C9C"/>
    <w:rsid w:val="477041E8"/>
    <w:rsid w:val="47883ED1"/>
    <w:rsid w:val="47D6229D"/>
    <w:rsid w:val="47FE7A46"/>
    <w:rsid w:val="48374FFD"/>
    <w:rsid w:val="487E1EBD"/>
    <w:rsid w:val="49602681"/>
    <w:rsid w:val="497C0C22"/>
    <w:rsid w:val="49BF2FBD"/>
    <w:rsid w:val="4AB80DFE"/>
    <w:rsid w:val="4AFA3073"/>
    <w:rsid w:val="4B477F40"/>
    <w:rsid w:val="4BE66A88"/>
    <w:rsid w:val="4C1F5F2B"/>
    <w:rsid w:val="4C46012D"/>
    <w:rsid w:val="4CB532A8"/>
    <w:rsid w:val="4CD174D7"/>
    <w:rsid w:val="4D4B48F3"/>
    <w:rsid w:val="4DF27B79"/>
    <w:rsid w:val="4E1729CD"/>
    <w:rsid w:val="4E296E9F"/>
    <w:rsid w:val="4EE942B4"/>
    <w:rsid w:val="4F0227BF"/>
    <w:rsid w:val="4F31106F"/>
    <w:rsid w:val="4F55619D"/>
    <w:rsid w:val="4F633558"/>
    <w:rsid w:val="4F8E1D24"/>
    <w:rsid w:val="50266D04"/>
    <w:rsid w:val="50504182"/>
    <w:rsid w:val="505C5D66"/>
    <w:rsid w:val="50753163"/>
    <w:rsid w:val="50817137"/>
    <w:rsid w:val="509E5922"/>
    <w:rsid w:val="50C37CBB"/>
    <w:rsid w:val="51410B71"/>
    <w:rsid w:val="51A554F3"/>
    <w:rsid w:val="523D7A9D"/>
    <w:rsid w:val="52C250C7"/>
    <w:rsid w:val="52CB62CE"/>
    <w:rsid w:val="52E1539C"/>
    <w:rsid w:val="530B344E"/>
    <w:rsid w:val="5314011E"/>
    <w:rsid w:val="53C733E2"/>
    <w:rsid w:val="53FF0DCE"/>
    <w:rsid w:val="54066594"/>
    <w:rsid w:val="544C01DA"/>
    <w:rsid w:val="54826A6F"/>
    <w:rsid w:val="548E6FCC"/>
    <w:rsid w:val="54B41BB8"/>
    <w:rsid w:val="54BC3371"/>
    <w:rsid w:val="55985036"/>
    <w:rsid w:val="55E54A69"/>
    <w:rsid w:val="55F00D79"/>
    <w:rsid w:val="560358E7"/>
    <w:rsid w:val="56682C5A"/>
    <w:rsid w:val="56905D0D"/>
    <w:rsid w:val="5737456A"/>
    <w:rsid w:val="573D3418"/>
    <w:rsid w:val="578C3B2F"/>
    <w:rsid w:val="57CE5A99"/>
    <w:rsid w:val="57E1275E"/>
    <w:rsid w:val="57FD3B20"/>
    <w:rsid w:val="583730A7"/>
    <w:rsid w:val="589D4368"/>
    <w:rsid w:val="58A5584C"/>
    <w:rsid w:val="58CB74D0"/>
    <w:rsid w:val="595F6971"/>
    <w:rsid w:val="597C1F53"/>
    <w:rsid w:val="597F295B"/>
    <w:rsid w:val="5A170196"/>
    <w:rsid w:val="5A36306F"/>
    <w:rsid w:val="5A6E45B7"/>
    <w:rsid w:val="5A7D0C9E"/>
    <w:rsid w:val="5B0740EA"/>
    <w:rsid w:val="5B247141"/>
    <w:rsid w:val="5B9837E7"/>
    <w:rsid w:val="5BA734AB"/>
    <w:rsid w:val="5BB168EF"/>
    <w:rsid w:val="5BEF76E9"/>
    <w:rsid w:val="5C0D2A63"/>
    <w:rsid w:val="5C3D2493"/>
    <w:rsid w:val="5C5D0A1B"/>
    <w:rsid w:val="5C5F065B"/>
    <w:rsid w:val="5CB079DC"/>
    <w:rsid w:val="5CC70097"/>
    <w:rsid w:val="5CE337FB"/>
    <w:rsid w:val="5D437F7D"/>
    <w:rsid w:val="5D706898"/>
    <w:rsid w:val="5DCFAE16"/>
    <w:rsid w:val="5EA91689"/>
    <w:rsid w:val="5F0822F6"/>
    <w:rsid w:val="5F1662FE"/>
    <w:rsid w:val="5F3A0F0C"/>
    <w:rsid w:val="5F57386C"/>
    <w:rsid w:val="60134695"/>
    <w:rsid w:val="60464B44"/>
    <w:rsid w:val="60625971"/>
    <w:rsid w:val="60BB3DF4"/>
    <w:rsid w:val="60F670B5"/>
    <w:rsid w:val="61EF2796"/>
    <w:rsid w:val="61FE0917"/>
    <w:rsid w:val="62375736"/>
    <w:rsid w:val="62B95263"/>
    <w:rsid w:val="63026180"/>
    <w:rsid w:val="63070B25"/>
    <w:rsid w:val="63312CBB"/>
    <w:rsid w:val="634C5B54"/>
    <w:rsid w:val="635F44F0"/>
    <w:rsid w:val="639A641D"/>
    <w:rsid w:val="64CE4547"/>
    <w:rsid w:val="65007790"/>
    <w:rsid w:val="65071890"/>
    <w:rsid w:val="65362175"/>
    <w:rsid w:val="655A4F13"/>
    <w:rsid w:val="65624D19"/>
    <w:rsid w:val="65735178"/>
    <w:rsid w:val="657A7089"/>
    <w:rsid w:val="65B31709"/>
    <w:rsid w:val="65B6317D"/>
    <w:rsid w:val="6688682D"/>
    <w:rsid w:val="66AB22D9"/>
    <w:rsid w:val="66D41533"/>
    <w:rsid w:val="66DC6D4D"/>
    <w:rsid w:val="673D49E3"/>
    <w:rsid w:val="674072DB"/>
    <w:rsid w:val="675532C8"/>
    <w:rsid w:val="679F7DEF"/>
    <w:rsid w:val="67EB657A"/>
    <w:rsid w:val="680633E1"/>
    <w:rsid w:val="68226616"/>
    <w:rsid w:val="6844104D"/>
    <w:rsid w:val="684921C0"/>
    <w:rsid w:val="68B00491"/>
    <w:rsid w:val="68B735CD"/>
    <w:rsid w:val="68B84DB4"/>
    <w:rsid w:val="69005E96"/>
    <w:rsid w:val="694035C3"/>
    <w:rsid w:val="6A2054D5"/>
    <w:rsid w:val="6A4F42B1"/>
    <w:rsid w:val="6A693B40"/>
    <w:rsid w:val="6AB257F2"/>
    <w:rsid w:val="6AB53B3C"/>
    <w:rsid w:val="6AF74155"/>
    <w:rsid w:val="6AFD34C8"/>
    <w:rsid w:val="6B0B7C86"/>
    <w:rsid w:val="6B80414A"/>
    <w:rsid w:val="6B97675D"/>
    <w:rsid w:val="6CDA7624"/>
    <w:rsid w:val="6CE81713"/>
    <w:rsid w:val="6D070BEB"/>
    <w:rsid w:val="6D0B6015"/>
    <w:rsid w:val="6D7B2E1B"/>
    <w:rsid w:val="6D7B76B4"/>
    <w:rsid w:val="6D8F2D6B"/>
    <w:rsid w:val="6D9143ED"/>
    <w:rsid w:val="6DB91B96"/>
    <w:rsid w:val="6DB932C1"/>
    <w:rsid w:val="6E1437DA"/>
    <w:rsid w:val="6E1F0847"/>
    <w:rsid w:val="6E3520A2"/>
    <w:rsid w:val="6E3A43BC"/>
    <w:rsid w:val="6EF6485A"/>
    <w:rsid w:val="6F394D3C"/>
    <w:rsid w:val="6F572DF1"/>
    <w:rsid w:val="6F7264A0"/>
    <w:rsid w:val="6FA843BB"/>
    <w:rsid w:val="6FBC771B"/>
    <w:rsid w:val="70A66401"/>
    <w:rsid w:val="713F6A92"/>
    <w:rsid w:val="71877781"/>
    <w:rsid w:val="71B66B18"/>
    <w:rsid w:val="722C52AF"/>
    <w:rsid w:val="728C5ACB"/>
    <w:rsid w:val="72944086"/>
    <w:rsid w:val="72954F16"/>
    <w:rsid w:val="72D82ABE"/>
    <w:rsid w:val="733B0CDF"/>
    <w:rsid w:val="7350785D"/>
    <w:rsid w:val="73852C46"/>
    <w:rsid w:val="73A07A74"/>
    <w:rsid w:val="73C86E78"/>
    <w:rsid w:val="73CB43D1"/>
    <w:rsid w:val="747D391D"/>
    <w:rsid w:val="74CD211B"/>
    <w:rsid w:val="74DD1DA7"/>
    <w:rsid w:val="752C1393"/>
    <w:rsid w:val="7547449C"/>
    <w:rsid w:val="755548B4"/>
    <w:rsid w:val="7580588A"/>
    <w:rsid w:val="762C6FE5"/>
    <w:rsid w:val="7634380D"/>
    <w:rsid w:val="7639386A"/>
    <w:rsid w:val="76575EBB"/>
    <w:rsid w:val="766069C2"/>
    <w:rsid w:val="7686683E"/>
    <w:rsid w:val="76A84E99"/>
    <w:rsid w:val="76E12833"/>
    <w:rsid w:val="76F55A77"/>
    <w:rsid w:val="77633752"/>
    <w:rsid w:val="77646A47"/>
    <w:rsid w:val="778B45A3"/>
    <w:rsid w:val="77E638B0"/>
    <w:rsid w:val="77EF7281"/>
    <w:rsid w:val="786170B2"/>
    <w:rsid w:val="788D4480"/>
    <w:rsid w:val="78A32008"/>
    <w:rsid w:val="78C57F86"/>
    <w:rsid w:val="78D11888"/>
    <w:rsid w:val="78F53F2C"/>
    <w:rsid w:val="796912D5"/>
    <w:rsid w:val="79C344AC"/>
    <w:rsid w:val="79F62C66"/>
    <w:rsid w:val="7ADB314B"/>
    <w:rsid w:val="7AE04C06"/>
    <w:rsid w:val="7AFD7B90"/>
    <w:rsid w:val="7AFE6E3A"/>
    <w:rsid w:val="7B2D0AFC"/>
    <w:rsid w:val="7B4A02D1"/>
    <w:rsid w:val="7B4A6DD9"/>
    <w:rsid w:val="7C4A67DB"/>
    <w:rsid w:val="7CA848E7"/>
    <w:rsid w:val="7CDB5685"/>
    <w:rsid w:val="7CE915AD"/>
    <w:rsid w:val="7D0821F2"/>
    <w:rsid w:val="7D3A560F"/>
    <w:rsid w:val="7DCF0593"/>
    <w:rsid w:val="7DD74128"/>
    <w:rsid w:val="7E1F194A"/>
    <w:rsid w:val="7E7A1CAE"/>
    <w:rsid w:val="7EC34622"/>
    <w:rsid w:val="7F493897"/>
    <w:rsid w:val="7FA833B8"/>
    <w:rsid w:val="FDF61C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link w:val="47"/>
    <w:autoRedefine/>
    <w:qFormat/>
    <w:uiPriority w:val="0"/>
    <w:pPr>
      <w:keepNext/>
      <w:keepLines/>
      <w:spacing w:before="260" w:after="260" w:line="416" w:lineRule="auto"/>
      <w:outlineLvl w:val="2"/>
    </w:pPr>
    <w:rPr>
      <w:b w:val="0"/>
      <w:bCs w:val="0"/>
      <w:sz w:val="32"/>
      <w:szCs w:val="32"/>
    </w:rPr>
  </w:style>
  <w:style w:type="paragraph" w:styleId="5">
    <w:name w:val="heading 4"/>
    <w:basedOn w:val="1"/>
    <w:next w:val="1"/>
    <w:link w:val="48"/>
    <w:autoRedefine/>
    <w:qFormat/>
    <w:uiPriority w:val="0"/>
    <w:pPr>
      <w:keepNext/>
      <w:jc w:val="center"/>
      <w:outlineLvl w:val="3"/>
    </w:pPr>
    <w:rPr>
      <w:rFonts w:eastAsia="新宋体"/>
      <w:sz w:val="30"/>
      <w:szCs w:val="21"/>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link w:val="49"/>
    <w:autoRedefine/>
    <w:qFormat/>
    <w:uiPriority w:val="0"/>
    <w:pPr>
      <w:ind w:firstLine="420"/>
    </w:pPr>
    <w:rPr>
      <w:szCs w:val="20"/>
    </w:rPr>
  </w:style>
  <w:style w:type="paragraph" w:styleId="7">
    <w:name w:val="Document Map"/>
    <w:basedOn w:val="1"/>
    <w:link w:val="50"/>
    <w:autoRedefine/>
    <w:semiHidden/>
    <w:qFormat/>
    <w:uiPriority w:val="0"/>
    <w:pPr>
      <w:shd w:val="clear" w:color="auto" w:fill="000080"/>
    </w:p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51"/>
    <w:autoRedefine/>
    <w:unhideWhenUsed/>
    <w:qFormat/>
    <w:uiPriority w:val="99"/>
    <w:pPr>
      <w:jc w:val="left"/>
    </w:pPr>
  </w:style>
  <w:style w:type="paragraph" w:styleId="10">
    <w:name w:val="Body Text"/>
    <w:basedOn w:val="1"/>
    <w:autoRedefine/>
    <w:qFormat/>
    <w:uiPriority w:val="0"/>
    <w:pPr>
      <w:spacing w:line="400" w:lineRule="exact"/>
    </w:pPr>
    <w:rPr>
      <w:rFonts w:ascii="楷体_GB2312"/>
      <w:sz w:val="28"/>
    </w:rPr>
  </w:style>
  <w:style w:type="paragraph" w:styleId="11">
    <w:name w:val="Body Text Indent"/>
    <w:basedOn w:val="1"/>
    <w:next w:val="12"/>
    <w:link w:val="52"/>
    <w:qFormat/>
    <w:uiPriority w:val="0"/>
    <w:pPr>
      <w:spacing w:after="120"/>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Block Text"/>
    <w:basedOn w:val="1"/>
    <w:next w:val="10"/>
    <w:autoRedefine/>
    <w:qFormat/>
    <w:uiPriority w:val="99"/>
    <w:pPr>
      <w:ind w:left="1440" w:leftChars="700" w:right="700" w:rightChars="700"/>
    </w:pPr>
    <w:rPr>
      <w:rFonts w:ascii="Times New Roman" w:hAnsi="Times New Roman" w:eastAsia="宋体" w:cs="Times New Roman"/>
      <w:color w:val="FF0000"/>
      <w:sz w:val="18"/>
      <w:szCs w:val="24"/>
    </w:rPr>
  </w:style>
  <w:style w:type="paragraph" w:styleId="14">
    <w:name w:val="index 4"/>
    <w:basedOn w:val="1"/>
    <w:next w:val="1"/>
    <w:autoRedefine/>
    <w:semiHidden/>
    <w:qFormat/>
    <w:uiPriority w:val="0"/>
    <w:pPr>
      <w:ind w:left="1260"/>
    </w:pPr>
  </w:style>
  <w:style w:type="paragraph" w:styleId="15">
    <w:name w:val="Plain Text"/>
    <w:basedOn w:val="1"/>
    <w:autoRedefine/>
    <w:qFormat/>
    <w:uiPriority w:val="0"/>
    <w:rPr>
      <w:rFonts w:ascii="宋体" w:hAnsi="Courier New"/>
      <w:szCs w:val="20"/>
    </w:rPr>
  </w:style>
  <w:style w:type="paragraph" w:styleId="16">
    <w:name w:val="Date"/>
    <w:basedOn w:val="1"/>
    <w:next w:val="1"/>
    <w:link w:val="53"/>
    <w:autoRedefine/>
    <w:qFormat/>
    <w:uiPriority w:val="0"/>
    <w:pPr>
      <w:ind w:left="100" w:leftChars="2500"/>
    </w:pPr>
  </w:style>
  <w:style w:type="paragraph" w:styleId="17">
    <w:name w:val="Balloon Text"/>
    <w:basedOn w:val="1"/>
    <w:link w:val="54"/>
    <w:autoRedefine/>
    <w:semiHidden/>
    <w:qFormat/>
    <w:uiPriority w:val="0"/>
    <w:rPr>
      <w:sz w:val="18"/>
      <w:szCs w:val="18"/>
    </w:rPr>
  </w:style>
  <w:style w:type="paragraph" w:styleId="18">
    <w:name w:val="footer"/>
    <w:basedOn w:val="1"/>
    <w:link w:val="55"/>
    <w:autoRedefine/>
    <w:qFormat/>
    <w:uiPriority w:val="99"/>
    <w:pPr>
      <w:tabs>
        <w:tab w:val="center" w:pos="4153"/>
        <w:tab w:val="right" w:pos="8306"/>
      </w:tabs>
      <w:snapToGrid w:val="0"/>
      <w:jc w:val="left"/>
    </w:pPr>
    <w:rPr>
      <w:sz w:val="18"/>
      <w:szCs w:val="18"/>
    </w:rPr>
  </w:style>
  <w:style w:type="paragraph" w:styleId="19">
    <w:name w:val="header"/>
    <w:basedOn w:val="1"/>
    <w:link w:val="56"/>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tabs>
        <w:tab w:val="right" w:leader="dot" w:pos="8296"/>
      </w:tabs>
      <w:spacing w:line="360" w:lineRule="auto"/>
    </w:pPr>
  </w:style>
  <w:style w:type="paragraph" w:styleId="21">
    <w:name w:val="Body Text Indent 3"/>
    <w:basedOn w:val="1"/>
    <w:next w:val="8"/>
    <w:link w:val="57"/>
    <w:autoRedefine/>
    <w:qFormat/>
    <w:uiPriority w:val="0"/>
    <w:pPr>
      <w:spacing w:line="520" w:lineRule="exact"/>
      <w:ind w:firstLine="539" w:firstLineChars="184"/>
    </w:pPr>
    <w:rPr>
      <w:rFonts w:ascii="宋体"/>
      <w:b/>
      <w:spacing w:val="6"/>
      <w:sz w:val="28"/>
    </w:rPr>
  </w:style>
  <w:style w:type="paragraph" w:styleId="22">
    <w:name w:val="List Continue 2"/>
    <w:basedOn w:val="1"/>
    <w:autoRedefine/>
    <w:qFormat/>
    <w:uiPriority w:val="0"/>
    <w:pPr>
      <w:spacing w:after="120"/>
      <w:ind w:left="840"/>
    </w:pPr>
    <w:rPr>
      <w:rFonts w:ascii="Times New Roman" w:hAnsi="Times New Roman" w:eastAsia="宋体" w:cs="Times New Roman"/>
      <w:szCs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25">
    <w:name w:val="annotation subject"/>
    <w:basedOn w:val="9"/>
    <w:next w:val="9"/>
    <w:link w:val="58"/>
    <w:autoRedefine/>
    <w:unhideWhenUsed/>
    <w:qFormat/>
    <w:uiPriority w:val="99"/>
    <w:rPr>
      <w:b/>
      <w:bCs/>
    </w:rPr>
  </w:style>
  <w:style w:type="paragraph" w:styleId="26">
    <w:name w:val="Body Text First Indent"/>
    <w:basedOn w:val="10"/>
    <w:autoRedefine/>
    <w:qFormat/>
    <w:uiPriority w:val="0"/>
    <w:pPr>
      <w:spacing w:line="360" w:lineRule="auto"/>
      <w:ind w:firstLine="200" w:firstLineChars="200"/>
    </w:pPr>
    <w:rPr>
      <w:rFonts w:ascii="仿宋_GB2312" w:eastAsia="仿宋_GB2312"/>
      <w:kern w:val="0"/>
      <w:sz w:val="30"/>
      <w:szCs w:val="30"/>
    </w:rPr>
  </w:style>
  <w:style w:type="paragraph" w:styleId="27">
    <w:name w:val="Body Text First Indent 2"/>
    <w:basedOn w:val="11"/>
    <w:next w:val="15"/>
    <w:link w:val="59"/>
    <w:autoRedefine/>
    <w:unhideWhenUsed/>
    <w:qFormat/>
    <w:uiPriority w:val="99"/>
    <w:pPr>
      <w:ind w:firstLine="20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style>
  <w:style w:type="character" w:styleId="33">
    <w:name w:val="FollowedHyperlink"/>
    <w:autoRedefine/>
    <w:unhideWhenUsed/>
    <w:qFormat/>
    <w:uiPriority w:val="99"/>
    <w:rPr>
      <w:color w:val="800080"/>
      <w:u w:val="none"/>
    </w:rPr>
  </w:style>
  <w:style w:type="character" w:styleId="34">
    <w:name w:val="Emphasis"/>
    <w:autoRedefine/>
    <w:qFormat/>
    <w:uiPriority w:val="0"/>
    <w:rPr>
      <w:b/>
      <w:bCs/>
    </w:rPr>
  </w:style>
  <w:style w:type="character" w:styleId="35">
    <w:name w:val="HTML Definition"/>
    <w:autoRedefine/>
    <w:unhideWhenUsed/>
    <w:qFormat/>
    <w:uiPriority w:val="99"/>
  </w:style>
  <w:style w:type="character" w:styleId="36">
    <w:name w:val="HTML Typewriter"/>
    <w:autoRedefine/>
    <w:unhideWhenUsed/>
    <w:qFormat/>
    <w:uiPriority w:val="99"/>
    <w:rPr>
      <w:rFonts w:hint="default" w:ascii="monospace" w:hAnsi="monospace" w:eastAsia="monospace" w:cs="monospace"/>
      <w:sz w:val="20"/>
    </w:rPr>
  </w:style>
  <w:style w:type="character" w:styleId="37">
    <w:name w:val="HTML Acronym"/>
    <w:autoRedefine/>
    <w:unhideWhenUsed/>
    <w:qFormat/>
    <w:uiPriority w:val="99"/>
  </w:style>
  <w:style w:type="character" w:styleId="38">
    <w:name w:val="HTML Variable"/>
    <w:autoRedefine/>
    <w:unhideWhenUsed/>
    <w:qFormat/>
    <w:uiPriority w:val="99"/>
  </w:style>
  <w:style w:type="character" w:styleId="39">
    <w:name w:val="Hyperlink"/>
    <w:autoRedefine/>
    <w:unhideWhenUsed/>
    <w:qFormat/>
    <w:uiPriority w:val="99"/>
    <w:rPr>
      <w:color w:val="0000FF"/>
      <w:u w:val="none"/>
    </w:rPr>
  </w:style>
  <w:style w:type="character" w:styleId="40">
    <w:name w:val="HTML Code"/>
    <w:autoRedefine/>
    <w:unhideWhenUsed/>
    <w:qFormat/>
    <w:uiPriority w:val="99"/>
    <w:rPr>
      <w:rFonts w:hint="default" w:ascii="monospace" w:hAnsi="monospace" w:eastAsia="monospace" w:cs="monospace"/>
      <w:sz w:val="20"/>
    </w:rPr>
  </w:style>
  <w:style w:type="character" w:styleId="41">
    <w:name w:val="annotation reference"/>
    <w:autoRedefine/>
    <w:unhideWhenUsed/>
    <w:qFormat/>
    <w:uiPriority w:val="99"/>
    <w:rPr>
      <w:sz w:val="21"/>
      <w:szCs w:val="21"/>
    </w:rPr>
  </w:style>
  <w:style w:type="character" w:styleId="42">
    <w:name w:val="HTML Cite"/>
    <w:autoRedefine/>
    <w:unhideWhenUsed/>
    <w:qFormat/>
    <w:uiPriority w:val="99"/>
  </w:style>
  <w:style w:type="character" w:styleId="43">
    <w:name w:val="HTML Keyboard"/>
    <w:autoRedefine/>
    <w:unhideWhenUsed/>
    <w:qFormat/>
    <w:uiPriority w:val="99"/>
    <w:rPr>
      <w:rFonts w:ascii="monospace" w:hAnsi="monospace" w:eastAsia="monospace" w:cs="monospace"/>
      <w:sz w:val="20"/>
    </w:rPr>
  </w:style>
  <w:style w:type="character" w:styleId="44">
    <w:name w:val="HTML Sample"/>
    <w:autoRedefine/>
    <w:unhideWhenUsed/>
    <w:qFormat/>
    <w:uiPriority w:val="99"/>
    <w:rPr>
      <w:rFonts w:hint="default" w:ascii="monospace" w:hAnsi="monospace" w:eastAsia="monospace" w:cs="monospace"/>
    </w:rPr>
  </w:style>
  <w:style w:type="character" w:customStyle="1" w:styleId="45">
    <w:name w:val="标题 1 字符"/>
    <w:link w:val="2"/>
    <w:autoRedefine/>
    <w:qFormat/>
    <w:uiPriority w:val="0"/>
    <w:rPr>
      <w:b/>
      <w:bCs/>
      <w:kern w:val="44"/>
      <w:sz w:val="44"/>
      <w:szCs w:val="44"/>
    </w:rPr>
  </w:style>
  <w:style w:type="character" w:customStyle="1" w:styleId="46">
    <w:name w:val="标题 2 字符"/>
    <w:link w:val="3"/>
    <w:autoRedefine/>
    <w:qFormat/>
    <w:uiPriority w:val="0"/>
    <w:rPr>
      <w:rFonts w:ascii="Arial" w:hAnsi="Arial" w:eastAsia="黑体"/>
      <w:b/>
      <w:bCs/>
      <w:kern w:val="2"/>
      <w:sz w:val="32"/>
      <w:szCs w:val="32"/>
    </w:rPr>
  </w:style>
  <w:style w:type="character" w:customStyle="1" w:styleId="47">
    <w:name w:val="标题 3 字符"/>
    <w:link w:val="4"/>
    <w:autoRedefine/>
    <w:qFormat/>
    <w:uiPriority w:val="0"/>
    <w:rPr>
      <w:b/>
      <w:bCs/>
      <w:kern w:val="2"/>
      <w:sz w:val="32"/>
      <w:szCs w:val="32"/>
    </w:rPr>
  </w:style>
  <w:style w:type="character" w:customStyle="1" w:styleId="48">
    <w:name w:val="标题 4 字符"/>
    <w:link w:val="5"/>
    <w:autoRedefine/>
    <w:qFormat/>
    <w:uiPriority w:val="0"/>
    <w:rPr>
      <w:rFonts w:eastAsia="新宋体"/>
      <w:kern w:val="2"/>
      <w:sz w:val="30"/>
      <w:szCs w:val="21"/>
    </w:rPr>
  </w:style>
  <w:style w:type="character" w:customStyle="1" w:styleId="49">
    <w:name w:val="正文缩进 字符"/>
    <w:link w:val="6"/>
    <w:autoRedefine/>
    <w:qFormat/>
    <w:uiPriority w:val="0"/>
    <w:rPr>
      <w:kern w:val="2"/>
      <w:sz w:val="21"/>
    </w:rPr>
  </w:style>
  <w:style w:type="character" w:customStyle="1" w:styleId="50">
    <w:name w:val="文档结构图 字符"/>
    <w:link w:val="7"/>
    <w:autoRedefine/>
    <w:semiHidden/>
    <w:qFormat/>
    <w:uiPriority w:val="0"/>
    <w:rPr>
      <w:kern w:val="2"/>
      <w:sz w:val="21"/>
      <w:szCs w:val="24"/>
      <w:shd w:val="clear" w:color="auto" w:fill="000080"/>
    </w:rPr>
  </w:style>
  <w:style w:type="character" w:customStyle="1" w:styleId="51">
    <w:name w:val="批注文字 字符"/>
    <w:link w:val="9"/>
    <w:autoRedefine/>
    <w:qFormat/>
    <w:uiPriority w:val="99"/>
    <w:rPr>
      <w:kern w:val="2"/>
      <w:sz w:val="21"/>
      <w:szCs w:val="24"/>
    </w:rPr>
  </w:style>
  <w:style w:type="character" w:customStyle="1" w:styleId="52">
    <w:name w:val="正文文本缩进 字符"/>
    <w:link w:val="11"/>
    <w:autoRedefine/>
    <w:qFormat/>
    <w:uiPriority w:val="0"/>
    <w:rPr>
      <w:kern w:val="2"/>
      <w:sz w:val="21"/>
      <w:szCs w:val="24"/>
    </w:rPr>
  </w:style>
  <w:style w:type="character" w:customStyle="1" w:styleId="53">
    <w:name w:val="日期 字符"/>
    <w:link w:val="16"/>
    <w:autoRedefine/>
    <w:qFormat/>
    <w:uiPriority w:val="0"/>
    <w:rPr>
      <w:kern w:val="2"/>
      <w:sz w:val="21"/>
      <w:szCs w:val="24"/>
    </w:rPr>
  </w:style>
  <w:style w:type="character" w:customStyle="1" w:styleId="54">
    <w:name w:val="批注框文本 字符"/>
    <w:link w:val="17"/>
    <w:autoRedefine/>
    <w:semiHidden/>
    <w:qFormat/>
    <w:uiPriority w:val="0"/>
    <w:rPr>
      <w:kern w:val="2"/>
      <w:sz w:val="18"/>
      <w:szCs w:val="18"/>
    </w:rPr>
  </w:style>
  <w:style w:type="character" w:customStyle="1" w:styleId="55">
    <w:name w:val="页脚 字符"/>
    <w:link w:val="18"/>
    <w:autoRedefine/>
    <w:qFormat/>
    <w:uiPriority w:val="99"/>
    <w:rPr>
      <w:kern w:val="2"/>
      <w:sz w:val="18"/>
      <w:szCs w:val="18"/>
    </w:rPr>
  </w:style>
  <w:style w:type="character" w:customStyle="1" w:styleId="56">
    <w:name w:val="页眉 字符"/>
    <w:link w:val="19"/>
    <w:autoRedefine/>
    <w:qFormat/>
    <w:uiPriority w:val="0"/>
    <w:rPr>
      <w:kern w:val="2"/>
      <w:sz w:val="18"/>
      <w:szCs w:val="18"/>
    </w:rPr>
  </w:style>
  <w:style w:type="character" w:customStyle="1" w:styleId="57">
    <w:name w:val="正文文本缩进 3 字符"/>
    <w:link w:val="21"/>
    <w:autoRedefine/>
    <w:qFormat/>
    <w:uiPriority w:val="0"/>
    <w:rPr>
      <w:rFonts w:ascii="宋体"/>
      <w:b/>
      <w:spacing w:val="6"/>
      <w:kern w:val="2"/>
      <w:sz w:val="28"/>
      <w:szCs w:val="24"/>
    </w:rPr>
  </w:style>
  <w:style w:type="character" w:customStyle="1" w:styleId="58">
    <w:name w:val="批注主题 字符"/>
    <w:link w:val="25"/>
    <w:autoRedefine/>
    <w:semiHidden/>
    <w:qFormat/>
    <w:uiPriority w:val="99"/>
    <w:rPr>
      <w:b/>
      <w:bCs/>
      <w:kern w:val="2"/>
      <w:sz w:val="21"/>
      <w:szCs w:val="24"/>
    </w:rPr>
  </w:style>
  <w:style w:type="character" w:customStyle="1" w:styleId="59">
    <w:name w:val="正文文本首行缩进 2 字符"/>
    <w:link w:val="27"/>
    <w:autoRedefine/>
    <w:qFormat/>
    <w:uiPriority w:val="99"/>
  </w:style>
  <w:style w:type="paragraph" w:customStyle="1" w:styleId="60">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PMingLiU" w:cs="Times New Roman"/>
      <w:kern w:val="0"/>
      <w:sz w:val="20"/>
      <w:szCs w:val="20"/>
      <w:lang w:val="en-US" w:eastAsia="zh-CN" w:bidi="ar"/>
    </w:rPr>
  </w:style>
  <w:style w:type="paragraph" w:customStyle="1" w:styleId="61">
    <w:name w:val="style4"/>
    <w:basedOn w:val="1"/>
    <w:next w:val="62"/>
    <w:autoRedefine/>
    <w:qFormat/>
    <w:uiPriority w:val="0"/>
    <w:pPr>
      <w:widowControl/>
      <w:spacing w:before="280" w:after="280"/>
    </w:pPr>
    <w:rPr>
      <w:rFonts w:ascii="宋体"/>
      <w:sz w:val="18"/>
    </w:rPr>
  </w:style>
  <w:style w:type="paragraph" w:customStyle="1" w:styleId="6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63">
    <w:name w:val="正文缩进2格 Char"/>
    <w:link w:val="64"/>
    <w:autoRedefine/>
    <w:qFormat/>
    <w:locked/>
    <w:uiPriority w:val="0"/>
    <w:rPr>
      <w:rFonts w:ascii="仿宋_GB2312" w:hAnsi="宋体" w:eastAsia="仿宋_GB2312"/>
      <w:kern w:val="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标题 3.1 Char"/>
    <w:link w:val="66"/>
    <w:autoRedefine/>
    <w:qFormat/>
    <w:locked/>
    <w:uiPriority w:val="0"/>
    <w:rPr>
      <w:rFonts w:ascii="宋体" w:hAnsi="宋体"/>
      <w:b/>
      <w:bCs/>
      <w:color w:val="000000"/>
      <w:kern w:val="2"/>
      <w:sz w:val="32"/>
      <w:szCs w:val="32"/>
    </w:rPr>
  </w:style>
  <w:style w:type="paragraph" w:customStyle="1" w:styleId="66">
    <w:name w:val="标题 3.1"/>
    <w:basedOn w:val="4"/>
    <w:link w:val="65"/>
    <w:autoRedefine/>
    <w:qFormat/>
    <w:uiPriority w:val="0"/>
    <w:pPr>
      <w:tabs>
        <w:tab w:val="left" w:pos="1440"/>
        <w:tab w:val="left" w:pos="1620"/>
      </w:tabs>
      <w:spacing w:line="600" w:lineRule="exact"/>
    </w:pPr>
    <w:rPr>
      <w:rFonts w:ascii="宋体" w:hAnsi="宋体"/>
      <w:color w:val="000000"/>
    </w:rPr>
  </w:style>
  <w:style w:type="paragraph" w:customStyle="1" w:styleId="67">
    <w:name w:val=" Char"/>
    <w:basedOn w:val="1"/>
    <w:autoRedefine/>
    <w:qFormat/>
    <w:uiPriority w:val="0"/>
    <w:rPr>
      <w:rFonts w:ascii="Tahoma" w:hAnsi="Tahoma"/>
      <w:sz w:val="24"/>
      <w:szCs w:val="20"/>
    </w:rPr>
  </w:style>
  <w:style w:type="paragraph" w:customStyle="1" w:styleId="68">
    <w:name w:val="正文缩进4格"/>
    <w:basedOn w:val="64"/>
    <w:autoRedefine/>
    <w:qFormat/>
    <w:uiPriority w:val="0"/>
    <w:pPr>
      <w:ind w:left="2" w:firstLine="538" w:firstLineChars="192"/>
    </w:pPr>
    <w:rPr>
      <w:color w:val="000000"/>
      <w:sz w:val="28"/>
    </w:rPr>
  </w:style>
  <w:style w:type="paragraph" w:customStyle="1" w:styleId="69">
    <w:name w:val=" Char Char Char Char"/>
    <w:basedOn w:val="1"/>
    <w:autoRedefine/>
    <w:qFormat/>
    <w:uiPriority w:val="0"/>
    <w:rPr>
      <w:rFonts w:ascii="Tahoma" w:hAnsi="Tahoma"/>
      <w:sz w:val="24"/>
      <w:szCs w:val="20"/>
    </w:rPr>
  </w:style>
  <w:style w:type="paragraph" w:customStyle="1" w:styleId="70">
    <w:name w:val="Char1"/>
    <w:basedOn w:val="1"/>
    <w:autoRedefine/>
    <w:qFormat/>
    <w:uiPriority w:val="0"/>
    <w:pPr>
      <w:tabs>
        <w:tab w:val="left" w:pos="840"/>
      </w:tabs>
      <w:ind w:left="840" w:hanging="420"/>
    </w:pPr>
    <w:rPr>
      <w:sz w:val="24"/>
    </w:rPr>
  </w:style>
  <w:style w:type="paragraph" w:customStyle="1" w:styleId="71">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 Char Char 字元 字元 字元 Char Char Char Char"/>
    <w:basedOn w:val="1"/>
    <w:autoRedefine/>
    <w:qFormat/>
    <w:uiPriority w:val="0"/>
    <w:pPr>
      <w:adjustRightInd w:val="0"/>
      <w:spacing w:line="360" w:lineRule="auto"/>
    </w:pPr>
    <w:rPr>
      <w:kern w:val="0"/>
      <w:sz w:val="24"/>
      <w:szCs w:val="20"/>
    </w:rPr>
  </w:style>
  <w:style w:type="paragraph" w:customStyle="1" w:styleId="74">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75">
    <w:name w:val="Char"/>
    <w:basedOn w:val="1"/>
    <w:autoRedefine/>
    <w:qFormat/>
    <w:uiPriority w:val="0"/>
    <w:rPr>
      <w:rFonts w:ascii="Tahoma" w:hAnsi="Tahoma"/>
      <w:sz w:val="24"/>
      <w:szCs w:val="20"/>
    </w:rPr>
  </w:style>
  <w:style w:type="paragraph" w:customStyle="1" w:styleId="76">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7">
    <w:name w:val="普通正文 Char"/>
    <w:link w:val="78"/>
    <w:autoRedefine/>
    <w:qFormat/>
    <w:uiPriority w:val="0"/>
    <w:rPr>
      <w:rFonts w:ascii="Arial" w:hAnsi="Arial"/>
      <w:sz w:val="24"/>
      <w:szCs w:val="24"/>
    </w:rPr>
  </w:style>
  <w:style w:type="paragraph" w:customStyle="1" w:styleId="78">
    <w:name w:val="普通正文"/>
    <w:basedOn w:val="1"/>
    <w:link w:val="77"/>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mini-outputtext1"/>
    <w:autoRedefine/>
    <w:qFormat/>
    <w:uiPriority w:val="0"/>
  </w:style>
  <w:style w:type="character" w:customStyle="1" w:styleId="80">
    <w:name w:val="font31"/>
    <w:autoRedefine/>
    <w:qFormat/>
    <w:uiPriority w:val="0"/>
    <w:rPr>
      <w:rFonts w:hint="eastAsia" w:ascii="宋体" w:hAnsi="宋体" w:eastAsia="宋体" w:cs="宋体"/>
      <w:color w:val="000000"/>
      <w:sz w:val="21"/>
      <w:szCs w:val="21"/>
      <w:u w:val="none"/>
    </w:rPr>
  </w:style>
  <w:style w:type="character" w:customStyle="1" w:styleId="81">
    <w:name w:val="font61"/>
    <w:autoRedefine/>
    <w:qFormat/>
    <w:uiPriority w:val="0"/>
    <w:rPr>
      <w:rFonts w:hint="default" w:ascii="Times New Roman" w:hAnsi="Times New Roman" w:cs="Times New Roman"/>
      <w:color w:val="000000"/>
      <w:sz w:val="21"/>
      <w:szCs w:val="21"/>
      <w:u w:val="none"/>
    </w:rPr>
  </w:style>
  <w:style w:type="character" w:customStyle="1" w:styleId="82">
    <w:name w:val="font01"/>
    <w:autoRedefine/>
    <w:qFormat/>
    <w:uiPriority w:val="0"/>
    <w:rPr>
      <w:rFonts w:hint="default" w:ascii="等线" w:hAnsi="等线" w:eastAsia="等线" w:cs="等线"/>
      <w:color w:val="000000"/>
      <w:sz w:val="22"/>
      <w:szCs w:val="22"/>
      <w:u w:val="none"/>
    </w:rPr>
  </w:style>
  <w:style w:type="character" w:customStyle="1" w:styleId="83">
    <w:name w:val="font51"/>
    <w:autoRedefine/>
    <w:qFormat/>
    <w:uiPriority w:val="0"/>
    <w:rPr>
      <w:rFonts w:hint="default" w:ascii="等线" w:hAnsi="等线" w:eastAsia="等线" w:cs="等线"/>
      <w:b/>
      <w:bCs/>
      <w:color w:val="000000"/>
      <w:sz w:val="22"/>
      <w:szCs w:val="22"/>
      <w:u w:val="none"/>
    </w:rPr>
  </w:style>
  <w:style w:type="paragraph" w:customStyle="1" w:styleId="84">
    <w:name w:val="普通(网站) Char"/>
    <w:basedOn w:val="1"/>
    <w:autoRedefine/>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5">
    <w:name w:val="sh1"/>
    <w:basedOn w:val="24"/>
    <w:qFormat/>
    <w:uiPriority w:val="0"/>
    <w:pPr>
      <w:adjustRightInd w:val="0"/>
      <w:spacing w:before="0"/>
    </w:pPr>
    <w:rPr>
      <w:rFonts w:ascii="Arial" w:hAnsi="Arial"/>
      <w:bCs w:val="0"/>
    </w:rPr>
  </w:style>
  <w:style w:type="paragraph" w:customStyle="1" w:styleId="86">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87">
    <w:name w:val="正文1"/>
    <w:basedOn w:val="1"/>
    <w:qFormat/>
    <w:uiPriority w:val="0"/>
    <w:pPr>
      <w:spacing w:line="360" w:lineRule="auto"/>
      <w:ind w:firstLine="361"/>
    </w:pPr>
    <w:rPr>
      <w:rFonts w:ascii="宋体" w:hAnsi="宋体" w:eastAsia="宋体" w:cs="Times New Roman"/>
    </w:rPr>
  </w:style>
  <w:style w:type="paragraph" w:customStyle="1" w:styleId="88">
    <w:name w:val="首行缩进"/>
    <w:basedOn w:val="1"/>
    <w:next w:val="1"/>
    <w:autoRedefine/>
    <w:qFormat/>
    <w:uiPriority w:val="0"/>
    <w:pPr>
      <w:ind w:firstLine="480" w:firstLineChars="200"/>
    </w:pPr>
    <w:rPr>
      <w:rFonts w:ascii="Calibri" w:hAnsi="Calibri"/>
      <w:szCs w:val="21"/>
    </w:rPr>
  </w:style>
  <w:style w:type="paragraph" w:customStyle="1" w:styleId="89">
    <w:name w:val="Table Paragraph"/>
    <w:basedOn w:val="1"/>
    <w:autoRedefine/>
    <w:qFormat/>
    <w:uiPriority w:val="1"/>
    <w:rPr>
      <w:rFonts w:ascii="宋体" w:hAnsi="宋体" w:cs="宋体"/>
      <w:lang w:val="zh-CN" w:bidi="zh-CN"/>
    </w:rPr>
  </w:style>
  <w:style w:type="paragraph" w:customStyle="1" w:styleId="90">
    <w:name w:val="_Style 89"/>
    <w:autoRedefine/>
    <w:unhideWhenUsed/>
    <w:qFormat/>
    <w:uiPriority w:val="99"/>
    <w:rPr>
      <w:rFonts w:ascii="Times New Roman" w:hAnsi="Times New Roman" w:eastAsia="宋体" w:cs="Times New Roman"/>
      <w:kern w:val="2"/>
      <w:sz w:val="21"/>
      <w:szCs w:val="24"/>
      <w:lang w:val="en-US" w:eastAsia="zh-CN" w:bidi="ar-SA"/>
    </w:rPr>
  </w:style>
  <w:style w:type="table" w:customStyle="1" w:styleId="91">
    <w:name w:val="Table Normal"/>
    <w:autoRedefine/>
    <w:unhideWhenUsed/>
    <w:qFormat/>
    <w:uiPriority w:val="0"/>
    <w:rPr>
      <w:lang w:val="en-US" w:eastAsia="zh-CN" w:bidi="ar-SA"/>
    </w:rPr>
    <w:tblPr>
      <w:tblCellMar>
        <w:top w:w="0" w:type="dxa"/>
        <w:left w:w="0" w:type="dxa"/>
        <w:bottom w:w="0" w:type="dxa"/>
        <w:right w:w="0" w:type="dxa"/>
      </w:tblCellMar>
    </w:tblPr>
  </w:style>
  <w:style w:type="table" w:customStyle="1" w:styleId="92">
    <w:name w:val="网格型4"/>
    <w:basedOn w:val="28"/>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3">
    <w:name w:val="List Paragraph"/>
    <w:basedOn w:val="1"/>
    <w:autoRedefine/>
    <w:qFormat/>
    <w:uiPriority w:val="34"/>
    <w:pPr>
      <w:ind w:firstLine="420" w:firstLineChars="200"/>
    </w:pPr>
    <w:rPr>
      <w:rFonts w:ascii="Times New Roman" w:hAnsi="Times New Roman"/>
    </w:rPr>
  </w:style>
  <w:style w:type="paragraph" w:customStyle="1" w:styleId="94">
    <w:name w:val="Table Text"/>
    <w:basedOn w:val="1"/>
    <w:autoRedefine/>
    <w:semiHidden/>
    <w:qFormat/>
    <w:uiPriority w:val="0"/>
    <w:rPr>
      <w:rFonts w:ascii="宋体" w:hAnsi="宋体" w:eastAsia="宋体" w:cs="宋体"/>
      <w:sz w:val="19"/>
      <w:szCs w:val="19"/>
      <w:lang w:val="en-US" w:eastAsia="en-US" w:bidi="ar-SA"/>
    </w:rPr>
  </w:style>
  <w:style w:type="paragraph" w:customStyle="1" w:styleId="95">
    <w:name w:val="*正文"/>
    <w:basedOn w:val="1"/>
    <w:autoRedefine/>
    <w:qFormat/>
    <w:uiPriority w:val="0"/>
    <w:pPr>
      <w:spacing w:line="360" w:lineRule="auto"/>
    </w:pPr>
    <w:rPr>
      <w:sz w:val="24"/>
    </w:rPr>
  </w:style>
  <w:style w:type="paragraph" w:customStyle="1" w:styleId="96">
    <w:name w:val="2 级标题"/>
    <w:autoRedefine/>
    <w:qFormat/>
    <w:uiPriority w:val="0"/>
    <w:pPr>
      <w:keepNext/>
      <w:keepLines/>
      <w:widowControl w:val="0"/>
      <w:numPr>
        <w:ilvl w:val="1"/>
        <w:numId w:val="1"/>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97">
    <w:name w:val="列出段落1"/>
    <w:basedOn w:val="1"/>
    <w:autoRedefine/>
    <w:qFormat/>
    <w:uiPriority w:val="34"/>
    <w:pPr>
      <w:widowControl/>
      <w:ind w:left="720"/>
      <w:contextualSpacing/>
      <w:jc w:val="left"/>
    </w:pPr>
    <w:rPr>
      <w:kern w:val="0"/>
      <w:sz w:val="24"/>
      <w:szCs w:val="24"/>
      <w:lang w:eastAsia="en-US" w:bidi="en-US"/>
    </w:rPr>
  </w:style>
  <w:style w:type="paragraph" w:customStyle="1" w:styleId="98">
    <w:name w:val="样式 正文（缩进） + (中文) 楷体_GB2312"/>
    <w:basedOn w:val="99"/>
    <w:autoRedefine/>
    <w:qFormat/>
    <w:uiPriority w:val="0"/>
    <w:pPr>
      <w:ind w:left="-2" w:leftChars="-1" w:firstLine="567" w:firstLineChars="0"/>
      <w:jc w:val="left"/>
    </w:pPr>
    <w:rPr>
      <w:rFonts w:eastAsia="楷体_GB2312"/>
      <w:sz w:val="28"/>
      <w:szCs w:val="28"/>
    </w:rPr>
  </w:style>
  <w:style w:type="paragraph" w:customStyle="1" w:styleId="99">
    <w:name w:val="正文（缩进）"/>
    <w:basedOn w:val="1"/>
    <w:autoRedefine/>
    <w:qFormat/>
    <w:uiPriority w:val="0"/>
    <w:pPr>
      <w:spacing w:beforeLines="50" w:afterLines="50" w:line="360" w:lineRule="auto"/>
      <w:ind w:firstLine="480" w:firstLineChars="200"/>
    </w:pPr>
    <w:rPr>
      <w:rFonts w:eastAsia="宋体"/>
      <w:sz w:val="24"/>
      <w:szCs w:val="24"/>
    </w:rPr>
  </w:style>
  <w:style w:type="paragraph" w:customStyle="1" w:styleId="100">
    <w:name w:val="样式 样式 样式 样式 首行缩进:  2 字符 + 首行缩进:  2 字符2 + 首行缩进:  2 字符 + 楷体_GB2312"/>
    <w:basedOn w:val="1"/>
    <w:autoRedefine/>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1">
    <w:name w:val="正文表标题"/>
    <w:next w:val="102"/>
    <w:autoRedefine/>
    <w:qFormat/>
    <w:uiPriority w:val="0"/>
    <w:pPr>
      <w:numPr>
        <w:ilvl w:val="0"/>
        <w:numId w:val="2"/>
      </w:numPr>
      <w:spacing w:before="156" w:beforeLines="50" w:after="156" w:afterLines="50"/>
      <w:jc w:val="center"/>
    </w:pPr>
    <w:rPr>
      <w:rFonts w:ascii="黑体" w:hAnsi="Times New Roman" w:eastAsia="黑体" w:cs="Times New Roman"/>
      <w:sz w:val="21"/>
      <w:lang w:val="en-US" w:eastAsia="zh-CN" w:bidi="ar-SA"/>
    </w:rPr>
  </w:style>
  <w:style w:type="paragraph" w:customStyle="1" w:styleId="10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3">
    <w:name w:val="二级无"/>
    <w:basedOn w:val="104"/>
    <w:autoRedefine/>
    <w:qFormat/>
    <w:uiPriority w:val="0"/>
    <w:pPr>
      <w:spacing w:before="0" w:beforeLines="0" w:after="0" w:afterLines="0"/>
    </w:pPr>
    <w:rPr>
      <w:rFonts w:ascii="宋体" w:eastAsia="宋体"/>
    </w:rPr>
  </w:style>
  <w:style w:type="paragraph" w:customStyle="1" w:styleId="104">
    <w:name w:val="二级条标题"/>
    <w:basedOn w:val="105"/>
    <w:next w:val="102"/>
    <w:autoRedefine/>
    <w:qFormat/>
    <w:uiPriority w:val="0"/>
    <w:pPr>
      <w:numPr>
        <w:ilvl w:val="2"/>
      </w:numPr>
      <w:spacing w:before="50" w:after="50"/>
      <w:outlineLvl w:val="3"/>
    </w:pPr>
  </w:style>
  <w:style w:type="paragraph" w:customStyle="1" w:styleId="105">
    <w:name w:val="一级条标题"/>
    <w:next w:val="102"/>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6">
    <w:name w:val="三级无"/>
    <w:basedOn w:val="107"/>
    <w:autoRedefine/>
    <w:qFormat/>
    <w:uiPriority w:val="0"/>
    <w:pPr>
      <w:numPr>
        <w:numId w:val="2"/>
      </w:numPr>
      <w:tabs>
        <w:tab w:val="left" w:pos="1984"/>
      </w:tabs>
      <w:spacing w:before="0" w:beforeLines="0" w:after="0" w:afterLines="0"/>
    </w:pPr>
    <w:rPr>
      <w:rFonts w:ascii="宋体" w:eastAsia="宋体"/>
    </w:rPr>
  </w:style>
  <w:style w:type="paragraph" w:customStyle="1" w:styleId="107">
    <w:name w:val="三级条标题"/>
    <w:basedOn w:val="104"/>
    <w:next w:val="102"/>
    <w:autoRedefine/>
    <w:qFormat/>
    <w:uiPriority w:val="0"/>
    <w:pPr>
      <w:numPr>
        <w:ilvl w:val="3"/>
      </w:numPr>
      <w:outlineLvl w:val="4"/>
    </w:pPr>
  </w:style>
  <w:style w:type="paragraph" w:customStyle="1" w:styleId="108">
    <w:name w:val="正文文本首行缩进 21"/>
    <w:basedOn w:val="11"/>
    <w:autoRedefine/>
    <w:qFormat/>
    <w:uiPriority w:val="0"/>
    <w:pPr>
      <w:spacing w:after="0" w:line="520" w:lineRule="exact"/>
      <w:ind w:left="570" w:leftChars="0" w:firstLine="420" w:firstLineChars="200"/>
    </w:pPr>
    <w:rPr>
      <w:rFonts w:ascii="方正仿宋简体" w:hAnsi="创艺简仿宋" w:eastAsia="方正仿宋简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2341</Words>
  <Characters>13345</Characters>
  <Lines>111</Lines>
  <Paragraphs>31</Paragraphs>
  <TotalTime>2803</TotalTime>
  <ScaleCrop>false</ScaleCrop>
  <LinksUpToDate>false</LinksUpToDate>
  <CharactersWithSpaces>15655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2023-07-27T01:54:00Z</dcterms:created>
  <dc:creator>User</dc:creator>
  <cp:lastModifiedBy>孙妍</cp:lastModifiedBy>
  <cp:lastPrinted>2024-01-10T02:35:00Z</cp:lastPrinted>
  <dcterms:modified xsi:type="dcterms:W3CDTF">2024-05-06T07:14:45Z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E5D582E9518342A3A07652E85012687C_13</vt:lpwstr>
  </property>
</Properties>
</file>