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ABE00">
      <w:pPr>
        <w:jc w:val="center"/>
        <w:rPr>
          <w:rFonts w:ascii="宋体" w:hAnsi="宋体" w:cs="宋体"/>
          <w:b/>
          <w:bCs/>
          <w:color w:val="auto"/>
          <w:sz w:val="44"/>
          <w:szCs w:val="44"/>
        </w:rPr>
      </w:pPr>
    </w:p>
    <w:p w14:paraId="21B7DE7E">
      <w:pPr>
        <w:jc w:val="center"/>
        <w:rPr>
          <w:rFonts w:hint="eastAsia" w:ascii="宋体" w:hAnsi="宋体" w:eastAsia="宋体" w:cs="宋体"/>
          <w:b/>
          <w:bCs/>
          <w:color w:val="auto"/>
          <w:sz w:val="44"/>
          <w:szCs w:val="44"/>
          <w:lang w:eastAsia="zh-CN"/>
        </w:rPr>
      </w:pPr>
      <w:r>
        <w:rPr>
          <w:rFonts w:hint="eastAsia" w:ascii="宋体" w:hAnsi="宋体" w:cs="宋体"/>
          <w:b/>
          <w:bCs/>
          <w:color w:val="auto"/>
          <w:sz w:val="44"/>
          <w:szCs w:val="44"/>
          <w:lang w:eastAsia="zh-CN"/>
        </w:rPr>
        <w:t>江苏省南通中学体检服务采购项目（二次）</w:t>
      </w:r>
    </w:p>
    <w:p w14:paraId="25DF4F1B">
      <w:pPr>
        <w:jc w:val="center"/>
        <w:rPr>
          <w:rFonts w:ascii="宋体" w:hAnsi="宋体" w:cs="宋体"/>
          <w:b/>
          <w:bCs/>
          <w:color w:val="auto"/>
          <w:sz w:val="48"/>
          <w:szCs w:val="48"/>
        </w:rPr>
      </w:pPr>
    </w:p>
    <w:p w14:paraId="02EA95A8">
      <w:pPr>
        <w:jc w:val="center"/>
        <w:rPr>
          <w:rFonts w:ascii="宋体" w:hAnsi="宋体" w:cs="宋体"/>
          <w:b/>
          <w:bCs/>
          <w:color w:val="auto"/>
          <w:sz w:val="44"/>
          <w:szCs w:val="44"/>
        </w:rPr>
      </w:pPr>
    </w:p>
    <w:p w14:paraId="7C7BEF25">
      <w:pPr>
        <w:jc w:val="center"/>
        <w:rPr>
          <w:rFonts w:ascii="宋体" w:hAnsi="宋体" w:cs="宋体"/>
          <w:b/>
          <w:bCs/>
          <w:color w:val="auto"/>
          <w:sz w:val="44"/>
          <w:szCs w:val="44"/>
        </w:rPr>
      </w:pPr>
    </w:p>
    <w:p w14:paraId="39926996">
      <w:pPr>
        <w:jc w:val="center"/>
        <w:rPr>
          <w:rFonts w:ascii="宋体" w:hAnsi="宋体" w:cs="宋体"/>
          <w:b/>
          <w:bCs/>
          <w:color w:val="auto"/>
          <w:sz w:val="44"/>
          <w:szCs w:val="44"/>
        </w:rPr>
      </w:pPr>
      <w:r>
        <w:rPr>
          <w:rFonts w:hint="eastAsia" w:ascii="宋体" w:hAnsi="宋体" w:cs="宋体"/>
          <w:b/>
          <w:bCs/>
          <w:color w:val="auto"/>
          <w:sz w:val="44"/>
          <w:szCs w:val="44"/>
        </w:rPr>
        <w:t>比选文件</w:t>
      </w:r>
    </w:p>
    <w:p w14:paraId="40E975BC">
      <w:pPr>
        <w:jc w:val="center"/>
        <w:rPr>
          <w:rFonts w:ascii="宋体" w:hAnsi="宋体" w:cs="宋体"/>
          <w:b/>
          <w:bCs/>
          <w:color w:val="auto"/>
          <w:sz w:val="40"/>
          <w:szCs w:val="40"/>
        </w:rPr>
      </w:pPr>
    </w:p>
    <w:p w14:paraId="575689C2">
      <w:pPr>
        <w:jc w:val="center"/>
        <w:rPr>
          <w:rFonts w:ascii="宋体" w:hAnsi="宋体" w:cs="宋体"/>
          <w:color w:val="auto"/>
          <w:sz w:val="36"/>
          <w:szCs w:val="36"/>
        </w:rPr>
      </w:pPr>
      <w:r>
        <w:rPr>
          <w:rFonts w:hint="eastAsia" w:ascii="宋体" w:hAnsi="宋体" w:cs="宋体"/>
          <w:b/>
          <w:bCs/>
          <w:color w:val="auto"/>
          <w:sz w:val="40"/>
          <w:szCs w:val="40"/>
        </w:rPr>
        <w:t>项目编号：DFHX2026001</w:t>
      </w:r>
    </w:p>
    <w:p w14:paraId="2DEFB6DD">
      <w:pPr>
        <w:pStyle w:val="17"/>
        <w:ind w:firstLine="687"/>
        <w:rPr>
          <w:rFonts w:hAnsi="宋体" w:cs="宋体"/>
          <w:color w:val="auto"/>
          <w:sz w:val="36"/>
          <w:szCs w:val="36"/>
        </w:rPr>
      </w:pPr>
    </w:p>
    <w:p w14:paraId="6046F887">
      <w:pPr>
        <w:pStyle w:val="17"/>
        <w:ind w:firstLine="687"/>
        <w:jc w:val="center"/>
        <w:rPr>
          <w:rFonts w:hAnsi="宋体" w:cs="宋体"/>
          <w:color w:val="auto"/>
          <w:sz w:val="36"/>
          <w:szCs w:val="36"/>
        </w:rPr>
      </w:pPr>
      <w:r>
        <w:rPr>
          <w:rFonts w:hint="eastAsia" w:hAnsi="宋体" w:cs="宋体"/>
          <w:color w:val="auto"/>
          <w:sz w:val="36"/>
          <w:szCs w:val="36"/>
        </w:rPr>
        <w:t>（资格后审）</w:t>
      </w:r>
    </w:p>
    <w:p w14:paraId="1DB92E62">
      <w:pPr>
        <w:pStyle w:val="17"/>
        <w:ind w:firstLine="687"/>
        <w:rPr>
          <w:rFonts w:hAnsi="宋体" w:cs="宋体"/>
          <w:color w:val="auto"/>
          <w:sz w:val="36"/>
          <w:szCs w:val="36"/>
        </w:rPr>
      </w:pPr>
    </w:p>
    <w:p w14:paraId="6435292F">
      <w:pPr>
        <w:pStyle w:val="17"/>
        <w:ind w:firstLine="687"/>
        <w:rPr>
          <w:rFonts w:hAnsi="宋体" w:cs="宋体"/>
          <w:color w:val="auto"/>
          <w:sz w:val="36"/>
          <w:szCs w:val="36"/>
        </w:rPr>
      </w:pPr>
    </w:p>
    <w:p w14:paraId="6679EA21">
      <w:pPr>
        <w:pStyle w:val="17"/>
        <w:ind w:firstLine="687"/>
        <w:rPr>
          <w:rFonts w:hAnsi="宋体" w:cs="宋体"/>
          <w:color w:val="auto"/>
          <w:sz w:val="36"/>
          <w:szCs w:val="36"/>
        </w:rPr>
      </w:pPr>
    </w:p>
    <w:p w14:paraId="6E17F011">
      <w:pPr>
        <w:pStyle w:val="17"/>
        <w:ind w:firstLine="687"/>
        <w:rPr>
          <w:rFonts w:hAnsi="宋体" w:cs="宋体"/>
          <w:color w:val="auto"/>
          <w:sz w:val="36"/>
          <w:szCs w:val="36"/>
        </w:rPr>
      </w:pPr>
    </w:p>
    <w:p w14:paraId="2761B496">
      <w:pPr>
        <w:pStyle w:val="17"/>
        <w:ind w:firstLine="687"/>
        <w:rPr>
          <w:rFonts w:hAnsi="宋体" w:cs="宋体"/>
          <w:color w:val="auto"/>
          <w:sz w:val="36"/>
          <w:szCs w:val="36"/>
        </w:rPr>
      </w:pPr>
    </w:p>
    <w:p w14:paraId="6A59B46F">
      <w:pPr>
        <w:pStyle w:val="17"/>
        <w:ind w:firstLine="687"/>
        <w:rPr>
          <w:rFonts w:hAnsi="宋体" w:cs="宋体"/>
          <w:color w:val="auto"/>
          <w:sz w:val="36"/>
          <w:szCs w:val="36"/>
        </w:rPr>
      </w:pPr>
    </w:p>
    <w:p w14:paraId="0E6BED47">
      <w:pPr>
        <w:pStyle w:val="17"/>
        <w:ind w:firstLine="687"/>
        <w:rPr>
          <w:rFonts w:hAnsi="宋体" w:cs="宋体"/>
          <w:color w:val="auto"/>
          <w:sz w:val="36"/>
          <w:szCs w:val="36"/>
        </w:rPr>
      </w:pPr>
    </w:p>
    <w:p w14:paraId="5D7A864C">
      <w:pPr>
        <w:pStyle w:val="17"/>
        <w:ind w:firstLine="687"/>
        <w:rPr>
          <w:rFonts w:hAnsi="宋体" w:cs="宋体"/>
          <w:color w:val="auto"/>
          <w:sz w:val="36"/>
          <w:szCs w:val="36"/>
        </w:rPr>
      </w:pPr>
    </w:p>
    <w:p w14:paraId="407EF2B7">
      <w:pPr>
        <w:jc w:val="center"/>
        <w:rPr>
          <w:rFonts w:ascii="宋体" w:hAnsi="宋体" w:cs="宋体"/>
          <w:b/>
          <w:bCs/>
          <w:color w:val="auto"/>
          <w:sz w:val="36"/>
          <w:szCs w:val="36"/>
        </w:rPr>
      </w:pPr>
      <w:r>
        <w:rPr>
          <w:rFonts w:hint="eastAsia" w:ascii="宋体" w:hAnsi="宋体" w:cs="宋体"/>
          <w:b/>
          <w:bCs/>
          <w:color w:val="auto"/>
          <w:sz w:val="36"/>
          <w:szCs w:val="36"/>
        </w:rPr>
        <w:t>采购人：江苏省南通中学</w:t>
      </w:r>
    </w:p>
    <w:p w14:paraId="61323FE7">
      <w:pPr>
        <w:jc w:val="center"/>
        <w:rPr>
          <w:rFonts w:ascii="宋体" w:hAnsi="宋体" w:cs="宋体"/>
          <w:b/>
          <w:bCs/>
          <w:color w:val="auto"/>
          <w:sz w:val="36"/>
          <w:szCs w:val="36"/>
        </w:rPr>
      </w:pPr>
      <w:r>
        <w:rPr>
          <w:rFonts w:hint="eastAsia" w:ascii="宋体" w:hAnsi="宋体" w:cs="宋体"/>
          <w:b/>
          <w:bCs/>
          <w:color w:val="auto"/>
          <w:sz w:val="36"/>
          <w:szCs w:val="36"/>
        </w:rPr>
        <w:t>代理单位：东方华星建设管理（江苏）有限公司</w:t>
      </w:r>
    </w:p>
    <w:p w14:paraId="5FCA708F">
      <w:pPr>
        <w:jc w:val="center"/>
        <w:rPr>
          <w:rFonts w:ascii="宋体" w:hAnsi="宋体" w:cs="宋体"/>
          <w:b/>
          <w:bCs/>
          <w:color w:val="auto"/>
          <w:sz w:val="36"/>
          <w:szCs w:val="36"/>
        </w:rPr>
      </w:pPr>
      <w:r>
        <w:rPr>
          <w:rFonts w:hint="eastAsia" w:ascii="宋体" w:hAnsi="宋体" w:cs="宋体"/>
          <w:b/>
          <w:bCs/>
          <w:color w:val="auto"/>
          <w:sz w:val="36"/>
          <w:szCs w:val="36"/>
        </w:rPr>
        <w:t>日期：2026年</w:t>
      </w:r>
      <w:r>
        <w:rPr>
          <w:rFonts w:hint="eastAsia" w:ascii="宋体" w:hAnsi="宋体" w:cs="宋体"/>
          <w:b/>
          <w:bCs/>
          <w:color w:val="auto"/>
          <w:sz w:val="36"/>
          <w:szCs w:val="36"/>
          <w:lang w:val="en-US" w:eastAsia="zh-CN"/>
        </w:rPr>
        <w:t>4</w:t>
      </w:r>
      <w:r>
        <w:rPr>
          <w:rFonts w:hint="eastAsia" w:ascii="宋体" w:hAnsi="宋体" w:cs="宋体"/>
          <w:b/>
          <w:bCs/>
          <w:color w:val="auto"/>
          <w:sz w:val="36"/>
          <w:szCs w:val="36"/>
        </w:rPr>
        <w:t>月</w:t>
      </w:r>
    </w:p>
    <w:p w14:paraId="744D1083">
      <w:pPr>
        <w:jc w:val="center"/>
        <w:rPr>
          <w:rFonts w:ascii="宋体" w:hAnsi="宋体" w:cs="宋体"/>
          <w:color w:val="auto"/>
          <w:sz w:val="36"/>
          <w:szCs w:val="36"/>
        </w:rPr>
      </w:pPr>
    </w:p>
    <w:p w14:paraId="4B7F6760">
      <w:pPr>
        <w:jc w:val="center"/>
        <w:rPr>
          <w:rFonts w:ascii="宋体" w:hAnsi="宋体" w:cs="宋体"/>
          <w:color w:val="auto"/>
          <w:sz w:val="36"/>
          <w:szCs w:val="36"/>
        </w:rPr>
      </w:pPr>
    </w:p>
    <w:p w14:paraId="71ADBC64">
      <w:pPr>
        <w:spacing w:line="480" w:lineRule="auto"/>
        <w:jc w:val="center"/>
        <w:rPr>
          <w:rFonts w:ascii="宋体" w:hAnsi="宋体" w:cs="宋体"/>
          <w:color w:val="auto"/>
          <w:sz w:val="36"/>
          <w:szCs w:val="36"/>
        </w:rPr>
      </w:pPr>
    </w:p>
    <w:p w14:paraId="31214576">
      <w:pPr>
        <w:spacing w:line="480" w:lineRule="auto"/>
        <w:jc w:val="center"/>
        <w:rPr>
          <w:rFonts w:ascii="宋体" w:hAnsi="宋体" w:cs="宋体"/>
          <w:b/>
          <w:bCs/>
          <w:color w:val="auto"/>
          <w:sz w:val="44"/>
          <w:szCs w:val="44"/>
        </w:rPr>
      </w:pPr>
      <w:r>
        <w:rPr>
          <w:rFonts w:hint="eastAsia" w:ascii="宋体" w:hAnsi="宋体" w:cs="宋体"/>
          <w:b/>
          <w:bCs/>
          <w:color w:val="auto"/>
          <w:sz w:val="44"/>
          <w:szCs w:val="44"/>
        </w:rPr>
        <w:t>目录</w:t>
      </w:r>
    </w:p>
    <w:p w14:paraId="64728087">
      <w:pPr>
        <w:pStyle w:val="31"/>
        <w:tabs>
          <w:tab w:val="right" w:leader="dot" w:pos="8312"/>
        </w:tabs>
        <w:spacing w:line="480" w:lineRule="auto"/>
        <w:rPr>
          <w:rFonts w:ascii="宋体" w:hAnsi="宋体" w:cs="宋体"/>
          <w:color w:val="auto"/>
          <w:sz w:val="44"/>
          <w:szCs w:val="44"/>
        </w:rPr>
      </w:pPr>
      <w:r>
        <w:rPr>
          <w:rFonts w:hint="eastAsia" w:ascii="宋体" w:hAnsi="宋体" w:cs="宋体"/>
          <w:color w:val="auto"/>
          <w:sz w:val="44"/>
          <w:szCs w:val="44"/>
        </w:rPr>
        <w:fldChar w:fldCharType="begin"/>
      </w:r>
      <w:r>
        <w:rPr>
          <w:rFonts w:hint="eastAsia" w:ascii="宋体" w:hAnsi="宋体" w:cs="宋体"/>
          <w:color w:val="auto"/>
          <w:sz w:val="44"/>
          <w:szCs w:val="44"/>
        </w:rPr>
        <w:instrText xml:space="preserve">TOC \o "1-1" \h \u </w:instrText>
      </w:r>
      <w:r>
        <w:rPr>
          <w:rFonts w:hint="eastAsia" w:ascii="宋体" w:hAnsi="宋体" w:cs="宋体"/>
          <w:color w:val="auto"/>
          <w:sz w:val="44"/>
          <w:szCs w:val="44"/>
        </w:rPr>
        <w:fldChar w:fldCharType="separate"/>
      </w:r>
      <w:r>
        <w:rPr>
          <w:color w:val="auto"/>
        </w:rPr>
        <w:fldChar w:fldCharType="begin"/>
      </w:r>
      <w:r>
        <w:rPr>
          <w:color w:val="auto"/>
        </w:rPr>
        <w:instrText xml:space="preserve"> HYPERLINK \l "_Toc1938" </w:instrText>
      </w:r>
      <w:r>
        <w:rPr>
          <w:color w:val="auto"/>
        </w:rPr>
        <w:fldChar w:fldCharType="separate"/>
      </w:r>
      <w:r>
        <w:rPr>
          <w:rFonts w:hint="eastAsia" w:ascii="宋体" w:hAnsi="宋体" w:cs="宋体"/>
          <w:color w:val="auto"/>
          <w:sz w:val="44"/>
          <w:szCs w:val="44"/>
        </w:rPr>
        <w:t>第一章  比选公告</w:t>
      </w:r>
      <w:r>
        <w:rPr>
          <w:rFonts w:hint="eastAsia" w:ascii="宋体" w:hAnsi="宋体" w:cs="宋体"/>
          <w:color w:val="auto"/>
          <w:sz w:val="44"/>
          <w:szCs w:val="44"/>
        </w:rPr>
        <w:fldChar w:fldCharType="end"/>
      </w:r>
    </w:p>
    <w:p w14:paraId="17B9B1E2">
      <w:pPr>
        <w:pStyle w:val="31"/>
        <w:tabs>
          <w:tab w:val="right" w:leader="dot" w:pos="8312"/>
        </w:tabs>
        <w:spacing w:line="480" w:lineRule="auto"/>
        <w:rPr>
          <w:rFonts w:ascii="宋体" w:hAnsi="宋体" w:cs="宋体"/>
          <w:color w:val="auto"/>
          <w:sz w:val="44"/>
          <w:szCs w:val="44"/>
        </w:rPr>
      </w:pPr>
      <w:r>
        <w:rPr>
          <w:color w:val="auto"/>
        </w:rPr>
        <w:fldChar w:fldCharType="begin"/>
      </w:r>
      <w:r>
        <w:rPr>
          <w:color w:val="auto"/>
        </w:rPr>
        <w:instrText xml:space="preserve"> HYPERLINK \l "_Toc18907" </w:instrText>
      </w:r>
      <w:r>
        <w:rPr>
          <w:color w:val="auto"/>
        </w:rPr>
        <w:fldChar w:fldCharType="separate"/>
      </w:r>
      <w:r>
        <w:rPr>
          <w:rFonts w:hint="eastAsia" w:ascii="宋体" w:hAnsi="宋体" w:cs="宋体"/>
          <w:color w:val="auto"/>
          <w:sz w:val="44"/>
          <w:szCs w:val="44"/>
        </w:rPr>
        <w:t>第二章  比选须知</w:t>
      </w:r>
      <w:r>
        <w:rPr>
          <w:rFonts w:hint="eastAsia" w:ascii="宋体" w:hAnsi="宋体" w:cs="宋体"/>
          <w:color w:val="auto"/>
          <w:sz w:val="44"/>
          <w:szCs w:val="44"/>
        </w:rPr>
        <w:fldChar w:fldCharType="end"/>
      </w:r>
    </w:p>
    <w:p w14:paraId="49E9E1B9">
      <w:pPr>
        <w:pStyle w:val="31"/>
        <w:tabs>
          <w:tab w:val="right" w:leader="dot" w:pos="8312"/>
        </w:tabs>
        <w:spacing w:line="480" w:lineRule="auto"/>
        <w:rPr>
          <w:rFonts w:ascii="宋体" w:hAnsi="宋体" w:cs="宋体"/>
          <w:color w:val="auto"/>
          <w:sz w:val="44"/>
          <w:szCs w:val="44"/>
        </w:rPr>
      </w:pPr>
      <w:r>
        <w:rPr>
          <w:color w:val="auto"/>
        </w:rPr>
        <w:fldChar w:fldCharType="begin"/>
      </w:r>
      <w:r>
        <w:rPr>
          <w:color w:val="auto"/>
        </w:rPr>
        <w:instrText xml:space="preserve"> HYPERLINK \l "_Toc5043" </w:instrText>
      </w:r>
      <w:r>
        <w:rPr>
          <w:color w:val="auto"/>
        </w:rPr>
        <w:fldChar w:fldCharType="separate"/>
      </w:r>
      <w:r>
        <w:rPr>
          <w:rFonts w:hint="eastAsia" w:ascii="宋体" w:hAnsi="宋体" w:cs="宋体"/>
          <w:color w:val="auto"/>
          <w:sz w:val="44"/>
          <w:szCs w:val="44"/>
        </w:rPr>
        <w:t>第三章  项目需求</w:t>
      </w:r>
      <w:r>
        <w:rPr>
          <w:rFonts w:hint="eastAsia" w:ascii="宋体" w:hAnsi="宋体" w:cs="宋体"/>
          <w:color w:val="auto"/>
          <w:sz w:val="44"/>
          <w:szCs w:val="44"/>
        </w:rPr>
        <w:fldChar w:fldCharType="end"/>
      </w:r>
    </w:p>
    <w:p w14:paraId="2C856002">
      <w:pPr>
        <w:pStyle w:val="31"/>
        <w:tabs>
          <w:tab w:val="right" w:leader="dot" w:pos="8312"/>
        </w:tabs>
        <w:spacing w:line="480" w:lineRule="auto"/>
        <w:rPr>
          <w:rFonts w:ascii="宋体" w:hAnsi="宋体" w:cs="宋体"/>
          <w:color w:val="auto"/>
          <w:sz w:val="44"/>
          <w:szCs w:val="44"/>
        </w:rPr>
      </w:pPr>
      <w:r>
        <w:rPr>
          <w:color w:val="auto"/>
        </w:rPr>
        <w:fldChar w:fldCharType="begin"/>
      </w:r>
      <w:r>
        <w:rPr>
          <w:color w:val="auto"/>
        </w:rPr>
        <w:instrText xml:space="preserve"> HYPERLINK \l "_Toc24193" </w:instrText>
      </w:r>
      <w:r>
        <w:rPr>
          <w:color w:val="auto"/>
        </w:rPr>
        <w:fldChar w:fldCharType="separate"/>
      </w:r>
      <w:r>
        <w:rPr>
          <w:rFonts w:hint="eastAsia" w:ascii="宋体" w:hAnsi="宋体" w:cs="宋体"/>
          <w:color w:val="auto"/>
          <w:sz w:val="44"/>
          <w:szCs w:val="44"/>
        </w:rPr>
        <w:t>第四章  开标和评标</w:t>
      </w:r>
      <w:r>
        <w:rPr>
          <w:rFonts w:hint="eastAsia" w:ascii="宋体" w:hAnsi="宋体" w:cs="宋体"/>
          <w:color w:val="auto"/>
          <w:sz w:val="44"/>
          <w:szCs w:val="44"/>
        </w:rPr>
        <w:fldChar w:fldCharType="end"/>
      </w:r>
    </w:p>
    <w:p w14:paraId="13C0F27D">
      <w:pPr>
        <w:pStyle w:val="31"/>
        <w:tabs>
          <w:tab w:val="right" w:leader="dot" w:pos="8312"/>
        </w:tabs>
        <w:spacing w:line="480" w:lineRule="auto"/>
        <w:rPr>
          <w:rFonts w:ascii="宋体" w:hAnsi="宋体" w:cs="宋体"/>
          <w:color w:val="auto"/>
          <w:sz w:val="44"/>
          <w:szCs w:val="44"/>
        </w:rPr>
      </w:pPr>
      <w:r>
        <w:rPr>
          <w:color w:val="auto"/>
        </w:rPr>
        <w:fldChar w:fldCharType="begin"/>
      </w:r>
      <w:r>
        <w:rPr>
          <w:color w:val="auto"/>
        </w:rPr>
        <w:instrText xml:space="preserve"> HYPERLINK \l "_Toc13768" </w:instrText>
      </w:r>
      <w:r>
        <w:rPr>
          <w:color w:val="auto"/>
        </w:rPr>
        <w:fldChar w:fldCharType="separate"/>
      </w:r>
      <w:r>
        <w:rPr>
          <w:rFonts w:hint="eastAsia" w:ascii="宋体" w:hAnsi="宋体" w:cs="宋体"/>
          <w:color w:val="auto"/>
          <w:sz w:val="44"/>
          <w:szCs w:val="44"/>
        </w:rPr>
        <w:t>第五章  合同签订与验收付款</w:t>
      </w:r>
      <w:r>
        <w:rPr>
          <w:rFonts w:hint="eastAsia" w:ascii="宋体" w:hAnsi="宋体" w:cs="宋体"/>
          <w:color w:val="auto"/>
          <w:sz w:val="44"/>
          <w:szCs w:val="44"/>
        </w:rPr>
        <w:fldChar w:fldCharType="end"/>
      </w:r>
    </w:p>
    <w:p w14:paraId="6C235D01">
      <w:pPr>
        <w:pStyle w:val="31"/>
        <w:tabs>
          <w:tab w:val="right" w:leader="dot" w:pos="8312"/>
        </w:tabs>
        <w:spacing w:line="480" w:lineRule="auto"/>
        <w:rPr>
          <w:rFonts w:ascii="宋体" w:hAnsi="宋体" w:cs="宋体"/>
          <w:color w:val="auto"/>
          <w:sz w:val="44"/>
          <w:szCs w:val="44"/>
        </w:rPr>
      </w:pPr>
      <w:r>
        <w:rPr>
          <w:color w:val="auto"/>
        </w:rPr>
        <w:fldChar w:fldCharType="begin"/>
      </w:r>
      <w:r>
        <w:rPr>
          <w:color w:val="auto"/>
        </w:rPr>
        <w:instrText xml:space="preserve"> HYPERLINK \l "_Toc21870" </w:instrText>
      </w:r>
      <w:r>
        <w:rPr>
          <w:color w:val="auto"/>
        </w:rPr>
        <w:fldChar w:fldCharType="separate"/>
      </w:r>
      <w:r>
        <w:rPr>
          <w:rFonts w:hint="eastAsia" w:ascii="宋体" w:hAnsi="宋体" w:cs="宋体"/>
          <w:color w:val="auto"/>
          <w:sz w:val="44"/>
          <w:szCs w:val="44"/>
        </w:rPr>
        <w:t>第六章  响应文件组成</w:t>
      </w:r>
      <w:r>
        <w:rPr>
          <w:rFonts w:hint="eastAsia" w:ascii="宋体" w:hAnsi="宋体" w:cs="宋体"/>
          <w:color w:val="auto"/>
          <w:sz w:val="44"/>
          <w:szCs w:val="44"/>
        </w:rPr>
        <w:fldChar w:fldCharType="end"/>
      </w:r>
    </w:p>
    <w:p w14:paraId="23B3E707">
      <w:pPr>
        <w:pStyle w:val="17"/>
        <w:spacing w:line="480" w:lineRule="auto"/>
        <w:ind w:firstLine="813"/>
        <w:jc w:val="center"/>
        <w:rPr>
          <w:rFonts w:hAnsi="宋体" w:cs="宋体"/>
          <w:color w:val="auto"/>
          <w:sz w:val="36"/>
          <w:szCs w:val="36"/>
        </w:rPr>
      </w:pPr>
      <w:r>
        <w:rPr>
          <w:rFonts w:hint="eastAsia" w:hAnsi="宋体" w:cs="宋体"/>
          <w:color w:val="auto"/>
          <w:sz w:val="44"/>
          <w:szCs w:val="44"/>
        </w:rPr>
        <w:fldChar w:fldCharType="end"/>
      </w:r>
    </w:p>
    <w:p w14:paraId="47B2AE2A">
      <w:pPr>
        <w:pStyle w:val="17"/>
        <w:ind w:firstLine="687"/>
        <w:jc w:val="center"/>
        <w:rPr>
          <w:rFonts w:hAnsi="宋体" w:cs="宋体"/>
          <w:color w:val="auto"/>
          <w:sz w:val="36"/>
          <w:szCs w:val="36"/>
        </w:rPr>
      </w:pPr>
    </w:p>
    <w:p w14:paraId="2CD06B0F">
      <w:pPr>
        <w:pStyle w:val="17"/>
        <w:ind w:firstLine="687"/>
        <w:jc w:val="center"/>
        <w:rPr>
          <w:rFonts w:hAnsi="宋体" w:cs="宋体"/>
          <w:color w:val="auto"/>
          <w:sz w:val="36"/>
          <w:szCs w:val="36"/>
        </w:rPr>
      </w:pPr>
    </w:p>
    <w:p w14:paraId="52A7E435">
      <w:pPr>
        <w:pStyle w:val="17"/>
        <w:ind w:firstLine="687"/>
        <w:jc w:val="center"/>
        <w:rPr>
          <w:rFonts w:hAnsi="宋体" w:cs="宋体"/>
          <w:color w:val="auto"/>
          <w:sz w:val="36"/>
          <w:szCs w:val="36"/>
        </w:rPr>
      </w:pPr>
    </w:p>
    <w:p w14:paraId="0DEAA338">
      <w:pPr>
        <w:pStyle w:val="17"/>
        <w:ind w:firstLine="687"/>
        <w:jc w:val="center"/>
        <w:rPr>
          <w:rFonts w:hAnsi="宋体" w:cs="宋体"/>
          <w:color w:val="auto"/>
          <w:sz w:val="36"/>
          <w:szCs w:val="36"/>
        </w:rPr>
      </w:pPr>
    </w:p>
    <w:p w14:paraId="7D844646">
      <w:pPr>
        <w:pStyle w:val="17"/>
        <w:ind w:firstLine="687"/>
        <w:jc w:val="center"/>
        <w:rPr>
          <w:rFonts w:hAnsi="宋体" w:cs="宋体"/>
          <w:color w:val="auto"/>
          <w:sz w:val="36"/>
          <w:szCs w:val="36"/>
        </w:rPr>
      </w:pPr>
    </w:p>
    <w:p w14:paraId="5688EEB4">
      <w:pPr>
        <w:pStyle w:val="17"/>
        <w:ind w:firstLine="687"/>
        <w:jc w:val="center"/>
        <w:rPr>
          <w:rFonts w:hAnsi="宋体" w:cs="宋体"/>
          <w:color w:val="auto"/>
          <w:sz w:val="36"/>
          <w:szCs w:val="36"/>
        </w:rPr>
      </w:pPr>
    </w:p>
    <w:p w14:paraId="5E3A5238">
      <w:pPr>
        <w:pStyle w:val="17"/>
        <w:numPr>
          <w:ilvl w:val="0"/>
          <w:numId w:val="2"/>
        </w:numPr>
        <w:spacing w:line="480" w:lineRule="exact"/>
        <w:ind w:firstLine="465"/>
        <w:jc w:val="center"/>
        <w:outlineLvl w:val="0"/>
        <w:rPr>
          <w:rFonts w:hAnsi="宋体" w:cs="宋体"/>
          <w:color w:val="auto"/>
          <w:sz w:val="24"/>
          <w:szCs w:val="24"/>
        </w:rPr>
        <w:sectPr>
          <w:footerReference r:id="rId3" w:type="default"/>
          <w:pgSz w:w="11906" w:h="16838"/>
          <w:pgMar w:top="1440" w:right="1800" w:bottom="1440" w:left="1800" w:header="851" w:footer="992" w:gutter="0"/>
          <w:cols w:space="425" w:num="1"/>
          <w:docGrid w:type="lines" w:linePitch="312" w:charSpace="0"/>
        </w:sectPr>
      </w:pPr>
    </w:p>
    <w:p w14:paraId="7E711E95">
      <w:pPr>
        <w:pStyle w:val="17"/>
        <w:numPr>
          <w:ilvl w:val="0"/>
          <w:numId w:val="2"/>
        </w:numPr>
        <w:spacing w:line="480" w:lineRule="exact"/>
        <w:ind w:firstLine="465"/>
        <w:jc w:val="center"/>
        <w:outlineLvl w:val="0"/>
        <w:rPr>
          <w:rFonts w:hAnsi="宋体" w:cs="宋体"/>
          <w:color w:val="auto"/>
          <w:sz w:val="24"/>
          <w:szCs w:val="24"/>
        </w:rPr>
      </w:pPr>
      <w:r>
        <w:rPr>
          <w:rFonts w:hint="eastAsia" w:hAnsi="宋体" w:cs="宋体"/>
          <w:color w:val="auto"/>
          <w:sz w:val="24"/>
          <w:szCs w:val="24"/>
        </w:rPr>
        <w:t xml:space="preserve">  比选公告</w:t>
      </w:r>
    </w:p>
    <w:p w14:paraId="54AF3E14">
      <w:pPr>
        <w:pStyle w:val="17"/>
        <w:spacing w:line="480" w:lineRule="exact"/>
        <w:ind w:firstLine="0" w:firstLineChars="0"/>
        <w:jc w:val="center"/>
        <w:rPr>
          <w:rFonts w:hAnsi="宋体" w:cs="宋体"/>
          <w:color w:val="auto"/>
          <w:sz w:val="24"/>
          <w:szCs w:val="24"/>
        </w:rPr>
      </w:pPr>
    </w:p>
    <w:p w14:paraId="61ED5A28">
      <w:pPr>
        <w:pBdr>
          <w:top w:val="single" w:color="auto" w:sz="4" w:space="1"/>
          <w:left w:val="single" w:color="auto" w:sz="4" w:space="4"/>
          <w:bottom w:val="single" w:color="auto" w:sz="4" w:space="1"/>
          <w:right w:val="single" w:color="auto" w:sz="4" w:space="4"/>
        </w:pBdr>
        <w:spacing w:line="480" w:lineRule="exact"/>
        <w:ind w:firstLine="480" w:firstLineChars="200"/>
        <w:rPr>
          <w:rFonts w:ascii="宋体" w:hAnsi="宋体" w:cs="宋体"/>
          <w:color w:val="auto"/>
          <w:sz w:val="24"/>
          <w:szCs w:val="24"/>
        </w:rPr>
      </w:pPr>
      <w:r>
        <w:rPr>
          <w:rFonts w:hint="eastAsia" w:ascii="宋体" w:hAnsi="宋体" w:cs="宋体"/>
          <w:color w:val="auto"/>
          <w:sz w:val="24"/>
          <w:szCs w:val="24"/>
          <w:u w:val="single"/>
          <w:lang w:eastAsia="zh-CN"/>
        </w:rPr>
        <w:t>江苏省南通中学体检服务采购项目（二次）</w:t>
      </w:r>
      <w:r>
        <w:rPr>
          <w:rFonts w:hint="eastAsia" w:ascii="宋体" w:hAnsi="宋体" w:cs="宋体"/>
          <w:color w:val="auto"/>
          <w:sz w:val="24"/>
          <w:szCs w:val="24"/>
        </w:rPr>
        <w:t>的潜在供应商应在</w:t>
      </w:r>
      <w:r>
        <w:rPr>
          <w:rFonts w:hint="eastAsia" w:ascii="宋体" w:hAnsi="宋体" w:cs="宋体"/>
          <w:color w:val="auto"/>
          <w:sz w:val="24"/>
          <w:szCs w:val="24"/>
          <w:u w:val="single"/>
        </w:rPr>
        <w:t>南通市教育局网</w:t>
      </w:r>
      <w:r>
        <w:rPr>
          <w:rFonts w:hint="eastAsia" w:ascii="宋体" w:hAnsi="宋体" w:cs="宋体"/>
          <w:color w:val="auto"/>
          <w:sz w:val="24"/>
          <w:szCs w:val="24"/>
          <w:u w:val="single"/>
          <w:lang w:eastAsia="zh-CN"/>
        </w:rPr>
        <w:t>、江苏省南通中学校园网</w:t>
      </w:r>
      <w:r>
        <w:rPr>
          <w:rFonts w:hint="eastAsia" w:ascii="宋体" w:hAnsi="宋体" w:cs="宋体"/>
          <w:color w:val="auto"/>
          <w:sz w:val="24"/>
          <w:szCs w:val="24"/>
        </w:rPr>
        <w:t>获取比选文件，并于</w:t>
      </w:r>
      <w:r>
        <w:rPr>
          <w:rFonts w:hint="eastAsia" w:ascii="宋体" w:hAnsi="宋体" w:cs="宋体"/>
          <w:color w:val="auto"/>
          <w:sz w:val="24"/>
          <w:szCs w:val="24"/>
          <w:u w:val="single"/>
          <w:lang w:eastAsia="zh-CN"/>
        </w:rPr>
        <w:t>2026年4月13日14点00分</w:t>
      </w:r>
      <w:r>
        <w:rPr>
          <w:rFonts w:hint="eastAsia" w:ascii="宋体" w:hAnsi="宋体" w:cs="宋体"/>
          <w:bCs/>
          <w:color w:val="auto"/>
          <w:sz w:val="24"/>
          <w:szCs w:val="24"/>
        </w:rPr>
        <w:t>（北京时间）前提交响应文件</w:t>
      </w:r>
      <w:r>
        <w:rPr>
          <w:rFonts w:hint="eastAsia" w:ascii="宋体" w:hAnsi="宋体" w:cs="宋体"/>
          <w:color w:val="auto"/>
          <w:sz w:val="24"/>
          <w:szCs w:val="24"/>
        </w:rPr>
        <w:t>。</w:t>
      </w:r>
    </w:p>
    <w:p w14:paraId="69A8A904">
      <w:pPr>
        <w:spacing w:line="480" w:lineRule="exact"/>
        <w:ind w:firstLine="480" w:firstLineChars="200"/>
        <w:rPr>
          <w:rFonts w:ascii="宋体" w:hAnsi="宋体" w:cs="宋体"/>
          <w:b/>
          <w:bCs/>
          <w:color w:val="auto"/>
          <w:sz w:val="24"/>
          <w:szCs w:val="24"/>
        </w:rPr>
      </w:pPr>
      <w:bookmarkStart w:id="0" w:name="_Toc28359089"/>
      <w:bookmarkStart w:id="1" w:name="_Toc28359012"/>
      <w:bookmarkStart w:id="2" w:name="_Toc35393629"/>
      <w:bookmarkStart w:id="3" w:name="_Toc35393798"/>
      <w:r>
        <w:rPr>
          <w:rFonts w:hint="eastAsia" w:ascii="宋体" w:hAnsi="宋体" w:cs="宋体"/>
          <w:b/>
          <w:bCs/>
          <w:color w:val="auto"/>
          <w:sz w:val="24"/>
          <w:szCs w:val="24"/>
        </w:rPr>
        <w:t>一、</w:t>
      </w:r>
      <w:bookmarkEnd w:id="0"/>
      <w:bookmarkEnd w:id="1"/>
      <w:bookmarkEnd w:id="2"/>
      <w:bookmarkEnd w:id="3"/>
      <w:r>
        <w:rPr>
          <w:rFonts w:hint="eastAsia" w:ascii="宋体" w:hAnsi="宋体" w:cs="宋体"/>
          <w:b/>
          <w:bCs/>
          <w:color w:val="auto"/>
          <w:sz w:val="24"/>
          <w:szCs w:val="24"/>
        </w:rPr>
        <w:t>项目基本信息</w:t>
      </w:r>
    </w:p>
    <w:p w14:paraId="0668DB4B">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项目编号：DFHX2026001</w:t>
      </w:r>
    </w:p>
    <w:p w14:paraId="7FB181BE">
      <w:pPr>
        <w:spacing w:line="48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w:t>
      </w:r>
      <w:r>
        <w:rPr>
          <w:rFonts w:hint="eastAsia" w:ascii="宋体" w:hAnsi="宋体" w:cs="宋体"/>
          <w:color w:val="auto"/>
          <w:sz w:val="24"/>
          <w:szCs w:val="24"/>
          <w:lang w:eastAsia="zh-CN"/>
        </w:rPr>
        <w:t>江苏省南通中学体检服务采购项目（二次）</w:t>
      </w:r>
    </w:p>
    <w:p w14:paraId="57CB4A63">
      <w:pPr>
        <w:spacing w:line="480" w:lineRule="exact"/>
        <w:ind w:firstLine="480" w:firstLineChars="200"/>
        <w:rPr>
          <w:rFonts w:ascii="宋体" w:hAnsi="宋体" w:cs="宋体"/>
          <w:color w:val="auto"/>
          <w:sz w:val="24"/>
          <w:szCs w:val="24"/>
        </w:rPr>
      </w:pPr>
      <w:bookmarkStart w:id="4" w:name="_Toc28359090"/>
      <w:bookmarkStart w:id="5" w:name="_Toc35393799"/>
      <w:bookmarkStart w:id="6" w:name="_Toc28359013"/>
      <w:bookmarkStart w:id="7" w:name="_Toc35393630"/>
      <w:r>
        <w:rPr>
          <w:rFonts w:hint="eastAsia" w:ascii="宋体" w:hAnsi="宋体" w:cs="宋体"/>
          <w:color w:val="auto"/>
          <w:sz w:val="24"/>
          <w:szCs w:val="24"/>
        </w:rPr>
        <w:t>采购方式：比选</w:t>
      </w:r>
    </w:p>
    <w:p w14:paraId="2CF19541">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预算金额：约118000元</w:t>
      </w:r>
    </w:p>
    <w:p w14:paraId="4AF7978F">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最高限价：常规体检（含第二学期视力）单价最高限价22元/人，EC皮试单价最高限价25元/人，胸片单价最高限价60元/人，CT复查（部分胸片异常学生）单价最高限价220元/人，超过最高限价作无效标处理。</w:t>
      </w:r>
    </w:p>
    <w:p w14:paraId="177E2497">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采购需求：具体详见采购文件，请仔细研究。</w:t>
      </w:r>
    </w:p>
    <w:p w14:paraId="5D4E6DF3">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项目实施时间：分春秋两季。春季学生视力检查（裸眼视力、屈光度、戴镜视力等）；秋季常规项目体检（以《江苏省中小学生健康体检表》为准）；胸片、CT复查根据学校要求实施。以上均含体检数据录入，具体时间以学校通知为准。</w:t>
      </w:r>
    </w:p>
    <w:p w14:paraId="24DCECDA">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本项目不接受联合体响应。</w:t>
      </w:r>
    </w:p>
    <w:p w14:paraId="4A773E69">
      <w:pPr>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二、比选文件内容</w:t>
      </w:r>
    </w:p>
    <w:p w14:paraId="5BA22C77">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详见比选文件，请仔细研究</w:t>
      </w:r>
    </w:p>
    <w:bookmarkEnd w:id="4"/>
    <w:bookmarkEnd w:id="5"/>
    <w:bookmarkEnd w:id="6"/>
    <w:bookmarkEnd w:id="7"/>
    <w:p w14:paraId="7790C7C4">
      <w:pPr>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三、供应商资格要求</w:t>
      </w:r>
    </w:p>
    <w:p w14:paraId="084C91AF">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w:t>
      </w:r>
      <w:bookmarkStart w:id="8" w:name="_Toc28359091"/>
      <w:bookmarkStart w:id="9" w:name="_Toc35393800"/>
      <w:bookmarkStart w:id="10" w:name="_Toc35393631"/>
      <w:bookmarkStart w:id="11" w:name="_Toc28359014"/>
      <w:r>
        <w:rPr>
          <w:rFonts w:hint="eastAsia" w:ascii="宋体" w:hAnsi="宋体" w:cs="宋体"/>
          <w:color w:val="auto"/>
          <w:sz w:val="24"/>
          <w:szCs w:val="24"/>
        </w:rPr>
        <w:t>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7C7D9434">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2.供应商其它要求：</w:t>
      </w:r>
    </w:p>
    <w:p w14:paraId="78AB807B">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（1）供应商须为设有独立健康管理中心的本地二级以上公立医院，提供证明材料。</w:t>
      </w:r>
    </w:p>
    <w:p w14:paraId="666CD69B">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（2）供应商必须具有有效的营业执照或事业单位法人证书。</w:t>
      </w:r>
    </w:p>
    <w:p w14:paraId="7871F61C">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（3）法定代表人为同一个人的两个及两个以上法人，母公司、全资子公司及其控股公司，都不得在同一采购项目相同标段中同时投标，一经发现，将视同围标处理。</w:t>
      </w:r>
    </w:p>
    <w:p w14:paraId="46FB8F66">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（4）未被“信用中国”网站列入失信被执行人、重大税收违法案件当事人名单、采购严重失信行为记录名单。</w:t>
      </w:r>
    </w:p>
    <w:p w14:paraId="3BB92661">
      <w:pPr>
        <w:spacing w:line="480" w:lineRule="exact"/>
        <w:ind w:firstLine="480" w:firstLineChars="200"/>
        <w:rPr>
          <w:rFonts w:ascii="宋体" w:hAnsi="宋体" w:cs="宋体"/>
          <w:color w:val="auto"/>
          <w:sz w:val="24"/>
          <w:szCs w:val="24"/>
          <w:u w:val="double" w:color="FF0000"/>
        </w:rPr>
      </w:pPr>
      <w:r>
        <w:rPr>
          <w:rFonts w:hint="eastAsia" w:ascii="宋体" w:hAnsi="宋体" w:cs="宋体"/>
          <w:color w:val="auto"/>
          <w:sz w:val="24"/>
          <w:szCs w:val="24"/>
          <w:u w:val="double" w:color="FF0000"/>
        </w:rPr>
        <w:t>其他具体资格要求详见“第六章响应文件组成”。</w:t>
      </w:r>
    </w:p>
    <w:p w14:paraId="49022769">
      <w:pPr>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四、获取</w:t>
      </w:r>
      <w:bookmarkEnd w:id="8"/>
      <w:bookmarkEnd w:id="9"/>
      <w:bookmarkEnd w:id="10"/>
      <w:bookmarkEnd w:id="11"/>
      <w:r>
        <w:rPr>
          <w:rFonts w:hint="eastAsia" w:ascii="宋体" w:hAnsi="宋体" w:cs="宋体"/>
          <w:b/>
          <w:bCs/>
          <w:color w:val="auto"/>
          <w:sz w:val="24"/>
          <w:szCs w:val="24"/>
        </w:rPr>
        <w:t>比选文件</w:t>
      </w:r>
    </w:p>
    <w:p w14:paraId="72AECE9E">
      <w:pPr>
        <w:spacing w:line="480" w:lineRule="exact"/>
        <w:ind w:firstLine="540"/>
        <w:rPr>
          <w:rFonts w:hint="eastAsia" w:ascii="宋体" w:hAnsi="宋体" w:eastAsia="宋体" w:cs="宋体"/>
          <w:color w:val="auto"/>
          <w:sz w:val="24"/>
          <w:szCs w:val="24"/>
          <w:lang w:eastAsia="zh-CN"/>
        </w:rPr>
      </w:pPr>
      <w:bookmarkStart w:id="12" w:name="_Toc35393632"/>
      <w:bookmarkStart w:id="13" w:name="_Toc35393801"/>
      <w:bookmarkStart w:id="14" w:name="_Toc28359015"/>
      <w:bookmarkStart w:id="15" w:name="_Toc28359092"/>
      <w:r>
        <w:rPr>
          <w:rFonts w:hint="eastAsia" w:ascii="宋体" w:hAnsi="宋体" w:cs="宋体"/>
          <w:color w:val="auto"/>
          <w:sz w:val="24"/>
          <w:szCs w:val="24"/>
        </w:rPr>
        <w:t>1.时间：自本公告发布之日起至</w:t>
      </w:r>
      <w:r>
        <w:rPr>
          <w:rFonts w:hint="eastAsia" w:ascii="宋体" w:hAnsi="宋体" w:cs="宋体"/>
          <w:color w:val="auto"/>
          <w:sz w:val="24"/>
          <w:szCs w:val="24"/>
          <w:u w:val="single"/>
          <w:lang w:eastAsia="zh-CN"/>
        </w:rPr>
        <w:t>2026年4月13日14点00分</w:t>
      </w:r>
    </w:p>
    <w:p w14:paraId="37397DAF">
      <w:pPr>
        <w:spacing w:line="480" w:lineRule="exact"/>
        <w:ind w:firstLine="540"/>
        <w:rPr>
          <w:rFonts w:ascii="宋体" w:hAnsi="宋体" w:cs="宋体"/>
          <w:color w:val="auto"/>
          <w:sz w:val="24"/>
          <w:szCs w:val="24"/>
        </w:rPr>
      </w:pPr>
      <w:r>
        <w:rPr>
          <w:rFonts w:hint="eastAsia" w:ascii="宋体" w:hAnsi="宋体" w:cs="宋体"/>
          <w:color w:val="auto"/>
          <w:sz w:val="24"/>
          <w:szCs w:val="24"/>
        </w:rPr>
        <w:t>2.地点：自行下载</w:t>
      </w:r>
    </w:p>
    <w:p w14:paraId="339766D6">
      <w:pPr>
        <w:spacing w:line="480" w:lineRule="exact"/>
        <w:ind w:firstLine="540"/>
        <w:rPr>
          <w:rFonts w:ascii="宋体" w:hAnsi="宋体" w:cs="宋体"/>
          <w:color w:val="auto"/>
          <w:sz w:val="24"/>
          <w:szCs w:val="24"/>
        </w:rPr>
      </w:pPr>
      <w:r>
        <w:rPr>
          <w:rFonts w:hint="eastAsia" w:ascii="宋体" w:hAnsi="宋体" w:cs="宋体"/>
          <w:color w:val="auto"/>
          <w:sz w:val="24"/>
          <w:szCs w:val="24"/>
        </w:rPr>
        <w:t>3.有关本次采购的事项若存在变动或修改，敬请及时关注“南通市教育局网”“江苏省南通中学校园网”发布的信息更正公告，恕不另行通知，如有遗漏采购人概不负责。</w:t>
      </w:r>
    </w:p>
    <w:p w14:paraId="5250E56D">
      <w:pPr>
        <w:spacing w:line="480" w:lineRule="exact"/>
        <w:ind w:firstLine="540"/>
        <w:rPr>
          <w:rFonts w:ascii="宋体" w:hAnsi="宋体" w:cs="宋体"/>
          <w:b/>
          <w:bCs/>
          <w:color w:val="auto"/>
          <w:sz w:val="24"/>
          <w:szCs w:val="24"/>
        </w:rPr>
      </w:pPr>
      <w:r>
        <w:rPr>
          <w:rFonts w:hint="eastAsia" w:ascii="宋体" w:hAnsi="宋体" w:cs="宋体"/>
          <w:b/>
          <w:bCs/>
          <w:color w:val="auto"/>
          <w:sz w:val="24"/>
          <w:szCs w:val="24"/>
        </w:rPr>
        <w:t>4.本项目需进行报名，潜在供应商在2026年</w:t>
      </w:r>
      <w:r>
        <w:rPr>
          <w:rFonts w:hint="eastAsia" w:ascii="宋体" w:hAnsi="宋体" w:cs="宋体"/>
          <w:b/>
          <w:bCs/>
          <w:color w:val="auto"/>
          <w:sz w:val="24"/>
          <w:szCs w:val="24"/>
          <w:lang w:val="en-US" w:eastAsia="zh-CN"/>
        </w:rPr>
        <w:t>4</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10</w:t>
      </w:r>
      <w:r>
        <w:rPr>
          <w:rFonts w:hint="eastAsia" w:ascii="宋体" w:hAnsi="宋体" w:cs="宋体"/>
          <w:b/>
          <w:bCs/>
          <w:color w:val="auto"/>
          <w:sz w:val="24"/>
          <w:szCs w:val="24"/>
        </w:rPr>
        <w:t>日17点00分之前，</w:t>
      </w:r>
    </w:p>
    <w:p w14:paraId="047E5D98">
      <w:pPr>
        <w:spacing w:line="480" w:lineRule="exact"/>
        <w:ind w:firstLine="540"/>
        <w:rPr>
          <w:rFonts w:ascii="宋体" w:hAnsi="宋体" w:cs="宋体"/>
          <w:b/>
          <w:bCs/>
          <w:color w:val="auto"/>
          <w:sz w:val="24"/>
          <w:szCs w:val="24"/>
        </w:rPr>
      </w:pPr>
      <w:r>
        <w:rPr>
          <w:rFonts w:hint="eastAsia" w:ascii="宋体" w:hAnsi="宋体" w:cs="宋体"/>
          <w:b/>
          <w:bCs/>
          <w:color w:val="auto"/>
          <w:sz w:val="24"/>
          <w:szCs w:val="24"/>
        </w:rPr>
        <w:t>将以下报名表发至dfhxnt@126.com</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3473"/>
        <w:gridCol w:w="2691"/>
        <w:gridCol w:w="1254"/>
      </w:tblGrid>
      <w:tr w14:paraId="6F5D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7" w:type="dxa"/>
            <w:gridSpan w:val="4"/>
          </w:tcPr>
          <w:p w14:paraId="7ED93F45">
            <w:pPr>
              <w:spacing w:line="480" w:lineRule="exact"/>
              <w:jc w:val="center"/>
              <w:rPr>
                <w:rFonts w:ascii="宋体" w:hAnsi="宋体" w:cs="宋体"/>
                <w:color w:val="auto"/>
                <w:sz w:val="24"/>
                <w:szCs w:val="24"/>
              </w:rPr>
            </w:pPr>
            <w:r>
              <w:rPr>
                <w:rFonts w:hint="eastAsia" w:ascii="宋体" w:hAnsi="宋体" w:cs="宋体"/>
                <w:color w:val="auto"/>
                <w:sz w:val="24"/>
                <w:szCs w:val="24"/>
                <w:lang w:eastAsia="zh-CN"/>
              </w:rPr>
              <w:t>江苏省南通中学体检服务采购项目（二次）</w:t>
            </w:r>
            <w:r>
              <w:rPr>
                <w:rFonts w:hint="eastAsia" w:ascii="宋体" w:hAnsi="宋体" w:cs="宋体"/>
                <w:color w:val="auto"/>
                <w:sz w:val="24"/>
                <w:szCs w:val="24"/>
              </w:rPr>
              <w:t>报名表</w:t>
            </w:r>
          </w:p>
        </w:tc>
      </w:tr>
      <w:tr w14:paraId="45AF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dxa"/>
          </w:tcPr>
          <w:p w14:paraId="66F8B628">
            <w:pPr>
              <w:spacing w:line="480" w:lineRule="exact"/>
              <w:jc w:val="center"/>
              <w:rPr>
                <w:rFonts w:ascii="宋体" w:hAnsi="宋体" w:cs="宋体"/>
                <w:color w:val="auto"/>
                <w:sz w:val="24"/>
                <w:szCs w:val="24"/>
              </w:rPr>
            </w:pPr>
            <w:r>
              <w:rPr>
                <w:rFonts w:hint="eastAsia" w:ascii="宋体" w:hAnsi="宋体" w:cs="宋体"/>
                <w:color w:val="auto"/>
                <w:sz w:val="24"/>
                <w:szCs w:val="24"/>
              </w:rPr>
              <w:t>序号</w:t>
            </w:r>
          </w:p>
        </w:tc>
        <w:tc>
          <w:tcPr>
            <w:tcW w:w="3473" w:type="dxa"/>
          </w:tcPr>
          <w:p w14:paraId="6E71020E">
            <w:pPr>
              <w:spacing w:line="480" w:lineRule="exact"/>
              <w:jc w:val="center"/>
              <w:rPr>
                <w:rFonts w:ascii="宋体" w:hAnsi="宋体" w:cs="宋体"/>
                <w:color w:val="auto"/>
                <w:sz w:val="24"/>
                <w:szCs w:val="24"/>
              </w:rPr>
            </w:pPr>
            <w:r>
              <w:rPr>
                <w:rFonts w:hint="eastAsia" w:ascii="宋体" w:hAnsi="宋体" w:cs="宋体"/>
                <w:color w:val="auto"/>
                <w:sz w:val="24"/>
                <w:szCs w:val="24"/>
              </w:rPr>
              <w:t>单位</w:t>
            </w:r>
          </w:p>
        </w:tc>
        <w:tc>
          <w:tcPr>
            <w:tcW w:w="2691" w:type="dxa"/>
          </w:tcPr>
          <w:p w14:paraId="0068D803">
            <w:pPr>
              <w:spacing w:line="480" w:lineRule="exact"/>
              <w:jc w:val="center"/>
              <w:rPr>
                <w:rFonts w:ascii="宋体" w:hAnsi="宋体" w:cs="宋体"/>
                <w:color w:val="auto"/>
                <w:sz w:val="24"/>
                <w:szCs w:val="24"/>
              </w:rPr>
            </w:pPr>
            <w:r>
              <w:rPr>
                <w:rFonts w:hint="eastAsia" w:ascii="宋体" w:hAnsi="宋体" w:cs="宋体"/>
                <w:color w:val="auto"/>
                <w:sz w:val="24"/>
                <w:szCs w:val="24"/>
              </w:rPr>
              <w:t>法定代表人或被授权人</w:t>
            </w:r>
          </w:p>
        </w:tc>
        <w:tc>
          <w:tcPr>
            <w:tcW w:w="1254" w:type="dxa"/>
          </w:tcPr>
          <w:p w14:paraId="5133A78E">
            <w:pPr>
              <w:spacing w:line="480" w:lineRule="exact"/>
              <w:jc w:val="center"/>
              <w:rPr>
                <w:rFonts w:ascii="宋体" w:hAnsi="宋体" w:cs="宋体"/>
                <w:color w:val="auto"/>
                <w:sz w:val="24"/>
                <w:szCs w:val="24"/>
              </w:rPr>
            </w:pPr>
            <w:r>
              <w:rPr>
                <w:rFonts w:hint="eastAsia" w:ascii="宋体" w:hAnsi="宋体" w:cs="宋体"/>
                <w:color w:val="auto"/>
                <w:sz w:val="24"/>
                <w:szCs w:val="24"/>
              </w:rPr>
              <w:t>手机号码</w:t>
            </w:r>
          </w:p>
        </w:tc>
      </w:tr>
      <w:tr w14:paraId="2263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dxa"/>
          </w:tcPr>
          <w:p w14:paraId="079DCAFE">
            <w:pPr>
              <w:spacing w:line="480" w:lineRule="exact"/>
              <w:rPr>
                <w:rFonts w:ascii="宋体" w:hAnsi="宋体" w:cs="宋体"/>
                <w:color w:val="auto"/>
                <w:sz w:val="24"/>
                <w:szCs w:val="24"/>
              </w:rPr>
            </w:pPr>
            <w:r>
              <w:rPr>
                <w:rFonts w:hint="eastAsia" w:ascii="宋体" w:hAnsi="宋体" w:cs="宋体"/>
                <w:color w:val="auto"/>
                <w:sz w:val="24"/>
                <w:szCs w:val="24"/>
              </w:rPr>
              <w:t>1.</w:t>
            </w:r>
          </w:p>
        </w:tc>
        <w:tc>
          <w:tcPr>
            <w:tcW w:w="3473" w:type="dxa"/>
          </w:tcPr>
          <w:p w14:paraId="4B811BEF">
            <w:pPr>
              <w:spacing w:line="480" w:lineRule="exact"/>
              <w:rPr>
                <w:rFonts w:ascii="宋体" w:hAnsi="宋体" w:cs="宋体"/>
                <w:color w:val="auto"/>
                <w:sz w:val="24"/>
                <w:szCs w:val="24"/>
              </w:rPr>
            </w:pPr>
          </w:p>
        </w:tc>
        <w:tc>
          <w:tcPr>
            <w:tcW w:w="2691" w:type="dxa"/>
          </w:tcPr>
          <w:p w14:paraId="3319795D">
            <w:pPr>
              <w:spacing w:line="480" w:lineRule="exact"/>
              <w:rPr>
                <w:rFonts w:ascii="宋体" w:hAnsi="宋体" w:cs="宋体"/>
                <w:color w:val="auto"/>
                <w:sz w:val="24"/>
                <w:szCs w:val="24"/>
              </w:rPr>
            </w:pPr>
          </w:p>
        </w:tc>
        <w:tc>
          <w:tcPr>
            <w:tcW w:w="1254" w:type="dxa"/>
          </w:tcPr>
          <w:p w14:paraId="7351C0F2">
            <w:pPr>
              <w:spacing w:line="480" w:lineRule="exact"/>
              <w:rPr>
                <w:rFonts w:ascii="宋体" w:hAnsi="宋体" w:cs="宋体"/>
                <w:color w:val="auto"/>
                <w:sz w:val="24"/>
                <w:szCs w:val="24"/>
              </w:rPr>
            </w:pPr>
          </w:p>
        </w:tc>
      </w:tr>
    </w:tbl>
    <w:p w14:paraId="6EA62B2F">
      <w:pPr>
        <w:spacing w:line="480" w:lineRule="exact"/>
        <w:ind w:firstLine="540"/>
        <w:rPr>
          <w:rFonts w:ascii="宋体" w:hAnsi="宋体" w:cs="宋体"/>
          <w:b/>
          <w:bCs/>
          <w:color w:val="auto"/>
          <w:sz w:val="24"/>
          <w:szCs w:val="24"/>
        </w:rPr>
      </w:pPr>
      <w:r>
        <w:rPr>
          <w:rFonts w:hint="eastAsia" w:ascii="宋体" w:hAnsi="宋体" w:cs="宋体"/>
          <w:b/>
          <w:bCs/>
          <w:color w:val="auto"/>
          <w:sz w:val="24"/>
          <w:szCs w:val="24"/>
        </w:rPr>
        <w:t>五、响应文件提交</w:t>
      </w:r>
      <w:bookmarkEnd w:id="12"/>
      <w:bookmarkEnd w:id="13"/>
      <w:bookmarkEnd w:id="14"/>
      <w:bookmarkEnd w:id="15"/>
    </w:p>
    <w:p w14:paraId="77D38AE1">
      <w:pPr>
        <w:spacing w:line="480" w:lineRule="exact"/>
        <w:ind w:firstLine="480" w:firstLineChars="200"/>
        <w:rPr>
          <w:rFonts w:ascii="宋体" w:hAnsi="宋体" w:cs="宋体"/>
          <w:color w:val="auto"/>
          <w:sz w:val="24"/>
          <w:szCs w:val="24"/>
        </w:rPr>
      </w:pPr>
      <w:bookmarkStart w:id="16" w:name="_Toc35393633"/>
      <w:bookmarkStart w:id="17" w:name="_Toc28359093"/>
      <w:bookmarkStart w:id="18" w:name="_Toc28359016"/>
      <w:bookmarkStart w:id="19" w:name="_Toc35393802"/>
      <w:r>
        <w:rPr>
          <w:rFonts w:hint="eastAsia" w:ascii="宋体" w:hAnsi="宋体" w:cs="宋体"/>
          <w:color w:val="auto"/>
          <w:sz w:val="24"/>
          <w:szCs w:val="24"/>
        </w:rPr>
        <w:t>截止时间：</w:t>
      </w:r>
      <w:r>
        <w:rPr>
          <w:rFonts w:hint="eastAsia" w:ascii="宋体" w:hAnsi="宋体" w:cs="宋体"/>
          <w:b/>
          <w:bCs/>
          <w:color w:val="auto"/>
          <w:sz w:val="24"/>
          <w:szCs w:val="24"/>
          <w:u w:val="single"/>
          <w:lang w:eastAsia="zh-CN"/>
        </w:rPr>
        <w:t>2026年4月13日14点00分</w:t>
      </w:r>
      <w:r>
        <w:rPr>
          <w:rFonts w:hint="eastAsia" w:ascii="宋体" w:hAnsi="宋体" w:cs="宋体"/>
          <w:color w:val="auto"/>
          <w:sz w:val="24"/>
          <w:szCs w:val="24"/>
        </w:rPr>
        <w:t>（北京时间），逾时拒绝接收响应文件。</w:t>
      </w:r>
    </w:p>
    <w:p w14:paraId="0983CDA8">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地点：</w:t>
      </w:r>
      <w:r>
        <w:rPr>
          <w:rFonts w:hint="eastAsia" w:ascii="宋体" w:hAnsi="宋体" w:cs="宋体"/>
          <w:b/>
          <w:bCs/>
          <w:color w:val="auto"/>
          <w:sz w:val="24"/>
          <w:szCs w:val="24"/>
          <w:u w:val="single"/>
        </w:rPr>
        <w:t>南通市万科壹中心2402室，如有变动另行通知。</w:t>
      </w:r>
    </w:p>
    <w:p w14:paraId="20755982">
      <w:pPr>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六、</w:t>
      </w:r>
      <w:bookmarkEnd w:id="16"/>
      <w:bookmarkEnd w:id="17"/>
      <w:bookmarkEnd w:id="18"/>
      <w:bookmarkEnd w:id="19"/>
      <w:r>
        <w:rPr>
          <w:rFonts w:hint="eastAsia" w:ascii="宋体" w:hAnsi="宋体" w:cs="宋体"/>
          <w:b/>
          <w:bCs/>
          <w:color w:val="auto"/>
          <w:sz w:val="24"/>
          <w:szCs w:val="24"/>
        </w:rPr>
        <w:t>响应文件开启</w:t>
      </w:r>
    </w:p>
    <w:p w14:paraId="50F7A1E6">
      <w:pPr>
        <w:spacing w:line="480" w:lineRule="exact"/>
        <w:ind w:firstLine="480" w:firstLineChars="200"/>
        <w:rPr>
          <w:rFonts w:ascii="宋体" w:hAnsi="宋体" w:cs="宋体"/>
          <w:color w:val="auto"/>
          <w:sz w:val="24"/>
          <w:szCs w:val="24"/>
        </w:rPr>
      </w:pPr>
      <w:bookmarkStart w:id="20" w:name="_Toc28359017"/>
      <w:bookmarkStart w:id="21" w:name="_Toc35393803"/>
      <w:bookmarkStart w:id="22" w:name="_Toc35393634"/>
      <w:bookmarkStart w:id="23" w:name="_Toc28359094"/>
      <w:r>
        <w:rPr>
          <w:rFonts w:hint="eastAsia" w:ascii="宋体" w:hAnsi="宋体" w:cs="宋体"/>
          <w:color w:val="auto"/>
          <w:sz w:val="24"/>
          <w:szCs w:val="24"/>
        </w:rPr>
        <w:t>截止时间：</w:t>
      </w:r>
      <w:r>
        <w:rPr>
          <w:rFonts w:hint="eastAsia" w:ascii="宋体" w:hAnsi="宋体" w:cs="宋体"/>
          <w:b/>
          <w:bCs/>
          <w:color w:val="auto"/>
          <w:sz w:val="24"/>
          <w:szCs w:val="24"/>
          <w:u w:val="single"/>
          <w:lang w:eastAsia="zh-CN"/>
        </w:rPr>
        <w:t>2026年4月13日14点00分</w:t>
      </w:r>
      <w:r>
        <w:rPr>
          <w:rFonts w:hint="eastAsia" w:ascii="宋体" w:hAnsi="宋体" w:cs="宋体"/>
          <w:color w:val="auto"/>
          <w:sz w:val="24"/>
          <w:szCs w:val="24"/>
        </w:rPr>
        <w:t>（北京时间）。</w:t>
      </w:r>
    </w:p>
    <w:p w14:paraId="470ACDF2">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地点：</w:t>
      </w:r>
      <w:r>
        <w:rPr>
          <w:rFonts w:hint="eastAsia" w:ascii="宋体" w:hAnsi="宋体" w:cs="宋体"/>
          <w:b/>
          <w:bCs/>
          <w:color w:val="auto"/>
          <w:sz w:val="24"/>
          <w:szCs w:val="24"/>
          <w:u w:val="single"/>
        </w:rPr>
        <w:t>南通市万科壹中心2402室，如有变动另行通知。</w:t>
      </w:r>
    </w:p>
    <w:p w14:paraId="048B8B25">
      <w:pPr>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七、比选公告期限</w:t>
      </w:r>
      <w:bookmarkEnd w:id="20"/>
      <w:bookmarkEnd w:id="21"/>
      <w:bookmarkEnd w:id="22"/>
      <w:bookmarkEnd w:id="23"/>
    </w:p>
    <w:p w14:paraId="7865AFD4">
      <w:pPr>
        <w:spacing w:line="480" w:lineRule="exact"/>
        <w:ind w:firstLine="480" w:firstLineChars="200"/>
        <w:rPr>
          <w:rFonts w:ascii="宋体" w:hAnsi="宋体" w:cs="宋体"/>
          <w:color w:val="auto"/>
          <w:sz w:val="24"/>
          <w:szCs w:val="24"/>
        </w:rPr>
      </w:pPr>
      <w:bookmarkStart w:id="24" w:name="_Toc35393804"/>
      <w:bookmarkStart w:id="25" w:name="_Toc35393635"/>
      <w:r>
        <w:rPr>
          <w:rFonts w:hint="eastAsia" w:ascii="宋体" w:hAnsi="宋体" w:cs="宋体"/>
          <w:color w:val="auto"/>
          <w:sz w:val="24"/>
          <w:szCs w:val="24"/>
        </w:rPr>
        <w:t>自比选公告在南通市教育局网</w:t>
      </w:r>
      <w:r>
        <w:rPr>
          <w:rFonts w:hint="eastAsia" w:ascii="宋体" w:hAnsi="宋体" w:cs="宋体"/>
          <w:color w:val="auto"/>
          <w:sz w:val="24"/>
          <w:szCs w:val="24"/>
          <w:lang w:eastAsia="zh-CN"/>
        </w:rPr>
        <w:t>、</w:t>
      </w:r>
      <w:r>
        <w:rPr>
          <w:rFonts w:hint="eastAsia" w:ascii="宋体" w:hAnsi="宋体" w:cs="宋体"/>
          <w:color w:val="auto"/>
          <w:sz w:val="24"/>
          <w:szCs w:val="24"/>
        </w:rPr>
        <w:t>江苏省南通中学校园网发布之日起3个工作日。</w:t>
      </w:r>
    </w:p>
    <w:p w14:paraId="70174A5B">
      <w:pPr>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八、</w:t>
      </w:r>
      <w:bookmarkEnd w:id="24"/>
      <w:bookmarkEnd w:id="25"/>
      <w:bookmarkStart w:id="26" w:name="_Toc35393805"/>
      <w:bookmarkStart w:id="27" w:name="_Toc35393636"/>
      <w:bookmarkStart w:id="28" w:name="_Toc28359095"/>
      <w:bookmarkStart w:id="29" w:name="_Toc28359018"/>
      <w:r>
        <w:rPr>
          <w:rFonts w:hint="eastAsia" w:ascii="宋体" w:hAnsi="宋体" w:cs="宋体"/>
          <w:b/>
          <w:bCs/>
          <w:color w:val="auto"/>
          <w:sz w:val="24"/>
          <w:szCs w:val="24"/>
        </w:rPr>
        <w:t>凡对本次采购提出询问，请按以下方式联系。</w:t>
      </w:r>
      <w:bookmarkEnd w:id="26"/>
      <w:bookmarkEnd w:id="27"/>
      <w:bookmarkEnd w:id="28"/>
      <w:bookmarkEnd w:id="29"/>
    </w:p>
    <w:p w14:paraId="488C6617">
      <w:pPr>
        <w:snapToGrid w:val="0"/>
        <w:spacing w:line="480" w:lineRule="exact"/>
        <w:ind w:firstLine="480" w:firstLineChars="200"/>
        <w:jc w:val="left"/>
        <w:rPr>
          <w:rFonts w:ascii="宋体" w:hAnsi="宋体" w:cs="宋体"/>
          <w:color w:val="auto"/>
          <w:sz w:val="24"/>
          <w:szCs w:val="24"/>
        </w:rPr>
      </w:pPr>
      <w:bookmarkStart w:id="30" w:name="_Toc35393807"/>
      <w:bookmarkStart w:id="31" w:name="_Toc35393638"/>
      <w:bookmarkStart w:id="32" w:name="_Toc28359097"/>
      <w:bookmarkStart w:id="33" w:name="_Toc28359020"/>
      <w:r>
        <w:rPr>
          <w:rFonts w:hint="eastAsia" w:ascii="宋体" w:hAnsi="宋体" w:cs="宋体"/>
          <w:color w:val="auto"/>
          <w:sz w:val="24"/>
          <w:szCs w:val="24"/>
        </w:rPr>
        <w:t xml:space="preserve">1. </w:t>
      </w:r>
      <w:bookmarkEnd w:id="30"/>
      <w:bookmarkEnd w:id="31"/>
      <w:bookmarkEnd w:id="32"/>
      <w:bookmarkEnd w:id="33"/>
      <w:bookmarkStart w:id="34" w:name="_Toc18907"/>
      <w:r>
        <w:rPr>
          <w:rFonts w:hint="eastAsia" w:ascii="宋体" w:hAnsi="宋体" w:cs="宋体"/>
          <w:color w:val="auto"/>
          <w:sz w:val="24"/>
          <w:szCs w:val="24"/>
        </w:rPr>
        <w:t>采购人信息</w:t>
      </w:r>
    </w:p>
    <w:p w14:paraId="4D3562E3">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名称：江苏省南通中学</w:t>
      </w:r>
    </w:p>
    <w:p w14:paraId="141F72D6">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联系人：罗老师</w:t>
      </w:r>
    </w:p>
    <w:p w14:paraId="15854374">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联系方式：0513-85129218</w:t>
      </w:r>
    </w:p>
    <w:p w14:paraId="34796619">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2.采购代理机构信息</w:t>
      </w:r>
    </w:p>
    <w:p w14:paraId="304EA653">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名称：东方华星建设管理（江苏）有限公司</w:t>
      </w:r>
    </w:p>
    <w:p w14:paraId="544F7E71">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地址：南通市万科壹中心2402室</w:t>
      </w:r>
    </w:p>
    <w:p w14:paraId="08B2890D">
      <w:pPr>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联系人：徐工</w:t>
      </w:r>
    </w:p>
    <w:p w14:paraId="44405C96">
      <w:pPr>
        <w:snapToGrid w:val="0"/>
        <w:spacing w:line="480" w:lineRule="exact"/>
        <w:ind w:firstLine="480" w:firstLineChars="200"/>
        <w:jc w:val="left"/>
        <w:rPr>
          <w:rFonts w:ascii="宋体" w:hAnsi="宋体" w:cs="宋体"/>
          <w:b/>
          <w:color w:val="auto"/>
          <w:sz w:val="24"/>
          <w:szCs w:val="24"/>
        </w:rPr>
      </w:pPr>
      <w:r>
        <w:rPr>
          <w:rFonts w:hint="eastAsia" w:ascii="宋体" w:hAnsi="宋体" w:cs="宋体"/>
          <w:color w:val="auto"/>
          <w:sz w:val="24"/>
          <w:szCs w:val="24"/>
        </w:rPr>
        <w:t>联系方式：18106295192、0513-89000706</w:t>
      </w:r>
      <w:r>
        <w:rPr>
          <w:rFonts w:hint="eastAsia" w:ascii="宋体" w:hAnsi="宋体" w:cs="宋体"/>
          <w:b/>
          <w:color w:val="auto"/>
          <w:sz w:val="24"/>
          <w:szCs w:val="24"/>
        </w:rPr>
        <w:br w:type="page"/>
      </w:r>
    </w:p>
    <w:p w14:paraId="742CCE6A">
      <w:pPr>
        <w:snapToGrid w:val="0"/>
        <w:spacing w:line="480" w:lineRule="exact"/>
        <w:ind w:firstLine="480" w:firstLineChars="200"/>
        <w:jc w:val="center"/>
        <w:outlineLvl w:val="0"/>
        <w:rPr>
          <w:rFonts w:ascii="宋体" w:hAnsi="宋体" w:cs="宋体"/>
          <w:b/>
          <w:color w:val="auto"/>
          <w:sz w:val="24"/>
          <w:szCs w:val="24"/>
        </w:rPr>
      </w:pPr>
      <w:r>
        <w:rPr>
          <w:rFonts w:hint="eastAsia" w:ascii="宋体" w:hAnsi="宋体" w:cs="宋体"/>
          <w:b/>
          <w:color w:val="auto"/>
          <w:sz w:val="24"/>
          <w:szCs w:val="24"/>
        </w:rPr>
        <w:t>第二章  比选须知</w:t>
      </w:r>
      <w:bookmarkEnd w:id="34"/>
    </w:p>
    <w:p w14:paraId="75F7B63C">
      <w:pPr>
        <w:snapToGrid w:val="0"/>
        <w:spacing w:line="480" w:lineRule="exact"/>
        <w:ind w:firstLine="480" w:firstLineChars="200"/>
        <w:outlineLvl w:val="1"/>
        <w:rPr>
          <w:rFonts w:ascii="宋体" w:hAnsi="宋体" w:cs="宋体"/>
          <w:color w:val="auto"/>
          <w:sz w:val="24"/>
          <w:szCs w:val="24"/>
        </w:rPr>
      </w:pPr>
      <w:r>
        <w:rPr>
          <w:rFonts w:hint="eastAsia" w:ascii="宋体" w:hAnsi="宋体" w:cs="宋体"/>
          <w:b/>
          <w:color w:val="auto"/>
          <w:sz w:val="24"/>
          <w:szCs w:val="24"/>
        </w:rPr>
        <w:t>一、比选文件由采购人解释</w:t>
      </w:r>
      <w:r>
        <w:rPr>
          <w:rFonts w:hint="eastAsia" w:ascii="宋体" w:hAnsi="宋体" w:cs="宋体"/>
          <w:color w:val="auto"/>
          <w:sz w:val="24"/>
          <w:szCs w:val="24"/>
        </w:rPr>
        <w:t>。</w:t>
      </w:r>
    </w:p>
    <w:p w14:paraId="3B171435">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供应商下载比选文件后，应仔细检查比选文件的所有内容，如对采购项目活动事项有疑问的，应在下载比选文件开始之日起3日内以书面形式提出询问或疑问，未在规定的3日内提出询问或疑问的，视同供应商理解并接受本比选文件所有内容，由此引起的比选损失自负。</w:t>
      </w:r>
    </w:p>
    <w:p w14:paraId="7F6F0B31">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2.供应商应认真审阅比选文件中所有的事项、格式、条款和规范要求等，如果供应商没有按照比选文件要求提交响应文件，或者响应文件没有对比选文件做出实质性响应，其比选将被拒绝，供应商自行承担责任。</w:t>
      </w:r>
    </w:p>
    <w:p w14:paraId="620D641D">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二、比选文件的澄清、修改、答疑</w:t>
      </w:r>
    </w:p>
    <w:p w14:paraId="36C69C8E">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1.采购人有权对发出的比选文件进行必要的澄清或修改。</w:t>
      </w:r>
    </w:p>
    <w:p w14:paraId="7C70BC43">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2.采购人可视情取消、延长相关时间。</w:t>
      </w:r>
    </w:p>
    <w:p w14:paraId="0BF35DE3">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3.采购人对比选文件的澄清、修改将构成比选文件的一部分，对供应商具有约束力。</w:t>
      </w:r>
    </w:p>
    <w:p w14:paraId="12659792">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4.供应商由于对比选文件的任何推论和误解以及采购人对有关问题的口头解释所造成的后果，均由供应商自负。</w:t>
      </w:r>
    </w:p>
    <w:p w14:paraId="5E74882A">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5.采购人视情组织答疑会。</w:t>
      </w:r>
    </w:p>
    <w:p w14:paraId="3798A214">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三、比选报价</w:t>
      </w:r>
    </w:p>
    <w:p w14:paraId="758EA58A">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一个标的只允许一个报价，不接受任何有选择性的报价。</w:t>
      </w:r>
      <w:r>
        <w:rPr>
          <w:rFonts w:hint="eastAsia" w:ascii="宋体" w:hAnsi="宋体" w:cs="宋体"/>
          <w:b/>
          <w:bCs/>
          <w:color w:val="auto"/>
          <w:sz w:val="24"/>
          <w:szCs w:val="24"/>
        </w:rPr>
        <w:t>本项目仅一次报价。</w:t>
      </w:r>
    </w:p>
    <w:p w14:paraId="7C719BE3">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四、响应文件的编写、份数和签署</w:t>
      </w:r>
    </w:p>
    <w:p w14:paraId="2D763DF0">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1.响应文件由：①资格后审材料文件、②技术标响应文件、③价格标响应文件、④电子响应文件，共4部分组成（以下由文件序号代称）。</w:t>
      </w:r>
    </w:p>
    <w:p w14:paraId="2C32FE60">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2.纸质响应文件①、②、③均为一式三份，其中“正本”一份和“副本”两份。</w:t>
      </w:r>
    </w:p>
    <w:p w14:paraId="3B5568B7">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3.电子响应文件一份，电子响应文件的内容为“资格后审材料文件、技术标响应文件、价格标响应文件”的打印盖章或电子签章后的响应文件的扫描件（资格后审材料文件、技术标响应文件、价格标响应文件需分别逐页连续扫描为三个独立的PDF文件），采取U盘方式单独密封提交。</w:t>
      </w:r>
    </w:p>
    <w:p w14:paraId="569F0507">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4.在每份响应文件上要明确标注项目名称、对应的响应文件名称、供应商的全称、日期、“正本”“副本”字样。“正本”和“副本”若有差异，概以“正本”为准。</w:t>
      </w:r>
    </w:p>
    <w:p w14:paraId="2D90C180">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5.纸质响应文件中的所有“正本”，其正文内容须按比选文件要求由供应商法定代表人或被授权人签字（或盖章）并加盖单位公章。“副本”可复印，但须加盖单位公章。</w:t>
      </w:r>
    </w:p>
    <w:p w14:paraId="255C0AD1">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五、响应文件的密封及标记</w:t>
      </w:r>
    </w:p>
    <w:p w14:paraId="5717BA0F">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1.供应商须将本项目响应文件：</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1 \* GB3 </w:instrText>
      </w:r>
      <w:r>
        <w:rPr>
          <w:rFonts w:hint="eastAsia" w:ascii="宋体" w:hAnsi="宋体" w:cs="宋体"/>
          <w:color w:val="auto"/>
          <w:sz w:val="24"/>
          <w:szCs w:val="24"/>
        </w:rPr>
        <w:fldChar w:fldCharType="separate"/>
      </w:r>
      <w:r>
        <w:rPr>
          <w:rFonts w:hint="eastAsia" w:ascii="宋体" w:hAnsi="宋体" w:cs="宋体"/>
          <w:color w:val="auto"/>
          <w:sz w:val="24"/>
          <w:szCs w:val="24"/>
        </w:rPr>
        <w:t>①</w:t>
      </w:r>
      <w:r>
        <w:rPr>
          <w:rFonts w:hint="eastAsia" w:ascii="宋体" w:hAnsi="宋体" w:cs="宋体"/>
          <w:color w:val="auto"/>
          <w:sz w:val="24"/>
          <w:szCs w:val="24"/>
        </w:rPr>
        <w:fldChar w:fldCharType="end"/>
      </w:r>
      <w:r>
        <w:rPr>
          <w:rFonts w:hint="eastAsia" w:ascii="宋体" w:hAnsi="宋体" w:cs="宋体"/>
          <w:color w:val="auto"/>
          <w:sz w:val="24"/>
          <w:szCs w:val="24"/>
        </w:rPr>
        <w:t>、</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2 \* GB3 </w:instrText>
      </w:r>
      <w:r>
        <w:rPr>
          <w:rFonts w:hint="eastAsia" w:ascii="宋体" w:hAnsi="宋体" w:cs="宋体"/>
          <w:color w:val="auto"/>
          <w:sz w:val="24"/>
          <w:szCs w:val="24"/>
        </w:rPr>
        <w:fldChar w:fldCharType="separate"/>
      </w:r>
      <w:r>
        <w:rPr>
          <w:rFonts w:hint="eastAsia" w:ascii="宋体" w:hAnsi="宋体" w:cs="宋体"/>
          <w:color w:val="auto"/>
          <w:sz w:val="24"/>
          <w:szCs w:val="24"/>
        </w:rPr>
        <w:t>②</w:t>
      </w:r>
      <w:r>
        <w:rPr>
          <w:rFonts w:hint="eastAsia" w:ascii="宋体" w:hAnsi="宋体" w:cs="宋体"/>
          <w:color w:val="auto"/>
          <w:sz w:val="24"/>
          <w:szCs w:val="24"/>
        </w:rPr>
        <w:fldChar w:fldCharType="end"/>
      </w:r>
      <w:r>
        <w:rPr>
          <w:rFonts w:hint="eastAsia" w:ascii="宋体" w:hAnsi="宋体" w:cs="宋体"/>
          <w:color w:val="auto"/>
          <w:sz w:val="24"/>
          <w:szCs w:val="24"/>
        </w:rPr>
        <w:t>、③、④</w:t>
      </w:r>
      <w:r>
        <w:rPr>
          <w:rFonts w:hint="eastAsia" w:ascii="宋体" w:hAnsi="宋体" w:cs="宋体"/>
          <w:b/>
          <w:bCs/>
          <w:color w:val="auto"/>
          <w:sz w:val="24"/>
          <w:szCs w:val="24"/>
        </w:rPr>
        <w:t>单独密封。</w:t>
      </w:r>
    </w:p>
    <w:p w14:paraId="4449ABE3">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2.密封后，应在每一密封的响应文件上明确标注采购项目名称、标段号、响应文件各自对应的名称、供应商的全称及日期。</w:t>
      </w:r>
    </w:p>
    <w:p w14:paraId="59540685">
      <w:pPr>
        <w:snapToGrid w:val="0"/>
        <w:spacing w:line="480" w:lineRule="exact"/>
        <w:ind w:firstLine="480" w:firstLineChars="200"/>
        <w:contextualSpacing/>
        <w:rPr>
          <w:rFonts w:ascii="宋体" w:hAnsi="宋体" w:cs="宋体"/>
          <w:color w:val="auto"/>
          <w:sz w:val="24"/>
          <w:szCs w:val="24"/>
        </w:rPr>
      </w:pPr>
      <w:r>
        <w:rPr>
          <w:rFonts w:hint="eastAsia" w:ascii="宋体" w:hAnsi="宋体" w:cs="宋体"/>
          <w:color w:val="auto"/>
          <w:sz w:val="24"/>
          <w:szCs w:val="24"/>
        </w:rPr>
        <w:t>3.在边缝处加盖供应商公章或骑缝签字。</w:t>
      </w:r>
    </w:p>
    <w:p w14:paraId="078AFB1B">
      <w:pPr>
        <w:snapToGrid w:val="0"/>
        <w:spacing w:line="480" w:lineRule="exact"/>
        <w:ind w:firstLine="480" w:firstLineChars="200"/>
        <w:contextualSpacing/>
        <w:rPr>
          <w:rFonts w:ascii="宋体" w:hAnsi="宋体" w:cs="宋体"/>
          <w:b/>
          <w:bCs/>
          <w:color w:val="auto"/>
          <w:sz w:val="24"/>
          <w:szCs w:val="24"/>
        </w:rPr>
      </w:pPr>
      <w:r>
        <w:rPr>
          <w:rFonts w:hint="eastAsia" w:ascii="宋体" w:hAnsi="宋体" w:cs="宋体"/>
          <w:b/>
          <w:bCs/>
          <w:color w:val="auto"/>
          <w:sz w:val="24"/>
          <w:szCs w:val="24"/>
        </w:rPr>
        <w:t>【特别提醒】响应文件中的</w:t>
      </w: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 1 \* GB3 </w:instrText>
      </w:r>
      <w:r>
        <w:rPr>
          <w:rFonts w:hint="eastAsia" w:ascii="宋体" w:hAnsi="宋体" w:cs="宋体"/>
          <w:b/>
          <w:bCs/>
          <w:color w:val="auto"/>
          <w:sz w:val="24"/>
          <w:szCs w:val="24"/>
        </w:rPr>
        <w:fldChar w:fldCharType="separate"/>
      </w:r>
      <w:r>
        <w:rPr>
          <w:rFonts w:hint="eastAsia" w:ascii="宋体" w:hAnsi="宋体" w:cs="宋体"/>
          <w:b/>
          <w:bCs/>
          <w:color w:val="auto"/>
          <w:sz w:val="24"/>
          <w:szCs w:val="24"/>
        </w:rPr>
        <w:t>①</w:t>
      </w:r>
      <w:r>
        <w:rPr>
          <w:rFonts w:hint="eastAsia" w:ascii="宋体" w:hAnsi="宋体" w:cs="宋体"/>
          <w:b/>
          <w:bCs/>
          <w:color w:val="auto"/>
          <w:sz w:val="24"/>
          <w:szCs w:val="24"/>
        </w:rPr>
        <w:fldChar w:fldCharType="end"/>
      </w:r>
      <w:r>
        <w:rPr>
          <w:rFonts w:hint="eastAsia" w:ascii="宋体" w:hAnsi="宋体" w:cs="宋体"/>
          <w:b/>
          <w:bCs/>
          <w:color w:val="auto"/>
          <w:sz w:val="24"/>
          <w:szCs w:val="24"/>
        </w:rPr>
        <w:t>和</w:t>
      </w: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 2 \* GB3 </w:instrText>
      </w:r>
      <w:r>
        <w:rPr>
          <w:rFonts w:hint="eastAsia" w:ascii="宋体" w:hAnsi="宋体" w:cs="宋体"/>
          <w:b/>
          <w:bCs/>
          <w:color w:val="auto"/>
          <w:sz w:val="24"/>
          <w:szCs w:val="24"/>
        </w:rPr>
        <w:fldChar w:fldCharType="separate"/>
      </w:r>
      <w:r>
        <w:rPr>
          <w:rFonts w:hint="eastAsia" w:ascii="宋体" w:hAnsi="宋体" w:cs="宋体"/>
          <w:b/>
          <w:bCs/>
          <w:color w:val="auto"/>
          <w:sz w:val="24"/>
          <w:szCs w:val="24"/>
        </w:rPr>
        <w:t>②</w:t>
      </w:r>
      <w:r>
        <w:rPr>
          <w:rFonts w:hint="eastAsia" w:ascii="宋体" w:hAnsi="宋体" w:cs="宋体"/>
          <w:b/>
          <w:bCs/>
          <w:color w:val="auto"/>
          <w:sz w:val="24"/>
          <w:szCs w:val="24"/>
        </w:rPr>
        <w:fldChar w:fldCharType="end"/>
      </w:r>
      <w:r>
        <w:rPr>
          <w:rFonts w:hint="eastAsia" w:ascii="宋体" w:hAnsi="宋体" w:cs="宋体"/>
          <w:b/>
          <w:bCs/>
          <w:color w:val="auto"/>
          <w:sz w:val="24"/>
          <w:szCs w:val="24"/>
        </w:rPr>
        <w:t>的“正本”或“副本”中，均不得含有报价响应文件中报价表（报价单）内的任何项目价格，否则作无效响应处理。</w:t>
      </w:r>
    </w:p>
    <w:p w14:paraId="79CFE5AA">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六、响应文件的递交时间</w:t>
      </w:r>
    </w:p>
    <w:p w14:paraId="37AAA711">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响应文件必须在规定的接收截止时间前送达指定地点。代理机构将拒绝接收在截止时间后递交的响应文件。</w:t>
      </w:r>
    </w:p>
    <w:p w14:paraId="28D7F7D7">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七、相关费用</w:t>
      </w:r>
    </w:p>
    <w:p w14:paraId="004BC395">
      <w:pPr>
        <w:autoSpaceDE w:val="0"/>
        <w:autoSpaceDN w:val="0"/>
        <w:adjustRightInd w:val="0"/>
        <w:spacing w:line="480" w:lineRule="exact"/>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rPr>
        <w:t>1.</w:t>
      </w:r>
      <w:r>
        <w:rPr>
          <w:rFonts w:hint="eastAsia" w:ascii="宋体" w:hAnsi="宋体" w:cs="宋体"/>
          <w:color w:val="auto"/>
          <w:kern w:val="0"/>
          <w:sz w:val="24"/>
          <w:szCs w:val="24"/>
          <w:lang w:val="zh-CN"/>
        </w:rPr>
        <w:t>无论</w:t>
      </w:r>
      <w:r>
        <w:rPr>
          <w:rFonts w:hint="eastAsia" w:ascii="宋体" w:hAnsi="宋体" w:cs="宋体"/>
          <w:color w:val="auto"/>
          <w:kern w:val="0"/>
          <w:sz w:val="24"/>
          <w:szCs w:val="24"/>
        </w:rPr>
        <w:t>比选</w:t>
      </w:r>
      <w:r>
        <w:rPr>
          <w:rFonts w:hint="eastAsia" w:ascii="宋体" w:hAnsi="宋体" w:cs="宋体"/>
          <w:color w:val="auto"/>
          <w:kern w:val="0"/>
          <w:sz w:val="24"/>
          <w:szCs w:val="24"/>
          <w:lang w:val="zh-CN"/>
        </w:rPr>
        <w:t>过程和结果如何，参加</w:t>
      </w:r>
      <w:r>
        <w:rPr>
          <w:rFonts w:hint="eastAsia" w:ascii="宋体" w:hAnsi="宋体" w:cs="宋体"/>
          <w:color w:val="auto"/>
          <w:kern w:val="0"/>
          <w:sz w:val="24"/>
          <w:szCs w:val="24"/>
        </w:rPr>
        <w:t>比选</w:t>
      </w:r>
      <w:r>
        <w:rPr>
          <w:rFonts w:hint="eastAsia" w:ascii="宋体" w:hAnsi="宋体" w:cs="宋体"/>
          <w:color w:val="auto"/>
          <w:kern w:val="0"/>
          <w:sz w:val="24"/>
          <w:szCs w:val="24"/>
          <w:lang w:val="zh-CN"/>
        </w:rPr>
        <w:t>的响应人自行承担与本次项目有关的全部费用。</w:t>
      </w:r>
    </w:p>
    <w:p w14:paraId="759AE1C0">
      <w:pPr>
        <w:autoSpaceDE w:val="0"/>
        <w:autoSpaceDN w:val="0"/>
        <w:adjustRightInd w:val="0"/>
        <w:spacing w:line="48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2.本项目代理服务费按1500元计收，由成交人支付。开标现场定标后由成交人支付给代理机构。   </w:t>
      </w:r>
    </w:p>
    <w:p w14:paraId="51D36C8D">
      <w:pPr>
        <w:autoSpaceDE w:val="0"/>
        <w:autoSpaceDN w:val="0"/>
        <w:adjustRightInd w:val="0"/>
        <w:spacing w:line="480" w:lineRule="exact"/>
        <w:ind w:firstLine="480" w:firstLineChars="200"/>
        <w:jc w:val="left"/>
        <w:rPr>
          <w:rFonts w:ascii="宋体" w:hAnsi="宋体" w:cs="宋体"/>
          <w:color w:val="auto"/>
          <w:sz w:val="24"/>
          <w:szCs w:val="24"/>
        </w:rPr>
      </w:pPr>
      <w:r>
        <w:rPr>
          <w:rFonts w:hint="eastAsia" w:ascii="宋体" w:hAnsi="宋体" w:cs="宋体"/>
          <w:color w:val="auto"/>
          <w:kern w:val="0"/>
          <w:sz w:val="24"/>
          <w:szCs w:val="24"/>
        </w:rPr>
        <w:t>3.比选</w:t>
      </w:r>
      <w:r>
        <w:rPr>
          <w:rFonts w:hint="eastAsia" w:ascii="宋体" w:hAnsi="宋体" w:cs="宋体"/>
          <w:color w:val="auto"/>
          <w:kern w:val="0"/>
          <w:sz w:val="24"/>
          <w:szCs w:val="24"/>
          <w:lang w:val="zh-CN"/>
        </w:rPr>
        <w:t>文件未列明，而</w:t>
      </w:r>
      <w:r>
        <w:rPr>
          <w:rFonts w:hint="eastAsia" w:ascii="宋体" w:hAnsi="宋体" w:cs="宋体"/>
          <w:color w:val="auto"/>
          <w:kern w:val="0"/>
          <w:sz w:val="24"/>
          <w:szCs w:val="24"/>
        </w:rPr>
        <w:t>响应</w:t>
      </w:r>
      <w:r>
        <w:rPr>
          <w:rFonts w:hint="eastAsia" w:ascii="宋体" w:hAnsi="宋体" w:cs="宋体"/>
          <w:color w:val="auto"/>
          <w:kern w:val="0"/>
          <w:sz w:val="24"/>
          <w:szCs w:val="24"/>
          <w:lang w:val="zh-CN"/>
        </w:rPr>
        <w:t>供应商认为必需的费用也需</w:t>
      </w:r>
      <w:r>
        <w:rPr>
          <w:rFonts w:hint="eastAsia" w:ascii="宋体" w:hAnsi="宋体" w:cs="宋体"/>
          <w:color w:val="auto"/>
          <w:kern w:val="0"/>
          <w:sz w:val="24"/>
          <w:szCs w:val="24"/>
        </w:rPr>
        <w:t>考虑进</w:t>
      </w:r>
      <w:r>
        <w:rPr>
          <w:rFonts w:hint="eastAsia" w:ascii="宋体" w:hAnsi="宋体" w:cs="宋体"/>
          <w:color w:val="auto"/>
          <w:kern w:val="0"/>
          <w:sz w:val="24"/>
          <w:szCs w:val="24"/>
          <w:lang w:val="zh-CN"/>
        </w:rPr>
        <w:t>报价（</w:t>
      </w:r>
      <w:r>
        <w:rPr>
          <w:rFonts w:hint="eastAsia" w:ascii="宋体" w:hAnsi="宋体" w:cs="宋体"/>
          <w:color w:val="auto"/>
          <w:kern w:val="0"/>
          <w:sz w:val="24"/>
          <w:szCs w:val="24"/>
        </w:rPr>
        <w:t>不单列）</w:t>
      </w:r>
      <w:r>
        <w:rPr>
          <w:rFonts w:hint="eastAsia" w:ascii="宋体" w:hAnsi="宋体" w:cs="宋体"/>
          <w:color w:val="auto"/>
          <w:kern w:val="0"/>
          <w:sz w:val="24"/>
          <w:szCs w:val="24"/>
          <w:lang w:val="zh-CN"/>
        </w:rPr>
        <w:t>。</w:t>
      </w:r>
    </w:p>
    <w:p w14:paraId="36F8315E">
      <w:pPr>
        <w:snapToGrid w:val="0"/>
        <w:spacing w:line="480" w:lineRule="exact"/>
        <w:ind w:firstLine="480" w:firstLineChars="200"/>
        <w:outlineLvl w:val="1"/>
        <w:rPr>
          <w:rFonts w:ascii="宋体" w:hAnsi="宋体" w:cs="宋体"/>
          <w:b/>
          <w:color w:val="auto"/>
          <w:sz w:val="24"/>
          <w:szCs w:val="24"/>
        </w:rPr>
      </w:pPr>
      <w:r>
        <w:rPr>
          <w:rFonts w:hint="eastAsia" w:ascii="宋体" w:hAnsi="宋体" w:cs="宋体"/>
          <w:b/>
          <w:color w:val="auto"/>
          <w:sz w:val="24"/>
          <w:szCs w:val="24"/>
        </w:rPr>
        <w:t>八、付款方式</w:t>
      </w:r>
    </w:p>
    <w:p w14:paraId="6A8ABC50">
      <w:pPr>
        <w:pStyle w:val="21"/>
        <w:numPr>
          <w:ilvl w:val="255"/>
          <w:numId w:val="0"/>
        </w:numPr>
        <w:spacing w:line="480" w:lineRule="exact"/>
        <w:ind w:firstLine="480" w:firstLineChars="200"/>
        <w:rPr>
          <w:rFonts w:ascii="宋体" w:hAnsi="宋体" w:cs="宋体"/>
          <w:color w:val="auto"/>
        </w:rPr>
      </w:pPr>
      <w:bookmarkStart w:id="35" w:name="_Toc5043"/>
      <w:r>
        <w:rPr>
          <w:rFonts w:hint="eastAsia" w:ascii="宋体" w:hAnsi="宋体" w:cs="宋体"/>
          <w:color w:val="auto"/>
        </w:rPr>
        <w:t>体检结束后，医院向学校提交书面体检报告，由学校进行验收。验收合格后，学校将实际体检的人数及体检项目进行统计（以医院提供的体检报告为统计依据），经双方认可后，按参加体检的成交单价进行结算。</w:t>
      </w:r>
    </w:p>
    <w:p w14:paraId="676728BE">
      <w:pPr>
        <w:pStyle w:val="21"/>
        <w:numPr>
          <w:ilvl w:val="255"/>
          <w:numId w:val="0"/>
        </w:numPr>
        <w:spacing w:line="480" w:lineRule="exact"/>
        <w:ind w:firstLine="480" w:firstLineChars="200"/>
        <w:rPr>
          <w:rFonts w:ascii="宋体" w:hAnsi="宋体" w:cs="宋体"/>
          <w:color w:val="auto"/>
        </w:rPr>
      </w:pPr>
      <w:r>
        <w:rPr>
          <w:rFonts w:hint="eastAsia" w:ascii="宋体" w:hAnsi="宋体" w:cs="宋体"/>
          <w:color w:val="auto"/>
        </w:rPr>
        <w:t>体检完成10个工作日内，医院向学校提交书面体检报告，并按照学生体检数据标准格式录入数据库并上传至教育体检指定系统后，经学校验收合格后一次性付清。</w:t>
      </w:r>
    </w:p>
    <w:p w14:paraId="7B92FF80">
      <w:pPr>
        <w:pStyle w:val="21"/>
        <w:numPr>
          <w:ilvl w:val="0"/>
          <w:numId w:val="3"/>
        </w:numPr>
        <w:spacing w:line="480" w:lineRule="exact"/>
        <w:ind w:firstLine="480" w:firstLineChars="200"/>
        <w:rPr>
          <w:rFonts w:ascii="宋体" w:hAnsi="宋体" w:cs="宋体"/>
          <w:b/>
          <w:bCs/>
          <w:color w:val="auto"/>
        </w:rPr>
      </w:pPr>
      <w:r>
        <w:rPr>
          <w:rFonts w:hint="eastAsia" w:ascii="宋体" w:hAnsi="宋体" w:cs="宋体"/>
          <w:b/>
          <w:bCs/>
          <w:color w:val="auto"/>
        </w:rPr>
        <w:t>履约保证金</w:t>
      </w:r>
    </w:p>
    <w:p w14:paraId="5160C2B7">
      <w:pPr>
        <w:pStyle w:val="21"/>
        <w:numPr>
          <w:ilvl w:val="255"/>
          <w:numId w:val="0"/>
        </w:numPr>
        <w:spacing w:line="480" w:lineRule="exact"/>
        <w:ind w:firstLine="480" w:firstLineChars="200"/>
        <w:rPr>
          <w:rFonts w:ascii="宋体" w:hAnsi="宋体" w:cs="宋体"/>
          <w:color w:val="auto"/>
        </w:rPr>
      </w:pPr>
      <w:r>
        <w:rPr>
          <w:rFonts w:hint="eastAsia" w:ascii="宋体" w:hAnsi="宋体" w:cs="宋体"/>
          <w:color w:val="auto"/>
        </w:rPr>
        <w:t>本项目不涉及。</w:t>
      </w:r>
    </w:p>
    <w:p w14:paraId="081AD202">
      <w:pPr>
        <w:rPr>
          <w:rFonts w:ascii="宋体" w:hAnsi="宋体" w:cs="宋体"/>
          <w:color w:val="auto"/>
        </w:rPr>
      </w:pPr>
      <w:r>
        <w:rPr>
          <w:rFonts w:ascii="宋体" w:hAnsi="宋体" w:cs="宋体"/>
          <w:color w:val="auto"/>
        </w:rPr>
        <w:br w:type="page"/>
      </w:r>
    </w:p>
    <w:p w14:paraId="07F73CF2">
      <w:pPr>
        <w:pStyle w:val="17"/>
        <w:spacing w:line="480" w:lineRule="exact"/>
        <w:ind w:firstLine="3279" w:firstLineChars="1300"/>
        <w:outlineLvl w:val="0"/>
        <w:rPr>
          <w:rFonts w:hAnsi="宋体" w:cs="宋体"/>
          <w:color w:val="auto"/>
          <w:sz w:val="24"/>
          <w:szCs w:val="24"/>
        </w:rPr>
      </w:pPr>
      <w:r>
        <w:rPr>
          <w:rFonts w:hint="eastAsia" w:hAnsi="宋体" w:cs="宋体"/>
          <w:color w:val="auto"/>
          <w:sz w:val="24"/>
          <w:szCs w:val="24"/>
        </w:rPr>
        <w:t>第三章  项目需求</w:t>
      </w:r>
      <w:bookmarkEnd w:id="35"/>
    </w:p>
    <w:p w14:paraId="32E9B574">
      <w:pPr>
        <w:autoSpaceDE w:val="0"/>
        <w:autoSpaceDN w:val="0"/>
        <w:adjustRightInd w:val="0"/>
        <w:snapToGrid w:val="0"/>
        <w:spacing w:line="480" w:lineRule="exact"/>
        <w:ind w:firstLine="480" w:firstLineChars="200"/>
        <w:contextualSpacing/>
        <w:jc w:val="left"/>
        <w:rPr>
          <w:rFonts w:ascii="宋体" w:hAnsi="宋体" w:cs="宋体"/>
          <w:color w:val="auto"/>
          <w:kern w:val="0"/>
          <w:sz w:val="24"/>
          <w:szCs w:val="24"/>
        </w:rPr>
      </w:pPr>
      <w:bookmarkStart w:id="36" w:name="_Toc24193"/>
      <w:r>
        <w:rPr>
          <w:rFonts w:hint="eastAsia" w:ascii="宋体" w:hAnsi="宋体" w:cs="宋体"/>
          <w:color w:val="auto"/>
          <w:kern w:val="0"/>
          <w:sz w:val="24"/>
          <w:szCs w:val="24"/>
        </w:rPr>
        <w:t>请供应商在制作响应文件时仔细研究项目需求说明。供应商不能简单照搬照抄采购单位项目需求说明中的技术、商务要求，必须作实事求是的响应。如照搬照抄项目需求说明中的技术、商务要求的，成交后供应商在同采购人签订合同和履约环节中不得提出异议，一切后果和损失由成交供应商承担。如供应商提供的货物服务同采购人提出的项目需求说明中的技术、商务要求不同的，必须在《商务部分正负偏离表》和《技术部分正负偏离表》上明示，如不明示的视同完全响应。</w:t>
      </w:r>
    </w:p>
    <w:p w14:paraId="4AE2FD0E">
      <w:pPr>
        <w:widowControl/>
        <w:spacing w:line="480" w:lineRule="exact"/>
        <w:ind w:firstLine="480" w:firstLineChars="200"/>
        <w:outlineLvl w:val="1"/>
        <w:rPr>
          <w:rFonts w:ascii="宋体" w:hAnsi="宋体" w:cs="宋体"/>
          <w:b/>
          <w:color w:val="auto"/>
          <w:sz w:val="24"/>
          <w:szCs w:val="24"/>
          <w:highlight w:val="none"/>
        </w:rPr>
      </w:pPr>
      <w:r>
        <w:rPr>
          <w:rFonts w:hint="eastAsia" w:ascii="宋体" w:hAnsi="宋体" w:cs="宋体"/>
          <w:b/>
          <w:color w:val="auto"/>
          <w:sz w:val="24"/>
          <w:szCs w:val="24"/>
          <w:highlight w:val="none"/>
        </w:rPr>
        <w:t>一、项目概况</w:t>
      </w:r>
    </w:p>
    <w:p w14:paraId="0112DABB">
      <w:pPr>
        <w:widowControl/>
        <w:spacing w:line="48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1.服务地点：①江苏省南通中学（普通生） ②成交单位体检中心（西藏生等）。</w:t>
      </w:r>
    </w:p>
    <w:p w14:paraId="4B5DE6D7">
      <w:pPr>
        <w:widowControl/>
        <w:spacing w:line="480" w:lineRule="exact"/>
        <w:ind w:firstLine="480" w:firstLineChars="200"/>
        <w:rPr>
          <w:rFonts w:ascii="宋体" w:hAnsi="宋体" w:cs="宋体"/>
          <w:color w:val="auto"/>
          <w:sz w:val="24"/>
          <w:szCs w:val="24"/>
        </w:rPr>
      </w:pPr>
      <w:r>
        <w:rPr>
          <w:rFonts w:hint="eastAsia" w:ascii="宋体" w:hAnsi="宋体" w:cs="宋体"/>
          <w:bCs/>
          <w:color w:val="auto"/>
          <w:sz w:val="24"/>
          <w:szCs w:val="24"/>
          <w:highlight w:val="none"/>
        </w:rPr>
        <w:t>2.</w:t>
      </w:r>
      <w:r>
        <w:rPr>
          <w:rFonts w:hint="eastAsia" w:ascii="宋体" w:hAnsi="宋体" w:cs="宋体"/>
          <w:color w:val="auto"/>
          <w:sz w:val="24"/>
          <w:szCs w:val="24"/>
          <w:highlight w:val="none"/>
        </w:rPr>
        <w:t>本项目一次采购</w:t>
      </w:r>
      <w:r>
        <w:rPr>
          <w:rFonts w:hint="eastAsia" w:ascii="宋体" w:hAnsi="宋体" w:cs="宋体"/>
          <w:color w:val="auto"/>
          <w:sz w:val="24"/>
          <w:szCs w:val="24"/>
        </w:rPr>
        <w:t>三年有效，合同一年一签，采购单位具有对成交单位履职期间的情况进行综合考核并决定是否续签合同的权利，最多续签2次。</w:t>
      </w:r>
    </w:p>
    <w:p w14:paraId="6C6D94B4">
      <w:pPr>
        <w:widowControl/>
        <w:spacing w:line="480" w:lineRule="exact"/>
        <w:ind w:firstLine="508" w:firstLineChars="200"/>
        <w:outlineLvl w:val="1"/>
        <w:rPr>
          <w:rFonts w:ascii="宋体" w:hAnsi="宋体" w:cs="宋体"/>
          <w:b/>
          <w:color w:val="auto"/>
          <w:spacing w:val="7"/>
          <w:kern w:val="0"/>
          <w:sz w:val="24"/>
          <w:szCs w:val="24"/>
          <w:shd w:val="clear" w:color="auto" w:fill="FFFFFF"/>
        </w:rPr>
      </w:pPr>
      <w:r>
        <w:rPr>
          <w:rFonts w:hint="eastAsia" w:ascii="宋体" w:hAnsi="宋体" w:cs="宋体"/>
          <w:b/>
          <w:color w:val="auto"/>
          <w:spacing w:val="7"/>
          <w:kern w:val="0"/>
          <w:sz w:val="24"/>
          <w:szCs w:val="24"/>
          <w:shd w:val="clear" w:color="auto" w:fill="FFFFFF"/>
        </w:rPr>
        <w:t>二、具体需求</w:t>
      </w:r>
    </w:p>
    <w:p w14:paraId="42EEB773">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（一）体检项目和要求</w:t>
      </w:r>
    </w:p>
    <w:p w14:paraId="5B008C92">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按照《学校卫生工作条例》《国家学校体育卫生条件试行基本标准》《预防性健康检查管理办法》《中小学生健康体检管理办法》《江苏省教育厅、卫健委、财政厅、物价局关于进一步做好中小学生健康体检工作的通知》要求严格执行，常规体检必检项目不能漏检漏查。</w:t>
      </w:r>
    </w:p>
    <w:p w14:paraId="3F1D960E">
      <w:pPr>
        <w:widowControl/>
        <w:numPr>
          <w:ilvl w:val="0"/>
          <w:numId w:val="4"/>
        </w:numP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服务内容</w:t>
      </w:r>
    </w:p>
    <w:p w14:paraId="6D1268D5">
      <w:pPr>
        <w:widowControl/>
        <w:spacing w:line="480" w:lineRule="exact"/>
        <w:ind w:firstLine="480" w:firstLineChars="200"/>
        <w:rPr>
          <w:rFonts w:ascii="宋体" w:hAnsi="宋体" w:cs="宋体"/>
          <w:b/>
          <w:color w:val="auto"/>
          <w:sz w:val="24"/>
          <w:szCs w:val="24"/>
        </w:rPr>
      </w:pPr>
      <w:r>
        <w:rPr>
          <w:rFonts w:hint="eastAsia" w:ascii="宋体" w:hAnsi="宋体" w:cs="宋体"/>
          <w:b/>
          <w:color w:val="auto"/>
          <w:sz w:val="24"/>
          <w:szCs w:val="24"/>
        </w:rPr>
        <w:t>1.秋季体检</w:t>
      </w:r>
    </w:p>
    <w:p w14:paraId="764C93BC">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（1）</w:t>
      </w:r>
      <w:r>
        <w:rPr>
          <w:rFonts w:hint="eastAsia" w:ascii="宋体" w:hAnsi="宋体" w:cs="宋体"/>
          <w:bCs/>
          <w:color w:val="auto"/>
          <w:sz w:val="24"/>
          <w:szCs w:val="24"/>
          <w:lang w:val="zh-CN"/>
        </w:rPr>
        <w:t>问诊：近期有何不适症状 ，肺结核密切接触史和肺结核可疑症状是必须问诊项目。</w:t>
      </w:r>
    </w:p>
    <w:p w14:paraId="72CC83E9">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（2）</w:t>
      </w:r>
      <w:r>
        <w:rPr>
          <w:rFonts w:hint="eastAsia" w:ascii="宋体" w:hAnsi="宋体" w:cs="宋体"/>
          <w:bCs/>
          <w:color w:val="auto"/>
          <w:sz w:val="24"/>
          <w:szCs w:val="24"/>
          <w:lang w:val="zh-CN"/>
        </w:rPr>
        <w:t>内科检查：心率、心脏杂音、心律、肺部啰音、肝、脾。</w:t>
      </w:r>
    </w:p>
    <w:p w14:paraId="2AED8226">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（3）</w:t>
      </w:r>
      <w:r>
        <w:rPr>
          <w:rFonts w:hint="eastAsia" w:ascii="宋体" w:hAnsi="宋体" w:cs="宋体"/>
          <w:bCs/>
          <w:color w:val="auto"/>
          <w:sz w:val="24"/>
          <w:szCs w:val="24"/>
          <w:lang w:val="zh-CN"/>
        </w:rPr>
        <w:t>眼科检查：视力（裸眼视力、戴镜视力（如戴眼镜需检查））、屈光度、结膜、角膜、晶体、瞳孔、眼位、眼球运动、异常视觉行为、戴镜情况、近视、远视、弱视、斜视、散光、沙眼、结膜炎。</w:t>
      </w:r>
    </w:p>
    <w:p w14:paraId="74A6B30F">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（4）</w:t>
      </w:r>
      <w:r>
        <w:rPr>
          <w:rFonts w:hint="eastAsia" w:ascii="宋体" w:hAnsi="宋体" w:cs="宋体"/>
          <w:bCs/>
          <w:color w:val="auto"/>
          <w:sz w:val="24"/>
          <w:szCs w:val="24"/>
          <w:lang w:val="zh-CN"/>
        </w:rPr>
        <w:t>口腔科检查：牙齿、牙周、有无龋齿、龋患（失、补）牙数。</w:t>
      </w:r>
    </w:p>
    <w:p w14:paraId="3A303CB0">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（5）</w:t>
      </w:r>
      <w:r>
        <w:rPr>
          <w:rFonts w:hint="eastAsia" w:ascii="宋体" w:hAnsi="宋体" w:cs="宋体"/>
          <w:bCs/>
          <w:color w:val="auto"/>
          <w:sz w:val="24"/>
          <w:szCs w:val="24"/>
          <w:lang w:val="zh-CN"/>
        </w:rPr>
        <w:t>外科检查：头部、颈部、胸部、脊柱、四肢、皮肤、淋巴结。</w:t>
      </w:r>
    </w:p>
    <w:p w14:paraId="6794F7B0">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（6）</w:t>
      </w:r>
      <w:r>
        <w:rPr>
          <w:rFonts w:hint="eastAsia" w:ascii="宋体" w:hAnsi="宋体" w:cs="宋体"/>
          <w:bCs/>
          <w:color w:val="auto"/>
          <w:sz w:val="24"/>
          <w:szCs w:val="24"/>
          <w:lang w:val="zh-CN"/>
        </w:rPr>
        <w:t>形体指标检查：身高、体重。</w:t>
      </w:r>
    </w:p>
    <w:p w14:paraId="58EF0D47">
      <w:pPr>
        <w:widowControl/>
        <w:spacing w:line="480" w:lineRule="exact"/>
        <w:ind w:firstLine="480" w:firstLineChars="200"/>
        <w:rPr>
          <w:rFonts w:ascii="宋体" w:hAnsi="宋体" w:cs="宋体"/>
          <w:bCs/>
          <w:color w:val="auto"/>
          <w:sz w:val="24"/>
          <w:szCs w:val="24"/>
          <w:lang w:val="zh-CN"/>
        </w:rPr>
      </w:pPr>
      <w:r>
        <w:rPr>
          <w:rFonts w:hint="eastAsia" w:ascii="宋体" w:hAnsi="宋体" w:cs="宋体"/>
          <w:bCs/>
          <w:color w:val="auto"/>
          <w:sz w:val="24"/>
          <w:szCs w:val="24"/>
        </w:rPr>
        <w:t>（7）</w:t>
      </w:r>
      <w:r>
        <w:rPr>
          <w:rFonts w:hint="eastAsia" w:ascii="宋体" w:hAnsi="宋体" w:cs="宋体"/>
          <w:bCs/>
          <w:color w:val="auto"/>
          <w:sz w:val="24"/>
          <w:szCs w:val="24"/>
          <w:lang w:val="zh-CN"/>
        </w:rPr>
        <w:t>生理功能指标检查：血压、心率。</w:t>
      </w:r>
    </w:p>
    <w:p w14:paraId="65DD3DAC">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（8）包括但不限于以上内容</w:t>
      </w:r>
      <w:r>
        <w:rPr>
          <w:rFonts w:hint="eastAsia" w:ascii="宋体" w:hAnsi="宋体" w:cs="宋体"/>
          <w:bCs/>
          <w:color w:val="auto"/>
          <w:sz w:val="24"/>
          <w:szCs w:val="24"/>
          <w:lang w:val="zh-CN"/>
        </w:rPr>
        <w:t>，</w:t>
      </w:r>
      <w:r>
        <w:rPr>
          <w:rFonts w:hint="eastAsia" w:ascii="宋体" w:hAnsi="宋体" w:cs="宋体"/>
          <w:bCs/>
          <w:color w:val="auto"/>
          <w:sz w:val="24"/>
          <w:szCs w:val="24"/>
        </w:rPr>
        <w:t>按照当年体检要求执行。</w:t>
      </w:r>
    </w:p>
    <w:p w14:paraId="7393EA5D">
      <w:pPr>
        <w:widowControl/>
        <w:spacing w:line="480" w:lineRule="exact"/>
        <w:ind w:firstLine="480" w:firstLineChars="200"/>
        <w:rPr>
          <w:rFonts w:ascii="宋体" w:hAnsi="宋体" w:cs="宋体"/>
          <w:bCs/>
          <w:color w:val="auto"/>
          <w:sz w:val="24"/>
          <w:szCs w:val="24"/>
        </w:rPr>
      </w:pPr>
      <w:r>
        <w:rPr>
          <w:rFonts w:hint="eastAsia" w:ascii="宋体" w:hAnsi="宋体" w:cs="宋体"/>
          <w:b/>
          <w:color w:val="auto"/>
          <w:sz w:val="24"/>
          <w:szCs w:val="24"/>
        </w:rPr>
        <w:t>2.</w:t>
      </w:r>
      <w:r>
        <w:rPr>
          <w:rFonts w:hint="eastAsia" w:ascii="宋体" w:hAnsi="宋体" w:cs="宋体"/>
          <w:b/>
          <w:color w:val="auto"/>
          <w:sz w:val="24"/>
          <w:szCs w:val="24"/>
          <w:lang w:val="zh-CN"/>
        </w:rPr>
        <w:t>春季</w:t>
      </w:r>
      <w:r>
        <w:rPr>
          <w:rFonts w:hint="eastAsia" w:ascii="宋体" w:hAnsi="宋体" w:cs="宋体"/>
          <w:b/>
          <w:color w:val="auto"/>
          <w:sz w:val="24"/>
          <w:szCs w:val="24"/>
        </w:rPr>
        <w:t>体检：</w:t>
      </w:r>
      <w:r>
        <w:rPr>
          <w:rFonts w:hint="eastAsia" w:ascii="宋体" w:hAnsi="宋体" w:cs="宋体"/>
          <w:bCs/>
          <w:color w:val="auto"/>
          <w:sz w:val="24"/>
          <w:szCs w:val="24"/>
        </w:rPr>
        <w:t>主要内容为</w:t>
      </w:r>
      <w:r>
        <w:rPr>
          <w:rFonts w:hint="eastAsia" w:ascii="宋体" w:hAnsi="宋体" w:cs="宋体"/>
          <w:bCs/>
          <w:color w:val="auto"/>
          <w:sz w:val="24"/>
          <w:szCs w:val="24"/>
          <w:lang w:val="zh-CN"/>
        </w:rPr>
        <w:t>眼科检查，视力「裸眼视力、戴镜视力（如戴眼镜需检查）」、屈光度、结膜、角膜、晶体、瞳孔、眼位、眼球运动、异常视觉行为、戴镜情况、近视、远视、弱视、斜视、散光、沙眼、结膜炎</w:t>
      </w:r>
      <w:r>
        <w:rPr>
          <w:rFonts w:hint="eastAsia" w:ascii="宋体" w:hAnsi="宋体" w:cs="宋体"/>
          <w:bCs/>
          <w:color w:val="auto"/>
          <w:sz w:val="24"/>
          <w:szCs w:val="24"/>
        </w:rPr>
        <w:t>等。</w:t>
      </w:r>
    </w:p>
    <w:p w14:paraId="0C92EDCC">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秋季常规项目体检和春季学生视力检查的基本要求：</w:t>
      </w:r>
    </w:p>
    <w:p w14:paraId="7BB94FE5">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①严格按教育局文件要求的体检项目体检；</w:t>
      </w:r>
    </w:p>
    <w:p w14:paraId="0F3B0B84">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②体检设备由体检医院提供；</w:t>
      </w:r>
    </w:p>
    <w:p w14:paraId="67357C3A">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③根据学校人数，合理安排体检工作人员，保证人员充足，</w:t>
      </w:r>
      <w:r>
        <w:rPr>
          <w:rFonts w:hint="eastAsia" w:ascii="宋体" w:hAnsi="宋体" w:cs="宋体"/>
          <w:color w:val="auto"/>
          <w:sz w:val="24"/>
          <w:szCs w:val="24"/>
        </w:rPr>
        <w:t>在2天内顺利完成全校学生常规体检（约3000人）及新生结核病筛查皮试（目前EC皮试药剂由疾控中心提供）；</w:t>
      </w:r>
      <w:r>
        <w:rPr>
          <w:rFonts w:hint="eastAsia" w:ascii="宋体" w:hAnsi="宋体" w:cs="宋体"/>
          <w:bCs/>
          <w:color w:val="auto"/>
          <w:sz w:val="24"/>
          <w:szCs w:val="24"/>
        </w:rPr>
        <w:t>双方共同遵守商定的体检须知；医院派专人维持体检现场秩序，以保证体检时的秩序和效率；</w:t>
      </w:r>
    </w:p>
    <w:p w14:paraId="09EB9C88">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④由专业人员对体检结果进行科学评估，给予健康建议；负责对学校学生体检时间和体检结果做好保密工作。体检期间如有特殊病情发现，医院应及时通知学校体检负责人。</w:t>
      </w:r>
    </w:p>
    <w:p w14:paraId="2EE0D09E">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⑤体检结束后，医院主检医师应对学校每位接受体检学生的健康情况写出体检报告以及医疗保健建议，并将体检资料录入江苏省学生健康监测系统”（进入后点击“教育体检导入入口”）下载体检数据录入模板，并将体检数据录入模板和系统登录账号、登录密码提供给体检机构完成数据上传工作。</w:t>
      </w:r>
    </w:p>
    <w:p w14:paraId="01B0149E">
      <w:pPr>
        <w:widowControl/>
        <w:spacing w:line="480" w:lineRule="exact"/>
        <w:ind w:firstLine="480" w:firstLineChars="200"/>
        <w:rPr>
          <w:rFonts w:ascii="宋体" w:hAnsi="宋体" w:cs="宋体"/>
          <w:b/>
          <w:color w:val="auto"/>
          <w:sz w:val="24"/>
          <w:szCs w:val="24"/>
        </w:rPr>
      </w:pPr>
      <w:r>
        <w:rPr>
          <w:rFonts w:hint="eastAsia" w:ascii="宋体" w:hAnsi="宋体" w:cs="宋体"/>
          <w:b/>
          <w:color w:val="auto"/>
          <w:sz w:val="24"/>
          <w:szCs w:val="24"/>
        </w:rPr>
        <w:t>3.西藏生结核病筛查</w:t>
      </w:r>
    </w:p>
    <w:p w14:paraId="5B13B55B">
      <w:pPr>
        <w:widowControl/>
        <w:spacing w:line="480" w:lineRule="exact"/>
        <w:ind w:firstLine="480" w:firstLineChars="200"/>
        <w:rPr>
          <w:rFonts w:ascii="宋体" w:hAnsi="宋体" w:cs="宋体"/>
          <w:bCs/>
          <w:color w:val="auto"/>
          <w:sz w:val="24"/>
          <w:szCs w:val="24"/>
        </w:rPr>
      </w:pPr>
      <w:r>
        <w:rPr>
          <w:rFonts w:ascii="Calibri" w:hAnsi="Calibri" w:cs="Calibri"/>
          <w:bCs/>
          <w:color w:val="auto"/>
          <w:sz w:val="24"/>
          <w:szCs w:val="24"/>
        </w:rPr>
        <w:t>①</w:t>
      </w:r>
      <w:r>
        <w:rPr>
          <w:rFonts w:hint="eastAsia" w:ascii="宋体" w:hAnsi="宋体" w:cs="宋体"/>
          <w:bCs/>
          <w:color w:val="auto"/>
          <w:sz w:val="24"/>
          <w:szCs w:val="24"/>
        </w:rPr>
        <w:t>西藏生结核病筛查项目包含EC皮试（目前EC皮试药剂由疾控中心提供）、胸片（DR）以及少数胸片异常的CT复查。</w:t>
      </w:r>
    </w:p>
    <w:p w14:paraId="1E215A9A">
      <w:pPr>
        <w:widowControl/>
        <w:spacing w:line="480" w:lineRule="exact"/>
        <w:ind w:firstLine="480" w:firstLineChars="200"/>
        <w:rPr>
          <w:rFonts w:ascii="宋体" w:hAnsi="宋体" w:cs="宋体"/>
          <w:bCs/>
          <w:color w:val="auto"/>
          <w:sz w:val="24"/>
          <w:szCs w:val="24"/>
        </w:rPr>
      </w:pPr>
      <w:r>
        <w:rPr>
          <w:rFonts w:ascii="Calibri" w:hAnsi="Calibri" w:cs="Calibri"/>
          <w:bCs/>
          <w:color w:val="auto"/>
          <w:sz w:val="24"/>
          <w:szCs w:val="24"/>
        </w:rPr>
        <w:t>②</w:t>
      </w:r>
      <w:r>
        <w:rPr>
          <w:rFonts w:hint="eastAsia" w:ascii="宋体" w:hAnsi="宋体" w:cs="宋体"/>
          <w:bCs/>
          <w:color w:val="auto"/>
          <w:sz w:val="24"/>
          <w:szCs w:val="24"/>
        </w:rPr>
        <w:t>要求DR检测设备可以满足迅速完成西藏生（约270人）摄片。</w:t>
      </w:r>
    </w:p>
    <w:p w14:paraId="009D77B4">
      <w:pPr>
        <w:widowControl/>
        <w:spacing w:line="480" w:lineRule="exact"/>
        <w:ind w:firstLine="480" w:firstLineChars="200"/>
        <w:rPr>
          <w:rFonts w:ascii="Calibri" w:hAnsi="Calibri" w:cs="Calibri"/>
          <w:bCs/>
          <w:color w:val="auto"/>
          <w:sz w:val="24"/>
          <w:szCs w:val="24"/>
        </w:rPr>
      </w:pPr>
      <w:r>
        <w:rPr>
          <w:rFonts w:ascii="Calibri" w:hAnsi="Calibri" w:cs="Calibri"/>
          <w:bCs/>
          <w:color w:val="auto"/>
          <w:sz w:val="24"/>
          <w:szCs w:val="24"/>
        </w:rPr>
        <w:t>③</w:t>
      </w:r>
      <w:r>
        <w:rPr>
          <w:rFonts w:hint="eastAsia" w:ascii="Calibri" w:hAnsi="Calibri" w:cs="Calibri"/>
          <w:bCs/>
          <w:color w:val="auto"/>
          <w:sz w:val="24"/>
          <w:szCs w:val="24"/>
        </w:rPr>
        <w:t>医院</w:t>
      </w:r>
      <w:r>
        <w:rPr>
          <w:rFonts w:ascii="Calibri" w:hAnsi="Calibri" w:cs="Calibri"/>
          <w:bCs/>
          <w:color w:val="auto"/>
          <w:sz w:val="24"/>
          <w:szCs w:val="24"/>
        </w:rPr>
        <w:t>具有可以在半天内完成西藏生（约270人）常规体检的场地</w:t>
      </w:r>
      <w:r>
        <w:rPr>
          <w:rFonts w:hint="eastAsia" w:ascii="Calibri" w:hAnsi="Calibri" w:cs="Calibri"/>
          <w:bCs/>
          <w:color w:val="auto"/>
          <w:sz w:val="24"/>
          <w:szCs w:val="24"/>
        </w:rPr>
        <w:t>。</w:t>
      </w:r>
    </w:p>
    <w:p w14:paraId="3405D8E2">
      <w:pPr>
        <w:widowControl/>
        <w:spacing w:line="480" w:lineRule="exact"/>
        <w:ind w:firstLine="480" w:firstLineChars="200"/>
        <w:rPr>
          <w:rFonts w:ascii="Calibri" w:hAnsi="Calibri" w:cs="Calibri"/>
          <w:bCs/>
          <w:color w:val="auto"/>
          <w:sz w:val="24"/>
          <w:szCs w:val="24"/>
        </w:rPr>
      </w:pPr>
      <w:r>
        <w:rPr>
          <w:rFonts w:hint="eastAsia" w:ascii="Calibri" w:hAnsi="Calibri" w:cs="Calibri"/>
          <w:bCs/>
          <w:color w:val="auto"/>
          <w:sz w:val="24"/>
          <w:szCs w:val="24"/>
        </w:rPr>
        <w:t>④</w:t>
      </w:r>
      <w:r>
        <w:rPr>
          <w:rFonts w:ascii="Calibri" w:hAnsi="Calibri" w:cs="Calibri"/>
          <w:bCs/>
          <w:color w:val="auto"/>
          <w:sz w:val="24"/>
          <w:szCs w:val="24"/>
        </w:rPr>
        <w:t>西藏生DR筛查可以做到当时阅片，发现问题马上进行需要的复查（如CT等）</w:t>
      </w:r>
      <w:r>
        <w:rPr>
          <w:rFonts w:hint="eastAsia" w:ascii="Calibri" w:hAnsi="Calibri" w:cs="Calibri"/>
          <w:bCs/>
          <w:color w:val="auto"/>
          <w:sz w:val="24"/>
          <w:szCs w:val="24"/>
        </w:rPr>
        <w:t>。</w:t>
      </w:r>
    </w:p>
    <w:p w14:paraId="5F5E1B2F">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⑤DR阅片人员要求足够专业，并且拥有此方面丰富的经验。如因专业能力不足造成漏诊产生后果的，学校保留追究体检单位责任的权利。</w:t>
      </w:r>
    </w:p>
    <w:p w14:paraId="3845D18C">
      <w:pPr>
        <w:widowControl/>
        <w:spacing w:line="480" w:lineRule="exact"/>
        <w:ind w:firstLine="508" w:firstLineChars="200"/>
        <w:outlineLvl w:val="1"/>
        <w:rPr>
          <w:rFonts w:ascii="宋体" w:hAnsi="宋体" w:cs="宋体"/>
          <w:b/>
          <w:color w:val="auto"/>
          <w:spacing w:val="7"/>
          <w:kern w:val="0"/>
          <w:sz w:val="24"/>
          <w:szCs w:val="24"/>
          <w:shd w:val="clear" w:color="auto" w:fill="FFFFFF"/>
        </w:rPr>
      </w:pPr>
      <w:r>
        <w:rPr>
          <w:rFonts w:hint="eastAsia" w:ascii="宋体" w:hAnsi="宋体" w:cs="宋体"/>
          <w:b/>
          <w:color w:val="auto"/>
          <w:spacing w:val="7"/>
          <w:kern w:val="0"/>
          <w:sz w:val="24"/>
          <w:szCs w:val="24"/>
          <w:shd w:val="clear" w:color="auto" w:fill="FFFFFF"/>
        </w:rPr>
        <w:t>三、其他要求</w:t>
      </w:r>
    </w:p>
    <w:p w14:paraId="6984C691">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1.体检医生（护士）团队人员具有专业资格，体检设备符合国家标准。</w:t>
      </w:r>
    </w:p>
    <w:p w14:paraId="25C2994C">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2.使用标准身高计，国标电子体重秤。</w:t>
      </w:r>
    </w:p>
    <w:p w14:paraId="357FAC50">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3.足够数量的标准电子血压计（6台以上）。</w:t>
      </w:r>
    </w:p>
    <w:p w14:paraId="7E023946">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4.口腔科，耳鼻喉科使用灭菌一次性设备。</w:t>
      </w:r>
    </w:p>
    <w:p w14:paraId="365C25D2">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5.视力检测团队人员专业、设备数量充足。</w:t>
      </w:r>
    </w:p>
    <w:p w14:paraId="0823B8A4">
      <w:pPr>
        <w:widowControl/>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6.结核筛查皮试人员专业，试剂满足冷链要求。</w:t>
      </w:r>
    </w:p>
    <w:p w14:paraId="5D6F2CC4">
      <w:pPr>
        <w:rPr>
          <w:rFonts w:ascii="宋体" w:hAnsi="宋体" w:cs="宋体"/>
          <w:b/>
          <w:color w:val="auto"/>
          <w:sz w:val="24"/>
          <w:szCs w:val="24"/>
        </w:rPr>
      </w:pPr>
      <w:r>
        <w:rPr>
          <w:rFonts w:hint="eastAsia" w:ascii="宋体" w:hAnsi="宋体" w:cs="宋体"/>
          <w:b/>
          <w:color w:val="auto"/>
          <w:sz w:val="24"/>
          <w:szCs w:val="24"/>
        </w:rPr>
        <w:br w:type="page"/>
      </w:r>
    </w:p>
    <w:p w14:paraId="0D153618">
      <w:pPr>
        <w:snapToGrid w:val="0"/>
        <w:spacing w:line="480" w:lineRule="exact"/>
        <w:jc w:val="center"/>
        <w:outlineLvl w:val="0"/>
        <w:rPr>
          <w:rFonts w:ascii="宋体" w:hAnsi="宋体" w:cs="宋体"/>
          <w:b/>
          <w:color w:val="auto"/>
          <w:sz w:val="24"/>
          <w:szCs w:val="24"/>
        </w:rPr>
      </w:pPr>
      <w:r>
        <w:rPr>
          <w:rFonts w:hint="eastAsia" w:ascii="宋体" w:hAnsi="宋体" w:cs="宋体"/>
          <w:b/>
          <w:color w:val="auto"/>
          <w:sz w:val="24"/>
          <w:szCs w:val="24"/>
        </w:rPr>
        <w:t>第四章  开标和评标</w:t>
      </w:r>
      <w:bookmarkEnd w:id="36"/>
    </w:p>
    <w:p w14:paraId="01C8F6DD">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一、采购人委托采购代理机构组织采购</w:t>
      </w:r>
    </w:p>
    <w:p w14:paraId="15B31BFC">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1.成立评标委员会或评标小组，由采购人代表和有关专家依法组成。</w:t>
      </w:r>
    </w:p>
    <w:p w14:paraId="13453FA9">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2.供应商的法定代表人或委托代理人须持身份证准时参加开标会。</w:t>
      </w:r>
    </w:p>
    <w:p w14:paraId="62A7E7D8">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二、评标小组</w:t>
      </w:r>
    </w:p>
    <w:p w14:paraId="5E76452C">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1.评标小组负责具体的评标事务，并独立履行以下职责：</w:t>
      </w:r>
    </w:p>
    <w:p w14:paraId="7A48A4EA">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（1）审查响应文件是否符合比选文件的要求，并作出评价；</w:t>
      </w:r>
    </w:p>
    <w:p w14:paraId="4FEB8F7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（2）可以要求供应商对响应文件有关事项作出解释或澄清；</w:t>
      </w:r>
    </w:p>
    <w:p w14:paraId="1AEC3FD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（3）按比选文件载明的方式评审确定成交人。</w:t>
      </w:r>
    </w:p>
    <w:p w14:paraId="745B0DD9">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2.评标小组成员应当履行下列义务：</w:t>
      </w:r>
    </w:p>
    <w:p w14:paraId="642F34B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（1）遵纪守法，客观、公正、廉洁地履行职责；</w:t>
      </w:r>
    </w:p>
    <w:p w14:paraId="0207410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（2）按照比选文件规定的评标办法和评标标准进行评标，对评审意见承担个人责任；</w:t>
      </w:r>
    </w:p>
    <w:p w14:paraId="6B577C5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（3）对评标过程和结果，以及供应商的商业秘密保密；</w:t>
      </w:r>
    </w:p>
    <w:p w14:paraId="164B0A87">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（4）配合相关部门的投诉处理工作；</w:t>
      </w:r>
    </w:p>
    <w:p w14:paraId="57DFA87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（5）配合采购人答复供应商提出的质疑。</w:t>
      </w:r>
    </w:p>
    <w:p w14:paraId="3A4FE69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项目开标后直到项目成交结果公告，发出成交通知书并授予成交人合同为止，凡属于评审、澄清、评价和比较响应的所有资料及有关授予合同等的相关信息，评标小组成员都不应向供应商或与评标无关的其他人泄露。</w:t>
      </w:r>
    </w:p>
    <w:p w14:paraId="264E9350">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4.在响应文件的评审、澄清、评价和比较以及授予合同的过程中，供应商对采购人和评标委员会成员有施加影响的任何行为，都将取消其成交资格。</w:t>
      </w:r>
    </w:p>
    <w:p w14:paraId="2F763716">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三、评审原则：</w:t>
      </w:r>
    </w:p>
    <w:p w14:paraId="652C045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本项目采用综合评分法，即指在最大限度地满足比选文件实质性要求的前提下，按照本比选文件中规定的评标办法和评分标准及其他各项因素进行综合评审后，以评标总得分最高的供应商作为成交候选人的评标方法。</w:t>
      </w:r>
    </w:p>
    <w:p w14:paraId="64B00E31">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2.由评标小组对资格审查合格的供应商所提交的响应文件技术标进行评审。</w:t>
      </w:r>
    </w:p>
    <w:p w14:paraId="511D66A9">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3.评标小组严格按比选文件的规定要求、条件、评分标准，对供应商所提供的完整计划标的物的科学性、可行性、产品质量、服务质量的保证及承诺等实质性响应内容进行比较评价评审。</w:t>
      </w:r>
    </w:p>
    <w:p w14:paraId="6FF83AB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4.评标小组对响应文件的判定，只依据响应内容本身，不依靠开标后的任何外来证明。</w:t>
      </w:r>
    </w:p>
    <w:p w14:paraId="20F11F60">
      <w:pPr>
        <w:snapToGrid w:val="0"/>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四、评审方法及评审细则</w:t>
      </w:r>
    </w:p>
    <w:p w14:paraId="5D4D75D2">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1.评标小组将仅按本比选文件载明的方法与规定，为实质上响应比选文件要求的响应文件评审并进行评价和比较。</w:t>
      </w:r>
    </w:p>
    <w:p w14:paraId="7FADF238">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2.本次项目的技术标和价格标评审总分值为100分。两部分评审因素比重如下：</w:t>
      </w:r>
    </w:p>
    <w:p w14:paraId="4F3254FD">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（1）技术标分值占总分值的比重为</w:t>
      </w:r>
      <w:r>
        <w:rPr>
          <w:rFonts w:hint="eastAsia" w:ascii="宋体" w:hAnsi="宋体" w:cs="宋体"/>
          <w:b/>
          <w:bCs/>
          <w:color w:val="auto"/>
          <w:sz w:val="24"/>
          <w:szCs w:val="24"/>
          <w:u w:val="single"/>
        </w:rPr>
        <w:t>65%</w:t>
      </w:r>
      <w:r>
        <w:rPr>
          <w:rFonts w:hint="eastAsia" w:ascii="宋体" w:hAnsi="宋体" w:cs="宋体"/>
          <w:color w:val="auto"/>
          <w:sz w:val="24"/>
          <w:szCs w:val="24"/>
        </w:rPr>
        <w:t>（权重）（取小数点后两位）；</w:t>
      </w:r>
    </w:p>
    <w:p w14:paraId="58F3577C">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（2）价格标分值占总分值的比重为</w:t>
      </w:r>
      <w:r>
        <w:rPr>
          <w:rFonts w:hint="eastAsia" w:ascii="宋体" w:hAnsi="宋体" w:cs="宋体"/>
          <w:b/>
          <w:bCs/>
          <w:color w:val="auto"/>
          <w:sz w:val="24"/>
          <w:szCs w:val="24"/>
          <w:u w:val="single"/>
        </w:rPr>
        <w:t>35%</w:t>
      </w:r>
      <w:r>
        <w:rPr>
          <w:rFonts w:hint="eastAsia" w:ascii="宋体" w:hAnsi="宋体" w:cs="宋体"/>
          <w:color w:val="auto"/>
          <w:sz w:val="24"/>
          <w:szCs w:val="24"/>
        </w:rPr>
        <w:t>（权重）（取小数点后两位）。</w:t>
      </w:r>
    </w:p>
    <w:p w14:paraId="0A700744">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3.评标小组严格按比选文件的要求、条件、评分标准，对供应商所提供货物或服务的先进性、可靠性、售后服务承诺、质量保证承诺等实质性响应内容进行比较。</w:t>
      </w:r>
    </w:p>
    <w:p w14:paraId="06D37FA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4.评标小组各成员独立对每个进入打分程序的有效供应商的标书技术部分以打分的形式进行评审和评价（计算结果均四舍五入保留两位小数）。</w:t>
      </w:r>
    </w:p>
    <w:p w14:paraId="7AD56CE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5.开启供应商的商务报价标，评标委员会将审查每份响应文件的商务报价是否实质上响应了比选文件的要求。实质上响应的应该是与比选文件要求的全部条款、条件和规格相符，没有重大偏离或保留。所谓重大偏离或保留是指实质上影响合同的供货范围、质量和性能，或者实质上与比选文件的要求不一致。纠正这些偏离或保留将会对其他实质上响应要求的供应商的竞争地位产生不公正的影响。如未实质响应 ，则按无效报价处理。</w:t>
      </w:r>
      <w:r>
        <w:rPr>
          <w:rFonts w:hint="eastAsia" w:ascii="宋体" w:hAnsi="宋体" w:cs="宋体"/>
          <w:color w:val="auto"/>
          <w:sz w:val="24"/>
          <w:szCs w:val="24"/>
        </w:rPr>
        <w:br w:type="textWrapping"/>
      </w:r>
      <w:r>
        <w:rPr>
          <w:rFonts w:hint="eastAsia" w:ascii="宋体" w:hAnsi="宋体" w:cs="宋体"/>
          <w:color w:val="auto"/>
          <w:sz w:val="24"/>
          <w:szCs w:val="24"/>
        </w:rPr>
        <w:t xml:space="preserve">    6、计算各供应商的价格标报价得分，与技术标得分相加为供应商的综合得分（保留小数点后2位），综合得分由高到低排序，得分最高者推荐为本项目的成交人并出具评审报告。</w:t>
      </w:r>
    </w:p>
    <w:p w14:paraId="68C0CDE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（一）技术分（65分）</w:t>
      </w:r>
    </w:p>
    <w:p w14:paraId="47A9442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供应商技术得分为评审小组成员评分的算术平均分，分值保留小数点后两位。</w:t>
      </w:r>
    </w:p>
    <w:tbl>
      <w:tblPr>
        <w:tblStyle w:val="24"/>
        <w:tblpPr w:leftFromText="180" w:rightFromText="180" w:vertAnchor="text" w:horzAnchor="page" w:tblpX="1434" w:tblpY="539"/>
        <w:tblOverlap w:val="never"/>
        <w:tblW w:w="91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88"/>
        <w:gridCol w:w="1176"/>
        <w:gridCol w:w="6164"/>
        <w:gridCol w:w="1036"/>
      </w:tblGrid>
      <w:tr w14:paraId="100C3EC9">
        <w:trPr>
          <w:trHeight w:val="553" w:hRule="atLeast"/>
        </w:trPr>
        <w:tc>
          <w:tcPr>
            <w:tcW w:w="788" w:type="dxa"/>
            <w:tcBorders>
              <w:tl2br w:val="nil"/>
              <w:tr2bl w:val="nil"/>
            </w:tcBorders>
            <w:tcMar>
              <w:top w:w="0" w:type="dxa"/>
              <w:left w:w="108" w:type="dxa"/>
              <w:bottom w:w="0" w:type="dxa"/>
              <w:right w:w="108" w:type="dxa"/>
            </w:tcMar>
            <w:vAlign w:val="center"/>
          </w:tcPr>
          <w:p w14:paraId="43A98A4D">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序号</w:t>
            </w:r>
          </w:p>
        </w:tc>
        <w:tc>
          <w:tcPr>
            <w:tcW w:w="1176" w:type="dxa"/>
            <w:tcBorders>
              <w:tl2br w:val="nil"/>
              <w:tr2bl w:val="nil"/>
            </w:tcBorders>
            <w:tcMar>
              <w:top w:w="0" w:type="dxa"/>
              <w:left w:w="108" w:type="dxa"/>
              <w:bottom w:w="0" w:type="dxa"/>
              <w:right w:w="108" w:type="dxa"/>
            </w:tcMar>
            <w:vAlign w:val="center"/>
          </w:tcPr>
          <w:p w14:paraId="5A2B93E6">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评分因素</w:t>
            </w:r>
          </w:p>
        </w:tc>
        <w:tc>
          <w:tcPr>
            <w:tcW w:w="6164" w:type="dxa"/>
            <w:tcBorders>
              <w:tl2br w:val="nil"/>
              <w:tr2bl w:val="nil"/>
            </w:tcBorders>
            <w:tcMar>
              <w:top w:w="0" w:type="dxa"/>
              <w:left w:w="108" w:type="dxa"/>
              <w:bottom w:w="0" w:type="dxa"/>
              <w:right w:w="108" w:type="dxa"/>
            </w:tcMar>
            <w:vAlign w:val="center"/>
          </w:tcPr>
          <w:p w14:paraId="54D5B5EC">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评审细则</w:t>
            </w:r>
          </w:p>
        </w:tc>
        <w:tc>
          <w:tcPr>
            <w:tcW w:w="1036" w:type="dxa"/>
            <w:tcBorders>
              <w:tl2br w:val="nil"/>
              <w:tr2bl w:val="nil"/>
            </w:tcBorders>
            <w:tcMar>
              <w:top w:w="0" w:type="dxa"/>
              <w:left w:w="108" w:type="dxa"/>
              <w:bottom w:w="0" w:type="dxa"/>
              <w:right w:w="108" w:type="dxa"/>
            </w:tcMar>
            <w:vAlign w:val="center"/>
          </w:tcPr>
          <w:p w14:paraId="25B0F0A2">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分值</w:t>
            </w:r>
          </w:p>
        </w:tc>
      </w:tr>
      <w:tr w14:paraId="4E2C54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45" w:hRule="atLeast"/>
        </w:trPr>
        <w:tc>
          <w:tcPr>
            <w:tcW w:w="788" w:type="dxa"/>
            <w:tcBorders>
              <w:tl2br w:val="nil"/>
              <w:tr2bl w:val="nil"/>
            </w:tcBorders>
            <w:tcMar>
              <w:top w:w="0" w:type="dxa"/>
              <w:left w:w="108" w:type="dxa"/>
              <w:bottom w:w="0" w:type="dxa"/>
              <w:right w:w="108" w:type="dxa"/>
            </w:tcMar>
            <w:vAlign w:val="center"/>
          </w:tcPr>
          <w:p w14:paraId="40D166E2">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1</w:t>
            </w:r>
          </w:p>
        </w:tc>
        <w:tc>
          <w:tcPr>
            <w:tcW w:w="1176" w:type="dxa"/>
            <w:tcBorders>
              <w:tl2br w:val="nil"/>
              <w:tr2bl w:val="nil"/>
            </w:tcBorders>
            <w:shd w:val="clear" w:color="auto" w:fill="auto"/>
            <w:tcMar>
              <w:top w:w="0" w:type="dxa"/>
              <w:left w:w="108" w:type="dxa"/>
              <w:bottom w:w="0" w:type="dxa"/>
              <w:right w:w="108" w:type="dxa"/>
            </w:tcMar>
            <w:vAlign w:val="center"/>
          </w:tcPr>
          <w:p w14:paraId="3C64B8FB">
            <w:pPr>
              <w:spacing w:line="480" w:lineRule="exact"/>
              <w:jc w:val="center"/>
              <w:rPr>
                <w:rFonts w:ascii="仿宋" w:hAnsi="仿宋" w:cs="仿宋"/>
                <w:color w:val="auto"/>
                <w:sz w:val="24"/>
                <w:szCs w:val="24"/>
              </w:rPr>
            </w:pPr>
            <w:r>
              <w:rPr>
                <w:rFonts w:hint="eastAsia" w:ascii="仿宋" w:hAnsi="仿宋" w:cs="仿宋"/>
                <w:bCs/>
                <w:color w:val="auto"/>
                <w:kern w:val="0"/>
                <w:sz w:val="24"/>
                <w:szCs w:val="24"/>
              </w:rPr>
              <w:t>业绩</w:t>
            </w:r>
          </w:p>
        </w:tc>
        <w:tc>
          <w:tcPr>
            <w:tcW w:w="6164" w:type="dxa"/>
            <w:tcBorders>
              <w:tl2br w:val="nil"/>
              <w:tr2bl w:val="nil"/>
            </w:tcBorders>
            <w:shd w:val="clear" w:color="auto" w:fill="auto"/>
            <w:tcMar>
              <w:top w:w="0" w:type="dxa"/>
              <w:left w:w="108" w:type="dxa"/>
              <w:bottom w:w="0" w:type="dxa"/>
              <w:right w:w="108" w:type="dxa"/>
            </w:tcMar>
            <w:vAlign w:val="center"/>
          </w:tcPr>
          <w:p w14:paraId="7F193698">
            <w:pPr>
              <w:widowControl/>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供应商提供自2023年1月1日（以合同签订时间为准）以来与本次服务类似项目业绩，每有1个业绩得2分，最多得6分。</w:t>
            </w:r>
          </w:p>
          <w:p w14:paraId="05505504">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
                <w:color w:val="auto"/>
                <w:kern w:val="0"/>
                <w:sz w:val="24"/>
                <w:szCs w:val="24"/>
              </w:rPr>
              <w:t>注：提供合同复印件（加盖公章），未提供的不得分。</w:t>
            </w:r>
          </w:p>
        </w:tc>
        <w:tc>
          <w:tcPr>
            <w:tcW w:w="1036" w:type="dxa"/>
            <w:tcBorders>
              <w:tl2br w:val="nil"/>
              <w:tr2bl w:val="nil"/>
            </w:tcBorders>
            <w:tcMar>
              <w:top w:w="0" w:type="dxa"/>
              <w:left w:w="108" w:type="dxa"/>
              <w:bottom w:w="0" w:type="dxa"/>
              <w:right w:w="108" w:type="dxa"/>
            </w:tcMar>
            <w:vAlign w:val="center"/>
          </w:tcPr>
          <w:p w14:paraId="75DA2E3A">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6</w:t>
            </w:r>
          </w:p>
        </w:tc>
      </w:tr>
      <w:tr w14:paraId="6BE79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45" w:hRule="atLeast"/>
        </w:trPr>
        <w:tc>
          <w:tcPr>
            <w:tcW w:w="788" w:type="dxa"/>
            <w:tcBorders>
              <w:tl2br w:val="nil"/>
              <w:tr2bl w:val="nil"/>
            </w:tcBorders>
            <w:tcMar>
              <w:top w:w="0" w:type="dxa"/>
              <w:left w:w="108" w:type="dxa"/>
              <w:bottom w:w="0" w:type="dxa"/>
              <w:right w:w="108" w:type="dxa"/>
            </w:tcMar>
            <w:vAlign w:val="center"/>
          </w:tcPr>
          <w:p w14:paraId="18F4398F">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2</w:t>
            </w:r>
          </w:p>
        </w:tc>
        <w:tc>
          <w:tcPr>
            <w:tcW w:w="1176" w:type="dxa"/>
            <w:tcBorders>
              <w:tl2br w:val="nil"/>
              <w:tr2bl w:val="nil"/>
            </w:tcBorders>
            <w:shd w:val="clear" w:color="auto" w:fill="auto"/>
            <w:tcMar>
              <w:top w:w="0" w:type="dxa"/>
              <w:left w:w="108" w:type="dxa"/>
              <w:bottom w:w="0" w:type="dxa"/>
              <w:right w:w="108" w:type="dxa"/>
            </w:tcMar>
            <w:vAlign w:val="center"/>
          </w:tcPr>
          <w:p w14:paraId="6C50D35A">
            <w:pPr>
              <w:spacing w:line="480" w:lineRule="exact"/>
              <w:jc w:val="center"/>
              <w:rPr>
                <w:rFonts w:ascii="仿宋" w:hAnsi="仿宋" w:cs="仿宋"/>
                <w:bCs/>
                <w:color w:val="auto"/>
                <w:kern w:val="0"/>
                <w:sz w:val="24"/>
                <w:szCs w:val="24"/>
              </w:rPr>
            </w:pPr>
            <w:r>
              <w:rPr>
                <w:rFonts w:hint="eastAsia" w:ascii="仿宋" w:hAnsi="仿宋" w:cs="仿宋"/>
                <w:bCs/>
                <w:color w:val="auto"/>
                <w:kern w:val="0"/>
                <w:sz w:val="24"/>
                <w:szCs w:val="24"/>
              </w:rPr>
              <w:t>场地</w:t>
            </w:r>
          </w:p>
        </w:tc>
        <w:tc>
          <w:tcPr>
            <w:tcW w:w="6164" w:type="dxa"/>
            <w:tcBorders>
              <w:tl2br w:val="nil"/>
              <w:tr2bl w:val="nil"/>
            </w:tcBorders>
            <w:shd w:val="clear" w:color="auto" w:fill="auto"/>
            <w:tcMar>
              <w:top w:w="0" w:type="dxa"/>
              <w:left w:w="108" w:type="dxa"/>
              <w:bottom w:w="0" w:type="dxa"/>
              <w:right w:w="108" w:type="dxa"/>
            </w:tcMar>
            <w:vAlign w:val="center"/>
          </w:tcPr>
          <w:p w14:paraId="154838AF">
            <w:pPr>
              <w:widowControl/>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体检单位能提供满足西藏生常规体检的场地。在此基础上做到各检查室独立得3分，空间隐私性好得3分。最高得6分。</w:t>
            </w:r>
          </w:p>
          <w:p w14:paraId="73C90A92">
            <w:pPr>
              <w:widowControl/>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注：提供场地尺寸与图片，否则不得分。</w:t>
            </w:r>
          </w:p>
        </w:tc>
        <w:tc>
          <w:tcPr>
            <w:tcW w:w="1036" w:type="dxa"/>
            <w:tcBorders>
              <w:tl2br w:val="nil"/>
              <w:tr2bl w:val="nil"/>
            </w:tcBorders>
            <w:tcMar>
              <w:top w:w="0" w:type="dxa"/>
              <w:left w:w="108" w:type="dxa"/>
              <w:bottom w:w="0" w:type="dxa"/>
              <w:right w:w="108" w:type="dxa"/>
            </w:tcMar>
            <w:vAlign w:val="center"/>
          </w:tcPr>
          <w:p w14:paraId="02A76C05">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6</w:t>
            </w:r>
          </w:p>
        </w:tc>
      </w:tr>
      <w:tr w14:paraId="445D9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45" w:hRule="atLeast"/>
        </w:trPr>
        <w:tc>
          <w:tcPr>
            <w:tcW w:w="788" w:type="dxa"/>
            <w:tcBorders>
              <w:tl2br w:val="nil"/>
              <w:tr2bl w:val="nil"/>
            </w:tcBorders>
            <w:tcMar>
              <w:top w:w="0" w:type="dxa"/>
              <w:left w:w="108" w:type="dxa"/>
              <w:bottom w:w="0" w:type="dxa"/>
              <w:right w:w="108" w:type="dxa"/>
            </w:tcMar>
            <w:vAlign w:val="center"/>
          </w:tcPr>
          <w:p w14:paraId="15B6FA75">
            <w:pPr>
              <w:pBdr>
                <w:top w:val="none" w:color="000000" w:sz="0" w:space="0"/>
                <w:left w:val="none" w:color="000000" w:sz="0" w:space="0"/>
                <w:bottom w:val="none" w:color="000000" w:sz="0" w:space="0"/>
                <w:right w:val="none" w:color="000000" w:sz="0" w:space="0"/>
              </w:pBdr>
              <w:spacing w:line="480" w:lineRule="exact"/>
              <w:jc w:val="center"/>
              <w:rPr>
                <w:rFonts w:hint="eastAsia" w:ascii="仿宋" w:hAnsi="仿宋" w:eastAsia="宋体" w:cs="仿宋"/>
                <w:color w:val="auto"/>
                <w:sz w:val="24"/>
                <w:szCs w:val="24"/>
                <w:lang w:val="en-US" w:eastAsia="zh-CN"/>
              </w:rPr>
            </w:pPr>
            <w:r>
              <w:rPr>
                <w:rFonts w:hint="eastAsia" w:ascii="仿宋" w:hAnsi="仿宋" w:cs="仿宋"/>
                <w:color w:val="auto"/>
                <w:sz w:val="24"/>
                <w:szCs w:val="24"/>
                <w:lang w:val="en-US" w:eastAsia="zh-CN"/>
              </w:rPr>
              <w:t>3</w:t>
            </w:r>
          </w:p>
        </w:tc>
        <w:tc>
          <w:tcPr>
            <w:tcW w:w="1176" w:type="dxa"/>
            <w:tcBorders>
              <w:tl2br w:val="nil"/>
              <w:tr2bl w:val="nil"/>
            </w:tcBorders>
            <w:shd w:val="clear" w:color="auto" w:fill="auto"/>
            <w:tcMar>
              <w:top w:w="0" w:type="dxa"/>
              <w:left w:w="108" w:type="dxa"/>
              <w:bottom w:w="0" w:type="dxa"/>
              <w:right w:w="108" w:type="dxa"/>
            </w:tcMar>
            <w:vAlign w:val="center"/>
          </w:tcPr>
          <w:p w14:paraId="27B311CE">
            <w:pPr>
              <w:spacing w:line="480" w:lineRule="exact"/>
              <w:jc w:val="center"/>
              <w:rPr>
                <w:rFonts w:ascii="仿宋" w:hAnsi="仿宋" w:cs="仿宋"/>
                <w:bCs/>
                <w:color w:val="auto"/>
                <w:kern w:val="0"/>
                <w:sz w:val="24"/>
                <w:szCs w:val="24"/>
              </w:rPr>
            </w:pPr>
            <w:r>
              <w:rPr>
                <w:rFonts w:hint="eastAsia" w:ascii="仿宋" w:hAnsi="仿宋" w:cs="仿宋"/>
                <w:bCs/>
                <w:color w:val="auto"/>
                <w:kern w:val="0"/>
                <w:sz w:val="24"/>
                <w:szCs w:val="24"/>
              </w:rPr>
              <w:t>体检设备</w:t>
            </w:r>
          </w:p>
        </w:tc>
        <w:tc>
          <w:tcPr>
            <w:tcW w:w="6164" w:type="dxa"/>
            <w:tcBorders>
              <w:tl2br w:val="nil"/>
              <w:tr2bl w:val="nil"/>
            </w:tcBorders>
            <w:shd w:val="clear" w:color="auto" w:fill="auto"/>
            <w:tcMar>
              <w:top w:w="0" w:type="dxa"/>
              <w:left w:w="108" w:type="dxa"/>
              <w:bottom w:w="0" w:type="dxa"/>
              <w:right w:w="108" w:type="dxa"/>
            </w:tcMar>
            <w:vAlign w:val="center"/>
          </w:tcPr>
          <w:p w14:paraId="357FEC4D">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1.体检时能提供2套符合国家标准的身高计与电子体重秤，在此基础上每多一套得6分，最高得分6分。</w:t>
            </w:r>
          </w:p>
          <w:p w14:paraId="1BBEC143">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2.体检时至少能提供6台符合国家标准的电子血压仪，在此基础上，每多一台得3分，最高得6分。</w:t>
            </w:r>
          </w:p>
          <w:p w14:paraId="0008EE60">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3.西藏生体检时至少能提供1台胸片设备供专用，在此基础上，每多一台得3分，最高得6分。</w:t>
            </w:r>
          </w:p>
          <w:p w14:paraId="71AD93D7">
            <w:pPr>
              <w:widowControl/>
              <w:numPr>
                <w:ilvl w:val="255"/>
                <w:numId w:val="0"/>
              </w:numPr>
              <w:spacing w:line="480" w:lineRule="exact"/>
              <w:ind w:firstLine="480" w:firstLineChars="200"/>
              <w:jc w:val="left"/>
              <w:rPr>
                <w:rFonts w:ascii="仿宋" w:hAnsi="仿宋" w:cs="仿宋"/>
                <w:b/>
                <w:color w:val="auto"/>
                <w:kern w:val="0"/>
                <w:sz w:val="24"/>
                <w:szCs w:val="24"/>
              </w:rPr>
            </w:pPr>
            <w:r>
              <w:rPr>
                <w:rFonts w:hint="eastAsia" w:ascii="仿宋" w:hAnsi="仿宋" w:cs="仿宋"/>
                <w:b/>
                <w:color w:val="auto"/>
                <w:kern w:val="0"/>
                <w:sz w:val="24"/>
                <w:szCs w:val="24"/>
              </w:rPr>
              <w:t>注：提供设备清单（包含不限于设备名称、型号、数量），否则不得分。</w:t>
            </w:r>
          </w:p>
        </w:tc>
        <w:tc>
          <w:tcPr>
            <w:tcW w:w="1036" w:type="dxa"/>
            <w:tcBorders>
              <w:tl2br w:val="nil"/>
              <w:tr2bl w:val="nil"/>
            </w:tcBorders>
            <w:tcMar>
              <w:top w:w="0" w:type="dxa"/>
              <w:left w:w="108" w:type="dxa"/>
              <w:bottom w:w="0" w:type="dxa"/>
              <w:right w:w="108" w:type="dxa"/>
            </w:tcMar>
            <w:vAlign w:val="center"/>
          </w:tcPr>
          <w:p w14:paraId="2B0D9D70">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18</w:t>
            </w:r>
          </w:p>
        </w:tc>
      </w:tr>
      <w:tr w14:paraId="7BF1B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91" w:hRule="atLeast"/>
        </w:trPr>
        <w:tc>
          <w:tcPr>
            <w:tcW w:w="788" w:type="dxa"/>
            <w:tcBorders>
              <w:tl2br w:val="nil"/>
              <w:tr2bl w:val="nil"/>
            </w:tcBorders>
            <w:tcMar>
              <w:top w:w="0" w:type="dxa"/>
              <w:left w:w="108" w:type="dxa"/>
              <w:bottom w:w="0" w:type="dxa"/>
              <w:right w:w="108" w:type="dxa"/>
            </w:tcMar>
            <w:vAlign w:val="center"/>
          </w:tcPr>
          <w:p w14:paraId="564585D6">
            <w:pPr>
              <w:pBdr>
                <w:top w:val="none" w:color="000000" w:sz="0" w:space="0"/>
                <w:left w:val="none" w:color="000000" w:sz="0" w:space="0"/>
                <w:bottom w:val="none" w:color="000000" w:sz="0" w:space="0"/>
                <w:right w:val="none" w:color="000000" w:sz="0" w:space="0"/>
              </w:pBdr>
              <w:spacing w:line="480" w:lineRule="exact"/>
              <w:jc w:val="center"/>
              <w:rPr>
                <w:rFonts w:hint="eastAsia" w:ascii="仿宋" w:hAnsi="仿宋" w:eastAsia="宋体" w:cs="仿宋"/>
                <w:color w:val="auto"/>
                <w:sz w:val="24"/>
                <w:szCs w:val="24"/>
                <w:lang w:val="en-US" w:eastAsia="zh-CN"/>
              </w:rPr>
            </w:pPr>
            <w:r>
              <w:rPr>
                <w:rFonts w:hint="eastAsia" w:ascii="仿宋" w:hAnsi="仿宋" w:cs="仿宋"/>
                <w:color w:val="auto"/>
                <w:sz w:val="24"/>
                <w:szCs w:val="24"/>
                <w:lang w:val="en-US" w:eastAsia="zh-CN"/>
              </w:rPr>
              <w:t>4</w:t>
            </w:r>
          </w:p>
        </w:tc>
        <w:tc>
          <w:tcPr>
            <w:tcW w:w="1176" w:type="dxa"/>
            <w:tcBorders>
              <w:tl2br w:val="nil"/>
              <w:tr2bl w:val="nil"/>
            </w:tcBorders>
            <w:shd w:val="clear" w:color="auto" w:fill="auto"/>
            <w:tcMar>
              <w:top w:w="0" w:type="dxa"/>
              <w:left w:w="108" w:type="dxa"/>
              <w:bottom w:w="0" w:type="dxa"/>
              <w:right w:w="108" w:type="dxa"/>
            </w:tcMar>
            <w:vAlign w:val="center"/>
          </w:tcPr>
          <w:p w14:paraId="442C56F5">
            <w:pPr>
              <w:spacing w:line="480" w:lineRule="exact"/>
              <w:jc w:val="center"/>
              <w:rPr>
                <w:rFonts w:ascii="仿宋" w:hAnsi="仿宋" w:cs="仿宋"/>
                <w:bCs/>
                <w:color w:val="auto"/>
                <w:kern w:val="0"/>
                <w:sz w:val="24"/>
                <w:szCs w:val="24"/>
              </w:rPr>
            </w:pPr>
            <w:r>
              <w:rPr>
                <w:rFonts w:hint="eastAsia"/>
                <w:color w:val="auto"/>
                <w:sz w:val="24"/>
                <w:szCs w:val="24"/>
                <w:shd w:val="clear" w:color="auto" w:fill="FFFFFF"/>
              </w:rPr>
              <w:t>服务人员</w:t>
            </w:r>
          </w:p>
        </w:tc>
        <w:tc>
          <w:tcPr>
            <w:tcW w:w="6164" w:type="dxa"/>
            <w:tcBorders>
              <w:tl2br w:val="nil"/>
              <w:tr2bl w:val="nil"/>
            </w:tcBorders>
            <w:shd w:val="clear" w:color="auto" w:fill="auto"/>
            <w:tcMar>
              <w:top w:w="0" w:type="dxa"/>
              <w:left w:w="108" w:type="dxa"/>
              <w:bottom w:w="0" w:type="dxa"/>
              <w:right w:w="108" w:type="dxa"/>
            </w:tcMar>
            <w:vAlign w:val="center"/>
          </w:tcPr>
          <w:p w14:paraId="7410C44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1.皮试人员至少配置5人，在此基础上，每多1人得2分，最高得4分；</w:t>
            </w:r>
          </w:p>
          <w:p w14:paraId="4246B860">
            <w:pPr>
              <w:spacing w:line="360" w:lineRule="auto"/>
              <w:ind w:firstLine="480" w:firstLineChars="200"/>
              <w:rPr>
                <w:color w:val="auto"/>
                <w:sz w:val="24"/>
                <w:szCs w:val="24"/>
              </w:rPr>
            </w:pPr>
            <w:r>
              <w:rPr>
                <w:rFonts w:hint="eastAsia" w:ascii="宋体" w:hAnsi="宋体" w:cs="宋体"/>
                <w:color w:val="auto"/>
                <w:sz w:val="24"/>
                <w:szCs w:val="24"/>
              </w:rPr>
              <w:t>2.本项目体检时配置的内科医生至少4人，外科医生至少2人（男、女各一），在此基础上，每多一人得2分，最高得6分。</w:t>
            </w:r>
          </w:p>
          <w:p w14:paraId="6E6865F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3.胸片检查影像科阅片医生需具备至少主治医师以上职称，在此基础上，副主任医师阅片得3分，主任医师阅片得6分，最高得6分。</w:t>
            </w:r>
          </w:p>
          <w:p w14:paraId="2E1C19F6">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4.本项目拟派人员中有副主任医师及以上职称，有1人得1分，最高得4分，提供证明材料。</w:t>
            </w:r>
          </w:p>
          <w:p w14:paraId="071CB91A">
            <w:pPr>
              <w:snapToGrid w:val="0"/>
              <w:spacing w:line="360" w:lineRule="auto"/>
              <w:ind w:firstLine="480" w:firstLineChars="200"/>
              <w:jc w:val="left"/>
              <w:outlineLvl w:val="1"/>
              <w:rPr>
                <w:rFonts w:ascii="宋体" w:hAnsi="宋体" w:cs="宋体"/>
                <w:b/>
                <w:bCs/>
                <w:color w:val="auto"/>
                <w:sz w:val="24"/>
                <w:szCs w:val="24"/>
              </w:rPr>
            </w:pPr>
            <w:r>
              <w:rPr>
                <w:rFonts w:hint="eastAsia" w:ascii="宋体" w:hAnsi="宋体" w:cs="宋体"/>
                <w:color w:val="auto"/>
                <w:sz w:val="24"/>
                <w:szCs w:val="24"/>
              </w:rPr>
              <w:t>5.本项目拟派人员中有主治医师，有1人得1分，最高得5分，提供证明材料。</w:t>
            </w:r>
          </w:p>
          <w:p w14:paraId="73F5DFE7">
            <w:pPr>
              <w:widowControl/>
              <w:numPr>
                <w:ilvl w:val="255"/>
                <w:numId w:val="0"/>
              </w:numPr>
              <w:spacing w:line="480" w:lineRule="exact"/>
              <w:ind w:firstLine="480" w:firstLineChars="200"/>
              <w:jc w:val="left"/>
              <w:rPr>
                <w:rFonts w:hint="default" w:ascii="仿宋" w:hAnsi="仿宋" w:eastAsia="宋体" w:cs="仿宋"/>
                <w:bCs/>
                <w:color w:val="auto"/>
                <w:kern w:val="0"/>
                <w:sz w:val="24"/>
                <w:szCs w:val="24"/>
                <w:lang w:val="en-US" w:eastAsia="zh-CN"/>
              </w:rPr>
            </w:pPr>
            <w:r>
              <w:rPr>
                <w:rFonts w:hint="eastAsia" w:ascii="宋体" w:hAnsi="宋体" w:cs="宋体"/>
                <w:b/>
                <w:bCs/>
                <w:color w:val="auto"/>
                <w:sz w:val="24"/>
                <w:szCs w:val="24"/>
              </w:rPr>
              <w:t>注：响应文件中须附有具体人员安排表及上述要求的证明材料，否则不得分。</w:t>
            </w:r>
            <w:r>
              <w:rPr>
                <w:rFonts w:hint="eastAsia" w:ascii="宋体" w:hAnsi="宋体" w:cs="宋体"/>
                <w:b/>
                <w:bCs/>
                <w:color w:val="auto"/>
                <w:sz w:val="24"/>
                <w:szCs w:val="24"/>
                <w:lang w:val="en-US" w:eastAsia="zh-CN"/>
              </w:rPr>
              <w:t>同一人员以高分计，只计一次分。</w:t>
            </w:r>
          </w:p>
        </w:tc>
        <w:tc>
          <w:tcPr>
            <w:tcW w:w="1036" w:type="dxa"/>
            <w:tcBorders>
              <w:tl2br w:val="nil"/>
              <w:tr2bl w:val="nil"/>
            </w:tcBorders>
            <w:tcMar>
              <w:top w:w="0" w:type="dxa"/>
              <w:left w:w="108" w:type="dxa"/>
              <w:bottom w:w="0" w:type="dxa"/>
              <w:right w:w="108" w:type="dxa"/>
            </w:tcMar>
            <w:vAlign w:val="center"/>
          </w:tcPr>
          <w:p w14:paraId="3A9B895E">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25分</w:t>
            </w:r>
          </w:p>
        </w:tc>
      </w:tr>
      <w:tr w14:paraId="307A5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045" w:hRule="atLeast"/>
        </w:trPr>
        <w:tc>
          <w:tcPr>
            <w:tcW w:w="788" w:type="dxa"/>
            <w:tcBorders>
              <w:tl2br w:val="nil"/>
              <w:tr2bl w:val="nil"/>
            </w:tcBorders>
            <w:tcMar>
              <w:top w:w="0" w:type="dxa"/>
              <w:left w:w="108" w:type="dxa"/>
              <w:bottom w:w="0" w:type="dxa"/>
              <w:right w:w="108" w:type="dxa"/>
            </w:tcMar>
            <w:vAlign w:val="center"/>
          </w:tcPr>
          <w:p w14:paraId="03EF919E">
            <w:pPr>
              <w:pBdr>
                <w:top w:val="none" w:color="000000" w:sz="0" w:space="0"/>
                <w:left w:val="none" w:color="000000" w:sz="0" w:space="0"/>
                <w:bottom w:val="none" w:color="000000" w:sz="0" w:space="0"/>
                <w:right w:val="none" w:color="000000" w:sz="0" w:space="0"/>
              </w:pBdr>
              <w:spacing w:line="480" w:lineRule="exact"/>
              <w:jc w:val="center"/>
              <w:rPr>
                <w:rFonts w:hint="eastAsia" w:ascii="仿宋" w:hAnsi="仿宋" w:eastAsia="宋体" w:cs="仿宋"/>
                <w:color w:val="auto"/>
                <w:sz w:val="24"/>
                <w:szCs w:val="24"/>
                <w:lang w:val="en-US" w:eastAsia="zh-CN"/>
              </w:rPr>
            </w:pPr>
            <w:r>
              <w:rPr>
                <w:rFonts w:hint="eastAsia" w:ascii="仿宋" w:hAnsi="仿宋" w:cs="仿宋"/>
                <w:color w:val="auto"/>
                <w:sz w:val="24"/>
                <w:szCs w:val="24"/>
                <w:lang w:val="en-US" w:eastAsia="zh-CN"/>
              </w:rPr>
              <w:t>5</w:t>
            </w:r>
          </w:p>
        </w:tc>
        <w:tc>
          <w:tcPr>
            <w:tcW w:w="1176" w:type="dxa"/>
            <w:tcBorders>
              <w:tl2br w:val="nil"/>
              <w:tr2bl w:val="nil"/>
            </w:tcBorders>
            <w:shd w:val="clear" w:color="auto" w:fill="auto"/>
            <w:tcMar>
              <w:top w:w="0" w:type="dxa"/>
              <w:left w:w="108" w:type="dxa"/>
              <w:bottom w:w="0" w:type="dxa"/>
              <w:right w:w="108" w:type="dxa"/>
            </w:tcMar>
            <w:vAlign w:val="center"/>
          </w:tcPr>
          <w:p w14:paraId="18B21CDD">
            <w:pPr>
              <w:spacing w:line="480" w:lineRule="exact"/>
              <w:jc w:val="center"/>
              <w:rPr>
                <w:rFonts w:ascii="宋体" w:hAnsi="宋体" w:cs="宋体"/>
                <w:bCs/>
                <w:color w:val="auto"/>
                <w:sz w:val="24"/>
                <w:szCs w:val="24"/>
              </w:rPr>
            </w:pPr>
            <w:r>
              <w:rPr>
                <w:rFonts w:hint="eastAsia" w:ascii="宋体" w:hAnsi="宋体" w:cs="宋体"/>
                <w:bCs/>
                <w:color w:val="auto"/>
                <w:sz w:val="24"/>
                <w:szCs w:val="24"/>
              </w:rPr>
              <w:t>服务质量保障措施</w:t>
            </w:r>
          </w:p>
          <w:p w14:paraId="040A0230">
            <w:pPr>
              <w:widowControl/>
              <w:spacing w:line="480" w:lineRule="exact"/>
              <w:rPr>
                <w:rFonts w:ascii="宋体" w:hAnsi="宋体" w:cs="宋体"/>
                <w:color w:val="auto"/>
                <w:kern w:val="0"/>
                <w:sz w:val="24"/>
                <w:szCs w:val="24"/>
              </w:rPr>
            </w:pPr>
          </w:p>
        </w:tc>
        <w:tc>
          <w:tcPr>
            <w:tcW w:w="6164" w:type="dxa"/>
            <w:tcBorders>
              <w:tl2br w:val="nil"/>
              <w:tr2bl w:val="nil"/>
            </w:tcBorders>
            <w:shd w:val="clear" w:color="auto" w:fill="auto"/>
            <w:tcMar>
              <w:top w:w="0" w:type="dxa"/>
              <w:left w:w="108" w:type="dxa"/>
              <w:bottom w:w="0" w:type="dxa"/>
              <w:right w:w="108" w:type="dxa"/>
            </w:tcMar>
            <w:vAlign w:val="center"/>
          </w:tcPr>
          <w:p w14:paraId="0F028BE3">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供应商</w:t>
            </w:r>
            <w:r>
              <w:rPr>
                <w:rFonts w:ascii="仿宋" w:hAnsi="仿宋" w:cs="仿宋"/>
                <w:bCs/>
                <w:color w:val="auto"/>
                <w:kern w:val="0"/>
                <w:sz w:val="24"/>
                <w:szCs w:val="24"/>
              </w:rPr>
              <w:t>针对本项目的服务</w:t>
            </w:r>
            <w:r>
              <w:rPr>
                <w:rFonts w:hint="eastAsia" w:ascii="仿宋" w:hAnsi="仿宋" w:cs="仿宋"/>
                <w:bCs/>
                <w:color w:val="auto"/>
                <w:kern w:val="0"/>
                <w:sz w:val="24"/>
                <w:szCs w:val="24"/>
              </w:rPr>
              <w:t>质量</w:t>
            </w:r>
            <w:r>
              <w:rPr>
                <w:rFonts w:ascii="仿宋" w:hAnsi="仿宋" w:cs="仿宋"/>
                <w:bCs/>
                <w:color w:val="auto"/>
                <w:kern w:val="0"/>
                <w:sz w:val="24"/>
                <w:szCs w:val="24"/>
              </w:rPr>
              <w:t>（包括但不限于体检流程、检查操作规范性、体检结果准确性、体检报告异常分析、疾病诊断等）保障措施内容全面完整、科学规范、切实可行，针对性强，完全满足采购人实际需求</w:t>
            </w:r>
            <w:r>
              <w:rPr>
                <w:rFonts w:hint="eastAsia" w:ascii="仿宋" w:hAnsi="仿宋" w:cs="仿宋"/>
                <w:bCs/>
                <w:color w:val="auto"/>
                <w:kern w:val="0"/>
                <w:sz w:val="24"/>
                <w:szCs w:val="24"/>
              </w:rPr>
              <w:t>的，得10分</w:t>
            </w:r>
            <w:r>
              <w:rPr>
                <w:rFonts w:ascii="仿宋" w:hAnsi="仿宋" w:cs="仿宋"/>
                <w:bCs/>
                <w:color w:val="auto"/>
                <w:kern w:val="0"/>
                <w:sz w:val="24"/>
                <w:szCs w:val="24"/>
              </w:rPr>
              <w:t xml:space="preserve">； </w:t>
            </w:r>
          </w:p>
          <w:p w14:paraId="6FBD2987">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供应商</w:t>
            </w:r>
            <w:r>
              <w:rPr>
                <w:rFonts w:ascii="仿宋" w:hAnsi="仿宋" w:cs="仿宋"/>
                <w:bCs/>
                <w:color w:val="auto"/>
                <w:kern w:val="0"/>
                <w:sz w:val="24"/>
                <w:szCs w:val="24"/>
              </w:rPr>
              <w:t>针对本项目的服务</w:t>
            </w:r>
            <w:r>
              <w:rPr>
                <w:rFonts w:hint="eastAsia" w:ascii="仿宋" w:hAnsi="仿宋" w:cs="仿宋"/>
                <w:bCs/>
                <w:color w:val="auto"/>
                <w:kern w:val="0"/>
                <w:sz w:val="24"/>
                <w:szCs w:val="24"/>
              </w:rPr>
              <w:t>质量</w:t>
            </w:r>
            <w:r>
              <w:rPr>
                <w:rFonts w:ascii="仿宋" w:hAnsi="仿宋" w:cs="仿宋"/>
                <w:bCs/>
                <w:color w:val="auto"/>
                <w:kern w:val="0"/>
                <w:sz w:val="24"/>
                <w:szCs w:val="24"/>
              </w:rPr>
              <w:t>（包含但不限于体检 流程、检查操作规范性、体检结果准确性、体检报告异常分析、疾病诊断等）保障措施内容基本完整，可行性一般，针对性一般，基本满足采购人实际需求</w:t>
            </w:r>
            <w:r>
              <w:rPr>
                <w:rFonts w:hint="eastAsia" w:ascii="仿宋" w:hAnsi="仿宋" w:cs="仿宋"/>
                <w:bCs/>
                <w:color w:val="auto"/>
                <w:kern w:val="0"/>
                <w:sz w:val="24"/>
                <w:szCs w:val="24"/>
              </w:rPr>
              <w:t>的，得7分</w:t>
            </w:r>
            <w:r>
              <w:rPr>
                <w:rFonts w:ascii="仿宋" w:hAnsi="仿宋" w:cs="仿宋"/>
                <w:bCs/>
                <w:color w:val="auto"/>
                <w:kern w:val="0"/>
                <w:sz w:val="24"/>
                <w:szCs w:val="24"/>
              </w:rPr>
              <w:t xml:space="preserve">； </w:t>
            </w:r>
          </w:p>
          <w:p w14:paraId="46EF045F">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供应商</w:t>
            </w:r>
            <w:r>
              <w:rPr>
                <w:rFonts w:ascii="仿宋" w:hAnsi="仿宋" w:cs="仿宋"/>
                <w:bCs/>
                <w:color w:val="auto"/>
                <w:kern w:val="0"/>
                <w:sz w:val="24"/>
                <w:szCs w:val="24"/>
              </w:rPr>
              <w:t>针对本项目的服务</w:t>
            </w:r>
            <w:r>
              <w:rPr>
                <w:rFonts w:hint="eastAsia" w:ascii="仿宋" w:hAnsi="仿宋" w:cs="仿宋"/>
                <w:bCs/>
                <w:color w:val="auto"/>
                <w:kern w:val="0"/>
                <w:sz w:val="24"/>
                <w:szCs w:val="24"/>
              </w:rPr>
              <w:t>质量</w:t>
            </w:r>
            <w:r>
              <w:rPr>
                <w:rFonts w:ascii="仿宋" w:hAnsi="仿宋" w:cs="仿宋"/>
                <w:bCs/>
                <w:color w:val="auto"/>
                <w:kern w:val="0"/>
                <w:sz w:val="24"/>
                <w:szCs w:val="24"/>
              </w:rPr>
              <w:t>（包含但不限于体检流程、检查操作规范性、体检结果准确性、体检报告异常分析、疾病诊断等）保障措施内容有缺陷，可行性、针对性差</w:t>
            </w:r>
            <w:r>
              <w:rPr>
                <w:rFonts w:hint="eastAsia" w:ascii="仿宋" w:hAnsi="仿宋" w:cs="仿宋"/>
                <w:bCs/>
                <w:color w:val="auto"/>
                <w:kern w:val="0"/>
                <w:sz w:val="24"/>
                <w:szCs w:val="24"/>
              </w:rPr>
              <w:t>的，得4分；</w:t>
            </w:r>
            <w:r>
              <w:rPr>
                <w:rFonts w:ascii="仿宋" w:hAnsi="仿宋" w:cs="仿宋"/>
                <w:bCs/>
                <w:color w:val="auto"/>
                <w:kern w:val="0"/>
                <w:sz w:val="24"/>
                <w:szCs w:val="24"/>
              </w:rPr>
              <w:t xml:space="preserve"> </w:t>
            </w:r>
          </w:p>
          <w:p w14:paraId="5A8792BE">
            <w:pPr>
              <w:widowControl/>
              <w:numPr>
                <w:ilvl w:val="255"/>
                <w:numId w:val="0"/>
              </w:numPr>
              <w:spacing w:line="480" w:lineRule="exact"/>
              <w:ind w:firstLine="480" w:firstLineChars="200"/>
              <w:jc w:val="left"/>
              <w:rPr>
                <w:rFonts w:ascii="仿宋" w:hAnsi="仿宋" w:cs="仿宋"/>
                <w:bCs/>
                <w:color w:val="auto"/>
                <w:kern w:val="0"/>
                <w:sz w:val="24"/>
                <w:szCs w:val="24"/>
              </w:rPr>
            </w:pPr>
            <w:r>
              <w:rPr>
                <w:rFonts w:hint="eastAsia" w:ascii="仿宋" w:hAnsi="仿宋" w:cs="仿宋"/>
                <w:bCs/>
                <w:color w:val="auto"/>
                <w:kern w:val="0"/>
                <w:sz w:val="24"/>
                <w:szCs w:val="24"/>
              </w:rPr>
              <w:t>供应商</w:t>
            </w:r>
            <w:r>
              <w:rPr>
                <w:rFonts w:ascii="仿宋" w:hAnsi="仿宋" w:cs="仿宋"/>
                <w:bCs/>
                <w:color w:val="auto"/>
                <w:kern w:val="0"/>
                <w:sz w:val="24"/>
                <w:szCs w:val="24"/>
              </w:rPr>
              <w:t>未针对本项目提出服务</w:t>
            </w:r>
            <w:r>
              <w:rPr>
                <w:rFonts w:hint="eastAsia" w:ascii="仿宋" w:hAnsi="仿宋" w:cs="仿宋"/>
                <w:bCs/>
                <w:color w:val="auto"/>
                <w:kern w:val="0"/>
                <w:sz w:val="24"/>
                <w:szCs w:val="24"/>
              </w:rPr>
              <w:t>质量</w:t>
            </w:r>
            <w:r>
              <w:rPr>
                <w:rFonts w:ascii="仿宋" w:hAnsi="仿宋" w:cs="仿宋"/>
                <w:bCs/>
                <w:color w:val="auto"/>
                <w:kern w:val="0"/>
                <w:sz w:val="24"/>
                <w:szCs w:val="24"/>
              </w:rPr>
              <w:t>（包含但不限于体检流程、检查操作规范性、体检结果准确性、体检报告异常分析、疾病诊断等）保障措施承诺差</w:t>
            </w:r>
            <w:r>
              <w:rPr>
                <w:rFonts w:hint="eastAsia" w:ascii="仿宋" w:hAnsi="仿宋" w:cs="仿宋"/>
                <w:bCs/>
                <w:color w:val="auto"/>
                <w:kern w:val="0"/>
                <w:sz w:val="24"/>
                <w:szCs w:val="24"/>
              </w:rPr>
              <w:t>的，得1分</w:t>
            </w:r>
            <w:r>
              <w:rPr>
                <w:rFonts w:ascii="仿宋" w:hAnsi="仿宋" w:cs="仿宋"/>
                <w:bCs/>
                <w:color w:val="auto"/>
                <w:kern w:val="0"/>
                <w:sz w:val="24"/>
                <w:szCs w:val="24"/>
              </w:rPr>
              <w:t>。</w:t>
            </w:r>
          </w:p>
          <w:p w14:paraId="1E1561E3">
            <w:pPr>
              <w:spacing w:line="480" w:lineRule="exact"/>
              <w:ind w:firstLine="480" w:firstLineChars="200"/>
              <w:rPr>
                <w:rFonts w:ascii="仿宋" w:hAnsi="仿宋" w:cs="仿宋"/>
                <w:bCs/>
                <w:color w:val="auto"/>
                <w:kern w:val="0"/>
                <w:sz w:val="24"/>
                <w:szCs w:val="24"/>
              </w:rPr>
            </w:pPr>
            <w:r>
              <w:rPr>
                <w:rFonts w:hint="eastAsia" w:ascii="仿宋" w:hAnsi="仿宋" w:cs="仿宋"/>
                <w:b/>
                <w:color w:val="auto"/>
                <w:kern w:val="0"/>
                <w:sz w:val="24"/>
                <w:szCs w:val="24"/>
              </w:rPr>
              <w:t>注：未提供</w:t>
            </w:r>
            <w:r>
              <w:rPr>
                <w:rFonts w:hint="eastAsia" w:ascii="宋体" w:hAnsi="宋体" w:cs="宋体"/>
                <w:b/>
                <w:color w:val="auto"/>
                <w:sz w:val="24"/>
                <w:szCs w:val="24"/>
              </w:rPr>
              <w:t>服务质量保障措施</w:t>
            </w:r>
            <w:r>
              <w:rPr>
                <w:rFonts w:hint="eastAsia" w:ascii="仿宋" w:hAnsi="仿宋" w:cs="仿宋"/>
                <w:b/>
                <w:color w:val="auto"/>
                <w:kern w:val="0"/>
                <w:sz w:val="24"/>
                <w:szCs w:val="24"/>
              </w:rPr>
              <w:t>的不得分。</w:t>
            </w:r>
          </w:p>
        </w:tc>
        <w:tc>
          <w:tcPr>
            <w:tcW w:w="1036" w:type="dxa"/>
            <w:tcBorders>
              <w:tl2br w:val="nil"/>
              <w:tr2bl w:val="nil"/>
            </w:tcBorders>
            <w:tcMar>
              <w:top w:w="0" w:type="dxa"/>
              <w:left w:w="108" w:type="dxa"/>
              <w:bottom w:w="0" w:type="dxa"/>
              <w:right w:w="108" w:type="dxa"/>
            </w:tcMar>
            <w:vAlign w:val="center"/>
          </w:tcPr>
          <w:p w14:paraId="3558F34B">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10</w:t>
            </w:r>
          </w:p>
        </w:tc>
      </w:tr>
      <w:tr w14:paraId="089BF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88" w:hRule="atLeast"/>
        </w:trPr>
        <w:tc>
          <w:tcPr>
            <w:tcW w:w="788" w:type="dxa"/>
            <w:tcBorders>
              <w:tl2br w:val="nil"/>
              <w:tr2bl w:val="nil"/>
            </w:tcBorders>
            <w:tcMar>
              <w:top w:w="0" w:type="dxa"/>
              <w:left w:w="108" w:type="dxa"/>
              <w:bottom w:w="0" w:type="dxa"/>
              <w:right w:w="108" w:type="dxa"/>
            </w:tcMar>
            <w:vAlign w:val="center"/>
          </w:tcPr>
          <w:p w14:paraId="6044B180">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 </w:t>
            </w:r>
          </w:p>
        </w:tc>
        <w:tc>
          <w:tcPr>
            <w:tcW w:w="7340" w:type="dxa"/>
            <w:gridSpan w:val="2"/>
            <w:tcBorders>
              <w:tl2br w:val="nil"/>
              <w:tr2bl w:val="nil"/>
            </w:tcBorders>
            <w:tcMar>
              <w:top w:w="0" w:type="dxa"/>
              <w:left w:w="108" w:type="dxa"/>
              <w:bottom w:w="0" w:type="dxa"/>
              <w:right w:w="108" w:type="dxa"/>
            </w:tcMar>
            <w:vAlign w:val="center"/>
          </w:tcPr>
          <w:p w14:paraId="465A67D9">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合计</w:t>
            </w:r>
          </w:p>
        </w:tc>
        <w:tc>
          <w:tcPr>
            <w:tcW w:w="1036" w:type="dxa"/>
            <w:tcBorders>
              <w:tl2br w:val="nil"/>
              <w:tr2bl w:val="nil"/>
            </w:tcBorders>
            <w:tcMar>
              <w:top w:w="0" w:type="dxa"/>
              <w:left w:w="108" w:type="dxa"/>
              <w:bottom w:w="0" w:type="dxa"/>
              <w:right w:w="108" w:type="dxa"/>
            </w:tcMar>
            <w:vAlign w:val="center"/>
          </w:tcPr>
          <w:p w14:paraId="154EBC56">
            <w:pPr>
              <w:pBdr>
                <w:top w:val="none" w:color="000000" w:sz="0" w:space="0"/>
                <w:left w:val="none" w:color="000000" w:sz="0" w:space="0"/>
                <w:bottom w:val="none" w:color="000000" w:sz="0" w:space="0"/>
                <w:right w:val="none" w:color="000000" w:sz="0" w:space="0"/>
              </w:pBdr>
              <w:spacing w:line="480" w:lineRule="exact"/>
              <w:jc w:val="center"/>
              <w:rPr>
                <w:rFonts w:ascii="仿宋" w:hAnsi="仿宋" w:cs="仿宋"/>
                <w:color w:val="auto"/>
                <w:sz w:val="24"/>
                <w:szCs w:val="24"/>
              </w:rPr>
            </w:pPr>
            <w:r>
              <w:rPr>
                <w:rFonts w:hint="eastAsia" w:ascii="仿宋" w:hAnsi="仿宋" w:cs="仿宋"/>
                <w:color w:val="auto"/>
                <w:sz w:val="24"/>
                <w:szCs w:val="24"/>
              </w:rPr>
              <w:t>65</w:t>
            </w:r>
          </w:p>
        </w:tc>
      </w:tr>
    </w:tbl>
    <w:p w14:paraId="4BF9C7DE">
      <w:pPr>
        <w:numPr>
          <w:ilvl w:val="255"/>
          <w:numId w:val="0"/>
        </w:num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（二）价格分（35分）</w:t>
      </w:r>
    </w:p>
    <w:p w14:paraId="48756870">
      <w:pPr>
        <w:snapToGrid w:val="0"/>
        <w:spacing w:line="480" w:lineRule="exact"/>
        <w:ind w:firstLine="570"/>
        <w:rPr>
          <w:rFonts w:ascii="宋体" w:hAnsi="宋体" w:cs="宋体"/>
          <w:color w:val="auto"/>
          <w:sz w:val="24"/>
          <w:szCs w:val="24"/>
        </w:rPr>
      </w:pPr>
      <w:r>
        <w:rPr>
          <w:rFonts w:hint="eastAsia" w:cs="宋体"/>
          <w:color w:val="auto"/>
          <w:sz w:val="24"/>
          <w:szCs w:val="24"/>
        </w:rPr>
        <w:t>1.本项目单价最高限价：常规体检（含第二学期视力）22元/人，EC皮试25元/人，胸片60元/人，CT复查（部分胸片异常学生）220元/</w:t>
      </w:r>
      <w:bookmarkStart w:id="45" w:name="_GoBack"/>
      <w:bookmarkEnd w:id="45"/>
      <w:r>
        <w:rPr>
          <w:rFonts w:hint="eastAsia" w:cs="宋体"/>
          <w:color w:val="auto"/>
          <w:sz w:val="24"/>
          <w:szCs w:val="24"/>
        </w:rPr>
        <w:t>人</w:t>
      </w:r>
      <w:r>
        <w:rPr>
          <w:rFonts w:hint="eastAsia" w:ascii="宋体" w:hAnsi="宋体" w:cs="宋体"/>
          <w:color w:val="auto"/>
          <w:sz w:val="24"/>
          <w:szCs w:val="24"/>
        </w:rPr>
        <w:t>。</w:t>
      </w:r>
    </w:p>
    <w:p w14:paraId="5B3473E4">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2.确定有效报价：响应报价小于等于最高限价的为有效报价（响应报价大于最高限价的作废标处理）。</w:t>
      </w:r>
    </w:p>
    <w:p w14:paraId="064EDE8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3.无效报价、被宣布为废标的响应报价均不参与评标基准价的计算。</w:t>
      </w:r>
    </w:p>
    <w:p w14:paraId="1ABC903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4.评标基准价为有效响应报价的最低报价。</w:t>
      </w:r>
    </w:p>
    <w:p w14:paraId="4EF4F19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评标结束后，除确认存在计算错误外，评标基准价不因采购活动当事人质疑、投诉、复议以及其他任何情形而改变。</w:t>
      </w:r>
    </w:p>
    <w:p w14:paraId="25E4C10A">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5.计算报价得分</w:t>
      </w:r>
    </w:p>
    <w:p w14:paraId="53CE634A">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（1）只有通过资格审查及商务技术标评审，且价格标满足本项目比选文件要求后方可参加后续价格标的评审。</w:t>
      </w:r>
    </w:p>
    <w:p w14:paraId="2FC3F2BD">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（2）价格分采用低价优先法计算，即满足比选文件要求且响应报价最低的为评标基准价，其对应价格分为满分。其他供应商的价格分统一按照下列公式计算：</w:t>
      </w:r>
    </w:p>
    <w:p w14:paraId="0B4402D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常规体检（含第二学期视力）报价得分=（评标基准价/响应报价）×</w:t>
      </w:r>
      <w:r>
        <w:rPr>
          <w:rFonts w:ascii="宋体" w:hAnsi="宋体" w:cs="宋体"/>
          <w:color w:val="auto"/>
          <w:sz w:val="24"/>
          <w:szCs w:val="24"/>
        </w:rPr>
        <w:t>20</w:t>
      </w:r>
    </w:p>
    <w:p w14:paraId="4B2EE00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EC皮试报价得分=（评标基准价/响应报价）×9</w:t>
      </w:r>
      <w:r>
        <w:rPr>
          <w:rFonts w:ascii="宋体" w:hAnsi="宋体" w:cs="宋体"/>
          <w:color w:val="auto"/>
          <w:sz w:val="24"/>
          <w:szCs w:val="24"/>
        </w:rPr>
        <w:t>.5</w:t>
      </w:r>
    </w:p>
    <w:p w14:paraId="60565805">
      <w:pPr>
        <w:snapToGrid w:val="0"/>
        <w:spacing w:line="480" w:lineRule="exact"/>
        <w:ind w:firstLine="570"/>
        <w:rPr>
          <w:rFonts w:ascii="宋体" w:hAnsi="宋体" w:cs="宋体"/>
          <w:color w:val="auto"/>
          <w:sz w:val="24"/>
          <w:szCs w:val="24"/>
        </w:rPr>
      </w:pPr>
      <w:r>
        <w:rPr>
          <w:rFonts w:hint="eastAsia" w:cs="宋体"/>
          <w:color w:val="auto"/>
          <w:sz w:val="24"/>
          <w:szCs w:val="24"/>
        </w:rPr>
        <w:t>胸片</w:t>
      </w:r>
      <w:r>
        <w:rPr>
          <w:rFonts w:hint="eastAsia" w:ascii="宋体" w:hAnsi="宋体" w:cs="宋体"/>
          <w:color w:val="auto"/>
          <w:sz w:val="24"/>
          <w:szCs w:val="24"/>
        </w:rPr>
        <w:t>报价得分=（评标基准价/响应报价）×5</w:t>
      </w:r>
    </w:p>
    <w:p w14:paraId="6B7B96F9">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CT复查（部分胸片异常学生）报价得分=（评标基准价/响应报价）×</w:t>
      </w:r>
      <w:r>
        <w:rPr>
          <w:rFonts w:ascii="宋体" w:hAnsi="宋体" w:cs="宋体"/>
          <w:color w:val="auto"/>
          <w:sz w:val="24"/>
          <w:szCs w:val="24"/>
        </w:rPr>
        <w:t>0.5</w:t>
      </w:r>
    </w:p>
    <w:p w14:paraId="7F5BC284">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（3）供应商报价总得分=常规体检（含第二学期视力）报价得分+EC皮试报价得分+</w:t>
      </w:r>
      <w:r>
        <w:rPr>
          <w:rFonts w:hint="eastAsia" w:cs="宋体"/>
          <w:color w:val="auto"/>
          <w:sz w:val="24"/>
          <w:szCs w:val="24"/>
        </w:rPr>
        <w:t>胸片</w:t>
      </w:r>
      <w:r>
        <w:rPr>
          <w:rFonts w:hint="eastAsia" w:ascii="宋体" w:hAnsi="宋体" w:cs="宋体"/>
          <w:color w:val="auto"/>
          <w:sz w:val="24"/>
          <w:szCs w:val="24"/>
        </w:rPr>
        <w:t>报价得分+CT复查（部分胸片异常学生）报价得分。</w:t>
      </w:r>
    </w:p>
    <w:p w14:paraId="7E425017">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（三）评审争议</w:t>
      </w:r>
    </w:p>
    <w:p w14:paraId="51077239">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评标时评委对评标的细则若有争议，由评标小组各评委集体讨论确定，并对未尽情况有最终解释权。</w:t>
      </w:r>
    </w:p>
    <w:p w14:paraId="25B5D5E4">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（四）评审结果解释</w:t>
      </w:r>
    </w:p>
    <w:p w14:paraId="4BDB55D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对落标的供应商不做落标原因的解释。</w:t>
      </w:r>
    </w:p>
    <w:p w14:paraId="38799E15">
      <w:pPr>
        <w:snapToGrid w:val="0"/>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五、评审程序</w:t>
      </w:r>
    </w:p>
    <w:p w14:paraId="2CB2583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1.评标小组依据响应文件的规定和要求，对供应商提供的资格证明材料是否齐全、是否满足响应文件的要求进行审查，合格的进入评标。</w:t>
      </w:r>
    </w:p>
    <w:p w14:paraId="50EEB528">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2.评标小组对符合资格条件的供应商提交的响应文件进行审查。重点审查响应文件的有效性、完整性和实质性响应程度等。</w:t>
      </w:r>
    </w:p>
    <w:p w14:paraId="70A89971">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评标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0F13830F">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4.投标中的任何一方不得透露与评标有关的其他供应商技术资料、报价和其他信息。比选文件有实质性变动的，评标小组应以书面形式通知所有供应商。</w:t>
      </w:r>
    </w:p>
    <w:p w14:paraId="7A97856D">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5.评标小组按比选文件规定的评标方法和标准，对资格性检查和符合性检查合格的供应商的响应文件进行商务和技术评估，综合比较与评价确定其商务技术得分。</w:t>
      </w:r>
    </w:p>
    <w:p w14:paraId="21E6A288">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6.评标小组依据技术标评审得分确定入围商务报价的供应商后，根据供应商的报价，结合其技术标评审得分后为综合得分，并由高到低顺序排列，综合得分最高的确定成交人，并将结果通知所有供应商。</w:t>
      </w:r>
    </w:p>
    <w:p w14:paraId="27F5FFA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7.确定成交人：得分最高的供应商为第一成交候选人。第一成交候选人原则上为成交人。当排名第一的成交候选人放弃成交、因不可抗力不能履行合同、不按照比选文件要求提交履约保证金，或者被查实存在影响成交结果的违法行为等情形，不符合成交条件的，采购人可以按照评标委员会提出的成交候选人名单排序依次确定其他成交候选人为成交人，也可以重新组织比选。</w:t>
      </w:r>
    </w:p>
    <w:p w14:paraId="235E08CE">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注：采用综合评分法综合得分相同的，按响应报价由低到高顺序排列。综合得分且响应报价相同的，按技术指标优劣顺序排列。</w:t>
      </w:r>
    </w:p>
    <w:p w14:paraId="69849DD3">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六、出现下列情形之一的，作无效响应处理</w:t>
      </w:r>
    </w:p>
    <w:p w14:paraId="1FA7A370">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1.响应文件未按规定要求装订、密封、签署、盖章及主要资料不齐全的；</w:t>
      </w:r>
    </w:p>
    <w:p w14:paraId="7D35B5DB">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2.响应文件的资料有虚报或者谎报的；</w:t>
      </w:r>
    </w:p>
    <w:p w14:paraId="108E9F47">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3.响应文件技术部分出现响应价格的内容；</w:t>
      </w:r>
    </w:p>
    <w:p w14:paraId="4A811F10">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4.不具备比选文件规定的资格要求的；</w:t>
      </w:r>
    </w:p>
    <w:p w14:paraId="56919276">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5.响应文件有重大漏项或重大不合理的；</w:t>
      </w:r>
    </w:p>
    <w:p w14:paraId="29AC970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6.项目技术、方案不满足用户需求中的要求，有重大偏离或保留的；</w:t>
      </w:r>
    </w:p>
    <w:p w14:paraId="5D2BB3EC">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7.响应报价超出项目预算的；</w:t>
      </w:r>
    </w:p>
    <w:p w14:paraId="70A25BA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8.被认定为低于成本报价竞标的；</w:t>
      </w:r>
    </w:p>
    <w:p w14:paraId="1FA2ACE6">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9.供应商的技术标得分畸低，被认定为未实质性响应的；</w:t>
      </w:r>
    </w:p>
    <w:p w14:paraId="3ECFB30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10.不符合法律法规和比选文件中规定的其他实质性响应要求的；</w:t>
      </w:r>
    </w:p>
    <w:p w14:paraId="41139AE3">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11.评审小组可以认定为其他可构成未实质性响应比选文件要求的。</w:t>
      </w:r>
    </w:p>
    <w:p w14:paraId="2829C8AA">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七、出现下列情形之一的，作废标处理</w:t>
      </w:r>
    </w:p>
    <w:p w14:paraId="6603DF32">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1.符合资格条件或者对比选文件作实质响应的供应商不足3家的；</w:t>
      </w:r>
    </w:p>
    <w:p w14:paraId="3D967F45">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2.出现影响采购公正的违法违规行为的；</w:t>
      </w:r>
    </w:p>
    <w:p w14:paraId="519D4871">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3.所有供应商报价超出采购预算价的；</w:t>
      </w:r>
    </w:p>
    <w:p w14:paraId="19F0F0BE">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4.因重大变故，采购任务被取消的；</w:t>
      </w:r>
    </w:p>
    <w:p w14:paraId="4B506CC2">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5.评标小组依据法律法规可以认定为废标的其他情况。</w:t>
      </w:r>
    </w:p>
    <w:p w14:paraId="6769301B">
      <w:pPr>
        <w:snapToGrid w:val="0"/>
        <w:spacing w:line="480" w:lineRule="exact"/>
        <w:ind w:firstLine="570"/>
        <w:rPr>
          <w:rFonts w:ascii="宋体" w:hAnsi="宋体" w:cs="宋体"/>
          <w:b/>
          <w:bCs/>
          <w:color w:val="auto"/>
          <w:sz w:val="24"/>
          <w:szCs w:val="24"/>
        </w:rPr>
      </w:pPr>
      <w:r>
        <w:rPr>
          <w:rFonts w:hint="eastAsia" w:ascii="宋体" w:hAnsi="宋体" w:cs="宋体"/>
          <w:b/>
          <w:bCs/>
          <w:color w:val="auto"/>
          <w:sz w:val="24"/>
          <w:szCs w:val="24"/>
        </w:rPr>
        <w:t>八、成交通知</w:t>
      </w:r>
    </w:p>
    <w:p w14:paraId="49676FA6">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1.开标结束后，采购人将成交结果在南通市教育局网</w:t>
      </w:r>
      <w:r>
        <w:rPr>
          <w:rFonts w:hint="eastAsia" w:ascii="宋体" w:hAnsi="宋体" w:cs="宋体"/>
          <w:color w:val="auto"/>
          <w:sz w:val="24"/>
          <w:szCs w:val="24"/>
          <w:lang w:eastAsia="zh-CN"/>
        </w:rPr>
        <w:t>、</w:t>
      </w:r>
      <w:r>
        <w:rPr>
          <w:rFonts w:hint="eastAsia" w:ascii="宋体" w:hAnsi="宋体" w:cs="宋体"/>
          <w:color w:val="auto"/>
          <w:sz w:val="24"/>
          <w:szCs w:val="24"/>
        </w:rPr>
        <w:t>江苏省南通中学校园网公告1个工作日，同时向成交人发出《成交通知书》。</w:t>
      </w:r>
    </w:p>
    <w:p w14:paraId="2033061A">
      <w:pPr>
        <w:snapToGrid w:val="0"/>
        <w:spacing w:line="480" w:lineRule="exact"/>
        <w:ind w:firstLine="570"/>
        <w:rPr>
          <w:rFonts w:ascii="宋体" w:hAnsi="宋体" w:cs="宋体"/>
          <w:color w:val="auto"/>
          <w:sz w:val="24"/>
          <w:szCs w:val="24"/>
        </w:rPr>
      </w:pPr>
      <w:r>
        <w:rPr>
          <w:rFonts w:hint="eastAsia" w:ascii="宋体" w:hAnsi="宋体" w:cs="宋体"/>
          <w:color w:val="auto"/>
          <w:sz w:val="24"/>
          <w:szCs w:val="24"/>
        </w:rPr>
        <w:t>2.《成交通知书》一经发出，即具有法律效力。采购人、成交人依法承担法律责任。</w:t>
      </w:r>
    </w:p>
    <w:p w14:paraId="607DE245">
      <w:pPr>
        <w:snapToGrid w:val="0"/>
        <w:spacing w:line="480" w:lineRule="exact"/>
        <w:jc w:val="center"/>
        <w:outlineLvl w:val="0"/>
        <w:rPr>
          <w:rFonts w:ascii="宋体" w:hAnsi="宋体" w:cs="宋体"/>
          <w:color w:val="auto"/>
          <w:sz w:val="24"/>
          <w:szCs w:val="24"/>
        </w:rPr>
      </w:pPr>
      <w:bookmarkStart w:id="37" w:name="_Toc13768"/>
      <w:r>
        <w:rPr>
          <w:rFonts w:hint="eastAsia" w:ascii="宋体" w:hAnsi="宋体" w:cs="宋体"/>
          <w:b/>
          <w:color w:val="auto"/>
          <w:sz w:val="24"/>
          <w:szCs w:val="24"/>
        </w:rPr>
        <w:br w:type="page"/>
      </w:r>
      <w:r>
        <w:rPr>
          <w:rFonts w:hint="eastAsia" w:ascii="宋体" w:hAnsi="宋体" w:cs="宋体"/>
          <w:b/>
          <w:color w:val="auto"/>
          <w:sz w:val="24"/>
          <w:szCs w:val="24"/>
        </w:rPr>
        <w:t>第五章  合同签订与验收付款</w:t>
      </w:r>
      <w:bookmarkEnd w:id="37"/>
    </w:p>
    <w:p w14:paraId="585E4E33">
      <w:pPr>
        <w:pStyle w:val="32"/>
        <w:tabs>
          <w:tab w:val="right" w:leader="dot" w:pos="9214"/>
        </w:tabs>
        <w:snapToGrid w:val="0"/>
        <w:spacing w:line="480" w:lineRule="exact"/>
        <w:ind w:right="443" w:rightChars="211" w:firstLine="480" w:firstLineChars="200"/>
        <w:contextualSpacing/>
        <w:rPr>
          <w:rFonts w:ascii="宋体" w:eastAsia="宋体" w:cs="宋体"/>
          <w:color w:val="auto"/>
          <w:sz w:val="24"/>
          <w:szCs w:val="24"/>
        </w:rPr>
      </w:pPr>
      <w:r>
        <w:rPr>
          <w:rFonts w:hint="eastAsia" w:ascii="宋体" w:eastAsia="宋体" w:cs="宋体"/>
          <w:color w:val="auto"/>
          <w:sz w:val="24"/>
          <w:szCs w:val="24"/>
        </w:rPr>
        <w:t>一、成交人和采购人在接到《成交通知书》后30个日历天内按照比选文件确定的事项签订采购合同。</w:t>
      </w:r>
      <w:r>
        <w:rPr>
          <w:rFonts w:hint="eastAsia" w:ascii="宋体" w:eastAsia="宋体" w:cs="宋体"/>
          <w:color w:val="auto"/>
          <w:sz w:val="24"/>
          <w:szCs w:val="24"/>
          <w:lang w:val="zh-CN"/>
        </w:rPr>
        <w:t>所签合同不得对</w:t>
      </w:r>
      <w:r>
        <w:rPr>
          <w:rFonts w:hint="eastAsia" w:ascii="宋体" w:eastAsia="宋体" w:cs="宋体"/>
          <w:color w:val="auto"/>
          <w:sz w:val="24"/>
          <w:szCs w:val="24"/>
        </w:rPr>
        <w:t>比选文件</w:t>
      </w:r>
      <w:r>
        <w:rPr>
          <w:rFonts w:hint="eastAsia" w:ascii="宋体" w:eastAsia="宋体" w:cs="宋体"/>
          <w:color w:val="auto"/>
          <w:sz w:val="24"/>
          <w:szCs w:val="24"/>
          <w:lang w:val="zh-CN"/>
        </w:rPr>
        <w:t>作实质性修改</w:t>
      </w:r>
      <w:r>
        <w:rPr>
          <w:rFonts w:hint="eastAsia" w:ascii="宋体" w:eastAsia="宋体" w:cs="宋体"/>
          <w:color w:val="auto"/>
          <w:sz w:val="24"/>
          <w:szCs w:val="24"/>
        </w:rPr>
        <w:t>。采购人不得向成交人提出不合理的要求作为签订合同的条件，不得与成交人私下订立背离比选文件实质性内容的协议。</w:t>
      </w:r>
      <w:bookmarkStart w:id="38" w:name="_Toc363573858"/>
      <w:bookmarkStart w:id="39" w:name="_Toc94585343"/>
    </w:p>
    <w:p w14:paraId="34EAF244">
      <w:pPr>
        <w:tabs>
          <w:tab w:val="right" w:leader="dot" w:pos="9214"/>
        </w:tabs>
        <w:spacing w:line="480" w:lineRule="exact"/>
        <w:ind w:right="443" w:rightChars="211" w:firstLine="480" w:firstLineChars="200"/>
        <w:rPr>
          <w:rFonts w:ascii="宋体" w:hAnsi="宋体" w:cs="宋体"/>
          <w:color w:val="auto"/>
          <w:sz w:val="24"/>
          <w:szCs w:val="24"/>
        </w:rPr>
      </w:pPr>
      <w:r>
        <w:rPr>
          <w:rFonts w:hint="eastAsia" w:ascii="宋体" w:hAnsi="宋体" w:cs="宋体"/>
          <w:color w:val="auto"/>
          <w:sz w:val="24"/>
          <w:szCs w:val="24"/>
        </w:rPr>
        <w:t>二、比选文件、成交人的响应文件及评审过程中有关书面澄清、承诺等均应作为合同附件，具有同等的法律效力。</w:t>
      </w:r>
    </w:p>
    <w:p w14:paraId="345CD838">
      <w:pPr>
        <w:tabs>
          <w:tab w:val="right" w:leader="dot" w:pos="9214"/>
        </w:tabs>
        <w:spacing w:line="480" w:lineRule="exact"/>
        <w:ind w:right="443" w:rightChars="211" w:firstLine="480" w:firstLineChars="200"/>
        <w:rPr>
          <w:rFonts w:ascii="宋体" w:hAnsi="宋体" w:cs="宋体"/>
          <w:color w:val="auto"/>
          <w:sz w:val="24"/>
          <w:szCs w:val="24"/>
        </w:rPr>
      </w:pPr>
      <w:r>
        <w:rPr>
          <w:rFonts w:hint="eastAsia" w:ascii="宋体" w:hAnsi="宋体" w:cs="宋体"/>
          <w:color w:val="auto"/>
          <w:sz w:val="24"/>
          <w:szCs w:val="24"/>
        </w:rPr>
        <w:t>三、成交人不得采用转包、分包的形式履行合同，否则，采购人有权终止合同，造成采购人损失的，成交人应承担相应赔偿责任。</w:t>
      </w:r>
    </w:p>
    <w:bookmarkEnd w:id="38"/>
    <w:bookmarkEnd w:id="39"/>
    <w:p w14:paraId="68DFBB0D">
      <w:pPr>
        <w:tabs>
          <w:tab w:val="right" w:leader="dot" w:pos="9214"/>
        </w:tabs>
        <w:spacing w:line="480" w:lineRule="exact"/>
        <w:ind w:right="443" w:rightChars="211" w:firstLine="480" w:firstLineChars="200"/>
        <w:rPr>
          <w:rFonts w:ascii="宋体" w:hAnsi="宋体" w:cs="宋体"/>
          <w:color w:val="auto"/>
          <w:sz w:val="24"/>
          <w:szCs w:val="24"/>
        </w:rPr>
      </w:pPr>
      <w:r>
        <w:rPr>
          <w:rFonts w:hint="eastAsia" w:ascii="宋体" w:hAnsi="宋体" w:cs="宋体"/>
          <w:color w:val="auto"/>
          <w:sz w:val="24"/>
          <w:szCs w:val="24"/>
        </w:rPr>
        <w:t>四、采购人和成交人应相互配合，按采购合同约定积极组织本项目的实施，确保项目按时完成。</w:t>
      </w:r>
    </w:p>
    <w:p w14:paraId="6A17D256">
      <w:pPr>
        <w:tabs>
          <w:tab w:val="right" w:leader="dot" w:pos="9214"/>
        </w:tabs>
        <w:spacing w:line="480" w:lineRule="exact"/>
        <w:ind w:right="443" w:rightChars="211" w:firstLine="480" w:firstLineChars="200"/>
        <w:rPr>
          <w:rFonts w:ascii="宋体" w:hAnsi="宋体" w:cs="宋体"/>
          <w:color w:val="auto"/>
          <w:sz w:val="24"/>
          <w:szCs w:val="24"/>
        </w:rPr>
      </w:pPr>
      <w:r>
        <w:rPr>
          <w:rFonts w:hint="eastAsia" w:ascii="宋体" w:hAnsi="宋体" w:cs="宋体"/>
          <w:color w:val="auto"/>
          <w:sz w:val="24"/>
          <w:szCs w:val="24"/>
        </w:rPr>
        <w:t>五、成交人履约到位后，应以书面形式向采购人提出验收申请。采购人接到申请后应及时组织验收。</w:t>
      </w:r>
    </w:p>
    <w:p w14:paraId="2EED2DAC">
      <w:pPr>
        <w:tabs>
          <w:tab w:val="right" w:leader="dot" w:pos="9214"/>
        </w:tabs>
        <w:spacing w:line="480" w:lineRule="exact"/>
        <w:ind w:right="443" w:rightChars="211" w:firstLine="480" w:firstLineChars="200"/>
        <w:rPr>
          <w:rFonts w:ascii="宋体" w:hAnsi="宋体" w:cs="宋体"/>
          <w:color w:val="auto"/>
          <w:sz w:val="24"/>
          <w:szCs w:val="24"/>
        </w:rPr>
      </w:pPr>
      <w:r>
        <w:rPr>
          <w:rFonts w:hint="eastAsia" w:ascii="宋体" w:hAnsi="宋体" w:cs="宋体"/>
          <w:color w:val="auto"/>
          <w:sz w:val="24"/>
          <w:szCs w:val="24"/>
        </w:rPr>
        <w:t>六、采购人、成交人不按采购合同规定履约，出现违约情形，应当及时纠正或补偿，造成损失的，按合同约定追究违约责任；在履约中发现有假冒、伪劣、走私产品、商业贿赂等违法情形的，应由采购人移交工商、质监、公安等行政执法部门依法查处。</w:t>
      </w:r>
    </w:p>
    <w:p w14:paraId="5BFDDFB2">
      <w:pPr>
        <w:pStyle w:val="9"/>
        <w:tabs>
          <w:tab w:val="right" w:leader="dot" w:pos="9214"/>
        </w:tabs>
        <w:spacing w:line="480" w:lineRule="exact"/>
        <w:ind w:right="443" w:rightChars="211" w:firstLine="480" w:firstLineChars="200"/>
        <w:rPr>
          <w:rFonts w:ascii="宋体" w:hAnsi="宋体" w:eastAsia="宋体" w:cs="宋体"/>
          <w:color w:val="auto"/>
          <w:kern w:val="2"/>
          <w:szCs w:val="24"/>
        </w:rPr>
      </w:pPr>
      <w:r>
        <w:rPr>
          <w:rFonts w:hint="eastAsia" w:ascii="宋体" w:hAnsi="宋体" w:eastAsia="宋体" w:cs="宋体"/>
          <w:color w:val="auto"/>
          <w:kern w:val="2"/>
          <w:szCs w:val="24"/>
        </w:rPr>
        <w:t>七、按采购合同约定支付的项目合同价款。</w:t>
      </w:r>
    </w:p>
    <w:p w14:paraId="357BA30E">
      <w:pPr>
        <w:rPr>
          <w:rFonts w:ascii="宋体" w:hAnsi="宋体" w:cs="宋体"/>
          <w:b/>
          <w:color w:val="auto"/>
          <w:sz w:val="24"/>
          <w:szCs w:val="24"/>
        </w:rPr>
      </w:pPr>
      <w:bookmarkStart w:id="40" w:name="_Toc14026"/>
      <w:r>
        <w:rPr>
          <w:rFonts w:hint="eastAsia" w:ascii="宋体" w:hAnsi="宋体" w:cs="宋体"/>
          <w:b/>
          <w:color w:val="auto"/>
          <w:sz w:val="24"/>
          <w:szCs w:val="24"/>
        </w:rPr>
        <w:br w:type="page"/>
      </w:r>
    </w:p>
    <w:p w14:paraId="632B1F6F">
      <w:pPr>
        <w:snapToGrid w:val="0"/>
        <w:spacing w:line="480" w:lineRule="exact"/>
        <w:jc w:val="center"/>
        <w:outlineLvl w:val="0"/>
        <w:rPr>
          <w:rFonts w:ascii="宋体" w:hAnsi="宋体" w:cs="宋体"/>
          <w:b/>
          <w:color w:val="auto"/>
          <w:sz w:val="24"/>
          <w:szCs w:val="24"/>
        </w:rPr>
      </w:pPr>
      <w:r>
        <w:rPr>
          <w:rFonts w:hint="eastAsia" w:ascii="宋体" w:hAnsi="宋体" w:cs="宋体"/>
          <w:b/>
          <w:color w:val="auto"/>
          <w:sz w:val="24"/>
          <w:szCs w:val="24"/>
        </w:rPr>
        <w:t>第六章</w:t>
      </w:r>
      <w:bookmarkEnd w:id="40"/>
      <w:bookmarkStart w:id="41" w:name="_Toc21870"/>
      <w:r>
        <w:rPr>
          <w:rFonts w:hint="eastAsia" w:ascii="宋体" w:hAnsi="宋体" w:cs="宋体"/>
          <w:b/>
          <w:color w:val="auto"/>
          <w:sz w:val="24"/>
          <w:szCs w:val="24"/>
        </w:rPr>
        <w:t xml:space="preserve">   响应文件组成</w:t>
      </w:r>
      <w:bookmarkEnd w:id="41"/>
    </w:p>
    <w:p w14:paraId="0861CCE1">
      <w:pPr>
        <w:snapToGrid w:val="0"/>
        <w:spacing w:before="120" w:beforeLines="50" w:line="480" w:lineRule="exact"/>
        <w:ind w:firstLine="556"/>
        <w:jc w:val="left"/>
        <w:rPr>
          <w:rFonts w:ascii="宋体" w:hAnsi="宋体" w:cs="宋体"/>
          <w:b/>
          <w:color w:val="auto"/>
          <w:sz w:val="24"/>
          <w:szCs w:val="24"/>
        </w:rPr>
      </w:pPr>
      <w:r>
        <w:rPr>
          <w:rFonts w:hint="eastAsia" w:ascii="宋体" w:hAnsi="宋体" w:cs="宋体"/>
          <w:b/>
          <w:color w:val="auto"/>
          <w:sz w:val="24"/>
          <w:szCs w:val="24"/>
        </w:rPr>
        <w:t>响应文件由①资格后审材料文件、②技术标响应文件、③价格标响应文件、④电子响应文件共四部分组成。</w:t>
      </w:r>
    </w:p>
    <w:p w14:paraId="2AFD8844">
      <w:pPr>
        <w:pStyle w:val="33"/>
        <w:snapToGrid w:val="0"/>
        <w:spacing w:before="0" w:beforeAutospacing="0" w:after="0" w:afterAutospacing="0" w:line="480" w:lineRule="exact"/>
        <w:ind w:firstLine="480" w:firstLineChars="200"/>
        <w:contextualSpacing/>
        <w:rPr>
          <w:b/>
          <w:color w:val="auto"/>
          <w:szCs w:val="24"/>
        </w:rPr>
      </w:pPr>
      <w:r>
        <w:rPr>
          <w:rFonts w:hint="eastAsia"/>
          <w:b/>
          <w:color w:val="auto"/>
          <w:szCs w:val="24"/>
        </w:rPr>
        <w:t>一、资格后审材料文件（一正两副，单独密封并牢固装订）：</w:t>
      </w:r>
    </w:p>
    <w:p w14:paraId="5B6158D7">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1.关于资格的响应函（格式参见附件）；</w:t>
      </w:r>
    </w:p>
    <w:p w14:paraId="409A1C87">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2.法定代表人参加响应的，必须提供法定代表人身份证明；非法定代表人参加响应的，必须提供</w:t>
      </w:r>
      <w:r>
        <w:rPr>
          <w:rFonts w:hint="eastAsia" w:ascii="宋体" w:hAnsi="宋体" w:cs="宋体"/>
          <w:b/>
          <w:bCs/>
          <w:color w:val="auto"/>
          <w:sz w:val="24"/>
          <w:szCs w:val="24"/>
        </w:rPr>
        <w:t>法定代表人身份证明及法定代表人委托书</w:t>
      </w:r>
      <w:r>
        <w:rPr>
          <w:rFonts w:hint="eastAsia" w:ascii="宋体" w:hAnsi="宋体" w:cs="宋体"/>
          <w:color w:val="auto"/>
          <w:sz w:val="24"/>
          <w:szCs w:val="24"/>
        </w:rPr>
        <w:t>（格式参见附件）；</w:t>
      </w:r>
    </w:p>
    <w:p w14:paraId="73453A83">
      <w:pPr>
        <w:spacing w:line="480" w:lineRule="exact"/>
        <w:ind w:firstLine="480" w:firstLineChars="200"/>
        <w:rPr>
          <w:rFonts w:ascii="宋体" w:hAnsi="宋体" w:cs="宋体"/>
          <w:color w:val="auto"/>
          <w:sz w:val="24"/>
          <w:szCs w:val="24"/>
          <w:lang w:val="zh-CN"/>
        </w:rPr>
      </w:pPr>
      <w:r>
        <w:rPr>
          <w:rFonts w:hint="eastAsia" w:ascii="宋体" w:hAnsi="宋体" w:cs="宋体"/>
          <w:color w:val="auto"/>
          <w:sz w:val="24"/>
          <w:szCs w:val="24"/>
        </w:rPr>
        <w:t>3.提供有效的营业执照或事业单位法人证书</w:t>
      </w:r>
      <w:r>
        <w:rPr>
          <w:rFonts w:hint="eastAsia" w:ascii="宋体" w:hAnsi="宋体" w:cs="宋体"/>
          <w:color w:val="auto"/>
          <w:sz w:val="24"/>
          <w:szCs w:val="24"/>
          <w:lang w:val="zh-CN"/>
        </w:rPr>
        <w:t>；</w:t>
      </w:r>
    </w:p>
    <w:p w14:paraId="41E29AC4">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4.供应商须为设有独立健康管理中心的本地二级以上公立医院，提供证明材料；</w:t>
      </w:r>
    </w:p>
    <w:p w14:paraId="2D582FB0">
      <w:pPr>
        <w:widowControl/>
        <w:snapToGrid w:val="0"/>
        <w:spacing w:line="480" w:lineRule="exact"/>
        <w:ind w:firstLine="480" w:firstLineChars="200"/>
        <w:jc w:val="left"/>
        <w:rPr>
          <w:rFonts w:ascii="宋体" w:hAnsi="宋体" w:cs="宋体"/>
          <w:color w:val="auto"/>
          <w:sz w:val="24"/>
          <w:szCs w:val="24"/>
          <w:lang w:val="zh-CN"/>
        </w:rPr>
      </w:pPr>
      <w:r>
        <w:rPr>
          <w:rFonts w:hint="eastAsia" w:ascii="宋体" w:hAnsi="宋体" w:cs="宋体"/>
          <w:color w:val="auto"/>
          <w:sz w:val="24"/>
          <w:szCs w:val="24"/>
        </w:rPr>
        <w:t>5.</w:t>
      </w:r>
      <w:r>
        <w:rPr>
          <w:rFonts w:hint="eastAsia" w:ascii="宋体" w:hAnsi="宋体" w:cs="宋体"/>
          <w:color w:val="auto"/>
          <w:sz w:val="24"/>
          <w:szCs w:val="24"/>
          <w:lang w:val="zh-CN"/>
        </w:rPr>
        <w:t>未被“信用中国”网站列入失信被执行人、重大税收违法案件当事人名单、采购严重失信行为记录名单，</w:t>
      </w:r>
      <w:r>
        <w:rPr>
          <w:rFonts w:hint="eastAsia" w:ascii="宋体" w:hAnsi="宋体" w:cs="宋体"/>
          <w:color w:val="auto"/>
          <w:sz w:val="24"/>
          <w:szCs w:val="24"/>
          <w:lang w:val="en-US" w:eastAsia="zh-CN"/>
        </w:rPr>
        <w:t>提供无重大违法记录声明</w:t>
      </w:r>
      <w:r>
        <w:rPr>
          <w:rFonts w:hint="eastAsia" w:ascii="宋体" w:hAnsi="宋体" w:cs="宋体"/>
          <w:color w:val="auto"/>
          <w:sz w:val="24"/>
          <w:szCs w:val="24"/>
        </w:rPr>
        <w:t>（格式参见附件）</w:t>
      </w:r>
      <w:r>
        <w:rPr>
          <w:rFonts w:hint="eastAsia" w:ascii="宋体" w:hAnsi="宋体" w:cs="宋体"/>
          <w:color w:val="auto"/>
          <w:sz w:val="24"/>
          <w:szCs w:val="24"/>
          <w:lang w:val="zh-CN"/>
        </w:rPr>
        <w:t>。</w:t>
      </w:r>
    </w:p>
    <w:p w14:paraId="2B2A4EA7">
      <w:pPr>
        <w:widowControl/>
        <w:snapToGrid w:val="0"/>
        <w:spacing w:line="480" w:lineRule="exact"/>
        <w:ind w:firstLine="480" w:firstLineChars="200"/>
        <w:jc w:val="left"/>
        <w:rPr>
          <w:rFonts w:ascii="宋体" w:hAnsi="宋体" w:cs="宋体"/>
          <w:b/>
          <w:color w:val="auto"/>
          <w:sz w:val="24"/>
          <w:szCs w:val="24"/>
        </w:rPr>
      </w:pPr>
      <w:r>
        <w:rPr>
          <w:rFonts w:hint="eastAsia" w:ascii="宋体" w:hAnsi="宋体" w:cs="宋体"/>
          <w:b/>
          <w:color w:val="auto"/>
          <w:sz w:val="24"/>
          <w:szCs w:val="24"/>
        </w:rPr>
        <w:t>二、技术标响应文件（一正两副，单独密封并牢固装订）：</w:t>
      </w:r>
    </w:p>
    <w:p w14:paraId="11181CBC">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1.商务部分正负偏离表（格式参见附件）；</w:t>
      </w:r>
    </w:p>
    <w:p w14:paraId="65131762">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2.技术部分正负偏离表（格式参见附件）；</w:t>
      </w:r>
    </w:p>
    <w:p w14:paraId="2875088F">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3.根据第四章评标办法要求自行提供相关资料。</w:t>
      </w:r>
    </w:p>
    <w:p w14:paraId="2CD61664">
      <w:pPr>
        <w:widowControl/>
        <w:snapToGrid w:val="0"/>
        <w:spacing w:line="480" w:lineRule="exact"/>
        <w:ind w:firstLine="480" w:firstLineChars="200"/>
        <w:jc w:val="left"/>
        <w:rPr>
          <w:rFonts w:ascii="宋体" w:hAnsi="宋体" w:cs="宋体"/>
          <w:color w:val="auto"/>
          <w:sz w:val="24"/>
          <w:szCs w:val="24"/>
        </w:rPr>
      </w:pPr>
      <w:r>
        <w:rPr>
          <w:rFonts w:hint="eastAsia" w:ascii="宋体" w:hAnsi="宋体" w:cs="宋体"/>
          <w:b/>
          <w:color w:val="auto"/>
          <w:sz w:val="24"/>
          <w:szCs w:val="24"/>
        </w:rPr>
        <w:t>三、价格标响应文件（一正两副，单独密封并牢固装订）：</w:t>
      </w:r>
    </w:p>
    <w:p w14:paraId="2C25B5E6">
      <w:pPr>
        <w:tabs>
          <w:tab w:val="left" w:pos="1260"/>
        </w:tabs>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1.报价总表（格式参见附件）。</w:t>
      </w:r>
    </w:p>
    <w:p w14:paraId="3DBFFB8B">
      <w:pPr>
        <w:tabs>
          <w:tab w:val="left" w:pos="1260"/>
        </w:tabs>
        <w:snapToGrid w:val="0"/>
        <w:spacing w:line="48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四、电子响应文件</w:t>
      </w:r>
      <w:r>
        <w:rPr>
          <w:rFonts w:hint="eastAsia" w:ascii="宋体" w:hAnsi="宋体" w:cs="宋体"/>
          <w:b/>
          <w:bCs/>
          <w:color w:val="auto"/>
          <w:sz w:val="24"/>
          <w:szCs w:val="24"/>
          <w:lang w:val="zh-CN"/>
        </w:rPr>
        <w:t>（</w:t>
      </w:r>
      <w:r>
        <w:rPr>
          <w:rFonts w:hint="eastAsia" w:ascii="宋体" w:hAnsi="宋体" w:cs="宋体"/>
          <w:b/>
          <w:bCs/>
          <w:color w:val="auto"/>
          <w:sz w:val="24"/>
          <w:szCs w:val="24"/>
        </w:rPr>
        <w:t>一份，单独密封</w:t>
      </w:r>
      <w:r>
        <w:rPr>
          <w:rFonts w:hint="eastAsia" w:ascii="宋体" w:hAnsi="宋体" w:cs="宋体"/>
          <w:b/>
          <w:bCs/>
          <w:color w:val="auto"/>
          <w:sz w:val="24"/>
          <w:szCs w:val="24"/>
          <w:lang w:val="zh-CN"/>
        </w:rPr>
        <w:t>）</w:t>
      </w:r>
    </w:p>
    <w:p w14:paraId="0921C5D0">
      <w:pPr>
        <w:tabs>
          <w:tab w:val="left" w:pos="1260"/>
        </w:tabs>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电子响应文件的内容为“资格后审材料文件、技术标响应文件、价格标响应文件”的打印盖章或电子签章后的响应文件的扫描件（资格后审材料文件、技术标响应文件、价格标响应文件需分别逐页连续扫描为三个独立的PDF文件），采取U盘方式单独密封提交。</w:t>
      </w:r>
      <w:r>
        <w:rPr>
          <w:rFonts w:hint="eastAsia" w:ascii="宋体" w:hAnsi="宋体" w:cs="宋体"/>
          <w:color w:val="auto"/>
          <w:sz w:val="24"/>
          <w:szCs w:val="24"/>
        </w:rPr>
        <w:br w:type="page"/>
      </w:r>
    </w:p>
    <w:p w14:paraId="6FAE6685">
      <w:pPr>
        <w:rPr>
          <w:rFonts w:ascii="宋体" w:hAnsi="宋体" w:cs="宋体"/>
          <w:b/>
          <w:color w:val="auto"/>
          <w:sz w:val="24"/>
          <w:szCs w:val="24"/>
        </w:rPr>
      </w:pPr>
      <w:r>
        <w:rPr>
          <w:rFonts w:hint="eastAsia" w:ascii="宋体" w:hAnsi="宋体" w:cs="宋体"/>
          <w:b/>
          <w:color w:val="auto"/>
          <w:sz w:val="24"/>
          <w:szCs w:val="24"/>
        </w:rPr>
        <w:t>附件</w:t>
      </w:r>
    </w:p>
    <w:p w14:paraId="109FF1BB">
      <w:pPr>
        <w:spacing w:line="360" w:lineRule="auto"/>
        <w:jc w:val="center"/>
        <w:rPr>
          <w:rFonts w:ascii="宋体" w:hAnsi="宋体" w:cs="宋体"/>
          <w:b/>
          <w:color w:val="auto"/>
          <w:sz w:val="24"/>
          <w:u w:val="single"/>
        </w:rPr>
      </w:pPr>
      <w:r>
        <w:rPr>
          <w:rFonts w:hint="eastAsia" w:ascii="宋体" w:hAnsi="宋体" w:cs="宋体"/>
          <w:b/>
          <w:color w:val="auto"/>
          <w:sz w:val="24"/>
          <w:u w:val="single"/>
        </w:rPr>
        <w:t xml:space="preserve">项目名称 </w:t>
      </w:r>
    </w:p>
    <w:p w14:paraId="63095EAF">
      <w:pPr>
        <w:spacing w:line="360" w:lineRule="auto"/>
        <w:jc w:val="center"/>
        <w:rPr>
          <w:rFonts w:ascii="宋体" w:hAnsi="宋体" w:cs="宋体"/>
          <w:color w:val="auto"/>
          <w:sz w:val="24"/>
        </w:rPr>
      </w:pPr>
      <w:r>
        <w:rPr>
          <w:rFonts w:hint="eastAsia" w:ascii="宋体" w:hAnsi="宋体" w:cs="宋体"/>
          <w:color w:val="auto"/>
          <w:sz w:val="24"/>
        </w:rPr>
        <w:t>项目编号：</w:t>
      </w:r>
    </w:p>
    <w:p w14:paraId="798251E9">
      <w:pPr>
        <w:spacing w:line="360" w:lineRule="auto"/>
        <w:rPr>
          <w:rFonts w:ascii="宋体" w:hAnsi="宋体" w:cs="宋体"/>
          <w:color w:val="auto"/>
          <w:sz w:val="24"/>
        </w:rPr>
      </w:pPr>
    </w:p>
    <w:p w14:paraId="178D5EE5">
      <w:pPr>
        <w:spacing w:line="360" w:lineRule="auto"/>
        <w:rPr>
          <w:rFonts w:ascii="宋体" w:hAnsi="宋体" w:cs="宋体"/>
          <w:color w:val="auto"/>
          <w:sz w:val="24"/>
        </w:rPr>
      </w:pPr>
    </w:p>
    <w:p w14:paraId="257E256D">
      <w:pPr>
        <w:spacing w:line="360" w:lineRule="auto"/>
        <w:rPr>
          <w:rFonts w:ascii="宋体" w:hAnsi="宋体" w:cs="宋体"/>
          <w:color w:val="auto"/>
          <w:sz w:val="24"/>
        </w:rPr>
      </w:pPr>
    </w:p>
    <w:p w14:paraId="736E7CD8">
      <w:pPr>
        <w:spacing w:line="360" w:lineRule="auto"/>
        <w:jc w:val="center"/>
        <w:rPr>
          <w:rFonts w:ascii="宋体" w:hAnsi="宋体" w:cs="宋体"/>
          <w:b/>
          <w:bCs/>
          <w:color w:val="auto"/>
          <w:sz w:val="24"/>
        </w:rPr>
      </w:pPr>
      <w:r>
        <w:rPr>
          <w:rFonts w:hint="eastAsia" w:ascii="宋体" w:hAnsi="宋体" w:cs="宋体"/>
          <w:b/>
          <w:bCs/>
          <w:color w:val="auto"/>
          <w:sz w:val="24"/>
        </w:rPr>
        <w:t>响应文件</w:t>
      </w:r>
    </w:p>
    <w:p w14:paraId="70B857C9">
      <w:pPr>
        <w:spacing w:line="360" w:lineRule="auto"/>
        <w:rPr>
          <w:rFonts w:ascii="宋体" w:hAnsi="宋体" w:cs="宋体"/>
          <w:color w:val="auto"/>
          <w:sz w:val="24"/>
        </w:rPr>
      </w:pPr>
    </w:p>
    <w:p w14:paraId="6B0CBAD2">
      <w:pPr>
        <w:spacing w:line="360" w:lineRule="auto"/>
        <w:ind w:firstLine="1920" w:firstLineChars="800"/>
        <w:rPr>
          <w:rFonts w:ascii="宋体" w:hAnsi="宋体" w:cs="宋体"/>
          <w:color w:val="auto"/>
          <w:sz w:val="24"/>
        </w:rPr>
      </w:pPr>
      <w:r>
        <w:rPr>
          <w:rFonts w:hint="eastAsia" w:ascii="宋体" w:hAnsi="宋体" w:cs="宋体"/>
          <w:color w:val="auto"/>
          <w:sz w:val="24"/>
        </w:rPr>
        <w:t>对应响应文件填写：资格后审材料文件</w:t>
      </w:r>
    </w:p>
    <w:p w14:paraId="6267ED6B">
      <w:pPr>
        <w:spacing w:line="360" w:lineRule="auto"/>
        <w:ind w:firstLine="1920" w:firstLineChars="800"/>
        <w:rPr>
          <w:rFonts w:ascii="宋体" w:hAnsi="宋体" w:cs="宋体"/>
          <w:color w:val="auto"/>
          <w:sz w:val="24"/>
        </w:rPr>
      </w:pPr>
      <w:r>
        <w:rPr>
          <w:rFonts w:hint="eastAsia" w:ascii="宋体" w:hAnsi="宋体" w:cs="宋体"/>
          <w:color w:val="auto"/>
          <w:sz w:val="24"/>
        </w:rPr>
        <w:t>对应响应文件填写：技术标响应文件</w:t>
      </w:r>
    </w:p>
    <w:p w14:paraId="480C07B3">
      <w:pPr>
        <w:spacing w:line="360" w:lineRule="auto"/>
        <w:ind w:firstLine="1920" w:firstLineChars="800"/>
        <w:rPr>
          <w:rFonts w:ascii="宋体" w:hAnsi="宋体" w:cs="宋体"/>
          <w:color w:val="auto"/>
          <w:sz w:val="24"/>
        </w:rPr>
      </w:pPr>
      <w:r>
        <w:rPr>
          <w:rFonts w:hint="eastAsia" w:ascii="宋体" w:hAnsi="宋体" w:cs="宋体"/>
          <w:color w:val="auto"/>
          <w:sz w:val="24"/>
        </w:rPr>
        <w:t>对应响应文件填写：价格标响应文件</w:t>
      </w:r>
    </w:p>
    <w:p w14:paraId="1090321A">
      <w:pPr>
        <w:spacing w:line="360" w:lineRule="auto"/>
        <w:ind w:firstLine="1920" w:firstLineChars="800"/>
        <w:rPr>
          <w:rFonts w:ascii="宋体" w:hAnsi="宋体" w:cs="宋体"/>
          <w:color w:val="auto"/>
          <w:sz w:val="24"/>
        </w:rPr>
      </w:pPr>
      <w:r>
        <w:rPr>
          <w:rFonts w:hint="eastAsia" w:ascii="宋体" w:hAnsi="宋体" w:cs="宋体"/>
          <w:color w:val="auto"/>
          <w:sz w:val="24"/>
        </w:rPr>
        <w:t>对应响应文件填写：电子响应文件</w:t>
      </w:r>
    </w:p>
    <w:p w14:paraId="06DEBB48">
      <w:pPr>
        <w:spacing w:line="360" w:lineRule="auto"/>
        <w:ind w:firstLine="1920" w:firstLineChars="800"/>
        <w:rPr>
          <w:rFonts w:ascii="宋体" w:hAnsi="宋体" w:cs="宋体"/>
          <w:color w:val="auto"/>
          <w:sz w:val="24"/>
        </w:rPr>
      </w:pPr>
    </w:p>
    <w:p w14:paraId="29C37699">
      <w:pPr>
        <w:jc w:val="center"/>
        <w:rPr>
          <w:rFonts w:ascii="宋体" w:hAnsi="宋体" w:cs="宋体"/>
          <w:b/>
          <w:color w:val="auto"/>
          <w:sz w:val="24"/>
        </w:rPr>
      </w:pPr>
      <w:r>
        <w:rPr>
          <w:rFonts w:hint="eastAsia" w:ascii="宋体" w:hAnsi="宋体" w:cs="宋体"/>
          <w:b/>
          <w:color w:val="auto"/>
          <w:sz w:val="24"/>
        </w:rPr>
        <w:t>（资格后审）</w:t>
      </w:r>
    </w:p>
    <w:p w14:paraId="4AA9A353">
      <w:pPr>
        <w:jc w:val="center"/>
        <w:rPr>
          <w:rFonts w:ascii="宋体" w:hAnsi="宋体" w:cs="宋体"/>
          <w:b/>
          <w:color w:val="auto"/>
          <w:sz w:val="24"/>
        </w:rPr>
      </w:pPr>
    </w:p>
    <w:p w14:paraId="68EB7586">
      <w:pPr>
        <w:snapToGrid w:val="0"/>
        <w:spacing w:line="520" w:lineRule="exact"/>
        <w:jc w:val="center"/>
        <w:rPr>
          <w:rFonts w:ascii="宋体" w:hAnsi="宋体" w:cs="宋体"/>
          <w:b/>
          <w:color w:val="auto"/>
          <w:sz w:val="24"/>
        </w:rPr>
      </w:pPr>
    </w:p>
    <w:p w14:paraId="2C0895BC">
      <w:pPr>
        <w:spacing w:line="360" w:lineRule="auto"/>
        <w:rPr>
          <w:rFonts w:ascii="宋体" w:hAnsi="宋体" w:cs="宋体"/>
          <w:color w:val="auto"/>
          <w:sz w:val="24"/>
        </w:rPr>
      </w:pPr>
    </w:p>
    <w:p w14:paraId="60651108">
      <w:pPr>
        <w:spacing w:line="360" w:lineRule="auto"/>
        <w:rPr>
          <w:rFonts w:ascii="宋体" w:hAnsi="宋体" w:cs="宋体"/>
          <w:color w:val="auto"/>
          <w:sz w:val="24"/>
        </w:rPr>
      </w:pPr>
    </w:p>
    <w:p w14:paraId="204B418A">
      <w:pPr>
        <w:spacing w:line="360" w:lineRule="auto"/>
        <w:rPr>
          <w:rFonts w:ascii="宋体" w:hAnsi="宋体" w:cs="宋体"/>
          <w:color w:val="auto"/>
          <w:sz w:val="24"/>
        </w:rPr>
      </w:pPr>
    </w:p>
    <w:p w14:paraId="021E189D">
      <w:pPr>
        <w:spacing w:line="360" w:lineRule="auto"/>
        <w:ind w:firstLine="1440" w:firstLineChars="600"/>
        <w:rPr>
          <w:rFonts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u w:val="single"/>
        </w:rPr>
        <w:t>参加供应商全称</w:t>
      </w:r>
      <w:r>
        <w:rPr>
          <w:rFonts w:hint="eastAsia" w:ascii="宋体" w:hAnsi="宋体" w:cs="宋体"/>
          <w:color w:val="auto"/>
          <w:sz w:val="24"/>
        </w:rPr>
        <w:t>（公章）</w:t>
      </w:r>
    </w:p>
    <w:p w14:paraId="57A2EB77">
      <w:pPr>
        <w:spacing w:line="360" w:lineRule="auto"/>
        <w:ind w:firstLine="1440" w:firstLineChars="600"/>
        <w:rPr>
          <w:rFonts w:ascii="宋体" w:hAnsi="宋体" w:cs="宋体"/>
          <w:color w:val="auto"/>
          <w:sz w:val="24"/>
        </w:rPr>
      </w:pPr>
      <w:r>
        <w:rPr>
          <w:rFonts w:hint="eastAsia" w:ascii="宋体" w:hAnsi="宋体" w:cs="宋体"/>
          <w:color w:val="auto"/>
          <w:sz w:val="24"/>
        </w:rPr>
        <w:t>日  期：      年  月  日</w:t>
      </w:r>
    </w:p>
    <w:p w14:paraId="2030296C">
      <w:pPr>
        <w:rPr>
          <w:rFonts w:ascii="宋体" w:hAnsi="宋体" w:cs="宋体"/>
          <w:b/>
          <w:color w:val="auto"/>
          <w:sz w:val="24"/>
          <w:szCs w:val="24"/>
        </w:rPr>
      </w:pPr>
      <w:r>
        <w:rPr>
          <w:rFonts w:hint="eastAsia" w:ascii="宋体" w:hAnsi="宋体" w:cs="宋体"/>
          <w:b/>
          <w:color w:val="auto"/>
          <w:sz w:val="24"/>
          <w:szCs w:val="24"/>
        </w:rPr>
        <w:br w:type="page"/>
      </w:r>
    </w:p>
    <w:p w14:paraId="72B1E202">
      <w:pPr>
        <w:tabs>
          <w:tab w:val="left" w:pos="1260"/>
        </w:tabs>
        <w:snapToGrid w:val="0"/>
        <w:spacing w:line="480" w:lineRule="exact"/>
        <w:rPr>
          <w:rFonts w:ascii="宋体" w:hAnsi="宋体" w:cs="宋体"/>
          <w:b/>
          <w:color w:val="auto"/>
          <w:sz w:val="24"/>
          <w:szCs w:val="24"/>
        </w:rPr>
      </w:pPr>
      <w:r>
        <w:rPr>
          <w:rFonts w:hint="eastAsia" w:ascii="宋体" w:hAnsi="宋体" w:cs="宋体"/>
          <w:b/>
          <w:color w:val="auto"/>
          <w:sz w:val="24"/>
          <w:szCs w:val="24"/>
        </w:rPr>
        <w:t>资格审查证明材料相关格式</w:t>
      </w:r>
    </w:p>
    <w:p w14:paraId="2D385566">
      <w:pPr>
        <w:spacing w:line="480" w:lineRule="exact"/>
        <w:rPr>
          <w:rFonts w:ascii="宋体" w:hAnsi="宋体" w:cs="宋体"/>
          <w:b/>
          <w:color w:val="auto"/>
          <w:sz w:val="24"/>
          <w:szCs w:val="24"/>
        </w:rPr>
      </w:pPr>
    </w:p>
    <w:p w14:paraId="6530E878">
      <w:pPr>
        <w:spacing w:line="480" w:lineRule="exact"/>
        <w:rPr>
          <w:rFonts w:ascii="宋体" w:hAnsi="宋体" w:cs="宋体"/>
          <w:b/>
          <w:bCs/>
          <w:color w:val="auto"/>
          <w:sz w:val="24"/>
          <w:szCs w:val="24"/>
        </w:rPr>
      </w:pPr>
    </w:p>
    <w:p w14:paraId="20532933">
      <w:pPr>
        <w:spacing w:line="480" w:lineRule="exact"/>
        <w:jc w:val="center"/>
        <w:rPr>
          <w:rFonts w:ascii="宋体" w:hAnsi="宋体" w:cs="宋体"/>
          <w:b/>
          <w:bCs/>
          <w:color w:val="auto"/>
          <w:sz w:val="24"/>
          <w:szCs w:val="24"/>
        </w:rPr>
      </w:pPr>
      <w:r>
        <w:rPr>
          <w:rFonts w:hint="eastAsia" w:ascii="宋体" w:hAnsi="宋体" w:cs="宋体"/>
          <w:b/>
          <w:bCs/>
          <w:color w:val="auto"/>
          <w:sz w:val="24"/>
          <w:szCs w:val="24"/>
        </w:rPr>
        <w:t>1.关于资格的响应函</w:t>
      </w:r>
    </w:p>
    <w:p w14:paraId="316048B1">
      <w:pPr>
        <w:spacing w:line="480" w:lineRule="exact"/>
        <w:rPr>
          <w:rFonts w:ascii="宋体" w:hAnsi="宋体" w:cs="宋体"/>
          <w:color w:val="auto"/>
          <w:sz w:val="24"/>
          <w:szCs w:val="24"/>
        </w:rPr>
      </w:pPr>
      <w:r>
        <w:rPr>
          <w:rFonts w:hint="eastAsia" w:ascii="宋体" w:hAnsi="宋体" w:cs="宋体"/>
          <w:color w:val="auto"/>
          <w:sz w:val="24"/>
          <w:szCs w:val="24"/>
        </w:rPr>
        <w:t>致：江苏省南通中学：</w:t>
      </w:r>
    </w:p>
    <w:p w14:paraId="55D18CDC">
      <w:pPr>
        <w:spacing w:line="480" w:lineRule="exact"/>
        <w:ind w:firstLine="480" w:firstLineChars="200"/>
        <w:rPr>
          <w:rFonts w:ascii="宋体" w:hAnsi="宋体" w:cs="宋体"/>
          <w:bCs/>
          <w:color w:val="auto"/>
          <w:sz w:val="24"/>
          <w:szCs w:val="24"/>
        </w:rPr>
      </w:pPr>
    </w:p>
    <w:p w14:paraId="6315B69A">
      <w:pPr>
        <w:spacing w:line="480" w:lineRule="exact"/>
        <w:ind w:firstLine="480" w:firstLineChars="200"/>
        <w:rPr>
          <w:rFonts w:ascii="宋体" w:hAnsi="宋体" w:cs="宋体"/>
          <w:b/>
          <w:bCs/>
          <w:color w:val="auto"/>
          <w:sz w:val="24"/>
          <w:szCs w:val="24"/>
        </w:rPr>
      </w:pPr>
      <w:r>
        <w:rPr>
          <w:rFonts w:hint="eastAsia" w:ascii="宋体" w:hAnsi="宋体" w:cs="宋体"/>
          <w:bCs/>
          <w:color w:val="auto"/>
          <w:sz w:val="24"/>
          <w:szCs w:val="24"/>
        </w:rPr>
        <w:t>我单位参加（项目名称），（项目编号）响应活动。针对以下规定做出如下声明：</w:t>
      </w:r>
    </w:p>
    <w:p w14:paraId="530B1440">
      <w:pPr>
        <w:spacing w:line="480" w:lineRule="exact"/>
        <w:ind w:firstLine="482"/>
        <w:rPr>
          <w:rFonts w:ascii="宋体" w:hAnsi="宋体" w:cs="宋体"/>
          <w:color w:val="auto"/>
          <w:sz w:val="24"/>
          <w:szCs w:val="24"/>
        </w:rPr>
      </w:pPr>
      <w:r>
        <w:rPr>
          <w:rFonts w:hint="eastAsia" w:ascii="宋体" w:hAnsi="宋体" w:cs="宋体"/>
          <w:bCs/>
          <w:color w:val="auto"/>
          <w:sz w:val="24"/>
          <w:szCs w:val="24"/>
        </w:rPr>
        <w:t>1.我单位具有独立承担民事责任的能力；</w:t>
      </w:r>
    </w:p>
    <w:p w14:paraId="6B14C113">
      <w:pPr>
        <w:spacing w:line="480" w:lineRule="exact"/>
        <w:ind w:firstLine="482"/>
        <w:rPr>
          <w:rFonts w:ascii="宋体" w:hAnsi="宋体" w:cs="宋体"/>
          <w:color w:val="auto"/>
          <w:sz w:val="24"/>
          <w:szCs w:val="24"/>
        </w:rPr>
      </w:pPr>
      <w:r>
        <w:rPr>
          <w:rFonts w:hint="eastAsia" w:ascii="宋体" w:hAnsi="宋体" w:cs="宋体"/>
          <w:color w:val="auto"/>
          <w:sz w:val="24"/>
          <w:szCs w:val="24"/>
        </w:rPr>
        <w:t>2.我单位具有良好的商业信誉和健全的财务会计制度；</w:t>
      </w:r>
    </w:p>
    <w:p w14:paraId="163FF057">
      <w:pPr>
        <w:spacing w:line="480" w:lineRule="exact"/>
        <w:ind w:firstLine="482"/>
        <w:rPr>
          <w:rFonts w:ascii="宋体" w:hAnsi="宋体" w:cs="宋体"/>
          <w:color w:val="auto"/>
          <w:sz w:val="24"/>
          <w:szCs w:val="24"/>
        </w:rPr>
      </w:pPr>
      <w:r>
        <w:rPr>
          <w:rFonts w:hint="eastAsia" w:ascii="宋体" w:hAnsi="宋体" w:cs="宋体"/>
          <w:color w:val="auto"/>
          <w:sz w:val="24"/>
          <w:szCs w:val="24"/>
        </w:rPr>
        <w:t>3.我单位具有履行合同所必需的设备和专业技术能力；</w:t>
      </w:r>
    </w:p>
    <w:p w14:paraId="2DF3E597">
      <w:pPr>
        <w:spacing w:line="480" w:lineRule="exact"/>
        <w:ind w:firstLine="482"/>
        <w:rPr>
          <w:rFonts w:ascii="宋体" w:hAnsi="宋体" w:cs="宋体"/>
          <w:color w:val="auto"/>
          <w:sz w:val="24"/>
          <w:szCs w:val="24"/>
        </w:rPr>
      </w:pPr>
      <w:r>
        <w:rPr>
          <w:rFonts w:hint="eastAsia" w:ascii="宋体" w:hAnsi="宋体" w:cs="宋体"/>
          <w:color w:val="auto"/>
          <w:sz w:val="24"/>
          <w:szCs w:val="24"/>
        </w:rPr>
        <w:t>4.我单位有依法缴纳税收和社会保障资金的良好记录。</w:t>
      </w:r>
    </w:p>
    <w:p w14:paraId="00BB9D3D">
      <w:pPr>
        <w:spacing w:line="480" w:lineRule="exact"/>
        <w:ind w:firstLine="435"/>
        <w:rPr>
          <w:rFonts w:ascii="宋体" w:hAnsi="宋体" w:cs="宋体"/>
          <w:color w:val="auto"/>
          <w:sz w:val="24"/>
          <w:szCs w:val="24"/>
        </w:rPr>
      </w:pPr>
    </w:p>
    <w:p w14:paraId="388BD64C">
      <w:pPr>
        <w:spacing w:line="480" w:lineRule="exact"/>
        <w:ind w:firstLine="435"/>
        <w:rPr>
          <w:rFonts w:ascii="宋体" w:hAnsi="宋体" w:cs="宋体"/>
          <w:color w:val="auto"/>
          <w:sz w:val="24"/>
          <w:szCs w:val="24"/>
        </w:rPr>
      </w:pPr>
    </w:p>
    <w:p w14:paraId="67A8F0BC">
      <w:pPr>
        <w:spacing w:line="480" w:lineRule="exact"/>
        <w:ind w:firstLine="435"/>
        <w:rPr>
          <w:rFonts w:ascii="宋体" w:hAnsi="宋体" w:cs="宋体"/>
          <w:color w:val="auto"/>
          <w:sz w:val="24"/>
          <w:szCs w:val="24"/>
        </w:rPr>
      </w:pPr>
    </w:p>
    <w:p w14:paraId="57283A68">
      <w:pPr>
        <w:spacing w:line="480" w:lineRule="exact"/>
        <w:ind w:firstLine="435"/>
        <w:rPr>
          <w:rFonts w:ascii="宋体" w:hAnsi="宋体" w:cs="宋体"/>
          <w:color w:val="auto"/>
          <w:sz w:val="24"/>
          <w:szCs w:val="24"/>
        </w:rPr>
      </w:pPr>
    </w:p>
    <w:p w14:paraId="3D558704">
      <w:pPr>
        <w:spacing w:line="480" w:lineRule="exact"/>
        <w:ind w:firstLine="435"/>
        <w:rPr>
          <w:rFonts w:ascii="宋体" w:hAnsi="宋体" w:cs="宋体"/>
          <w:color w:val="auto"/>
          <w:sz w:val="24"/>
          <w:szCs w:val="24"/>
        </w:rPr>
      </w:pPr>
    </w:p>
    <w:p w14:paraId="15297920">
      <w:pPr>
        <w:spacing w:line="480" w:lineRule="exact"/>
        <w:ind w:firstLine="435"/>
        <w:rPr>
          <w:rFonts w:ascii="宋体" w:hAnsi="宋体" w:cs="宋体"/>
          <w:color w:val="auto"/>
          <w:sz w:val="24"/>
          <w:szCs w:val="24"/>
        </w:rPr>
      </w:pPr>
    </w:p>
    <w:p w14:paraId="73187DD7">
      <w:pPr>
        <w:spacing w:line="480" w:lineRule="exact"/>
        <w:ind w:firstLine="435"/>
        <w:rPr>
          <w:rFonts w:ascii="宋体" w:hAnsi="宋体" w:cs="宋体"/>
          <w:color w:val="auto"/>
          <w:sz w:val="24"/>
          <w:szCs w:val="24"/>
        </w:rPr>
      </w:pPr>
      <w:r>
        <w:rPr>
          <w:rFonts w:hint="eastAsia" w:ascii="宋体" w:hAnsi="宋体" w:cs="宋体"/>
          <w:color w:val="auto"/>
          <w:sz w:val="24"/>
          <w:szCs w:val="24"/>
        </w:rPr>
        <w:t>供应商全称：</w:t>
      </w:r>
    </w:p>
    <w:p w14:paraId="0DA08A4F">
      <w:pPr>
        <w:spacing w:line="480" w:lineRule="exact"/>
        <w:ind w:firstLine="435"/>
        <w:rPr>
          <w:rFonts w:ascii="宋体" w:hAnsi="宋体" w:cs="宋体"/>
          <w:color w:val="auto"/>
          <w:sz w:val="24"/>
          <w:szCs w:val="24"/>
        </w:rPr>
      </w:pPr>
      <w:r>
        <w:rPr>
          <w:rFonts w:hint="eastAsia" w:ascii="宋体" w:hAnsi="宋体" w:cs="宋体"/>
          <w:color w:val="auto"/>
          <w:sz w:val="24"/>
          <w:szCs w:val="24"/>
        </w:rPr>
        <w:t>公      章：</w:t>
      </w:r>
    </w:p>
    <w:p w14:paraId="62E6AD13">
      <w:pPr>
        <w:spacing w:line="480" w:lineRule="exact"/>
        <w:ind w:firstLine="435"/>
        <w:rPr>
          <w:rFonts w:ascii="宋体" w:hAnsi="宋体" w:cs="宋体"/>
          <w:color w:val="auto"/>
          <w:sz w:val="24"/>
          <w:szCs w:val="24"/>
        </w:rPr>
      </w:pPr>
      <w:r>
        <w:rPr>
          <w:rFonts w:hint="eastAsia" w:ascii="宋体" w:hAnsi="宋体" w:cs="宋体"/>
          <w:color w:val="auto"/>
          <w:sz w:val="24"/>
          <w:szCs w:val="24"/>
        </w:rPr>
        <w:t>授 权 代表：</w:t>
      </w:r>
    </w:p>
    <w:p w14:paraId="468A8A78">
      <w:pPr>
        <w:spacing w:line="480" w:lineRule="exact"/>
        <w:ind w:firstLine="435"/>
        <w:rPr>
          <w:rFonts w:ascii="宋体" w:hAnsi="宋体" w:cs="宋体"/>
          <w:color w:val="auto"/>
          <w:sz w:val="24"/>
          <w:szCs w:val="24"/>
        </w:rPr>
      </w:pPr>
      <w:r>
        <w:rPr>
          <w:rFonts w:hint="eastAsia" w:ascii="宋体" w:hAnsi="宋体" w:cs="宋体"/>
          <w:color w:val="auto"/>
          <w:sz w:val="24"/>
          <w:szCs w:val="24"/>
        </w:rPr>
        <w:t>日      期：</w:t>
      </w:r>
    </w:p>
    <w:p w14:paraId="4BEEEBE5">
      <w:pPr>
        <w:spacing w:line="480" w:lineRule="exact"/>
        <w:ind w:firstLine="435"/>
        <w:rPr>
          <w:rFonts w:ascii="宋体" w:hAnsi="宋体" w:cs="宋体"/>
          <w:b/>
          <w:color w:val="auto"/>
          <w:sz w:val="24"/>
          <w:szCs w:val="24"/>
        </w:rPr>
      </w:pPr>
    </w:p>
    <w:p w14:paraId="27DC82EA">
      <w:pPr>
        <w:spacing w:line="480" w:lineRule="exact"/>
        <w:jc w:val="center"/>
        <w:rPr>
          <w:rFonts w:ascii="宋体" w:hAnsi="宋体" w:cs="宋体"/>
          <w:b/>
          <w:color w:val="auto"/>
          <w:sz w:val="24"/>
          <w:szCs w:val="24"/>
        </w:rPr>
      </w:pPr>
    </w:p>
    <w:p w14:paraId="519712DD">
      <w:pPr>
        <w:rPr>
          <w:rFonts w:ascii="宋体" w:hAnsi="宋体" w:cs="宋体"/>
          <w:b/>
          <w:color w:val="auto"/>
          <w:sz w:val="24"/>
          <w:szCs w:val="24"/>
        </w:rPr>
      </w:pPr>
      <w:r>
        <w:rPr>
          <w:rFonts w:hint="eastAsia" w:ascii="宋体" w:hAnsi="宋体" w:cs="宋体"/>
          <w:b/>
          <w:color w:val="auto"/>
          <w:sz w:val="24"/>
          <w:szCs w:val="24"/>
        </w:rPr>
        <w:br w:type="page"/>
      </w:r>
    </w:p>
    <w:p w14:paraId="2BBB898B">
      <w:pPr>
        <w:spacing w:line="480" w:lineRule="exact"/>
        <w:jc w:val="center"/>
        <w:outlineLvl w:val="2"/>
        <w:rPr>
          <w:rFonts w:ascii="宋体" w:hAnsi="宋体" w:cs="宋体"/>
          <w:color w:val="auto"/>
          <w:sz w:val="24"/>
          <w:szCs w:val="24"/>
        </w:rPr>
      </w:pPr>
      <w:r>
        <w:rPr>
          <w:rFonts w:hint="eastAsia" w:ascii="宋体" w:hAnsi="宋体" w:cs="宋体"/>
          <w:b/>
          <w:color w:val="auto"/>
          <w:sz w:val="24"/>
          <w:szCs w:val="24"/>
        </w:rPr>
        <w:t>2.法定代表人身份证明</w:t>
      </w:r>
    </w:p>
    <w:p w14:paraId="54986A7E">
      <w:pPr>
        <w:spacing w:line="480" w:lineRule="exact"/>
        <w:ind w:firstLine="480" w:firstLineChars="200"/>
        <w:rPr>
          <w:rFonts w:ascii="宋体" w:hAnsi="宋体" w:cs="宋体"/>
          <w:color w:val="auto"/>
          <w:sz w:val="24"/>
          <w:szCs w:val="24"/>
        </w:rPr>
      </w:pPr>
    </w:p>
    <w:p w14:paraId="763A4B2C">
      <w:pPr>
        <w:pStyle w:val="10"/>
        <w:spacing w:line="480" w:lineRule="exact"/>
        <w:rPr>
          <w:rFonts w:ascii="宋体" w:hAnsi="宋体" w:cs="宋体"/>
          <w:color w:val="auto"/>
          <w:sz w:val="24"/>
          <w:szCs w:val="24"/>
        </w:rPr>
      </w:pPr>
    </w:p>
    <w:p w14:paraId="3562CA4D">
      <w:pPr>
        <w:widowControl/>
        <w:wordWrap w:val="0"/>
        <w:snapToGrid w:val="0"/>
        <w:spacing w:before="90" w:after="90" w:line="360" w:lineRule="auto"/>
        <w:ind w:firstLine="600"/>
        <w:jc w:val="left"/>
        <w:rPr>
          <w:rFonts w:ascii="宋体" w:hAnsi="宋体" w:cs="宋体"/>
          <w:color w:val="auto"/>
          <w:kern w:val="0"/>
          <w:sz w:val="24"/>
          <w:szCs w:val="24"/>
        </w:rPr>
      </w:pPr>
      <w:bookmarkStart w:id="42" w:name="_Hlk96628486"/>
      <w:r>
        <w:rPr>
          <w:rFonts w:hint="eastAsia" w:ascii="宋体" w:hAnsi="宋体" w:cs="宋体"/>
          <w:color w:val="auto"/>
          <w:kern w:val="0"/>
          <w:sz w:val="24"/>
          <w:szCs w:val="24"/>
        </w:rPr>
        <w:t>姓名：</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性别：</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身份证号码：</w:t>
      </w:r>
      <w:r>
        <w:rPr>
          <w:rFonts w:hint="eastAsia" w:ascii="宋体" w:hAnsi="宋体" w:cs="宋体"/>
          <w:color w:val="auto"/>
          <w:kern w:val="0"/>
          <w:sz w:val="24"/>
          <w:szCs w:val="24"/>
          <w:u w:val="single"/>
        </w:rPr>
        <w:t xml:space="preserve">                       </w:t>
      </w:r>
      <w:r>
        <w:rPr>
          <w:rFonts w:hint="eastAsia" w:ascii="宋体" w:hAnsi="宋体" w:cs="宋体"/>
          <w:color w:val="auto"/>
          <w:sz w:val="24"/>
          <w:szCs w:val="24"/>
        </w:rPr>
        <w:t>系我单位的法</w:t>
      </w:r>
      <w:r>
        <w:rPr>
          <w:rFonts w:hint="eastAsia" w:ascii="宋体" w:hAnsi="宋体" w:cs="宋体"/>
          <w:color w:val="auto"/>
          <w:kern w:val="0"/>
          <w:sz w:val="24"/>
          <w:szCs w:val="24"/>
        </w:rPr>
        <w:t>定代表人。</w:t>
      </w:r>
    </w:p>
    <w:p w14:paraId="29F7B46E">
      <w:pPr>
        <w:widowControl/>
        <w:wordWrap w:val="0"/>
        <w:snapToGrid w:val="0"/>
        <w:spacing w:before="90" w:after="90" w:line="360" w:lineRule="auto"/>
        <w:ind w:firstLine="600"/>
        <w:jc w:val="left"/>
        <w:rPr>
          <w:rFonts w:ascii="宋体" w:hAnsi="宋体" w:cs="宋体"/>
          <w:color w:val="auto"/>
          <w:kern w:val="0"/>
          <w:sz w:val="24"/>
          <w:szCs w:val="24"/>
        </w:rPr>
      </w:pPr>
      <w:r>
        <w:rPr>
          <w:rFonts w:hint="eastAsia" w:ascii="宋体" w:hAnsi="宋体" w:cs="宋体"/>
          <w:color w:val="auto"/>
          <w:kern w:val="0"/>
          <w:sz w:val="24"/>
          <w:szCs w:val="24"/>
        </w:rPr>
        <w:t>特此证明。</w:t>
      </w:r>
    </w:p>
    <w:bookmarkEnd w:id="42"/>
    <w:p w14:paraId="1ED1AC3E">
      <w:pPr>
        <w:spacing w:line="480" w:lineRule="exact"/>
        <w:ind w:firstLine="480" w:firstLineChars="200"/>
        <w:rPr>
          <w:rFonts w:ascii="宋体" w:hAnsi="宋体" w:cs="宋体"/>
          <w:color w:val="auto"/>
          <w:sz w:val="24"/>
          <w:szCs w:val="24"/>
        </w:rPr>
      </w:pPr>
    </w:p>
    <w:p w14:paraId="6CC9768D">
      <w:pPr>
        <w:spacing w:line="480" w:lineRule="exact"/>
        <w:ind w:firstLine="480" w:firstLineChars="200"/>
        <w:rPr>
          <w:rFonts w:ascii="宋体" w:hAnsi="宋体" w:cs="宋体"/>
          <w:color w:val="auto"/>
          <w:sz w:val="24"/>
          <w:szCs w:val="24"/>
        </w:rPr>
      </w:pPr>
    </w:p>
    <w:p w14:paraId="07D5E9A0">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（盖章）</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u w:val="single"/>
        </w:rPr>
        <w:tab/>
      </w:r>
    </w:p>
    <w:p w14:paraId="34704FE8">
      <w:pPr>
        <w:spacing w:line="480" w:lineRule="exact"/>
        <w:ind w:firstLine="480" w:firstLineChars="200"/>
        <w:rPr>
          <w:rFonts w:ascii="宋体" w:hAnsi="宋体" w:cs="宋体"/>
          <w:color w:val="auto"/>
          <w:sz w:val="24"/>
          <w:szCs w:val="24"/>
        </w:rPr>
      </w:pPr>
    </w:p>
    <w:p w14:paraId="53B63446">
      <w:pPr>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日    期：</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年</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月</w:t>
      </w:r>
      <w:r>
        <w:rPr>
          <w:rFonts w:hint="eastAsia" w:ascii="宋体" w:hAnsi="宋体" w:cs="宋体"/>
          <w:color w:val="auto"/>
          <w:sz w:val="24"/>
          <w:szCs w:val="24"/>
          <w:u w:val="single"/>
        </w:rPr>
        <w:tab/>
      </w:r>
      <w:r>
        <w:rPr>
          <w:rFonts w:hint="eastAsia" w:ascii="宋体" w:hAnsi="宋体" w:cs="宋体"/>
          <w:color w:val="auto"/>
          <w:sz w:val="24"/>
          <w:szCs w:val="24"/>
          <w:u w:val="single"/>
        </w:rPr>
        <w:tab/>
      </w:r>
      <w:r>
        <w:rPr>
          <w:rFonts w:hint="eastAsia" w:ascii="宋体" w:hAnsi="宋体" w:cs="宋体"/>
          <w:color w:val="auto"/>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222C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5" w:hRule="atLeast"/>
        </w:trPr>
        <w:tc>
          <w:tcPr>
            <w:tcW w:w="7840" w:type="dxa"/>
          </w:tcPr>
          <w:p w14:paraId="100035BA">
            <w:pPr>
              <w:snapToGrid w:val="0"/>
              <w:spacing w:line="480" w:lineRule="exact"/>
              <w:ind w:left="193" w:firstLine="484" w:firstLineChars="202"/>
              <w:jc w:val="left"/>
              <w:rPr>
                <w:rFonts w:ascii="宋体" w:hAnsi="宋体" w:cs="宋体"/>
                <w:color w:val="auto"/>
                <w:sz w:val="24"/>
                <w:szCs w:val="24"/>
              </w:rPr>
            </w:pPr>
          </w:p>
          <w:p w14:paraId="7319E14E">
            <w:pPr>
              <w:snapToGrid w:val="0"/>
              <w:spacing w:line="480" w:lineRule="exact"/>
              <w:jc w:val="center"/>
              <w:rPr>
                <w:rFonts w:ascii="宋体" w:hAnsi="宋体" w:cs="宋体"/>
                <w:b/>
                <w:bCs/>
                <w:color w:val="auto"/>
                <w:sz w:val="24"/>
                <w:szCs w:val="24"/>
              </w:rPr>
            </w:pPr>
            <w:r>
              <w:rPr>
                <w:rFonts w:hint="eastAsia" w:ascii="宋体" w:hAnsi="宋体" w:cs="宋体"/>
                <w:b/>
                <w:bCs/>
                <w:color w:val="auto"/>
                <w:sz w:val="24"/>
                <w:szCs w:val="24"/>
              </w:rPr>
              <w:t>法定代表人身份证（正、反面）复印件</w:t>
            </w:r>
            <w:r>
              <w:rPr>
                <w:rFonts w:hint="eastAsia" w:ascii="宋体" w:hAnsi="宋体" w:cs="宋体"/>
                <w:b/>
                <w:bCs/>
                <w:color w:val="auto"/>
                <w:sz w:val="24"/>
                <w:szCs w:val="24"/>
                <w:u w:val="single"/>
              </w:rPr>
              <w:t>（粘贴此处）</w:t>
            </w:r>
          </w:p>
          <w:p w14:paraId="42E56B24">
            <w:pPr>
              <w:snapToGrid w:val="0"/>
              <w:spacing w:line="480" w:lineRule="exact"/>
              <w:ind w:left="193"/>
              <w:jc w:val="left"/>
              <w:rPr>
                <w:rFonts w:ascii="宋体" w:hAnsi="宋体" w:cs="宋体"/>
                <w:b/>
                <w:bCs/>
                <w:color w:val="auto"/>
                <w:sz w:val="24"/>
                <w:szCs w:val="24"/>
              </w:rPr>
            </w:pPr>
          </w:p>
          <w:p w14:paraId="764C1D04">
            <w:pPr>
              <w:snapToGrid w:val="0"/>
              <w:spacing w:line="480" w:lineRule="exact"/>
              <w:ind w:left="193"/>
              <w:jc w:val="left"/>
              <w:rPr>
                <w:rFonts w:ascii="宋体" w:hAnsi="宋体" w:cs="宋体"/>
                <w:b/>
                <w:bCs/>
                <w:color w:val="auto"/>
                <w:sz w:val="24"/>
                <w:szCs w:val="24"/>
              </w:rPr>
            </w:pPr>
          </w:p>
          <w:p w14:paraId="61021398">
            <w:pPr>
              <w:snapToGrid w:val="0"/>
              <w:spacing w:line="480" w:lineRule="exact"/>
              <w:ind w:left="193"/>
              <w:jc w:val="left"/>
              <w:rPr>
                <w:rFonts w:ascii="宋体" w:hAnsi="宋体" w:cs="宋体"/>
                <w:b/>
                <w:bCs/>
                <w:color w:val="auto"/>
                <w:sz w:val="24"/>
                <w:szCs w:val="24"/>
              </w:rPr>
            </w:pPr>
          </w:p>
          <w:p w14:paraId="27B692D9">
            <w:pPr>
              <w:snapToGrid w:val="0"/>
              <w:spacing w:line="480" w:lineRule="exact"/>
              <w:ind w:left="193" w:firstLine="484" w:firstLineChars="202"/>
              <w:jc w:val="left"/>
              <w:rPr>
                <w:rFonts w:ascii="宋体" w:hAnsi="宋体" w:cs="宋体"/>
                <w:color w:val="auto"/>
                <w:sz w:val="24"/>
                <w:szCs w:val="24"/>
              </w:rPr>
            </w:pPr>
          </w:p>
        </w:tc>
      </w:tr>
    </w:tbl>
    <w:p w14:paraId="1C6503E9">
      <w:pPr>
        <w:snapToGrid w:val="0"/>
        <w:spacing w:line="480" w:lineRule="exact"/>
        <w:rPr>
          <w:rFonts w:ascii="宋体" w:hAnsi="宋体" w:cs="宋体"/>
          <w:color w:val="auto"/>
          <w:sz w:val="24"/>
          <w:szCs w:val="24"/>
        </w:rPr>
      </w:pPr>
    </w:p>
    <w:p w14:paraId="6A53B917">
      <w:pPr>
        <w:snapToGrid w:val="0"/>
        <w:spacing w:line="480" w:lineRule="exact"/>
        <w:ind w:firstLine="480" w:firstLineChars="200"/>
        <w:rPr>
          <w:rFonts w:ascii="宋体" w:hAnsi="宋体" w:cs="宋体"/>
          <w:color w:val="auto"/>
          <w:sz w:val="24"/>
          <w:szCs w:val="24"/>
        </w:rPr>
      </w:pPr>
    </w:p>
    <w:p w14:paraId="28F09115">
      <w:pPr>
        <w:spacing w:line="480" w:lineRule="exact"/>
        <w:jc w:val="center"/>
        <w:outlineLvl w:val="2"/>
        <w:rPr>
          <w:rFonts w:ascii="宋体" w:hAnsi="宋体" w:cs="宋体"/>
          <w:b/>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24"/>
          <w:szCs w:val="24"/>
        </w:rPr>
        <w:t>3.法定代表人委托书</w:t>
      </w:r>
    </w:p>
    <w:p w14:paraId="2FFA916C">
      <w:pPr>
        <w:snapToGrid w:val="0"/>
        <w:spacing w:line="480" w:lineRule="exact"/>
        <w:rPr>
          <w:rFonts w:ascii="宋体" w:hAnsi="宋体" w:cs="宋体"/>
          <w:bCs/>
          <w:color w:val="auto"/>
          <w:sz w:val="24"/>
          <w:szCs w:val="24"/>
        </w:rPr>
      </w:pPr>
    </w:p>
    <w:p w14:paraId="3AA997F4">
      <w:pPr>
        <w:snapToGrid w:val="0"/>
        <w:spacing w:line="480" w:lineRule="exact"/>
        <w:rPr>
          <w:rFonts w:ascii="宋体" w:hAnsi="宋体" w:cs="宋体"/>
          <w:bCs/>
          <w:color w:val="auto"/>
          <w:sz w:val="24"/>
          <w:szCs w:val="24"/>
        </w:rPr>
      </w:pPr>
      <w:r>
        <w:rPr>
          <w:rFonts w:hint="eastAsia" w:ascii="宋体" w:hAnsi="宋体" w:cs="宋体"/>
          <w:bCs/>
          <w:color w:val="auto"/>
          <w:sz w:val="24"/>
          <w:szCs w:val="24"/>
        </w:rPr>
        <w:t>江苏省南通中学：</w:t>
      </w:r>
    </w:p>
    <w:p w14:paraId="17373C91">
      <w:pPr>
        <w:widowControl/>
        <w:wordWrap w:val="0"/>
        <w:snapToGrid w:val="0"/>
        <w:spacing w:before="90" w:after="90" w:line="360" w:lineRule="auto"/>
        <w:ind w:firstLine="600"/>
        <w:jc w:val="left"/>
        <w:rPr>
          <w:rFonts w:ascii="宋体" w:hAnsi="宋体" w:cs="宋体"/>
          <w:color w:val="auto"/>
          <w:sz w:val="24"/>
          <w:szCs w:val="24"/>
        </w:rPr>
      </w:pPr>
      <w:r>
        <w:rPr>
          <w:rFonts w:hint="eastAsia" w:ascii="宋体" w:hAnsi="宋体" w:cs="宋体"/>
          <w:color w:val="auto"/>
          <w:sz w:val="24"/>
          <w:szCs w:val="24"/>
        </w:rPr>
        <w:t>本委托书声明：我</w:t>
      </w:r>
      <w:r>
        <w:rPr>
          <w:rFonts w:hint="eastAsia" w:ascii="宋体" w:hAnsi="宋体" w:cs="宋体"/>
          <w:color w:val="auto"/>
          <w:sz w:val="24"/>
          <w:szCs w:val="24"/>
          <w:u w:val="single"/>
        </w:rPr>
        <w:t>（法定代表人姓名）</w:t>
      </w:r>
      <w:r>
        <w:rPr>
          <w:rFonts w:hint="eastAsia" w:ascii="宋体" w:hAnsi="宋体" w:cs="宋体"/>
          <w:color w:val="auto"/>
          <w:sz w:val="24"/>
          <w:szCs w:val="24"/>
        </w:rPr>
        <w:t>系</w:t>
      </w:r>
      <w:r>
        <w:rPr>
          <w:rFonts w:hint="eastAsia" w:ascii="宋体" w:hAnsi="宋体" w:cs="宋体"/>
          <w:color w:val="auto"/>
          <w:kern w:val="0"/>
          <w:sz w:val="24"/>
          <w:szCs w:val="24"/>
          <w:u w:val="single"/>
        </w:rPr>
        <w:t xml:space="preserve"> （单位名称） </w:t>
      </w:r>
      <w:r>
        <w:rPr>
          <w:rFonts w:hint="eastAsia" w:ascii="宋体" w:hAnsi="宋体" w:cs="宋体"/>
          <w:color w:val="auto"/>
          <w:kern w:val="0"/>
          <w:sz w:val="24"/>
          <w:szCs w:val="24"/>
        </w:rPr>
        <w:t>的法定代表人，现</w:t>
      </w:r>
      <w:r>
        <w:rPr>
          <w:rFonts w:hint="eastAsia" w:ascii="宋体" w:hAnsi="宋体" w:cs="宋体"/>
          <w:color w:val="auto"/>
          <w:sz w:val="24"/>
          <w:szCs w:val="24"/>
        </w:rPr>
        <w:t>代表本单位授权</w:t>
      </w:r>
      <w:r>
        <w:rPr>
          <w:rFonts w:hint="eastAsia" w:ascii="宋体" w:hAnsi="宋体" w:cs="宋体"/>
          <w:color w:val="auto"/>
          <w:sz w:val="24"/>
          <w:szCs w:val="24"/>
          <w:u w:val="single"/>
        </w:rPr>
        <w:t>（单位名称）</w:t>
      </w:r>
      <w:r>
        <w:rPr>
          <w:rFonts w:hint="eastAsia" w:ascii="宋体" w:hAnsi="宋体" w:cs="宋体"/>
          <w:color w:val="auto"/>
          <w:sz w:val="24"/>
          <w:szCs w:val="24"/>
        </w:rPr>
        <w:t xml:space="preserve"> 的 </w:t>
      </w:r>
      <w:r>
        <w:rPr>
          <w:rFonts w:hint="eastAsia" w:ascii="宋体" w:hAnsi="宋体" w:cs="宋体"/>
          <w:color w:val="auto"/>
          <w:sz w:val="24"/>
          <w:szCs w:val="24"/>
          <w:u w:val="single"/>
        </w:rPr>
        <w:t>（被授权人的姓名）</w:t>
      </w:r>
      <w:r>
        <w:rPr>
          <w:rFonts w:hint="eastAsia" w:ascii="宋体" w:hAnsi="宋体" w:cs="宋体"/>
          <w:color w:val="auto"/>
          <w:sz w:val="24"/>
          <w:szCs w:val="24"/>
        </w:rPr>
        <w:t xml:space="preserve"> </w:t>
      </w:r>
      <w:r>
        <w:rPr>
          <w:rFonts w:hint="eastAsia" w:ascii="宋体" w:hAnsi="宋体" w:cs="宋体"/>
          <w:color w:val="auto"/>
          <w:kern w:val="0"/>
          <w:sz w:val="24"/>
          <w:szCs w:val="24"/>
        </w:rPr>
        <w:t>身份证号码：</w:t>
      </w:r>
      <w:r>
        <w:rPr>
          <w:rFonts w:hint="eastAsia" w:ascii="宋体" w:hAnsi="宋体" w:cs="宋体"/>
          <w:color w:val="auto"/>
          <w:kern w:val="0"/>
          <w:sz w:val="24"/>
          <w:szCs w:val="24"/>
          <w:u w:val="single"/>
        </w:rPr>
        <w:t xml:space="preserve">                 </w:t>
      </w:r>
      <w:r>
        <w:rPr>
          <w:rFonts w:hint="eastAsia" w:ascii="宋体" w:hAnsi="宋体" w:cs="宋体"/>
          <w:color w:val="auto"/>
          <w:sz w:val="24"/>
          <w:szCs w:val="24"/>
        </w:rPr>
        <w:t>为本单位的合法代理人，参加江苏省南通中学</w:t>
      </w:r>
      <w:r>
        <w:rPr>
          <w:rFonts w:hint="eastAsia" w:ascii="宋体" w:hAnsi="宋体" w:cs="宋体"/>
          <w:color w:val="auto"/>
          <w:sz w:val="24"/>
          <w:szCs w:val="24"/>
          <w:u w:val="single"/>
        </w:rPr>
        <w:t>（项目名称及编号）</w:t>
      </w:r>
      <w:r>
        <w:rPr>
          <w:rFonts w:hint="eastAsia" w:ascii="宋体" w:hAnsi="宋体" w:cs="宋体"/>
          <w:color w:val="auto"/>
          <w:sz w:val="24"/>
          <w:szCs w:val="24"/>
        </w:rPr>
        <w:t>的响应，可</w:t>
      </w:r>
      <w:r>
        <w:rPr>
          <w:rFonts w:hint="eastAsia" w:ascii="宋体" w:hAnsi="宋体" w:cs="宋体"/>
          <w:color w:val="auto"/>
          <w:kern w:val="0"/>
          <w:sz w:val="24"/>
          <w:szCs w:val="24"/>
        </w:rPr>
        <w:t>代表本公司签署响应文件</w:t>
      </w:r>
      <w:r>
        <w:rPr>
          <w:rFonts w:hint="eastAsia" w:ascii="宋体" w:hAnsi="宋体" w:cs="宋体"/>
          <w:color w:val="auto"/>
          <w:sz w:val="24"/>
          <w:szCs w:val="24"/>
        </w:rPr>
        <w:t>、签订合同和处理与之有关的一切事务。</w:t>
      </w:r>
    </w:p>
    <w:p w14:paraId="3D1B40BF">
      <w:pPr>
        <w:widowControl/>
        <w:wordWrap w:val="0"/>
        <w:snapToGrid w:val="0"/>
        <w:spacing w:before="90" w:after="90" w:line="360" w:lineRule="auto"/>
        <w:ind w:firstLine="600"/>
        <w:jc w:val="left"/>
        <w:rPr>
          <w:rFonts w:ascii="宋体" w:hAnsi="宋体" w:cs="宋体"/>
          <w:color w:val="auto"/>
          <w:sz w:val="24"/>
          <w:szCs w:val="24"/>
        </w:rPr>
      </w:pPr>
      <w:r>
        <w:rPr>
          <w:rFonts w:hint="eastAsia" w:ascii="宋体" w:hAnsi="宋体" w:cs="宋体"/>
          <w:color w:val="auto"/>
          <w:sz w:val="24"/>
          <w:szCs w:val="24"/>
        </w:rPr>
        <w:t>本委托书于_______年____月____日签字生效。</w:t>
      </w:r>
    </w:p>
    <w:p w14:paraId="598FB075">
      <w:pPr>
        <w:widowControl/>
        <w:wordWrap w:val="0"/>
        <w:snapToGrid w:val="0"/>
        <w:spacing w:before="90" w:after="90" w:line="360" w:lineRule="auto"/>
        <w:ind w:firstLine="600"/>
        <w:jc w:val="left"/>
        <w:rPr>
          <w:rFonts w:ascii="宋体" w:hAnsi="宋体" w:cs="宋体"/>
          <w:color w:val="auto"/>
          <w:sz w:val="24"/>
          <w:szCs w:val="24"/>
        </w:rPr>
      </w:pPr>
      <w:r>
        <w:rPr>
          <w:rFonts w:hint="eastAsia" w:ascii="宋体" w:hAnsi="宋体" w:cs="宋体"/>
          <w:color w:val="auto"/>
          <w:sz w:val="24"/>
          <w:szCs w:val="24"/>
        </w:rPr>
        <w:t>法定代表人签字或签章：__________________</w:t>
      </w:r>
    </w:p>
    <w:p w14:paraId="787166DF">
      <w:pPr>
        <w:widowControl/>
        <w:wordWrap w:val="0"/>
        <w:snapToGrid w:val="0"/>
        <w:spacing w:before="90" w:after="90" w:line="360" w:lineRule="auto"/>
        <w:ind w:firstLine="600"/>
        <w:jc w:val="left"/>
        <w:rPr>
          <w:rFonts w:ascii="宋体" w:hAnsi="宋体" w:cs="宋体"/>
          <w:color w:val="auto"/>
          <w:sz w:val="24"/>
          <w:szCs w:val="24"/>
        </w:rPr>
      </w:pPr>
      <w:r>
        <w:rPr>
          <w:rFonts w:hint="eastAsia" w:ascii="宋体" w:hAnsi="宋体" w:cs="宋体"/>
          <w:color w:val="auto"/>
          <w:sz w:val="24"/>
          <w:szCs w:val="24"/>
        </w:rPr>
        <w:t>被授权人签字或签章：____________________</w:t>
      </w:r>
    </w:p>
    <w:p w14:paraId="31846835">
      <w:pPr>
        <w:widowControl/>
        <w:wordWrap w:val="0"/>
        <w:snapToGrid w:val="0"/>
        <w:spacing w:before="90" w:after="90" w:line="360" w:lineRule="auto"/>
        <w:ind w:firstLine="2880" w:firstLineChars="1200"/>
        <w:jc w:val="left"/>
        <w:rPr>
          <w:rFonts w:ascii="宋体" w:hAnsi="宋体" w:cs="宋体"/>
          <w:color w:val="auto"/>
          <w:kern w:val="0"/>
          <w:sz w:val="24"/>
          <w:szCs w:val="24"/>
        </w:rPr>
      </w:pPr>
      <w:r>
        <w:rPr>
          <w:rFonts w:hint="eastAsia" w:ascii="宋体" w:hAnsi="宋体" w:cs="宋体"/>
          <w:color w:val="auto"/>
          <w:kern w:val="0"/>
          <w:sz w:val="24"/>
          <w:szCs w:val="24"/>
        </w:rPr>
        <w:t>供应商：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（公章）</w:t>
      </w:r>
    </w:p>
    <w:p w14:paraId="3F9E8202">
      <w:pPr>
        <w:widowControl/>
        <w:wordWrap w:val="0"/>
        <w:snapToGrid w:val="0"/>
        <w:spacing w:before="90" w:after="90" w:line="360" w:lineRule="auto"/>
        <w:ind w:firstLine="2880" w:firstLineChars="1200"/>
        <w:jc w:val="left"/>
        <w:rPr>
          <w:rFonts w:ascii="宋体" w:hAnsi="宋体" w:cs="宋体"/>
          <w:color w:val="auto"/>
          <w:kern w:val="0"/>
          <w:sz w:val="24"/>
          <w:szCs w:val="24"/>
        </w:rPr>
      </w:pPr>
      <w:r>
        <w:rPr>
          <w:rFonts w:hint="eastAsia" w:ascii="宋体" w:hAnsi="宋体" w:cs="宋体"/>
          <w:color w:val="auto"/>
          <w:kern w:val="0"/>
          <w:sz w:val="24"/>
          <w:szCs w:val="24"/>
        </w:rPr>
        <w:t>日期：</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年</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月</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日</w:t>
      </w:r>
    </w:p>
    <w:tbl>
      <w:tblPr>
        <w:tblStyle w:val="23"/>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0B60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5" w:hRule="atLeast"/>
        </w:trPr>
        <w:tc>
          <w:tcPr>
            <w:tcW w:w="7840" w:type="dxa"/>
          </w:tcPr>
          <w:p w14:paraId="3EEE6EE1">
            <w:pPr>
              <w:snapToGrid w:val="0"/>
              <w:spacing w:line="480" w:lineRule="exact"/>
              <w:ind w:left="193" w:firstLine="484" w:firstLineChars="202"/>
              <w:jc w:val="left"/>
              <w:rPr>
                <w:rFonts w:ascii="宋体" w:hAnsi="宋体" w:cs="宋体"/>
                <w:color w:val="auto"/>
                <w:sz w:val="24"/>
                <w:szCs w:val="24"/>
              </w:rPr>
            </w:pPr>
          </w:p>
          <w:p w14:paraId="5C2073A5">
            <w:pPr>
              <w:snapToGrid w:val="0"/>
              <w:spacing w:line="480" w:lineRule="exact"/>
              <w:jc w:val="center"/>
              <w:rPr>
                <w:rFonts w:ascii="宋体" w:hAnsi="宋体" w:cs="宋体"/>
                <w:b/>
                <w:bCs/>
                <w:color w:val="auto"/>
                <w:sz w:val="24"/>
                <w:szCs w:val="24"/>
              </w:rPr>
            </w:pPr>
            <w:r>
              <w:rPr>
                <w:rFonts w:hint="eastAsia" w:ascii="宋体" w:hAnsi="宋体" w:cs="宋体"/>
                <w:b/>
                <w:bCs/>
                <w:color w:val="auto"/>
                <w:sz w:val="24"/>
                <w:szCs w:val="24"/>
              </w:rPr>
              <w:t>被授权人身份证（正、反面）复印件</w:t>
            </w:r>
            <w:r>
              <w:rPr>
                <w:rFonts w:hint="eastAsia" w:ascii="宋体" w:hAnsi="宋体" w:cs="宋体"/>
                <w:b/>
                <w:bCs/>
                <w:color w:val="auto"/>
                <w:sz w:val="24"/>
                <w:szCs w:val="24"/>
                <w:u w:val="single"/>
              </w:rPr>
              <w:t>（粘贴此处）</w:t>
            </w:r>
          </w:p>
          <w:p w14:paraId="64016CD6">
            <w:pPr>
              <w:snapToGrid w:val="0"/>
              <w:spacing w:line="480" w:lineRule="exact"/>
              <w:ind w:left="193"/>
              <w:jc w:val="left"/>
              <w:rPr>
                <w:rFonts w:ascii="宋体" w:hAnsi="宋体" w:cs="宋体"/>
                <w:b/>
                <w:bCs/>
                <w:color w:val="auto"/>
                <w:sz w:val="24"/>
                <w:szCs w:val="24"/>
              </w:rPr>
            </w:pPr>
          </w:p>
          <w:p w14:paraId="25B93D2A">
            <w:pPr>
              <w:snapToGrid w:val="0"/>
              <w:spacing w:line="480" w:lineRule="exact"/>
              <w:ind w:left="193"/>
              <w:jc w:val="left"/>
              <w:rPr>
                <w:rFonts w:ascii="宋体" w:hAnsi="宋体" w:cs="宋体"/>
                <w:b/>
                <w:bCs/>
                <w:color w:val="auto"/>
                <w:sz w:val="24"/>
                <w:szCs w:val="24"/>
              </w:rPr>
            </w:pPr>
          </w:p>
          <w:p w14:paraId="4E6C2B8E">
            <w:pPr>
              <w:snapToGrid w:val="0"/>
              <w:spacing w:line="480" w:lineRule="exact"/>
              <w:ind w:left="193"/>
              <w:jc w:val="left"/>
              <w:rPr>
                <w:rFonts w:ascii="宋体" w:hAnsi="宋体" w:cs="宋体"/>
                <w:b/>
                <w:bCs/>
                <w:color w:val="auto"/>
                <w:sz w:val="24"/>
                <w:szCs w:val="24"/>
              </w:rPr>
            </w:pPr>
          </w:p>
          <w:p w14:paraId="26CFC260">
            <w:pPr>
              <w:snapToGrid w:val="0"/>
              <w:spacing w:line="480" w:lineRule="exact"/>
              <w:ind w:left="193" w:firstLine="484" w:firstLineChars="202"/>
              <w:jc w:val="left"/>
              <w:rPr>
                <w:rFonts w:ascii="宋体" w:hAnsi="宋体" w:cs="宋体"/>
                <w:color w:val="auto"/>
                <w:sz w:val="24"/>
                <w:szCs w:val="24"/>
              </w:rPr>
            </w:pPr>
          </w:p>
        </w:tc>
      </w:tr>
    </w:tbl>
    <w:p w14:paraId="157CDC9E">
      <w:pPr>
        <w:rPr>
          <w:rFonts w:ascii="宋体" w:hAnsi="宋体" w:cs="宋体"/>
          <w:b/>
          <w:bCs/>
          <w:color w:val="auto"/>
          <w:sz w:val="24"/>
          <w:szCs w:val="24"/>
        </w:rPr>
      </w:pPr>
      <w:r>
        <w:rPr>
          <w:rFonts w:hint="eastAsia" w:ascii="宋体" w:hAnsi="宋体" w:cs="宋体"/>
          <w:b/>
          <w:bCs/>
          <w:color w:val="auto"/>
          <w:sz w:val="24"/>
          <w:szCs w:val="24"/>
        </w:rPr>
        <w:br w:type="page"/>
      </w:r>
    </w:p>
    <w:p w14:paraId="72284B00">
      <w:pPr>
        <w:kinsoku w:val="0"/>
        <w:topLinePunct/>
        <w:autoSpaceDE w:val="0"/>
        <w:autoSpaceDN w:val="0"/>
        <w:spacing w:line="480" w:lineRule="exact"/>
        <w:ind w:right="210" w:firstLine="449" w:firstLineChars="187"/>
        <w:jc w:val="center"/>
        <w:textAlignment w:val="baseline"/>
        <w:rPr>
          <w:rFonts w:ascii="宋体" w:hAnsi="宋体" w:cs="宋体"/>
          <w:b/>
          <w:color w:val="auto"/>
          <w:sz w:val="24"/>
          <w:szCs w:val="24"/>
        </w:rPr>
      </w:pPr>
      <w:r>
        <w:rPr>
          <w:rFonts w:hint="eastAsia" w:ascii="宋体" w:hAnsi="宋体" w:cs="宋体"/>
          <w:b/>
          <w:bCs/>
          <w:color w:val="auto"/>
          <w:sz w:val="24"/>
          <w:szCs w:val="24"/>
        </w:rPr>
        <w:t>4.</w:t>
      </w:r>
      <w:r>
        <w:rPr>
          <w:rFonts w:hint="eastAsia" w:ascii="宋体" w:hAnsi="宋体" w:cs="宋体"/>
          <w:b/>
          <w:color w:val="auto"/>
          <w:sz w:val="24"/>
          <w:szCs w:val="24"/>
        </w:rPr>
        <w:t>无重大违法记录声明</w:t>
      </w:r>
    </w:p>
    <w:p w14:paraId="0ED22249">
      <w:pPr>
        <w:snapToGrid w:val="0"/>
        <w:spacing w:line="480" w:lineRule="exact"/>
        <w:rPr>
          <w:rFonts w:ascii="宋体" w:hAnsi="宋体" w:cs="宋体"/>
          <w:bCs/>
          <w:color w:val="auto"/>
          <w:sz w:val="24"/>
          <w:szCs w:val="24"/>
        </w:rPr>
      </w:pPr>
      <w:r>
        <w:rPr>
          <w:rFonts w:hint="eastAsia" w:ascii="宋体" w:hAnsi="宋体" w:cs="宋体"/>
          <w:bCs/>
          <w:color w:val="auto"/>
          <w:sz w:val="24"/>
          <w:szCs w:val="24"/>
        </w:rPr>
        <w:t>江苏省南通中学：</w:t>
      </w:r>
    </w:p>
    <w:p w14:paraId="2E79F18F">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我公司郑重声明：参加本次采购活动前 3 年内，我公司在经营活动中</w:t>
      </w:r>
      <w:r>
        <w:rPr>
          <w:rFonts w:hint="eastAsia" w:ascii="宋体" w:hAnsi="宋体" w:cs="宋体"/>
          <w:color w:val="auto"/>
          <w:sz w:val="24"/>
          <w:szCs w:val="24"/>
          <w:u w:val="single"/>
        </w:rPr>
        <w:t xml:space="preserve">   </w:t>
      </w:r>
      <w:r>
        <w:rPr>
          <w:rFonts w:hint="eastAsia" w:ascii="宋体" w:hAnsi="宋体" w:cs="宋体"/>
          <w:b/>
          <w:bCs/>
          <w:color w:val="auto"/>
          <w:sz w:val="24"/>
          <w:szCs w:val="24"/>
          <w:u w:val="single"/>
        </w:rPr>
        <w:t>（填写有/没有）</w:t>
      </w:r>
      <w:r>
        <w:rPr>
          <w:rFonts w:hint="eastAsia" w:ascii="宋体" w:hAnsi="宋体" w:cs="宋体"/>
          <w:color w:val="auto"/>
          <w:sz w:val="24"/>
          <w:szCs w:val="24"/>
        </w:rPr>
        <w:t>因违法经营受到刑事处罚或者责令停产停业、吊销许可证或者执照、较大数额罚款等行政处罚。</w:t>
      </w:r>
    </w:p>
    <w:p w14:paraId="1734C6C8">
      <w:pPr>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在投标截止时间节点，没有被“信用中国”网站列入失信被执行人、重大税收违法案件当事人名单、采购严重违法失信行为记录名单。</w:t>
      </w:r>
    </w:p>
    <w:p w14:paraId="5EBA933D">
      <w:pPr>
        <w:snapToGrid w:val="0"/>
        <w:spacing w:line="480" w:lineRule="exact"/>
        <w:ind w:firstLine="200"/>
        <w:rPr>
          <w:rFonts w:ascii="宋体" w:hAnsi="宋体" w:cs="宋体"/>
          <w:color w:val="auto"/>
          <w:sz w:val="24"/>
          <w:szCs w:val="24"/>
        </w:rPr>
      </w:pPr>
    </w:p>
    <w:p w14:paraId="36AF67EC">
      <w:pPr>
        <w:snapToGrid w:val="0"/>
        <w:spacing w:line="480" w:lineRule="exact"/>
        <w:ind w:right="720" w:firstLine="480" w:firstLineChars="200"/>
        <w:contextualSpacing/>
        <w:jc w:val="right"/>
        <w:rPr>
          <w:rFonts w:ascii="宋体" w:hAnsi="宋体" w:cs="宋体"/>
          <w:color w:val="auto"/>
          <w:sz w:val="24"/>
          <w:szCs w:val="24"/>
        </w:rPr>
      </w:pPr>
      <w:r>
        <w:rPr>
          <w:rFonts w:hint="eastAsia" w:ascii="宋体" w:hAnsi="宋体" w:cs="宋体"/>
          <w:color w:val="auto"/>
          <w:sz w:val="24"/>
          <w:szCs w:val="24"/>
        </w:rPr>
        <w:t>法定代表人或授权委托人（签字或盖章）：</w:t>
      </w:r>
    </w:p>
    <w:p w14:paraId="02329DA2">
      <w:pPr>
        <w:snapToGrid w:val="0"/>
        <w:spacing w:line="480" w:lineRule="exact"/>
        <w:ind w:right="720" w:firstLine="480" w:firstLineChars="200"/>
        <w:contextualSpacing/>
        <w:jc w:val="right"/>
        <w:rPr>
          <w:rFonts w:ascii="宋体" w:hAnsi="宋体" w:cs="宋体"/>
          <w:color w:val="auto"/>
          <w:sz w:val="24"/>
          <w:szCs w:val="24"/>
        </w:rPr>
      </w:pPr>
      <w:r>
        <w:rPr>
          <w:rFonts w:hint="eastAsia" w:ascii="宋体" w:hAnsi="宋体" w:cs="宋体"/>
          <w:color w:val="auto"/>
          <w:sz w:val="24"/>
          <w:szCs w:val="24"/>
        </w:rPr>
        <w:t>供应商名称（盖章）：</w:t>
      </w:r>
    </w:p>
    <w:p w14:paraId="6AD5FB9B">
      <w:pPr>
        <w:snapToGrid w:val="0"/>
        <w:spacing w:line="480" w:lineRule="exact"/>
        <w:ind w:firstLine="480" w:firstLineChars="200"/>
        <w:jc w:val="center"/>
        <w:rPr>
          <w:rFonts w:ascii="宋体" w:hAnsi="宋体" w:cs="宋体"/>
          <w:color w:val="auto"/>
          <w:sz w:val="24"/>
          <w:szCs w:val="24"/>
        </w:rPr>
      </w:pPr>
      <w:bookmarkStart w:id="43" w:name="_Toc12794"/>
      <w:r>
        <w:rPr>
          <w:rFonts w:hint="eastAsia" w:ascii="宋体" w:hAnsi="宋体" w:cs="宋体"/>
          <w:color w:val="auto"/>
          <w:sz w:val="24"/>
          <w:szCs w:val="24"/>
        </w:rPr>
        <w:t>日期：</w:t>
      </w:r>
      <w:bookmarkEnd w:id="43"/>
    </w:p>
    <w:p w14:paraId="2E226C83">
      <w:pPr>
        <w:numPr>
          <w:ilvl w:val="255"/>
          <w:numId w:val="0"/>
        </w:numPr>
        <w:jc w:val="left"/>
        <w:rPr>
          <w:rFonts w:ascii="宋体" w:hAnsi="宋体" w:cs="宋体"/>
          <w:color w:val="auto"/>
          <w:sz w:val="24"/>
          <w:szCs w:val="24"/>
        </w:rPr>
      </w:pPr>
      <w:r>
        <w:rPr>
          <w:rFonts w:hint="eastAsia" w:ascii="宋体" w:hAnsi="宋体" w:cs="宋体"/>
          <w:color w:val="auto"/>
          <w:sz w:val="24"/>
          <w:szCs w:val="24"/>
        </w:rPr>
        <w:br w:type="page"/>
      </w:r>
    </w:p>
    <w:p w14:paraId="79A9AA17">
      <w:pPr>
        <w:rPr>
          <w:rFonts w:ascii="宋体" w:hAnsi="宋体" w:cs="宋体"/>
          <w:b/>
          <w:color w:val="auto"/>
          <w:sz w:val="24"/>
          <w:szCs w:val="24"/>
        </w:rPr>
      </w:pPr>
      <w:bookmarkStart w:id="44" w:name="_Hlk89675716"/>
      <w:r>
        <w:rPr>
          <w:rFonts w:hint="eastAsia" w:ascii="宋体" w:hAnsi="宋体" w:cs="宋体"/>
          <w:b/>
          <w:color w:val="auto"/>
          <w:sz w:val="24"/>
          <w:szCs w:val="24"/>
        </w:rPr>
        <w:t>技术标响应文件相关格式</w:t>
      </w:r>
    </w:p>
    <w:p w14:paraId="7CEF1FA6">
      <w:pPr>
        <w:snapToGrid w:val="0"/>
        <w:spacing w:line="480" w:lineRule="exact"/>
        <w:contextualSpacing/>
        <w:jc w:val="center"/>
        <w:rPr>
          <w:rFonts w:ascii="宋体" w:hAnsi="宋体" w:cs="宋体"/>
          <w:b/>
          <w:color w:val="auto"/>
          <w:kern w:val="0"/>
          <w:sz w:val="24"/>
          <w:szCs w:val="24"/>
        </w:rPr>
      </w:pPr>
      <w:r>
        <w:rPr>
          <w:rFonts w:hint="eastAsia" w:ascii="宋体" w:hAnsi="宋体" w:cs="宋体"/>
          <w:b/>
          <w:color w:val="auto"/>
          <w:kern w:val="0"/>
          <w:sz w:val="24"/>
          <w:szCs w:val="24"/>
        </w:rPr>
        <w:t>1.商务部分正负偏离表</w:t>
      </w:r>
    </w:p>
    <w:p w14:paraId="7C9E27B3">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（由供应商据实填写，表格不够自行添加）</w:t>
      </w:r>
    </w:p>
    <w:tbl>
      <w:tblPr>
        <w:tblStyle w:val="23"/>
        <w:tblW w:w="527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0"/>
        <w:gridCol w:w="2286"/>
        <w:gridCol w:w="1922"/>
        <w:gridCol w:w="2495"/>
        <w:gridCol w:w="1520"/>
      </w:tblGrid>
      <w:tr w14:paraId="1A394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94" w:hRule="atLeast"/>
          <w:jc w:val="center"/>
        </w:trPr>
        <w:tc>
          <w:tcPr>
            <w:tcW w:w="433" w:type="pct"/>
            <w:tcBorders>
              <w:top w:val="single" w:color="auto" w:sz="12" w:space="0"/>
              <w:left w:val="single" w:color="auto" w:sz="12" w:space="0"/>
              <w:bottom w:val="single" w:color="auto" w:sz="6" w:space="0"/>
              <w:right w:val="single" w:color="auto" w:sz="6" w:space="0"/>
            </w:tcBorders>
            <w:vAlign w:val="center"/>
          </w:tcPr>
          <w:p w14:paraId="5A65FCBB">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序号</w:t>
            </w:r>
          </w:p>
        </w:tc>
        <w:tc>
          <w:tcPr>
            <w:tcW w:w="1269" w:type="pct"/>
            <w:tcBorders>
              <w:top w:val="single" w:color="auto" w:sz="12" w:space="0"/>
              <w:left w:val="single" w:color="auto" w:sz="6" w:space="0"/>
              <w:bottom w:val="single" w:color="auto" w:sz="6" w:space="0"/>
              <w:right w:val="single" w:color="auto" w:sz="6" w:space="0"/>
            </w:tcBorders>
            <w:vAlign w:val="center"/>
          </w:tcPr>
          <w:p w14:paraId="159D71C5">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货物或服务名称</w:t>
            </w:r>
          </w:p>
        </w:tc>
        <w:tc>
          <w:tcPr>
            <w:tcW w:w="1067" w:type="pct"/>
            <w:tcBorders>
              <w:top w:val="single" w:color="auto" w:sz="12" w:space="0"/>
              <w:left w:val="single" w:color="auto" w:sz="6" w:space="0"/>
              <w:bottom w:val="single" w:color="auto" w:sz="6" w:space="0"/>
              <w:right w:val="single" w:color="auto" w:sz="6" w:space="0"/>
            </w:tcBorders>
            <w:vAlign w:val="center"/>
          </w:tcPr>
          <w:p w14:paraId="54225241">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采购文件要求的商务条款</w:t>
            </w:r>
          </w:p>
        </w:tc>
        <w:tc>
          <w:tcPr>
            <w:tcW w:w="1385" w:type="pct"/>
            <w:tcBorders>
              <w:top w:val="single" w:color="auto" w:sz="12" w:space="0"/>
              <w:left w:val="single" w:color="auto" w:sz="6" w:space="0"/>
              <w:bottom w:val="single" w:color="auto" w:sz="6" w:space="0"/>
              <w:right w:val="single" w:color="auto" w:sz="6" w:space="0"/>
            </w:tcBorders>
            <w:vAlign w:val="center"/>
          </w:tcPr>
          <w:p w14:paraId="43BA7097">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响应文件响应情况</w:t>
            </w:r>
          </w:p>
        </w:tc>
        <w:tc>
          <w:tcPr>
            <w:tcW w:w="843" w:type="pct"/>
            <w:tcBorders>
              <w:top w:val="single" w:color="auto" w:sz="12" w:space="0"/>
              <w:left w:val="single" w:color="auto" w:sz="6" w:space="0"/>
              <w:bottom w:val="single" w:color="auto" w:sz="6" w:space="0"/>
              <w:right w:val="single" w:color="auto" w:sz="12" w:space="0"/>
            </w:tcBorders>
            <w:vAlign w:val="center"/>
          </w:tcPr>
          <w:p w14:paraId="627E16B0">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偏离说明</w:t>
            </w:r>
          </w:p>
        </w:tc>
      </w:tr>
      <w:tr w14:paraId="6F1D4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4"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21C70BD4">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1</w:t>
            </w:r>
          </w:p>
        </w:tc>
        <w:tc>
          <w:tcPr>
            <w:tcW w:w="1269" w:type="pct"/>
            <w:tcBorders>
              <w:top w:val="single" w:color="auto" w:sz="6" w:space="0"/>
              <w:left w:val="single" w:color="auto" w:sz="6" w:space="0"/>
              <w:bottom w:val="single" w:color="auto" w:sz="6" w:space="0"/>
              <w:right w:val="single" w:color="auto" w:sz="6" w:space="0"/>
            </w:tcBorders>
            <w:vAlign w:val="center"/>
          </w:tcPr>
          <w:p w14:paraId="6C1D7AF0">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4202287F">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67D86BC6">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74AB6A63">
            <w:pPr>
              <w:pStyle w:val="9"/>
              <w:spacing w:line="480" w:lineRule="exact"/>
              <w:rPr>
                <w:rFonts w:ascii="宋体" w:hAnsi="宋体" w:eastAsia="宋体" w:cs="宋体"/>
                <w:color w:val="auto"/>
                <w:szCs w:val="24"/>
              </w:rPr>
            </w:pPr>
          </w:p>
        </w:tc>
      </w:tr>
      <w:tr w14:paraId="0C370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8"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5068226C">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2</w:t>
            </w:r>
          </w:p>
        </w:tc>
        <w:tc>
          <w:tcPr>
            <w:tcW w:w="1269" w:type="pct"/>
            <w:tcBorders>
              <w:top w:val="single" w:color="auto" w:sz="6" w:space="0"/>
              <w:left w:val="single" w:color="auto" w:sz="6" w:space="0"/>
              <w:bottom w:val="single" w:color="auto" w:sz="6" w:space="0"/>
              <w:right w:val="single" w:color="auto" w:sz="6" w:space="0"/>
            </w:tcBorders>
            <w:vAlign w:val="center"/>
          </w:tcPr>
          <w:p w14:paraId="45FD7A9A">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285538F8">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68773F75">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41CA62A4">
            <w:pPr>
              <w:pStyle w:val="9"/>
              <w:spacing w:line="480" w:lineRule="exact"/>
              <w:rPr>
                <w:rFonts w:ascii="宋体" w:hAnsi="宋体" w:eastAsia="宋体" w:cs="宋体"/>
                <w:color w:val="auto"/>
                <w:szCs w:val="24"/>
              </w:rPr>
            </w:pPr>
          </w:p>
        </w:tc>
      </w:tr>
      <w:tr w14:paraId="706ED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0"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350AB238">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3</w:t>
            </w:r>
          </w:p>
        </w:tc>
        <w:tc>
          <w:tcPr>
            <w:tcW w:w="1269" w:type="pct"/>
            <w:tcBorders>
              <w:top w:val="single" w:color="auto" w:sz="6" w:space="0"/>
              <w:left w:val="single" w:color="auto" w:sz="6" w:space="0"/>
              <w:bottom w:val="single" w:color="auto" w:sz="6" w:space="0"/>
              <w:right w:val="single" w:color="auto" w:sz="6" w:space="0"/>
            </w:tcBorders>
            <w:vAlign w:val="center"/>
          </w:tcPr>
          <w:p w14:paraId="7663D599">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6F0644D1">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5E8AF80A">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145A8A0D">
            <w:pPr>
              <w:pStyle w:val="9"/>
              <w:spacing w:line="480" w:lineRule="exact"/>
              <w:rPr>
                <w:rFonts w:ascii="宋体" w:hAnsi="宋体" w:eastAsia="宋体" w:cs="宋体"/>
                <w:color w:val="auto"/>
                <w:szCs w:val="24"/>
              </w:rPr>
            </w:pPr>
          </w:p>
        </w:tc>
      </w:tr>
      <w:tr w14:paraId="3E96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671CA603">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4</w:t>
            </w:r>
          </w:p>
        </w:tc>
        <w:tc>
          <w:tcPr>
            <w:tcW w:w="1269" w:type="pct"/>
            <w:tcBorders>
              <w:top w:val="single" w:color="auto" w:sz="6" w:space="0"/>
              <w:left w:val="single" w:color="auto" w:sz="6" w:space="0"/>
              <w:bottom w:val="single" w:color="auto" w:sz="6" w:space="0"/>
              <w:right w:val="single" w:color="auto" w:sz="6" w:space="0"/>
            </w:tcBorders>
            <w:vAlign w:val="center"/>
          </w:tcPr>
          <w:p w14:paraId="5119BD8C">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63897262">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2AF6013B">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3A99EFED">
            <w:pPr>
              <w:pStyle w:val="9"/>
              <w:spacing w:line="480" w:lineRule="exact"/>
              <w:rPr>
                <w:rFonts w:ascii="宋体" w:hAnsi="宋体" w:eastAsia="宋体" w:cs="宋体"/>
                <w:color w:val="auto"/>
                <w:szCs w:val="24"/>
              </w:rPr>
            </w:pPr>
          </w:p>
        </w:tc>
      </w:tr>
    </w:tbl>
    <w:p w14:paraId="2427EA1E">
      <w:pPr>
        <w:pStyle w:val="9"/>
        <w:spacing w:line="480" w:lineRule="exact"/>
        <w:rPr>
          <w:rFonts w:ascii="宋体" w:hAnsi="宋体" w:eastAsia="宋体" w:cs="宋体"/>
          <w:color w:val="auto"/>
          <w:szCs w:val="24"/>
        </w:rPr>
      </w:pPr>
      <w:r>
        <w:rPr>
          <w:rFonts w:hint="eastAsia" w:ascii="宋体" w:hAnsi="宋体" w:eastAsia="宋体" w:cs="宋体"/>
          <w:color w:val="auto"/>
          <w:szCs w:val="24"/>
        </w:rPr>
        <w:t>注：</w:t>
      </w:r>
    </w:p>
    <w:p w14:paraId="2A4D50D9">
      <w:pPr>
        <w:pStyle w:val="9"/>
        <w:spacing w:line="480" w:lineRule="exact"/>
        <w:ind w:firstLine="480" w:firstLineChars="200"/>
        <w:rPr>
          <w:rFonts w:ascii="宋体" w:hAnsi="宋体" w:eastAsia="宋体" w:cs="宋体"/>
          <w:color w:val="auto"/>
          <w:szCs w:val="24"/>
        </w:rPr>
      </w:pPr>
      <w:r>
        <w:rPr>
          <w:rFonts w:hint="eastAsia" w:ascii="宋体" w:hAnsi="宋体" w:eastAsia="宋体" w:cs="宋体"/>
          <w:color w:val="auto"/>
          <w:szCs w:val="24"/>
        </w:rPr>
        <w:t>1.供应商提交的响应文件中与采购文件第三章“项目需求”中的商务部分的要求，应逐条填列在偏离表中。</w:t>
      </w:r>
      <w:r>
        <w:rPr>
          <w:rFonts w:hint="eastAsia" w:ascii="宋体" w:hAnsi="宋体" w:eastAsia="宋体" w:cs="宋体"/>
          <w:b/>
          <w:bCs/>
          <w:color w:val="auto"/>
          <w:szCs w:val="24"/>
        </w:rPr>
        <w:t>如完全响应，可空表列示。</w:t>
      </w:r>
    </w:p>
    <w:p w14:paraId="73236766">
      <w:pPr>
        <w:pStyle w:val="9"/>
        <w:spacing w:line="480" w:lineRule="exact"/>
        <w:ind w:firstLine="480" w:firstLineChars="200"/>
        <w:rPr>
          <w:rFonts w:ascii="宋体" w:hAnsi="宋体" w:eastAsia="宋体" w:cs="宋体"/>
          <w:color w:val="auto"/>
          <w:szCs w:val="24"/>
        </w:rPr>
      </w:pPr>
      <w:r>
        <w:rPr>
          <w:rFonts w:hint="eastAsia" w:ascii="宋体" w:hAnsi="宋体" w:eastAsia="宋体" w:cs="宋体"/>
          <w:color w:val="auto"/>
          <w:szCs w:val="24"/>
        </w:rPr>
        <w:t>2.“偏离说明”一栏选择“正偏离”“负偏离”“无偏离”进行填写。正偏离、负偏离、无偏离的确认，由评审小组认定。</w:t>
      </w:r>
    </w:p>
    <w:p w14:paraId="3042BAB4">
      <w:pPr>
        <w:pStyle w:val="9"/>
        <w:spacing w:line="480" w:lineRule="exact"/>
        <w:ind w:firstLine="480" w:firstLineChars="200"/>
        <w:rPr>
          <w:rFonts w:ascii="宋体" w:hAnsi="宋体" w:eastAsia="宋体" w:cs="宋体"/>
          <w:color w:val="auto"/>
          <w:szCs w:val="24"/>
        </w:rPr>
      </w:pPr>
      <w:r>
        <w:rPr>
          <w:rFonts w:hint="eastAsia" w:ascii="宋体" w:hAnsi="宋体" w:eastAsia="宋体" w:cs="宋体"/>
          <w:color w:val="auto"/>
          <w:szCs w:val="24"/>
        </w:rPr>
        <w:t>3.供应商若提供其他增值服务，可以在表中自行据实填写。</w:t>
      </w:r>
    </w:p>
    <w:p w14:paraId="0B014E9B">
      <w:pPr>
        <w:rPr>
          <w:rFonts w:ascii="宋体" w:hAnsi="宋体" w:cs="宋体"/>
          <w:color w:val="auto"/>
          <w:sz w:val="24"/>
          <w:szCs w:val="24"/>
        </w:rPr>
      </w:pPr>
      <w:r>
        <w:rPr>
          <w:rFonts w:hint="eastAsia" w:ascii="宋体" w:hAnsi="宋体" w:cs="宋体"/>
          <w:color w:val="auto"/>
          <w:sz w:val="24"/>
          <w:szCs w:val="24"/>
        </w:rPr>
        <w:br w:type="page"/>
      </w:r>
    </w:p>
    <w:p w14:paraId="4C314129">
      <w:pPr>
        <w:snapToGrid w:val="0"/>
        <w:spacing w:line="480" w:lineRule="exact"/>
        <w:contextualSpacing/>
        <w:jc w:val="center"/>
        <w:rPr>
          <w:rFonts w:ascii="宋体" w:hAnsi="宋体" w:cs="宋体"/>
          <w:b/>
          <w:color w:val="auto"/>
          <w:kern w:val="0"/>
          <w:sz w:val="24"/>
          <w:szCs w:val="24"/>
        </w:rPr>
      </w:pPr>
      <w:r>
        <w:rPr>
          <w:rFonts w:hint="eastAsia" w:ascii="宋体" w:hAnsi="宋体" w:cs="宋体"/>
          <w:b/>
          <w:color w:val="auto"/>
          <w:kern w:val="0"/>
          <w:sz w:val="24"/>
          <w:szCs w:val="24"/>
        </w:rPr>
        <w:t>2.技术部分正负偏离表</w:t>
      </w:r>
    </w:p>
    <w:p w14:paraId="189DAC38">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（由供应商据实填写，表格不够自行添加）</w:t>
      </w:r>
    </w:p>
    <w:tbl>
      <w:tblPr>
        <w:tblStyle w:val="23"/>
        <w:tblW w:w="527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0"/>
        <w:gridCol w:w="2286"/>
        <w:gridCol w:w="1922"/>
        <w:gridCol w:w="2495"/>
        <w:gridCol w:w="1520"/>
      </w:tblGrid>
      <w:tr w14:paraId="238D6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94" w:hRule="atLeast"/>
          <w:jc w:val="center"/>
        </w:trPr>
        <w:tc>
          <w:tcPr>
            <w:tcW w:w="433" w:type="pct"/>
            <w:tcBorders>
              <w:top w:val="single" w:color="auto" w:sz="12" w:space="0"/>
              <w:left w:val="single" w:color="auto" w:sz="12" w:space="0"/>
              <w:bottom w:val="single" w:color="auto" w:sz="6" w:space="0"/>
              <w:right w:val="single" w:color="auto" w:sz="6" w:space="0"/>
            </w:tcBorders>
            <w:vAlign w:val="center"/>
          </w:tcPr>
          <w:p w14:paraId="73E4B084">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序号</w:t>
            </w:r>
          </w:p>
        </w:tc>
        <w:tc>
          <w:tcPr>
            <w:tcW w:w="1269" w:type="pct"/>
            <w:tcBorders>
              <w:top w:val="single" w:color="auto" w:sz="12" w:space="0"/>
              <w:left w:val="single" w:color="auto" w:sz="6" w:space="0"/>
              <w:bottom w:val="single" w:color="auto" w:sz="6" w:space="0"/>
              <w:right w:val="single" w:color="auto" w:sz="6" w:space="0"/>
            </w:tcBorders>
            <w:vAlign w:val="center"/>
          </w:tcPr>
          <w:p w14:paraId="27549F6E">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货物或服务名称</w:t>
            </w:r>
          </w:p>
        </w:tc>
        <w:tc>
          <w:tcPr>
            <w:tcW w:w="1067" w:type="pct"/>
            <w:tcBorders>
              <w:top w:val="single" w:color="auto" w:sz="12" w:space="0"/>
              <w:left w:val="single" w:color="auto" w:sz="6" w:space="0"/>
              <w:bottom w:val="single" w:color="auto" w:sz="6" w:space="0"/>
              <w:right w:val="single" w:color="auto" w:sz="6" w:space="0"/>
            </w:tcBorders>
            <w:vAlign w:val="center"/>
          </w:tcPr>
          <w:p w14:paraId="747512F4">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采购文件要求的技术条款</w:t>
            </w:r>
          </w:p>
        </w:tc>
        <w:tc>
          <w:tcPr>
            <w:tcW w:w="1385" w:type="pct"/>
            <w:tcBorders>
              <w:top w:val="single" w:color="auto" w:sz="12" w:space="0"/>
              <w:left w:val="single" w:color="auto" w:sz="6" w:space="0"/>
              <w:bottom w:val="single" w:color="auto" w:sz="6" w:space="0"/>
              <w:right w:val="single" w:color="auto" w:sz="6" w:space="0"/>
            </w:tcBorders>
            <w:vAlign w:val="center"/>
          </w:tcPr>
          <w:p w14:paraId="4A650C3B">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响应文件响应情况</w:t>
            </w:r>
          </w:p>
        </w:tc>
        <w:tc>
          <w:tcPr>
            <w:tcW w:w="843" w:type="pct"/>
            <w:tcBorders>
              <w:top w:val="single" w:color="auto" w:sz="12" w:space="0"/>
              <w:left w:val="single" w:color="auto" w:sz="6" w:space="0"/>
              <w:bottom w:val="single" w:color="auto" w:sz="6" w:space="0"/>
              <w:right w:val="single" w:color="auto" w:sz="12" w:space="0"/>
            </w:tcBorders>
            <w:vAlign w:val="center"/>
          </w:tcPr>
          <w:p w14:paraId="21931B5C">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偏离说明</w:t>
            </w:r>
          </w:p>
        </w:tc>
      </w:tr>
      <w:tr w14:paraId="74A19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4"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04066A49">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1</w:t>
            </w:r>
          </w:p>
        </w:tc>
        <w:tc>
          <w:tcPr>
            <w:tcW w:w="1269" w:type="pct"/>
            <w:tcBorders>
              <w:top w:val="single" w:color="auto" w:sz="6" w:space="0"/>
              <w:left w:val="single" w:color="auto" w:sz="6" w:space="0"/>
              <w:bottom w:val="single" w:color="auto" w:sz="6" w:space="0"/>
              <w:right w:val="single" w:color="auto" w:sz="6" w:space="0"/>
            </w:tcBorders>
            <w:vAlign w:val="center"/>
          </w:tcPr>
          <w:p w14:paraId="05281417">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6D977837">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66EBC938">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7E935144">
            <w:pPr>
              <w:pStyle w:val="9"/>
              <w:spacing w:line="480" w:lineRule="exact"/>
              <w:rPr>
                <w:rFonts w:ascii="宋体" w:hAnsi="宋体" w:eastAsia="宋体" w:cs="宋体"/>
                <w:color w:val="auto"/>
                <w:szCs w:val="24"/>
              </w:rPr>
            </w:pPr>
          </w:p>
        </w:tc>
      </w:tr>
      <w:tr w14:paraId="067CD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48"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76D4C35E">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2</w:t>
            </w:r>
          </w:p>
        </w:tc>
        <w:tc>
          <w:tcPr>
            <w:tcW w:w="1269" w:type="pct"/>
            <w:tcBorders>
              <w:top w:val="single" w:color="auto" w:sz="6" w:space="0"/>
              <w:left w:val="single" w:color="auto" w:sz="6" w:space="0"/>
              <w:bottom w:val="single" w:color="auto" w:sz="6" w:space="0"/>
              <w:right w:val="single" w:color="auto" w:sz="6" w:space="0"/>
            </w:tcBorders>
            <w:vAlign w:val="center"/>
          </w:tcPr>
          <w:p w14:paraId="5B57E974">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56A3EE2A">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69F4B818">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6C474DB4">
            <w:pPr>
              <w:pStyle w:val="9"/>
              <w:spacing w:line="480" w:lineRule="exact"/>
              <w:rPr>
                <w:rFonts w:ascii="宋体" w:hAnsi="宋体" w:eastAsia="宋体" w:cs="宋体"/>
                <w:color w:val="auto"/>
                <w:szCs w:val="24"/>
              </w:rPr>
            </w:pPr>
          </w:p>
        </w:tc>
      </w:tr>
      <w:tr w14:paraId="41766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00"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7F18098E">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3</w:t>
            </w:r>
          </w:p>
        </w:tc>
        <w:tc>
          <w:tcPr>
            <w:tcW w:w="1269" w:type="pct"/>
            <w:tcBorders>
              <w:top w:val="single" w:color="auto" w:sz="6" w:space="0"/>
              <w:left w:val="single" w:color="auto" w:sz="6" w:space="0"/>
              <w:bottom w:val="single" w:color="auto" w:sz="6" w:space="0"/>
              <w:right w:val="single" w:color="auto" w:sz="6" w:space="0"/>
            </w:tcBorders>
            <w:vAlign w:val="center"/>
          </w:tcPr>
          <w:p w14:paraId="583390E8">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4D4B0C17">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531BB934">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699CDA7A">
            <w:pPr>
              <w:pStyle w:val="9"/>
              <w:spacing w:line="480" w:lineRule="exact"/>
              <w:rPr>
                <w:rFonts w:ascii="宋体" w:hAnsi="宋体" w:eastAsia="宋体" w:cs="宋体"/>
                <w:color w:val="auto"/>
                <w:szCs w:val="24"/>
              </w:rPr>
            </w:pPr>
          </w:p>
        </w:tc>
      </w:tr>
      <w:tr w14:paraId="30B42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jc w:val="center"/>
        </w:trPr>
        <w:tc>
          <w:tcPr>
            <w:tcW w:w="433" w:type="pct"/>
            <w:tcBorders>
              <w:top w:val="single" w:color="auto" w:sz="6" w:space="0"/>
              <w:left w:val="single" w:color="auto" w:sz="12" w:space="0"/>
              <w:bottom w:val="single" w:color="auto" w:sz="6" w:space="0"/>
              <w:right w:val="single" w:color="auto" w:sz="6" w:space="0"/>
            </w:tcBorders>
            <w:vAlign w:val="center"/>
          </w:tcPr>
          <w:p w14:paraId="76FFB29A">
            <w:pPr>
              <w:pStyle w:val="9"/>
              <w:spacing w:line="480" w:lineRule="exact"/>
              <w:jc w:val="center"/>
              <w:rPr>
                <w:rFonts w:ascii="宋体" w:hAnsi="宋体" w:eastAsia="宋体" w:cs="宋体"/>
                <w:color w:val="auto"/>
                <w:szCs w:val="24"/>
              </w:rPr>
            </w:pPr>
            <w:r>
              <w:rPr>
                <w:rFonts w:hint="eastAsia" w:ascii="宋体" w:hAnsi="宋体" w:eastAsia="宋体" w:cs="宋体"/>
                <w:color w:val="auto"/>
                <w:szCs w:val="24"/>
              </w:rPr>
              <w:t>4</w:t>
            </w:r>
          </w:p>
        </w:tc>
        <w:tc>
          <w:tcPr>
            <w:tcW w:w="1269" w:type="pct"/>
            <w:tcBorders>
              <w:top w:val="single" w:color="auto" w:sz="6" w:space="0"/>
              <w:left w:val="single" w:color="auto" w:sz="6" w:space="0"/>
              <w:bottom w:val="single" w:color="auto" w:sz="6" w:space="0"/>
              <w:right w:val="single" w:color="auto" w:sz="6" w:space="0"/>
            </w:tcBorders>
            <w:vAlign w:val="center"/>
          </w:tcPr>
          <w:p w14:paraId="4A73B648">
            <w:pPr>
              <w:pStyle w:val="9"/>
              <w:spacing w:line="480" w:lineRule="exact"/>
              <w:rPr>
                <w:rFonts w:ascii="宋体" w:hAnsi="宋体" w:eastAsia="宋体" w:cs="宋体"/>
                <w:color w:val="auto"/>
                <w:szCs w:val="24"/>
              </w:rPr>
            </w:pPr>
          </w:p>
        </w:tc>
        <w:tc>
          <w:tcPr>
            <w:tcW w:w="1067" w:type="pct"/>
            <w:tcBorders>
              <w:top w:val="single" w:color="auto" w:sz="6" w:space="0"/>
              <w:left w:val="single" w:color="auto" w:sz="6" w:space="0"/>
              <w:bottom w:val="single" w:color="auto" w:sz="6" w:space="0"/>
              <w:right w:val="single" w:color="auto" w:sz="6" w:space="0"/>
            </w:tcBorders>
            <w:vAlign w:val="center"/>
          </w:tcPr>
          <w:p w14:paraId="5424B734">
            <w:pPr>
              <w:pStyle w:val="9"/>
              <w:spacing w:line="480" w:lineRule="exact"/>
              <w:rPr>
                <w:rFonts w:ascii="宋体" w:hAnsi="宋体" w:eastAsia="宋体" w:cs="宋体"/>
                <w:color w:val="auto"/>
                <w:szCs w:val="24"/>
              </w:rPr>
            </w:pPr>
          </w:p>
        </w:tc>
        <w:tc>
          <w:tcPr>
            <w:tcW w:w="1385" w:type="pct"/>
            <w:tcBorders>
              <w:top w:val="single" w:color="auto" w:sz="6" w:space="0"/>
              <w:left w:val="single" w:color="auto" w:sz="6" w:space="0"/>
              <w:bottom w:val="single" w:color="auto" w:sz="6" w:space="0"/>
              <w:right w:val="single" w:color="auto" w:sz="6" w:space="0"/>
            </w:tcBorders>
            <w:vAlign w:val="center"/>
          </w:tcPr>
          <w:p w14:paraId="1F9537EF">
            <w:pPr>
              <w:pStyle w:val="9"/>
              <w:spacing w:line="480" w:lineRule="exact"/>
              <w:rPr>
                <w:rFonts w:ascii="宋体" w:hAnsi="宋体" w:eastAsia="宋体" w:cs="宋体"/>
                <w:color w:val="auto"/>
                <w:szCs w:val="24"/>
              </w:rPr>
            </w:pPr>
          </w:p>
        </w:tc>
        <w:tc>
          <w:tcPr>
            <w:tcW w:w="843" w:type="pct"/>
            <w:tcBorders>
              <w:top w:val="single" w:color="auto" w:sz="6" w:space="0"/>
              <w:left w:val="single" w:color="auto" w:sz="6" w:space="0"/>
              <w:bottom w:val="single" w:color="auto" w:sz="6" w:space="0"/>
              <w:right w:val="single" w:color="auto" w:sz="12" w:space="0"/>
            </w:tcBorders>
            <w:vAlign w:val="center"/>
          </w:tcPr>
          <w:p w14:paraId="3A8F90D5">
            <w:pPr>
              <w:pStyle w:val="9"/>
              <w:spacing w:line="480" w:lineRule="exact"/>
              <w:rPr>
                <w:rFonts w:ascii="宋体" w:hAnsi="宋体" w:eastAsia="宋体" w:cs="宋体"/>
                <w:color w:val="auto"/>
                <w:szCs w:val="24"/>
              </w:rPr>
            </w:pPr>
          </w:p>
        </w:tc>
      </w:tr>
    </w:tbl>
    <w:p w14:paraId="094B23C0">
      <w:pPr>
        <w:pStyle w:val="9"/>
        <w:spacing w:line="480" w:lineRule="exact"/>
        <w:rPr>
          <w:rFonts w:ascii="宋体" w:hAnsi="宋体" w:eastAsia="宋体" w:cs="宋体"/>
          <w:color w:val="auto"/>
          <w:szCs w:val="24"/>
        </w:rPr>
      </w:pPr>
      <w:r>
        <w:rPr>
          <w:rFonts w:hint="eastAsia" w:ascii="宋体" w:hAnsi="宋体" w:eastAsia="宋体" w:cs="宋体"/>
          <w:color w:val="auto"/>
          <w:szCs w:val="24"/>
        </w:rPr>
        <w:t>注：</w:t>
      </w:r>
    </w:p>
    <w:p w14:paraId="22A72F8E">
      <w:pPr>
        <w:pStyle w:val="9"/>
        <w:spacing w:line="480" w:lineRule="exact"/>
        <w:ind w:firstLine="480" w:firstLineChars="200"/>
        <w:rPr>
          <w:rFonts w:ascii="宋体" w:hAnsi="宋体" w:eastAsia="宋体" w:cs="宋体"/>
          <w:color w:val="auto"/>
          <w:szCs w:val="24"/>
        </w:rPr>
      </w:pPr>
      <w:r>
        <w:rPr>
          <w:rFonts w:hint="eastAsia" w:ascii="宋体" w:hAnsi="宋体" w:eastAsia="宋体" w:cs="宋体"/>
          <w:color w:val="auto"/>
          <w:szCs w:val="24"/>
        </w:rPr>
        <w:t>1.供应商提交的响应文件中与采购文件第三章“项目需求”中的技术部分的要求，应逐条填列在偏离表中。</w:t>
      </w:r>
      <w:r>
        <w:rPr>
          <w:rFonts w:hint="eastAsia" w:ascii="宋体" w:hAnsi="宋体" w:eastAsia="宋体" w:cs="宋体"/>
          <w:b/>
          <w:bCs/>
          <w:color w:val="auto"/>
          <w:szCs w:val="24"/>
        </w:rPr>
        <w:t>如完全响应，可空表列示。</w:t>
      </w:r>
    </w:p>
    <w:p w14:paraId="02D813E9">
      <w:pPr>
        <w:pStyle w:val="9"/>
        <w:spacing w:line="480" w:lineRule="exact"/>
        <w:ind w:firstLine="480" w:firstLineChars="200"/>
        <w:rPr>
          <w:rFonts w:ascii="宋体" w:hAnsi="宋体" w:eastAsia="宋体" w:cs="宋体"/>
          <w:color w:val="auto"/>
          <w:szCs w:val="24"/>
        </w:rPr>
      </w:pPr>
      <w:r>
        <w:rPr>
          <w:rFonts w:hint="eastAsia" w:ascii="宋体" w:hAnsi="宋体" w:eastAsia="宋体" w:cs="宋体"/>
          <w:color w:val="auto"/>
          <w:szCs w:val="24"/>
        </w:rPr>
        <w:t>2.“偏离说明”一栏选择“正偏离”“负偏离”“无偏离”进行填写。正偏离、负偏离、无偏离的确认，由评审小组认定。</w:t>
      </w:r>
    </w:p>
    <w:p w14:paraId="36808366">
      <w:pPr>
        <w:pStyle w:val="9"/>
        <w:spacing w:line="480" w:lineRule="exact"/>
        <w:ind w:firstLine="480" w:firstLineChars="200"/>
        <w:rPr>
          <w:rFonts w:ascii="宋体" w:hAnsi="宋体" w:eastAsia="宋体" w:cs="宋体"/>
          <w:color w:val="auto"/>
          <w:szCs w:val="24"/>
        </w:rPr>
      </w:pPr>
      <w:r>
        <w:rPr>
          <w:rFonts w:hint="eastAsia" w:ascii="宋体" w:hAnsi="宋体" w:eastAsia="宋体" w:cs="宋体"/>
          <w:color w:val="auto"/>
          <w:szCs w:val="24"/>
        </w:rPr>
        <w:t>3.供应商若提供其他增值服务，可以在表中自行据实填写。</w:t>
      </w:r>
    </w:p>
    <w:p w14:paraId="7B3DAAE8">
      <w:pPr>
        <w:autoSpaceDE w:val="0"/>
        <w:autoSpaceDN w:val="0"/>
        <w:adjustRightInd w:val="0"/>
        <w:snapToGrid w:val="0"/>
        <w:spacing w:line="480" w:lineRule="exact"/>
        <w:ind w:firstLine="480" w:firstLineChars="200"/>
        <w:contextualSpacing/>
        <w:jc w:val="left"/>
        <w:rPr>
          <w:rFonts w:ascii="宋体" w:hAnsi="宋体" w:cs="宋体"/>
          <w:color w:val="auto"/>
          <w:kern w:val="0"/>
          <w:sz w:val="24"/>
          <w:szCs w:val="24"/>
        </w:rPr>
      </w:pPr>
      <w:r>
        <w:rPr>
          <w:rFonts w:hint="eastAsia" w:ascii="宋体" w:hAnsi="宋体" w:cs="宋体"/>
          <w:b/>
          <w:color w:val="auto"/>
          <w:kern w:val="0"/>
          <w:sz w:val="24"/>
          <w:szCs w:val="24"/>
        </w:rPr>
        <w:br w:type="page"/>
      </w:r>
    </w:p>
    <w:bookmarkEnd w:id="44"/>
    <w:p w14:paraId="07D288BC">
      <w:pPr>
        <w:spacing w:line="480" w:lineRule="exact"/>
        <w:jc w:val="left"/>
        <w:rPr>
          <w:rFonts w:ascii="宋体" w:hAnsi="宋体" w:cs="宋体"/>
          <w:b/>
          <w:color w:val="auto"/>
          <w:sz w:val="24"/>
          <w:szCs w:val="24"/>
        </w:rPr>
      </w:pPr>
      <w:r>
        <w:rPr>
          <w:rFonts w:hint="eastAsia" w:ascii="宋体" w:hAnsi="宋体" w:cs="宋体"/>
          <w:b/>
          <w:color w:val="auto"/>
          <w:sz w:val="24"/>
          <w:szCs w:val="24"/>
        </w:rPr>
        <w:t>价格标响应文件相关格式</w:t>
      </w:r>
    </w:p>
    <w:p w14:paraId="32D450EA">
      <w:pPr>
        <w:pStyle w:val="32"/>
        <w:snapToGrid w:val="0"/>
        <w:spacing w:line="480" w:lineRule="exact"/>
        <w:ind w:firstLine="480" w:firstLineChars="200"/>
        <w:jc w:val="center"/>
        <w:rPr>
          <w:rFonts w:ascii="宋体" w:eastAsia="宋体" w:cs="宋体"/>
          <w:b/>
          <w:color w:val="auto"/>
          <w:sz w:val="24"/>
          <w:szCs w:val="24"/>
        </w:rPr>
      </w:pPr>
      <w:r>
        <w:rPr>
          <w:rFonts w:ascii="宋体" w:eastAsia="宋体" w:cs="宋体"/>
          <w:b/>
          <w:color w:val="auto"/>
          <w:sz w:val="24"/>
          <w:szCs w:val="24"/>
        </w:rPr>
        <w:t>1.</w:t>
      </w:r>
      <w:r>
        <w:rPr>
          <w:rFonts w:hint="eastAsia" w:ascii="宋体" w:eastAsia="宋体" w:cs="宋体"/>
          <w:b/>
          <w:color w:val="auto"/>
          <w:sz w:val="24"/>
          <w:szCs w:val="24"/>
        </w:rPr>
        <w:t>报价总表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8058"/>
      </w:tblGrid>
      <w:tr w14:paraId="2EF5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630F8D4">
            <w:pPr>
              <w:kinsoku w:val="0"/>
              <w:topLinePunct/>
              <w:snapToGrid w:val="0"/>
              <w:spacing w:line="460" w:lineRule="exact"/>
              <w:jc w:val="center"/>
              <w:rPr>
                <w:color w:val="auto"/>
                <w:sz w:val="24"/>
                <w:szCs w:val="24"/>
              </w:rPr>
            </w:pPr>
            <w:r>
              <w:rPr>
                <w:rFonts w:hAnsi="宋体"/>
                <w:color w:val="auto"/>
                <w:sz w:val="24"/>
                <w:szCs w:val="24"/>
              </w:rPr>
              <w:t>项目名称</w:t>
            </w:r>
          </w:p>
        </w:tc>
        <w:tc>
          <w:tcPr>
            <w:tcW w:w="8058" w:type="dxa"/>
            <w:tcBorders>
              <w:top w:val="single" w:color="auto" w:sz="4" w:space="0"/>
              <w:left w:val="single" w:color="auto" w:sz="4" w:space="0"/>
              <w:bottom w:val="single" w:color="auto" w:sz="4" w:space="0"/>
              <w:right w:val="single" w:color="auto" w:sz="4" w:space="0"/>
            </w:tcBorders>
            <w:vAlign w:val="center"/>
          </w:tcPr>
          <w:p w14:paraId="6FC68BFE">
            <w:pPr>
              <w:kinsoku w:val="0"/>
              <w:topLinePunct/>
              <w:snapToGrid w:val="0"/>
              <w:spacing w:line="460" w:lineRule="exact"/>
              <w:rPr>
                <w:color w:val="auto"/>
                <w:sz w:val="24"/>
                <w:szCs w:val="24"/>
              </w:rPr>
            </w:pPr>
            <w:r>
              <w:rPr>
                <w:rFonts w:hint="eastAsia" w:hAnsi="宋体"/>
                <w:color w:val="auto"/>
                <w:sz w:val="24"/>
                <w:szCs w:val="24"/>
                <w:lang w:eastAsia="zh-CN"/>
              </w:rPr>
              <w:t>江苏省南通中学体检服务采购项目（二次）</w:t>
            </w:r>
            <w:r>
              <w:rPr>
                <w:rFonts w:hint="eastAsia" w:hAnsi="宋体"/>
                <w:color w:val="auto"/>
                <w:sz w:val="24"/>
                <w:szCs w:val="24"/>
              </w:rPr>
              <w:t xml:space="preserve"> </w:t>
            </w:r>
          </w:p>
        </w:tc>
      </w:tr>
      <w:tr w14:paraId="31F0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1"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CEA3484">
            <w:pPr>
              <w:kinsoku w:val="0"/>
              <w:topLinePunct/>
              <w:snapToGrid w:val="0"/>
              <w:spacing w:line="460" w:lineRule="exact"/>
              <w:jc w:val="center"/>
              <w:rPr>
                <w:color w:val="auto"/>
                <w:sz w:val="24"/>
                <w:szCs w:val="24"/>
              </w:rPr>
            </w:pPr>
            <w:r>
              <w:rPr>
                <w:rFonts w:hint="eastAsia" w:hAnsi="宋体"/>
                <w:color w:val="auto"/>
                <w:sz w:val="24"/>
                <w:szCs w:val="24"/>
              </w:rPr>
              <w:t>响应</w:t>
            </w:r>
            <w:r>
              <w:rPr>
                <w:rFonts w:hAnsi="宋体"/>
                <w:color w:val="auto"/>
                <w:sz w:val="24"/>
                <w:szCs w:val="24"/>
              </w:rPr>
              <w:t>报价</w:t>
            </w:r>
          </w:p>
        </w:tc>
        <w:tc>
          <w:tcPr>
            <w:tcW w:w="8058" w:type="dxa"/>
            <w:tcBorders>
              <w:top w:val="single" w:color="auto" w:sz="4" w:space="0"/>
              <w:left w:val="single" w:color="auto" w:sz="4" w:space="0"/>
              <w:bottom w:val="single" w:color="auto" w:sz="4" w:space="0"/>
              <w:right w:val="single" w:color="auto" w:sz="4" w:space="0"/>
            </w:tcBorders>
            <w:vAlign w:val="center"/>
          </w:tcPr>
          <w:p w14:paraId="5FED71A3">
            <w:pPr>
              <w:snapToGrid w:val="0"/>
              <w:spacing w:line="460" w:lineRule="exact"/>
              <w:rPr>
                <w:rFonts w:cs="宋体"/>
                <w:color w:val="auto"/>
                <w:sz w:val="24"/>
                <w:szCs w:val="24"/>
              </w:rPr>
            </w:pPr>
            <w:r>
              <w:rPr>
                <w:rFonts w:hint="eastAsia" w:cs="宋体"/>
                <w:color w:val="auto"/>
                <w:sz w:val="24"/>
                <w:szCs w:val="24"/>
              </w:rPr>
              <w:t>常规体检（含第二学期视力）</w:t>
            </w:r>
            <w:r>
              <w:rPr>
                <w:rFonts w:hint="eastAsia" w:cs="宋体"/>
                <w:color w:val="auto"/>
                <w:sz w:val="24"/>
                <w:szCs w:val="24"/>
                <w:u w:val="single"/>
              </w:rPr>
              <w:t xml:space="preserve">       </w:t>
            </w:r>
            <w:r>
              <w:rPr>
                <w:rFonts w:hint="eastAsia" w:cs="宋体"/>
                <w:color w:val="auto"/>
                <w:sz w:val="24"/>
                <w:szCs w:val="24"/>
              </w:rPr>
              <w:t>元/人；</w:t>
            </w:r>
          </w:p>
          <w:p w14:paraId="332D5135">
            <w:pPr>
              <w:snapToGrid w:val="0"/>
              <w:spacing w:line="460" w:lineRule="exact"/>
              <w:rPr>
                <w:rFonts w:cs="宋体"/>
                <w:color w:val="auto"/>
                <w:sz w:val="24"/>
                <w:szCs w:val="24"/>
              </w:rPr>
            </w:pPr>
            <w:r>
              <w:rPr>
                <w:rFonts w:hint="eastAsia" w:cs="宋体"/>
                <w:color w:val="auto"/>
                <w:sz w:val="24"/>
                <w:szCs w:val="24"/>
              </w:rPr>
              <w:t>EC皮试</w:t>
            </w:r>
            <w:r>
              <w:rPr>
                <w:rFonts w:hint="eastAsia" w:cs="宋体"/>
                <w:color w:val="auto"/>
                <w:sz w:val="24"/>
                <w:szCs w:val="24"/>
                <w:u w:val="single"/>
              </w:rPr>
              <w:t xml:space="preserve">       </w:t>
            </w:r>
            <w:r>
              <w:rPr>
                <w:rFonts w:hint="eastAsia" w:cs="宋体"/>
                <w:color w:val="auto"/>
                <w:sz w:val="24"/>
                <w:szCs w:val="24"/>
              </w:rPr>
              <w:t>元/人；</w:t>
            </w:r>
          </w:p>
          <w:p w14:paraId="6C9133AB">
            <w:pPr>
              <w:snapToGrid w:val="0"/>
              <w:spacing w:line="460" w:lineRule="exact"/>
              <w:rPr>
                <w:rFonts w:cs="宋体"/>
                <w:color w:val="auto"/>
                <w:sz w:val="24"/>
                <w:szCs w:val="24"/>
              </w:rPr>
            </w:pPr>
            <w:r>
              <w:rPr>
                <w:rFonts w:hint="eastAsia" w:cs="宋体"/>
                <w:color w:val="auto"/>
                <w:sz w:val="24"/>
                <w:szCs w:val="24"/>
              </w:rPr>
              <w:t>胸片</w:t>
            </w:r>
            <w:r>
              <w:rPr>
                <w:rFonts w:hint="eastAsia" w:cs="宋体"/>
                <w:color w:val="auto"/>
                <w:sz w:val="24"/>
                <w:szCs w:val="24"/>
                <w:u w:val="single"/>
              </w:rPr>
              <w:t xml:space="preserve">       </w:t>
            </w:r>
            <w:r>
              <w:rPr>
                <w:rFonts w:hint="eastAsia" w:cs="宋体"/>
                <w:color w:val="auto"/>
                <w:sz w:val="24"/>
                <w:szCs w:val="24"/>
              </w:rPr>
              <w:t>元/人；</w:t>
            </w:r>
          </w:p>
          <w:p w14:paraId="19782A06">
            <w:pPr>
              <w:snapToGrid w:val="0"/>
              <w:spacing w:line="460" w:lineRule="exact"/>
              <w:rPr>
                <w:color w:val="auto"/>
              </w:rPr>
            </w:pPr>
            <w:r>
              <w:rPr>
                <w:rFonts w:hint="eastAsia" w:cs="宋体"/>
                <w:color w:val="auto"/>
                <w:sz w:val="24"/>
                <w:szCs w:val="24"/>
              </w:rPr>
              <w:t>CT复查（部分胸片异常学生）</w:t>
            </w:r>
            <w:r>
              <w:rPr>
                <w:rFonts w:hint="eastAsia" w:cs="宋体"/>
                <w:color w:val="auto"/>
                <w:sz w:val="24"/>
                <w:szCs w:val="24"/>
                <w:u w:val="single"/>
              </w:rPr>
              <w:t xml:space="preserve">       </w:t>
            </w:r>
            <w:r>
              <w:rPr>
                <w:rFonts w:hint="eastAsia" w:cs="宋体"/>
                <w:color w:val="auto"/>
                <w:sz w:val="24"/>
                <w:szCs w:val="24"/>
              </w:rPr>
              <w:t>元/人</w:t>
            </w:r>
            <w:r>
              <w:rPr>
                <w:rFonts w:hint="eastAsia" w:ascii="宋体" w:hAnsi="宋体" w:cs="宋体"/>
                <w:color w:val="auto"/>
                <w:sz w:val="24"/>
                <w:szCs w:val="24"/>
              </w:rPr>
              <w:t>。</w:t>
            </w:r>
          </w:p>
        </w:tc>
      </w:tr>
    </w:tbl>
    <w:p w14:paraId="020A77FB">
      <w:pPr>
        <w:spacing w:line="360" w:lineRule="auto"/>
        <w:ind w:firstLine="482"/>
        <w:rPr>
          <w:rFonts w:ascii="宋体" w:hAnsi="宋体"/>
          <w:color w:val="auto"/>
          <w:sz w:val="24"/>
        </w:rPr>
      </w:pPr>
    </w:p>
    <w:p w14:paraId="66A98969">
      <w:pPr>
        <w:spacing w:line="360" w:lineRule="auto"/>
        <w:ind w:firstLine="482"/>
        <w:rPr>
          <w:rFonts w:ascii="宋体" w:hAnsi="宋体"/>
          <w:color w:val="auto"/>
          <w:sz w:val="24"/>
        </w:rPr>
      </w:pPr>
      <w:r>
        <w:rPr>
          <w:rFonts w:hint="eastAsia" w:ascii="宋体" w:hAnsi="宋体"/>
          <w:color w:val="auto"/>
          <w:sz w:val="24"/>
        </w:rPr>
        <w:t>响应</w:t>
      </w:r>
      <w:r>
        <w:rPr>
          <w:rFonts w:ascii="宋体" w:hAnsi="宋体"/>
          <w:color w:val="auto"/>
          <w:sz w:val="24"/>
        </w:rPr>
        <w:t xml:space="preserve">供应商：（盖章）             </w:t>
      </w:r>
    </w:p>
    <w:p w14:paraId="110967F4">
      <w:pPr>
        <w:spacing w:line="360" w:lineRule="auto"/>
        <w:ind w:firstLine="482"/>
        <w:rPr>
          <w:rFonts w:ascii="宋体" w:hAnsi="宋体"/>
          <w:color w:val="auto"/>
          <w:sz w:val="24"/>
        </w:rPr>
      </w:pPr>
      <w:r>
        <w:rPr>
          <w:rFonts w:ascii="宋体" w:hAnsi="宋体"/>
          <w:color w:val="auto"/>
          <w:sz w:val="24"/>
        </w:rPr>
        <w:t>法定代表人或被授权人（签字或盖章）：</w:t>
      </w:r>
    </w:p>
    <w:p w14:paraId="30E5A7D9">
      <w:pPr>
        <w:spacing w:line="360" w:lineRule="auto"/>
        <w:ind w:firstLine="482"/>
        <w:rPr>
          <w:rFonts w:ascii="宋体" w:hAnsi="宋体"/>
          <w:color w:val="auto"/>
          <w:sz w:val="24"/>
        </w:rPr>
      </w:pPr>
      <w:r>
        <w:rPr>
          <w:rFonts w:ascii="宋体" w:hAnsi="宋体"/>
          <w:color w:val="auto"/>
          <w:sz w:val="24"/>
        </w:rPr>
        <w:t>日期：</w:t>
      </w:r>
    </w:p>
    <w:p w14:paraId="7565101D">
      <w:pPr>
        <w:spacing w:line="360" w:lineRule="auto"/>
        <w:ind w:firstLine="480"/>
        <w:rPr>
          <w:rFonts w:ascii="宋体" w:hAnsi="宋体"/>
          <w:b/>
          <w:bCs/>
          <w:color w:val="auto"/>
          <w:sz w:val="24"/>
        </w:rPr>
      </w:pPr>
    </w:p>
    <w:p w14:paraId="41281209">
      <w:pPr>
        <w:spacing w:line="360" w:lineRule="auto"/>
        <w:ind w:firstLine="496"/>
        <w:rPr>
          <w:rFonts w:ascii="宋体" w:hAnsi="宋体"/>
          <w:bCs/>
          <w:color w:val="auto"/>
          <w:sz w:val="24"/>
        </w:rPr>
      </w:pPr>
      <w:r>
        <w:rPr>
          <w:rFonts w:ascii="宋体" w:hAnsi="宋体"/>
          <w:b/>
          <w:bCs/>
          <w:color w:val="auto"/>
          <w:sz w:val="24"/>
        </w:rPr>
        <w:t>注：</w:t>
      </w:r>
    </w:p>
    <w:p w14:paraId="3948B385">
      <w:pPr>
        <w:spacing w:line="360" w:lineRule="auto"/>
        <w:ind w:firstLine="482"/>
        <w:rPr>
          <w:rFonts w:ascii="宋体" w:hAnsi="宋体"/>
          <w:color w:val="auto"/>
          <w:sz w:val="24"/>
        </w:rPr>
      </w:pPr>
      <w:r>
        <w:rPr>
          <w:rFonts w:ascii="宋体" w:hAnsi="宋体"/>
          <w:color w:val="auto"/>
          <w:sz w:val="24"/>
        </w:rPr>
        <w:t>（1）本表为格式表，不得自行改动，必须提供。</w:t>
      </w:r>
    </w:p>
    <w:p w14:paraId="351BBD66">
      <w:pPr>
        <w:spacing w:line="360" w:lineRule="auto"/>
        <w:ind w:firstLine="482"/>
        <w:rPr>
          <w:rFonts w:ascii="宋体" w:hAnsi="宋体" w:cs="宋体"/>
          <w:color w:val="auto"/>
          <w:sz w:val="24"/>
          <w:szCs w:val="24"/>
        </w:rPr>
      </w:pPr>
      <w:r>
        <w:rPr>
          <w:rFonts w:hint="eastAsia" w:ascii="宋体" w:hAnsi="宋体"/>
          <w:color w:val="auto"/>
          <w:sz w:val="24"/>
        </w:rPr>
        <w:t>（2）</w:t>
      </w:r>
      <w:r>
        <w:rPr>
          <w:rFonts w:ascii="宋体" w:hAnsi="宋体"/>
          <w:color w:val="auto"/>
          <w:sz w:val="24"/>
        </w:rPr>
        <w:t>本表报价（以人民币计价）</w:t>
      </w:r>
      <w:r>
        <w:rPr>
          <w:rFonts w:hint="eastAsia" w:ascii="宋体" w:hAnsi="宋体"/>
          <w:bCs/>
          <w:color w:val="auto"/>
          <w:sz w:val="24"/>
          <w:szCs w:val="24"/>
        </w:rPr>
        <w:t>包含但不限于</w:t>
      </w:r>
      <w:r>
        <w:rPr>
          <w:rFonts w:hint="eastAsia" w:ascii="宋体" w:hAnsi="宋体" w:cs="宋体"/>
          <w:color w:val="auto"/>
          <w:sz w:val="24"/>
          <w:szCs w:val="24"/>
        </w:rPr>
        <w:t>完成该项工作所需的人工工资、劳动保险、公积金、设备、各种税费、维护费、利润、税金、政策性文件规定及合同包含的所有风险、责任等各项应有费用。</w:t>
      </w:r>
    </w:p>
    <w:p w14:paraId="043DC1DB">
      <w:pPr>
        <w:spacing w:line="360" w:lineRule="auto"/>
        <w:rPr>
          <w:color w:val="auto"/>
        </w:rPr>
      </w:pPr>
    </w:p>
    <w:sectPr>
      <w:footerReference r:id="rId6" w:type="first"/>
      <w:headerReference r:id="rId4" w:type="default"/>
      <w:footerReference r:id="rId5" w:type="default"/>
      <w:pgSz w:w="11905" w:h="16838"/>
      <w:pgMar w:top="1440" w:right="1797" w:bottom="1440" w:left="179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A000">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B2DEC">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F73206">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A0iRrsMgIAAGMEAAAOAAAAAAAAAAEAIAAAACEBAABkcnMvZTJvRG9jLnhtbFBL&#10;BQYAAAAABgAGAFkBAADFBQAAAAA=&#10;">
              <v:fill on="f" focussize="0,0"/>
              <v:stroke on="f" weight="0.5pt"/>
              <v:imagedata o:title=""/>
              <o:lock v:ext="edit" aspectratio="f"/>
              <v:textbox inset="0mm,0mm,0mm,0mm" style="mso-fit-shape-to-text:t;">
                <w:txbxContent>
                  <w:p w14:paraId="17F73206">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E7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2D4CE">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96t87SAAAAAwEAAA8AAAAAAAAAAQAgAAAAIgAAAGRycy9kb3ducmV2LnhtbFBLAQIU&#10;ABQAAAAIAIdO4kBr5OO8MgIAAGMEAAAOAAAAAAAAAAEAIAAAACEBAABkcnMvZTJvRG9jLnhtbFBL&#10;BQYAAAAABgAGAFkBAADFBQAAAAA=&#10;">
              <v:fill on="f" focussize="0,0"/>
              <v:stroke on="f" weight="0.5pt"/>
              <v:imagedata o:title=""/>
              <o:lock v:ext="edit" aspectratio="f"/>
              <v:textbox inset="0mm,0mm,0mm,0mm" style="mso-fit-shape-to-text:t;">
                <w:txbxContent>
                  <w:p w14:paraId="6BC2D4CE">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D8F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982E"/>
    <w:multiLevelType w:val="singleLevel"/>
    <w:tmpl w:val="05ED982E"/>
    <w:lvl w:ilvl="0" w:tentative="0">
      <w:start w:val="2"/>
      <w:numFmt w:val="chineseCounting"/>
      <w:suff w:val="nothing"/>
      <w:lvlText w:val="（%1）"/>
      <w:lvlJc w:val="left"/>
      <w:rPr>
        <w:rFonts w:hint="eastAsia"/>
      </w:rPr>
    </w:lvl>
  </w:abstractNum>
  <w:abstractNum w:abstractNumId="1">
    <w:nsid w:val="278140A4"/>
    <w:multiLevelType w:val="multilevel"/>
    <w:tmpl w:val="278140A4"/>
    <w:lvl w:ilvl="0" w:tentative="0">
      <w:start w:val="1"/>
      <w:numFmt w:val="chineseCountingThousand"/>
      <w:pStyle w:val="2"/>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2EE40667"/>
    <w:multiLevelType w:val="singleLevel"/>
    <w:tmpl w:val="2EE40667"/>
    <w:lvl w:ilvl="0" w:tentative="0">
      <w:start w:val="9"/>
      <w:numFmt w:val="chineseCounting"/>
      <w:suff w:val="nothing"/>
      <w:lvlText w:val="%1、"/>
      <w:lvlJc w:val="left"/>
      <w:rPr>
        <w:rFonts w:hint="eastAsia"/>
      </w:rPr>
    </w:lvl>
  </w:abstractNum>
  <w:abstractNum w:abstractNumId="3">
    <w:nsid w:val="68664077"/>
    <w:multiLevelType w:val="singleLevel"/>
    <w:tmpl w:val="68664077"/>
    <w:lvl w:ilvl="0" w:tentative="0">
      <w:start w:val="1"/>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jRkNGZkZjQyZjA0MjFjMmQwZjBkNjgxYTFiZmEifQ=="/>
  </w:docVars>
  <w:rsids>
    <w:rsidRoot w:val="ADEF3320"/>
    <w:rsid w:val="00033A70"/>
    <w:rsid w:val="000432F6"/>
    <w:rsid w:val="00047B12"/>
    <w:rsid w:val="00073D9F"/>
    <w:rsid w:val="0008198D"/>
    <w:rsid w:val="000B41E9"/>
    <w:rsid w:val="000B45A1"/>
    <w:rsid w:val="000B7159"/>
    <w:rsid w:val="001A30CF"/>
    <w:rsid w:val="001B5E38"/>
    <w:rsid w:val="001C6808"/>
    <w:rsid w:val="001D6B76"/>
    <w:rsid w:val="002135E6"/>
    <w:rsid w:val="00223AC0"/>
    <w:rsid w:val="00223FC1"/>
    <w:rsid w:val="00257951"/>
    <w:rsid w:val="0028047D"/>
    <w:rsid w:val="002838E6"/>
    <w:rsid w:val="00292A7D"/>
    <w:rsid w:val="002978CE"/>
    <w:rsid w:val="002B3C69"/>
    <w:rsid w:val="002F446B"/>
    <w:rsid w:val="00316EC7"/>
    <w:rsid w:val="00333E81"/>
    <w:rsid w:val="0034284C"/>
    <w:rsid w:val="00344E53"/>
    <w:rsid w:val="0037053B"/>
    <w:rsid w:val="00375622"/>
    <w:rsid w:val="00386176"/>
    <w:rsid w:val="0039478D"/>
    <w:rsid w:val="004022C2"/>
    <w:rsid w:val="00427BA5"/>
    <w:rsid w:val="00461AE8"/>
    <w:rsid w:val="00472D8B"/>
    <w:rsid w:val="004A0749"/>
    <w:rsid w:val="00535167"/>
    <w:rsid w:val="005540AD"/>
    <w:rsid w:val="0057759B"/>
    <w:rsid w:val="005A35FE"/>
    <w:rsid w:val="005A453B"/>
    <w:rsid w:val="005B494D"/>
    <w:rsid w:val="005D4A3F"/>
    <w:rsid w:val="00650DEC"/>
    <w:rsid w:val="00665DF7"/>
    <w:rsid w:val="006A12BB"/>
    <w:rsid w:val="006A236A"/>
    <w:rsid w:val="006C48CD"/>
    <w:rsid w:val="00700905"/>
    <w:rsid w:val="00704A45"/>
    <w:rsid w:val="00712F26"/>
    <w:rsid w:val="00717A3B"/>
    <w:rsid w:val="0073131E"/>
    <w:rsid w:val="007801EF"/>
    <w:rsid w:val="007A0B66"/>
    <w:rsid w:val="007C2350"/>
    <w:rsid w:val="007D6DBC"/>
    <w:rsid w:val="007E15E3"/>
    <w:rsid w:val="00801F2C"/>
    <w:rsid w:val="00830C81"/>
    <w:rsid w:val="00891833"/>
    <w:rsid w:val="008A7839"/>
    <w:rsid w:val="008B0E0E"/>
    <w:rsid w:val="008B18E8"/>
    <w:rsid w:val="008C4A07"/>
    <w:rsid w:val="008C7432"/>
    <w:rsid w:val="008E5D4B"/>
    <w:rsid w:val="008F2CD8"/>
    <w:rsid w:val="00903506"/>
    <w:rsid w:val="00952352"/>
    <w:rsid w:val="009702B5"/>
    <w:rsid w:val="00972AEE"/>
    <w:rsid w:val="00992FF1"/>
    <w:rsid w:val="009C4E67"/>
    <w:rsid w:val="00A3685E"/>
    <w:rsid w:val="00A44928"/>
    <w:rsid w:val="00A50C93"/>
    <w:rsid w:val="00AD32E6"/>
    <w:rsid w:val="00AE2580"/>
    <w:rsid w:val="00B264CD"/>
    <w:rsid w:val="00B416D3"/>
    <w:rsid w:val="00B50FBE"/>
    <w:rsid w:val="00B57F5D"/>
    <w:rsid w:val="00BC5D8B"/>
    <w:rsid w:val="00BE512F"/>
    <w:rsid w:val="00BE67E6"/>
    <w:rsid w:val="00CB0971"/>
    <w:rsid w:val="00CE24E5"/>
    <w:rsid w:val="00CF19BA"/>
    <w:rsid w:val="00D00C9F"/>
    <w:rsid w:val="00D920FF"/>
    <w:rsid w:val="00DF1BB4"/>
    <w:rsid w:val="00E36634"/>
    <w:rsid w:val="00E61EDE"/>
    <w:rsid w:val="00E736B8"/>
    <w:rsid w:val="00EC0C13"/>
    <w:rsid w:val="00F21DFB"/>
    <w:rsid w:val="00F6407C"/>
    <w:rsid w:val="00FE0208"/>
    <w:rsid w:val="00FE15BF"/>
    <w:rsid w:val="03174F3D"/>
    <w:rsid w:val="04032235"/>
    <w:rsid w:val="068F74D5"/>
    <w:rsid w:val="06936FD0"/>
    <w:rsid w:val="07F57D96"/>
    <w:rsid w:val="09E73DFE"/>
    <w:rsid w:val="0CE560AB"/>
    <w:rsid w:val="0DCC7613"/>
    <w:rsid w:val="0DFF9CEB"/>
    <w:rsid w:val="0E73655B"/>
    <w:rsid w:val="17155B43"/>
    <w:rsid w:val="17C17400"/>
    <w:rsid w:val="19981D6E"/>
    <w:rsid w:val="1A004525"/>
    <w:rsid w:val="1A6A6835"/>
    <w:rsid w:val="1B0B4F2F"/>
    <w:rsid w:val="1D271DC8"/>
    <w:rsid w:val="1D5530B1"/>
    <w:rsid w:val="1E990AA4"/>
    <w:rsid w:val="1FCAB64F"/>
    <w:rsid w:val="23A81EB5"/>
    <w:rsid w:val="23C57D5C"/>
    <w:rsid w:val="2668100C"/>
    <w:rsid w:val="268F2373"/>
    <w:rsid w:val="29A46C7B"/>
    <w:rsid w:val="2A7523C5"/>
    <w:rsid w:val="2BEF6F0D"/>
    <w:rsid w:val="2DE03BB8"/>
    <w:rsid w:val="2E191452"/>
    <w:rsid w:val="2E1B3283"/>
    <w:rsid w:val="306673E9"/>
    <w:rsid w:val="30CB7A59"/>
    <w:rsid w:val="31CC460C"/>
    <w:rsid w:val="31FD7870"/>
    <w:rsid w:val="32371A8B"/>
    <w:rsid w:val="32EA54FC"/>
    <w:rsid w:val="32F8C307"/>
    <w:rsid w:val="33FD2358"/>
    <w:rsid w:val="3575771D"/>
    <w:rsid w:val="36B32ACF"/>
    <w:rsid w:val="37DFE570"/>
    <w:rsid w:val="37FF70F9"/>
    <w:rsid w:val="391E49EA"/>
    <w:rsid w:val="39531E2A"/>
    <w:rsid w:val="39A276E1"/>
    <w:rsid w:val="3A9B1346"/>
    <w:rsid w:val="3BAF791C"/>
    <w:rsid w:val="3C2F2BED"/>
    <w:rsid w:val="3D185D83"/>
    <w:rsid w:val="3EA70056"/>
    <w:rsid w:val="3FFFCCCB"/>
    <w:rsid w:val="40085897"/>
    <w:rsid w:val="42976F25"/>
    <w:rsid w:val="43EB7F48"/>
    <w:rsid w:val="46CA462D"/>
    <w:rsid w:val="47372A84"/>
    <w:rsid w:val="474653BD"/>
    <w:rsid w:val="47813469"/>
    <w:rsid w:val="486D6DCE"/>
    <w:rsid w:val="4A641AAE"/>
    <w:rsid w:val="4B26717E"/>
    <w:rsid w:val="4BD9365E"/>
    <w:rsid w:val="53F7C880"/>
    <w:rsid w:val="54F55170"/>
    <w:rsid w:val="553219A3"/>
    <w:rsid w:val="55BB6F76"/>
    <w:rsid w:val="55CFE320"/>
    <w:rsid w:val="56F64328"/>
    <w:rsid w:val="5A326E76"/>
    <w:rsid w:val="5BA7B32D"/>
    <w:rsid w:val="5C950492"/>
    <w:rsid w:val="5CBF36BF"/>
    <w:rsid w:val="5D35760E"/>
    <w:rsid w:val="5D727373"/>
    <w:rsid w:val="5E2F405E"/>
    <w:rsid w:val="5E5774EB"/>
    <w:rsid w:val="5EEF5B00"/>
    <w:rsid w:val="5F0F421B"/>
    <w:rsid w:val="5F1E79F9"/>
    <w:rsid w:val="5F7A755A"/>
    <w:rsid w:val="5F7B034F"/>
    <w:rsid w:val="5F7DDC44"/>
    <w:rsid w:val="63802886"/>
    <w:rsid w:val="64FD94D9"/>
    <w:rsid w:val="66691D63"/>
    <w:rsid w:val="677E0294"/>
    <w:rsid w:val="68273FF7"/>
    <w:rsid w:val="6848469A"/>
    <w:rsid w:val="6BD5BBE7"/>
    <w:rsid w:val="6C000472"/>
    <w:rsid w:val="6E0A6E8C"/>
    <w:rsid w:val="6ED0363B"/>
    <w:rsid w:val="6F017762"/>
    <w:rsid w:val="6F07001F"/>
    <w:rsid w:val="6F6D4CA2"/>
    <w:rsid w:val="72C47013"/>
    <w:rsid w:val="75963CF6"/>
    <w:rsid w:val="76E37D44"/>
    <w:rsid w:val="7797CEDD"/>
    <w:rsid w:val="77BF5BDE"/>
    <w:rsid w:val="77D7F48C"/>
    <w:rsid w:val="7B6FCDAA"/>
    <w:rsid w:val="7B76CCDB"/>
    <w:rsid w:val="7BBF77BA"/>
    <w:rsid w:val="7BDFF640"/>
    <w:rsid w:val="7BE7D603"/>
    <w:rsid w:val="7D5F2213"/>
    <w:rsid w:val="7DBBA714"/>
    <w:rsid w:val="7E2D0162"/>
    <w:rsid w:val="7EDF052A"/>
    <w:rsid w:val="7EFF03EB"/>
    <w:rsid w:val="7EFF77ED"/>
    <w:rsid w:val="7F776141"/>
    <w:rsid w:val="7F7D128A"/>
    <w:rsid w:val="7F7E85F8"/>
    <w:rsid w:val="7F7FB99E"/>
    <w:rsid w:val="7FBEB605"/>
    <w:rsid w:val="7FDB5999"/>
    <w:rsid w:val="7FDE4A2F"/>
    <w:rsid w:val="7FF7975D"/>
    <w:rsid w:val="7FFF2972"/>
    <w:rsid w:val="9EF73911"/>
    <w:rsid w:val="9F395856"/>
    <w:rsid w:val="9F7F345C"/>
    <w:rsid w:val="A5BD91A0"/>
    <w:rsid w:val="ADEF3320"/>
    <w:rsid w:val="B7DF865A"/>
    <w:rsid w:val="B9DA4B29"/>
    <w:rsid w:val="BBBB26E1"/>
    <w:rsid w:val="BDFF04AF"/>
    <w:rsid w:val="BFBFE1C2"/>
    <w:rsid w:val="CFFE260E"/>
    <w:rsid w:val="D9BFA78E"/>
    <w:rsid w:val="DF9DBA85"/>
    <w:rsid w:val="DFAF4956"/>
    <w:rsid w:val="DFF7C28D"/>
    <w:rsid w:val="DFF93876"/>
    <w:rsid w:val="E79F79CE"/>
    <w:rsid w:val="E9EF6A5B"/>
    <w:rsid w:val="EEBFE61A"/>
    <w:rsid w:val="EF3E40EA"/>
    <w:rsid w:val="EFEF0A0D"/>
    <w:rsid w:val="EFEFAAED"/>
    <w:rsid w:val="EFFD19AA"/>
    <w:rsid w:val="F3FF8502"/>
    <w:rsid w:val="F5D7EDA4"/>
    <w:rsid w:val="F73F7215"/>
    <w:rsid w:val="F7FF368B"/>
    <w:rsid w:val="FBB70EF4"/>
    <w:rsid w:val="FBDF7C49"/>
    <w:rsid w:val="FBFF283A"/>
    <w:rsid w:val="FEFF0202"/>
    <w:rsid w:val="FF4F1C4C"/>
    <w:rsid w:val="FFF9C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1"/>
    <w:qFormat/>
    <w:uiPriority w:val="0"/>
    <w:pPr>
      <w:keepNext/>
      <w:jc w:val="center"/>
      <w:outlineLvl w:val="3"/>
    </w:pPr>
    <w:rPr>
      <w:b/>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ind w:firstLine="420"/>
    </w:pPr>
    <w:rPr>
      <w:kern w:val="0"/>
      <w:sz w:val="20"/>
      <w:szCs w:val="20"/>
    </w:rPr>
  </w:style>
  <w:style w:type="paragraph" w:styleId="8">
    <w:name w:val="annotation text"/>
    <w:basedOn w:val="1"/>
    <w:link w:val="41"/>
    <w:qFormat/>
    <w:uiPriority w:val="0"/>
    <w:pPr>
      <w:jc w:val="left"/>
    </w:pPr>
  </w:style>
  <w:style w:type="paragraph" w:styleId="9">
    <w:name w:val="Body Text"/>
    <w:basedOn w:val="1"/>
    <w:next w:val="1"/>
    <w:qFormat/>
    <w:uiPriority w:val="0"/>
    <w:rPr>
      <w:rFonts w:ascii="仿宋_GB2312" w:eastAsia="仿宋_GB2312"/>
      <w:kern w:val="0"/>
      <w:sz w:val="24"/>
      <w:szCs w:val="20"/>
    </w:rPr>
  </w:style>
  <w:style w:type="paragraph" w:styleId="10">
    <w:name w:val="Body Text Indent"/>
    <w:basedOn w:val="1"/>
    <w:next w:val="11"/>
    <w:unhideWhenUsed/>
    <w:qFormat/>
    <w:uiPriority w:val="99"/>
    <w:pPr>
      <w:spacing w:after="12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Plain Text"/>
    <w:basedOn w:val="1"/>
    <w:qFormat/>
    <w:uiPriority w:val="0"/>
    <w:rPr>
      <w:rFonts w:ascii="宋体" w:hAnsi="Courier New"/>
      <w:szCs w:val="20"/>
    </w:rPr>
  </w:style>
  <w:style w:type="paragraph" w:styleId="13">
    <w:name w:val="Balloon Text"/>
    <w:basedOn w:val="1"/>
    <w:link w:val="4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pPr>
    <w:rPr>
      <w:b/>
    </w:rPr>
  </w:style>
  <w:style w:type="paragraph" w:styleId="16">
    <w:name w:val="toc 1"/>
    <w:basedOn w:val="1"/>
    <w:next w:val="1"/>
    <w:qFormat/>
    <w:uiPriority w:val="0"/>
    <w:pPr>
      <w:adjustRightInd w:val="0"/>
      <w:jc w:val="left"/>
      <w:textAlignment w:val="baseline"/>
    </w:pPr>
    <w:rPr>
      <w:sz w:val="24"/>
    </w:rPr>
  </w:style>
  <w:style w:type="paragraph" w:styleId="17">
    <w:name w:val="Body Text Indent 3"/>
    <w:basedOn w:val="1"/>
    <w:qFormat/>
    <w:uiPriority w:val="0"/>
    <w:pPr>
      <w:spacing w:line="520" w:lineRule="exact"/>
      <w:ind w:firstLine="539" w:firstLineChars="184"/>
    </w:pPr>
    <w:rPr>
      <w:rFonts w:ascii="宋体"/>
      <w:b/>
      <w:spacing w:val="6"/>
      <w:sz w:val="2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r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8"/>
    <w:next w:val="8"/>
    <w:link w:val="42"/>
    <w:qFormat/>
    <w:uiPriority w:val="0"/>
    <w:rPr>
      <w:b/>
      <w:bCs/>
    </w:rPr>
  </w:style>
  <w:style w:type="paragraph" w:styleId="21">
    <w:name w:val="Body Text First Indent"/>
    <w:basedOn w:val="9"/>
    <w:qFormat/>
    <w:uiPriority w:val="0"/>
    <w:pPr>
      <w:spacing w:after="120"/>
      <w:ind w:firstLine="420" w:firstLineChars="100"/>
    </w:pPr>
    <w:rPr>
      <w:rFonts w:ascii="Times New Roman" w:eastAsia="宋体"/>
      <w:szCs w:val="24"/>
    </w:rPr>
  </w:style>
  <w:style w:type="paragraph" w:styleId="22">
    <w:name w:val="Body Text First Indent 2"/>
    <w:basedOn w:val="10"/>
    <w:qFormat/>
    <w:uiPriority w:val="0"/>
    <w:pPr>
      <w:ind w:firstLine="200" w:firstLineChars="20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annotation reference"/>
    <w:basedOn w:val="25"/>
    <w:qFormat/>
    <w:uiPriority w:val="0"/>
    <w:rPr>
      <w:sz w:val="21"/>
      <w:szCs w:val="21"/>
    </w:rPr>
  </w:style>
  <w:style w:type="paragraph" w:customStyle="1" w:styleId="28">
    <w:name w:val="正文文本首行缩进 21"/>
    <w:basedOn w:val="29"/>
    <w:qFormat/>
    <w:uiPriority w:val="0"/>
    <w:pPr>
      <w:spacing w:after="0" w:line="360" w:lineRule="auto"/>
      <w:ind w:left="0" w:firstLine="420"/>
    </w:pPr>
    <w:rPr>
      <w:rFonts w:ascii="宋体" w:hAnsi="宋体"/>
      <w:szCs w:val="20"/>
    </w:rPr>
  </w:style>
  <w:style w:type="paragraph" w:customStyle="1" w:styleId="29">
    <w:name w:val="正文文本缩进1"/>
    <w:basedOn w:val="1"/>
    <w:next w:val="30"/>
    <w:unhideWhenUsed/>
    <w:qFormat/>
    <w:uiPriority w:val="0"/>
    <w:pPr>
      <w:spacing w:after="120"/>
      <w:ind w:left="420"/>
    </w:pPr>
  </w:style>
  <w:style w:type="paragraph" w:customStyle="1" w:styleId="30">
    <w:name w:val="寄信人地址1"/>
    <w:basedOn w:val="1"/>
    <w:unhideWhenUsed/>
    <w:qFormat/>
    <w:uiPriority w:val="99"/>
    <w:rPr>
      <w:rFonts w:ascii="Arial" w:hAnsi="Arial"/>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33">
    <w:name w:val="msonormalcxspmiddle"/>
    <w:basedOn w:val="1"/>
    <w:qFormat/>
    <w:uiPriority w:val="0"/>
    <w:pPr>
      <w:widowControl/>
      <w:spacing w:before="100" w:beforeAutospacing="1" w:after="100" w:afterAutospacing="1"/>
      <w:jc w:val="left"/>
    </w:pPr>
    <w:rPr>
      <w:rFonts w:ascii="宋体" w:hAnsi="宋体" w:cs="宋体"/>
      <w:kern w:val="0"/>
      <w:sz w:val="24"/>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p0"/>
    <w:basedOn w:val="1"/>
    <w:qFormat/>
    <w:uiPriority w:val="0"/>
    <w:pPr>
      <w:widowControl/>
    </w:pPr>
    <w:rPr>
      <w:rFonts w:ascii="Calibri" w:hAnsi="Calibri"/>
      <w:kern w:val="0"/>
      <w:szCs w:val="20"/>
    </w:rPr>
  </w:style>
  <w:style w:type="paragraph" w:customStyle="1" w:styleId="36">
    <w:name w:val="正文 + 宋体"/>
    <w:basedOn w:val="1"/>
    <w:qFormat/>
    <w:uiPriority w:val="0"/>
    <w:pPr>
      <w:widowControl/>
      <w:autoSpaceDE w:val="0"/>
      <w:autoSpaceDN w:val="0"/>
      <w:spacing w:line="360" w:lineRule="auto"/>
      <w:textAlignment w:val="bottom"/>
    </w:pPr>
    <w:rPr>
      <w:rFonts w:ascii="宋体" w:hAnsi="宋体"/>
    </w:rPr>
  </w:style>
  <w:style w:type="paragraph" w:styleId="37">
    <w:name w:val="List Paragraph"/>
    <w:basedOn w:val="1"/>
    <w:unhideWhenUsed/>
    <w:qFormat/>
    <w:uiPriority w:val="99"/>
    <w:pPr>
      <w:ind w:firstLine="420" w:firstLineChars="200"/>
    </w:pPr>
  </w:style>
  <w:style w:type="paragraph" w:customStyle="1" w:styleId="38">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39">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0">
    <w:name w:val="批注框文本 字符"/>
    <w:basedOn w:val="25"/>
    <w:link w:val="13"/>
    <w:qFormat/>
    <w:uiPriority w:val="0"/>
    <w:rPr>
      <w:kern w:val="2"/>
      <w:sz w:val="18"/>
      <w:szCs w:val="18"/>
    </w:rPr>
  </w:style>
  <w:style w:type="character" w:customStyle="1" w:styleId="41">
    <w:name w:val="批注文字 字符"/>
    <w:basedOn w:val="25"/>
    <w:link w:val="8"/>
    <w:qFormat/>
    <w:uiPriority w:val="0"/>
    <w:rPr>
      <w:kern w:val="2"/>
      <w:sz w:val="21"/>
      <w:szCs w:val="21"/>
    </w:rPr>
  </w:style>
  <w:style w:type="character" w:customStyle="1" w:styleId="42">
    <w:name w:val="批注主题 字符"/>
    <w:basedOn w:val="41"/>
    <w:link w:val="20"/>
    <w:qFormat/>
    <w:uiPriority w:val="0"/>
    <w:rPr>
      <w:b/>
      <w:bCs/>
      <w:kern w:val="2"/>
      <w:sz w:val="21"/>
      <w:szCs w:val="21"/>
    </w:rPr>
  </w:style>
  <w:style w:type="character" w:customStyle="1" w:styleId="43">
    <w:name w:val="font21"/>
    <w:basedOn w:val="25"/>
    <w:qFormat/>
    <w:uiPriority w:val="0"/>
    <w:rPr>
      <w:rFonts w:hint="eastAsia" w:ascii="宋体" w:hAnsi="宋体" w:eastAsia="宋体" w:cs="宋体"/>
      <w:color w:val="FF0000"/>
      <w:sz w:val="22"/>
      <w:szCs w:val="22"/>
      <w:u w:val="none"/>
    </w:rPr>
  </w:style>
  <w:style w:type="paragraph" w:customStyle="1" w:styleId="44">
    <w:name w:val="Table Text"/>
    <w:qFormat/>
    <w:uiPriority w:val="0"/>
    <w:pPr>
      <w:suppressAutoHyphens/>
      <w:snapToGrid w:val="0"/>
      <w:spacing w:before="80" w:after="80"/>
    </w:pPr>
    <w:rPr>
      <w:rFonts w:ascii="Arial" w:hAnsi="Arial" w:eastAsia="宋体" w:cs="Arial"/>
      <w:kern w:val="1"/>
      <w:sz w:val="18"/>
      <w:lang w:val="en-US" w:eastAsia="zh-CN" w:bidi="ar-SA"/>
    </w:rPr>
  </w:style>
  <w:style w:type="paragraph" w:customStyle="1" w:styleId="4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46">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47">
    <w:name w:val="列表段落1"/>
    <w:basedOn w:val="1"/>
    <w:qFormat/>
    <w:uiPriority w:val="1"/>
    <w:rPr>
      <w:rFonts w:ascii="Calibri" w:hAnsi="Calibri"/>
    </w:rPr>
  </w:style>
  <w:style w:type="character" w:customStyle="1" w:styleId="48">
    <w:name w:val="font11"/>
    <w:qFormat/>
    <w:uiPriority w:val="0"/>
    <w:rPr>
      <w:rFonts w:ascii="Calibri" w:hAnsi="Calibri" w:cs="Calibri"/>
      <w:color w:val="0000FF"/>
      <w:sz w:val="24"/>
      <w:szCs w:val="24"/>
      <w:u w:val="none"/>
    </w:rPr>
  </w:style>
  <w:style w:type="paragraph" w:customStyle="1" w:styleId="49">
    <w:name w:val="列出段落1"/>
    <w:basedOn w:val="1"/>
    <w:qFormat/>
    <w:uiPriority w:val="0"/>
    <w:pPr>
      <w:snapToGrid w:val="0"/>
      <w:spacing w:line="360" w:lineRule="auto"/>
      <w:ind w:left="560"/>
    </w:pPr>
    <w:rPr>
      <w:rFonts w:ascii="仿宋_GB2312" w:hAnsi="Calibri"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28</Pages>
  <Words>5719</Words>
  <Characters>5924</Characters>
  <Lines>85</Lines>
  <Paragraphs>24</Paragraphs>
  <TotalTime>12</TotalTime>
  <ScaleCrop>false</ScaleCrop>
  <LinksUpToDate>false</LinksUpToDate>
  <CharactersWithSpaces>5955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2025-07-07T23:40:00Z</dcterms:created>
  <dc:creator>admin</dc:creator>
  <cp:lastModifiedBy>玲玲</cp:lastModifiedBy>
  <cp:lastPrinted>2026-01-31T23:03:00Z</cp:lastPrinted>
  <dcterms:modified xsi:type="dcterms:W3CDTF">2026-04-02T09:56:21Z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1E4C8F16FCE64B7CAF09C7A44C7BC851_13</vt:lpwstr>
  </property>
  <property fmtid="{D5CDD505-2E9C-101B-9397-08002B2CF9AE}" pid="4" name="KSOTemplateDocerSaveRecord">
    <vt:lpwstr>eyJoZGlkIjoiNDRkMTYxMGRlMmFjZDJhYTNlMjU1NmZjM2VjNjUwYjMiLCJ1c2VySWQiOiI2Mzc2MzU1MTIifQ==</vt:lpwstr>
  </property>
</Properties>
</file>