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2" w:firstLineChars="550"/>
        <w:rPr>
          <w:rFonts w:eastAsia="楷体_GB2312"/>
          <w:b/>
          <w:sz w:val="44"/>
        </w:rPr>
      </w:pPr>
    </w:p>
    <w:p>
      <w:pPr>
        <w:autoSpaceDE w:val="0"/>
        <w:autoSpaceDN w:val="0"/>
        <w:adjustRightInd w:val="0"/>
        <w:jc w:val="center"/>
        <w:rPr>
          <w:rFonts w:hint="eastAsia" w:eastAsia="宋体"/>
          <w:b/>
          <w:bCs/>
          <w:sz w:val="44"/>
          <w:szCs w:val="44"/>
          <w:lang w:eastAsia="zh-CN"/>
        </w:rPr>
      </w:pPr>
      <w:r>
        <w:rPr>
          <w:rFonts w:hint="eastAsia"/>
          <w:b/>
          <w:bCs/>
          <w:sz w:val="44"/>
          <w:szCs w:val="44"/>
          <w:lang w:eastAsia="zh-CN"/>
        </w:rPr>
        <w:t>南通开放大学机器人系统集成应用技术平台设备项目</w:t>
      </w:r>
    </w:p>
    <w:p>
      <w:pPr>
        <w:autoSpaceDE w:val="0"/>
        <w:autoSpaceDN w:val="0"/>
        <w:adjustRightInd w:val="0"/>
        <w:jc w:val="center"/>
        <w:rPr>
          <w:b/>
          <w:bCs/>
          <w:sz w:val="44"/>
          <w:szCs w:val="44"/>
        </w:rPr>
      </w:pP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eastAsia="华文新魏"/>
          <w:b/>
          <w:bCs/>
          <w:sz w:val="100"/>
          <w:szCs w:val="100"/>
          <w:lang w:val="zh-CN"/>
        </w:rPr>
        <w:t>竞争性</w:t>
      </w: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hAnsi="Arial Narrow" w:eastAsia="华文新魏"/>
          <w:b/>
          <w:bCs/>
          <w:sz w:val="100"/>
          <w:szCs w:val="100"/>
          <w:lang w:val="zh-CN"/>
        </w:rPr>
        <w:t>磋商文件</w:t>
      </w:r>
    </w:p>
    <w:p>
      <w:pPr>
        <w:keepNext/>
        <w:keepLines/>
        <w:autoSpaceDE w:val="0"/>
        <w:autoSpaceDN w:val="0"/>
        <w:adjustRightInd w:val="0"/>
        <w:spacing w:before="260" w:after="260" w:line="600" w:lineRule="exact"/>
        <w:ind w:right="210"/>
        <w:jc w:val="center"/>
        <w:outlineLvl w:val="0"/>
        <w:rPr>
          <w:rFonts w:hint="eastAsia" w:ascii="楷体_GB2312" w:eastAsia="宋体"/>
          <w:b/>
          <w:sz w:val="44"/>
          <w:szCs w:val="44"/>
          <w:lang w:eastAsia="zh-CN"/>
        </w:rPr>
      </w:pPr>
      <w:r>
        <w:rPr>
          <w:rFonts w:hint="eastAsia" w:ascii="宋体" w:hAnsi="宋体"/>
          <w:sz w:val="36"/>
          <w:szCs w:val="36"/>
        </w:rPr>
        <w:t>项目编号：</w:t>
      </w:r>
      <w:r>
        <w:rPr>
          <w:rFonts w:hint="eastAsia" w:ascii="宋体" w:hAnsi="宋体"/>
          <w:sz w:val="36"/>
          <w:szCs w:val="36"/>
          <w:lang w:eastAsia="zh-CN"/>
        </w:rPr>
        <w:t>KD-2024057</w:t>
      </w: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spacing w:line="500" w:lineRule="exact"/>
        <w:jc w:val="center"/>
        <w:rPr>
          <w:rFonts w:hint="eastAsia" w:ascii="宋体" w:hAnsi="宋体"/>
          <w:spacing w:val="20"/>
          <w:sz w:val="28"/>
          <w:szCs w:val="28"/>
        </w:rPr>
      </w:pPr>
      <w:r>
        <w:rPr>
          <w:rFonts w:hint="eastAsia" w:ascii="宋体" w:hAnsi="宋体"/>
          <w:spacing w:val="20"/>
          <w:sz w:val="28"/>
          <w:szCs w:val="28"/>
        </w:rPr>
        <w:t>采购单位</w:t>
      </w:r>
      <w:r>
        <w:rPr>
          <w:rFonts w:hint="eastAsia" w:ascii="宋体" w:hAnsi="宋体"/>
          <w:spacing w:val="20"/>
          <w:sz w:val="28"/>
          <w:szCs w:val="28"/>
          <w:u w:val="single"/>
        </w:rPr>
        <w:t>：南通开放大学</w:t>
      </w:r>
    </w:p>
    <w:p>
      <w:pPr>
        <w:spacing w:line="500" w:lineRule="exact"/>
        <w:jc w:val="center"/>
        <w:rPr>
          <w:rFonts w:hint="eastAsia" w:ascii="宋体" w:hAnsi="宋体"/>
          <w:spacing w:val="20"/>
          <w:sz w:val="28"/>
          <w:szCs w:val="28"/>
        </w:rPr>
      </w:pPr>
      <w:r>
        <w:rPr>
          <w:rFonts w:hint="eastAsia" w:ascii="宋体" w:hAnsi="宋体"/>
          <w:spacing w:val="20"/>
          <w:sz w:val="28"/>
          <w:szCs w:val="28"/>
        </w:rPr>
        <w:t>代理单位</w:t>
      </w:r>
      <w:r>
        <w:rPr>
          <w:rFonts w:hint="eastAsia" w:ascii="宋体" w:hAnsi="宋体"/>
          <w:spacing w:val="20"/>
          <w:sz w:val="28"/>
          <w:szCs w:val="28"/>
          <w:u w:val="single"/>
        </w:rPr>
        <w:t>：江苏西亚项目管理咨询有限公司</w:t>
      </w:r>
    </w:p>
    <w:p>
      <w:pPr>
        <w:spacing w:line="500" w:lineRule="exact"/>
        <w:jc w:val="center"/>
        <w:rPr>
          <w:rFonts w:hint="eastAsia" w:ascii="宋体" w:hAnsi="宋体"/>
          <w:spacing w:val="20"/>
          <w:sz w:val="28"/>
          <w:szCs w:val="28"/>
        </w:rPr>
      </w:pPr>
      <w:r>
        <w:rPr>
          <w:rFonts w:hint="eastAsia" w:ascii="宋体" w:hAnsi="宋体"/>
          <w:spacing w:val="20"/>
          <w:sz w:val="28"/>
          <w:szCs w:val="28"/>
        </w:rPr>
        <w:t>日期：</w:t>
      </w:r>
      <w:r>
        <w:rPr>
          <w:rFonts w:ascii="宋体" w:hAnsi="宋体"/>
          <w:spacing w:val="20"/>
          <w:sz w:val="28"/>
          <w:szCs w:val="28"/>
          <w:u w:val="single"/>
        </w:rPr>
        <w:t>202</w:t>
      </w:r>
      <w:r>
        <w:rPr>
          <w:rFonts w:hint="eastAsia" w:ascii="宋体" w:hAnsi="宋体"/>
          <w:spacing w:val="20"/>
          <w:sz w:val="28"/>
          <w:szCs w:val="28"/>
          <w:u w:val="single"/>
        </w:rPr>
        <w:t>4</w:t>
      </w:r>
      <w:r>
        <w:rPr>
          <w:rFonts w:hint="eastAsia" w:ascii="宋体" w:hAnsi="宋体"/>
          <w:spacing w:val="20"/>
          <w:sz w:val="28"/>
          <w:szCs w:val="28"/>
          <w:u w:val="single"/>
          <w:lang w:eastAsia="zh-Hans"/>
        </w:rPr>
        <w:t>年</w:t>
      </w:r>
      <w:r>
        <w:rPr>
          <w:rFonts w:hint="eastAsia" w:ascii="宋体" w:hAnsi="宋体"/>
          <w:spacing w:val="20"/>
          <w:sz w:val="28"/>
          <w:szCs w:val="28"/>
          <w:u w:val="single"/>
          <w:lang w:val="en-US" w:eastAsia="zh-CN"/>
        </w:rPr>
        <w:t>12</w:t>
      </w:r>
      <w:r>
        <w:rPr>
          <w:rFonts w:hint="eastAsia" w:ascii="宋体" w:hAnsi="宋体"/>
          <w:spacing w:val="20"/>
          <w:sz w:val="28"/>
          <w:szCs w:val="28"/>
          <w:u w:val="single"/>
          <w:lang w:eastAsia="zh-Hans"/>
        </w:rPr>
        <w:t>月</w:t>
      </w:r>
    </w:p>
    <w:p>
      <w:pPr>
        <w:adjustRightInd w:val="0"/>
        <w:snapToGrid w:val="0"/>
        <w:ind w:left="-158" w:leftChars="-75" w:right="-601" w:rightChars="-286"/>
        <w:rPr>
          <w:rFonts w:hint="eastAsia" w:ascii="宋体" w:hAnsi="宋体"/>
          <w:snapToGrid w:val="0"/>
          <w:sz w:val="26"/>
          <w:szCs w:val="28"/>
        </w:rPr>
      </w:pPr>
      <w:r>
        <w:rPr>
          <w:rFonts w:hint="eastAsia" w:ascii="宋体" w:hAnsi="宋体"/>
          <w:snapToGrid w:val="0"/>
          <w:sz w:val="26"/>
          <w:szCs w:val="28"/>
        </w:rPr>
        <w:t xml:space="preserve">   </w:t>
      </w:r>
    </w:p>
    <w:p>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hint="eastAsia" w:ascii="楷体_GB2312" w:eastAsia="楷体_GB2312"/>
          <w:b/>
          <w:bCs/>
          <w:sz w:val="44"/>
          <w:szCs w:val="44"/>
          <w:lang w:val="zh-CN"/>
        </w:rPr>
        <w:t>目   录</w:t>
      </w:r>
    </w:p>
    <w:p>
      <w:pPr>
        <w:autoSpaceDE w:val="0"/>
        <w:autoSpaceDN w:val="0"/>
        <w:adjustRightInd w:val="0"/>
        <w:spacing w:line="480" w:lineRule="auto"/>
        <w:ind w:firstLine="556"/>
        <w:rPr>
          <w:rFonts w:ascii="楷体_GB2312" w:eastAsia="楷体_GB2312"/>
          <w:b/>
          <w:bCs/>
          <w:sz w:val="32"/>
          <w:szCs w:val="32"/>
        </w:rPr>
      </w:pPr>
    </w:p>
    <w:p>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第一部分  竞争性磋商</w:t>
      </w:r>
      <w:r>
        <w:rPr>
          <w:rFonts w:hint="eastAsia" w:ascii="楷体_GB2312" w:eastAsia="楷体_GB2312"/>
          <w:b/>
          <w:sz w:val="32"/>
          <w:szCs w:val="32"/>
          <w:lang w:val="zh-CN"/>
        </w:rPr>
        <w:t>公告</w:t>
      </w:r>
    </w:p>
    <w:p>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第二部分  磋商</w:t>
      </w:r>
      <w:r>
        <w:rPr>
          <w:rFonts w:hint="eastAsia" w:ascii="楷体_GB2312" w:eastAsia="楷体_GB2312"/>
          <w:b/>
          <w:sz w:val="32"/>
          <w:szCs w:val="32"/>
          <w:lang w:val="zh-CN"/>
        </w:rPr>
        <w:t>须知</w:t>
      </w:r>
    </w:p>
    <w:p>
      <w:pPr>
        <w:autoSpaceDE w:val="0"/>
        <w:autoSpaceDN w:val="0"/>
        <w:adjustRightInd w:val="0"/>
        <w:spacing w:line="480" w:lineRule="auto"/>
        <w:ind w:firstLine="537"/>
        <w:rPr>
          <w:rFonts w:ascii="楷体_GB2312" w:eastAsia="楷体_GB2312"/>
          <w:b/>
          <w:sz w:val="32"/>
          <w:szCs w:val="32"/>
          <w:lang w:val="zh-CN"/>
        </w:rPr>
      </w:pPr>
      <w:r>
        <w:rPr>
          <w:rFonts w:hint="eastAsia" w:ascii="楷体_GB2312" w:eastAsia="楷体_GB2312"/>
          <w:b/>
          <w:bCs/>
          <w:sz w:val="32"/>
          <w:szCs w:val="32"/>
        </w:rPr>
        <w:t xml:space="preserve">第三部分  </w:t>
      </w:r>
      <w:r>
        <w:rPr>
          <w:rFonts w:hint="eastAsia" w:ascii="楷体_GB2312" w:eastAsia="楷体_GB2312"/>
          <w:b/>
          <w:sz w:val="32"/>
          <w:szCs w:val="32"/>
          <w:lang w:val="zh-CN"/>
        </w:rPr>
        <w:t>项目需求</w:t>
      </w:r>
    </w:p>
    <w:p>
      <w:pPr>
        <w:autoSpaceDE w:val="0"/>
        <w:autoSpaceDN w:val="0"/>
        <w:adjustRightInd w:val="0"/>
        <w:spacing w:line="480" w:lineRule="auto"/>
        <w:ind w:firstLine="537"/>
        <w:rPr>
          <w:rFonts w:ascii="楷体_GB2312" w:eastAsia="楷体_GB2312"/>
          <w:b/>
          <w:sz w:val="32"/>
          <w:szCs w:val="32"/>
          <w:lang w:val="zh-CN"/>
        </w:rPr>
      </w:pPr>
      <w:r>
        <w:rPr>
          <w:rFonts w:hint="eastAsia" w:ascii="楷体_GB2312" w:eastAsia="楷体_GB2312"/>
          <w:b/>
          <w:bCs/>
          <w:sz w:val="32"/>
          <w:szCs w:val="32"/>
        </w:rPr>
        <w:t>第四部分  磋商</w:t>
      </w:r>
      <w:r>
        <w:rPr>
          <w:rFonts w:hint="eastAsia" w:ascii="楷体_GB2312" w:eastAsia="楷体_GB2312"/>
          <w:b/>
          <w:sz w:val="32"/>
          <w:szCs w:val="32"/>
          <w:lang w:val="zh-CN"/>
        </w:rPr>
        <w:t>程序和内容</w:t>
      </w:r>
    </w:p>
    <w:p>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第五部分  合同签订与验收付款</w:t>
      </w:r>
    </w:p>
    <w:p>
      <w:pPr>
        <w:tabs>
          <w:tab w:val="left" w:pos="7740"/>
        </w:tabs>
        <w:spacing w:line="500" w:lineRule="exact"/>
        <w:ind w:firstLine="641" w:firstLineChars="200"/>
        <w:rPr>
          <w:rFonts w:ascii="楷体_GB2312" w:eastAsia="楷体_GB2312"/>
          <w:b/>
          <w:spacing w:val="2"/>
          <w:sz w:val="32"/>
          <w:szCs w:val="32"/>
        </w:rPr>
      </w:pPr>
      <w:r>
        <w:rPr>
          <w:rFonts w:hint="eastAsia" w:ascii="楷体_GB2312" w:eastAsia="楷体_GB2312"/>
          <w:b/>
          <w:bCs/>
          <w:sz w:val="32"/>
          <w:szCs w:val="32"/>
        </w:rPr>
        <w:t>第六部分  质疑提出和处理</w:t>
      </w:r>
    </w:p>
    <w:p>
      <w:pPr>
        <w:spacing w:line="500" w:lineRule="exact"/>
        <w:rPr>
          <w:rFonts w:ascii="楷体_GB2312" w:eastAsia="楷体_GB2312"/>
          <w:b/>
          <w:sz w:val="32"/>
          <w:szCs w:val="32"/>
        </w:rPr>
      </w:pPr>
    </w:p>
    <w:p>
      <w:pPr>
        <w:tabs>
          <w:tab w:val="left" w:pos="7740"/>
        </w:tabs>
        <w:spacing w:line="500" w:lineRule="exact"/>
        <w:ind w:firstLine="641" w:firstLineChars="200"/>
        <w:rPr>
          <w:rFonts w:ascii="黑体" w:eastAsia="黑体"/>
          <w:b/>
          <w:bCs/>
          <w:sz w:val="36"/>
          <w:szCs w:val="36"/>
          <w:lang w:val="zh-CN"/>
        </w:rPr>
      </w:pPr>
      <w:r>
        <w:rPr>
          <w:rFonts w:hint="eastAsia" w:ascii="楷体_GB2312" w:eastAsia="楷体_GB2312"/>
          <w:b/>
          <w:bCs/>
          <w:sz w:val="32"/>
          <w:szCs w:val="32"/>
        </w:rPr>
        <w:t>第七部分  响应</w:t>
      </w:r>
      <w:r>
        <w:rPr>
          <w:rFonts w:hint="eastAsia" w:ascii="楷体_GB2312" w:eastAsia="楷体_GB2312"/>
          <w:b/>
          <w:sz w:val="32"/>
          <w:szCs w:val="32"/>
          <w:lang w:val="zh-CN"/>
        </w:rPr>
        <w:t>文件</w:t>
      </w:r>
      <w:r>
        <w:rPr>
          <w:rFonts w:hint="eastAsia" w:ascii="楷体_GB2312" w:eastAsia="楷体_GB2312"/>
          <w:b/>
          <w:bCs/>
          <w:sz w:val="32"/>
          <w:szCs w:val="32"/>
        </w:rPr>
        <w:t>组成</w:t>
      </w:r>
    </w:p>
    <w:p>
      <w:pPr>
        <w:autoSpaceDE w:val="0"/>
        <w:autoSpaceDN w:val="0"/>
        <w:adjustRightInd w:val="0"/>
        <w:snapToGrid w:val="0"/>
        <w:spacing w:line="300" w:lineRule="auto"/>
        <w:jc w:val="center"/>
        <w:outlineLvl w:val="0"/>
        <w:rPr>
          <w:rFonts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 xml:space="preserve">第一部分  </w:t>
      </w:r>
      <w:bookmarkStart w:id="0" w:name="OLE_LINK1"/>
      <w:r>
        <w:rPr>
          <w:rFonts w:hint="eastAsia" w:ascii="仿宋_GB2312" w:eastAsia="仿宋_GB2312"/>
          <w:b/>
          <w:bCs/>
          <w:sz w:val="36"/>
          <w:szCs w:val="36"/>
          <w:lang w:val="zh-CN"/>
        </w:rPr>
        <w:t>竞争性磋商公告</w:t>
      </w:r>
    </w:p>
    <w:p>
      <w:pPr>
        <w:widowControl/>
        <w:shd w:val="clear" w:color="auto" w:fill="FFFFFF"/>
        <w:rPr>
          <w:rFonts w:hint="eastAsia" w:ascii="Microsoft YaHei UI" w:hAnsi="Microsoft YaHei UI" w:eastAsia="Microsoft YaHei UI" w:cs="宋体"/>
          <w:spacing w:val="7"/>
          <w:kern w:val="0"/>
          <w:sz w:val="23"/>
          <w:szCs w:val="23"/>
        </w:rPr>
      </w:pPr>
    </w:p>
    <w:p>
      <w:pPr>
        <w:snapToGrid w:val="0"/>
        <w:spacing w:line="480" w:lineRule="exact"/>
        <w:ind w:firstLine="480" w:firstLineChars="200"/>
        <w:rPr>
          <w:sz w:val="24"/>
        </w:rPr>
      </w:pPr>
      <w:r>
        <w:rPr>
          <w:bCs/>
          <w:sz w:val="24"/>
        </w:rPr>
        <w:t>项目概况</w:t>
      </w:r>
      <w:r>
        <w:rPr>
          <w:rFonts w:hint="eastAsia"/>
          <w:bCs/>
          <w:sz w:val="24"/>
        </w:rPr>
        <w:t>：</w:t>
      </w:r>
      <w:r>
        <w:rPr>
          <w:rFonts w:hint="eastAsia"/>
          <w:bCs/>
          <w:sz w:val="24"/>
          <w:u w:val="single"/>
          <w:lang w:eastAsia="zh-CN"/>
        </w:rPr>
        <w:t>南通开放大学机器人系统集成应用技术平台设备项目</w:t>
      </w:r>
      <w:r>
        <w:rPr>
          <w:sz w:val="24"/>
        </w:rPr>
        <w:t>的潜在</w:t>
      </w:r>
      <w:r>
        <w:rPr>
          <w:rFonts w:hint="eastAsia"/>
          <w:sz w:val="24"/>
        </w:rPr>
        <w:t>供应商</w:t>
      </w:r>
      <w:r>
        <w:rPr>
          <w:sz w:val="24"/>
        </w:rPr>
        <w:t>应在</w:t>
      </w:r>
      <w:r>
        <w:rPr>
          <w:rFonts w:hint="eastAsia"/>
          <w:sz w:val="24"/>
          <w:u w:val="single"/>
        </w:rPr>
        <w:t>南通开放大学官网、南通市教育局网</w:t>
      </w:r>
      <w:r>
        <w:rPr>
          <w:sz w:val="24"/>
        </w:rPr>
        <w:t>获取</w:t>
      </w:r>
      <w:r>
        <w:rPr>
          <w:rFonts w:hint="eastAsia"/>
          <w:sz w:val="24"/>
        </w:rPr>
        <w:t>采购</w:t>
      </w:r>
      <w:r>
        <w:rPr>
          <w:sz w:val="24"/>
        </w:rPr>
        <w:t>文件，并于</w:t>
      </w:r>
      <w:r>
        <w:rPr>
          <w:rFonts w:hint="eastAsia"/>
          <w:sz w:val="24"/>
          <w:u w:val="single"/>
          <w:lang w:eastAsia="zh-CN"/>
        </w:rPr>
        <w:t>2024年12月21日09点00分</w:t>
      </w:r>
      <w:r>
        <w:rPr>
          <w:sz w:val="24"/>
        </w:rPr>
        <w:t>（北京时间）前递交</w:t>
      </w:r>
      <w:r>
        <w:rPr>
          <w:rFonts w:hint="eastAsia"/>
          <w:sz w:val="24"/>
        </w:rPr>
        <w:t>响应</w:t>
      </w:r>
      <w:r>
        <w:rPr>
          <w:sz w:val="24"/>
        </w:rPr>
        <w:t>文件。</w:t>
      </w:r>
    </w:p>
    <w:p>
      <w:pPr>
        <w:snapToGrid w:val="0"/>
        <w:spacing w:line="480" w:lineRule="exact"/>
        <w:ind w:firstLine="480" w:firstLineChars="200"/>
        <w:rPr>
          <w:b/>
          <w:sz w:val="24"/>
        </w:rPr>
      </w:pPr>
      <w:r>
        <w:rPr>
          <w:sz w:val="24"/>
        </w:rPr>
        <w:t> </w:t>
      </w:r>
      <w:r>
        <w:rPr>
          <w:b/>
          <w:sz w:val="24"/>
        </w:rPr>
        <w:t xml:space="preserve"> 一、项目基本情况</w:t>
      </w:r>
    </w:p>
    <w:p>
      <w:pPr>
        <w:snapToGrid w:val="0"/>
        <w:spacing w:line="480" w:lineRule="exact"/>
        <w:ind w:firstLine="480" w:firstLineChars="200"/>
        <w:rPr>
          <w:rFonts w:hint="eastAsia" w:eastAsia="宋体"/>
          <w:sz w:val="24"/>
          <w:lang w:eastAsia="zh-CN"/>
        </w:rPr>
      </w:pPr>
      <w:r>
        <w:rPr>
          <w:rFonts w:hint="eastAsia"/>
          <w:sz w:val="24"/>
        </w:rPr>
        <w:t>项目编号：</w:t>
      </w:r>
      <w:r>
        <w:rPr>
          <w:rFonts w:hint="eastAsia"/>
          <w:sz w:val="24"/>
          <w:lang w:eastAsia="zh-CN"/>
        </w:rPr>
        <w:t>KD-2024057</w:t>
      </w:r>
    </w:p>
    <w:p>
      <w:pPr>
        <w:snapToGrid w:val="0"/>
        <w:spacing w:line="480" w:lineRule="exact"/>
        <w:ind w:firstLine="480" w:firstLineChars="200"/>
        <w:rPr>
          <w:rFonts w:hint="eastAsia" w:eastAsia="宋体"/>
          <w:sz w:val="24"/>
          <w:lang w:eastAsia="zh-CN"/>
        </w:rPr>
      </w:pPr>
      <w:r>
        <w:rPr>
          <w:rFonts w:hint="eastAsia"/>
          <w:sz w:val="24"/>
        </w:rPr>
        <w:t>项目名称：</w:t>
      </w:r>
      <w:r>
        <w:rPr>
          <w:rFonts w:hint="eastAsia"/>
          <w:sz w:val="24"/>
          <w:lang w:eastAsia="zh-CN"/>
        </w:rPr>
        <w:t>南通开放大学机器人系统集成应用技术平台设备项目</w:t>
      </w:r>
    </w:p>
    <w:p>
      <w:pPr>
        <w:snapToGrid w:val="0"/>
        <w:spacing w:line="480" w:lineRule="exact"/>
        <w:ind w:firstLine="480" w:firstLineChars="200"/>
        <w:rPr>
          <w:sz w:val="24"/>
        </w:rPr>
      </w:pPr>
      <w:r>
        <w:rPr>
          <w:rFonts w:hint="eastAsia"/>
          <w:sz w:val="24"/>
        </w:rPr>
        <w:t>采购方式：竞争性磋商</w:t>
      </w:r>
    </w:p>
    <w:p>
      <w:pPr>
        <w:snapToGrid w:val="0"/>
        <w:spacing w:line="480" w:lineRule="exact"/>
        <w:ind w:firstLine="480" w:firstLineChars="200"/>
        <w:rPr>
          <w:sz w:val="24"/>
        </w:rPr>
      </w:pPr>
      <w:r>
        <w:rPr>
          <w:sz w:val="24"/>
        </w:rPr>
        <w:t>预算金额：</w:t>
      </w:r>
      <w:r>
        <w:rPr>
          <w:rFonts w:hint="eastAsia"/>
          <w:sz w:val="24"/>
          <w:u w:val="single"/>
          <w:lang w:eastAsia="zh-CN"/>
        </w:rPr>
        <w:t>47万元</w:t>
      </w:r>
    </w:p>
    <w:p>
      <w:pPr>
        <w:snapToGrid w:val="0"/>
        <w:spacing w:line="480" w:lineRule="exact"/>
        <w:ind w:firstLine="480" w:firstLineChars="200"/>
        <w:rPr>
          <w:sz w:val="24"/>
        </w:rPr>
      </w:pPr>
      <w:r>
        <w:rPr>
          <w:sz w:val="24"/>
        </w:rPr>
        <w:t>采购需求：详见</w:t>
      </w:r>
      <w:r>
        <w:rPr>
          <w:spacing w:val="7"/>
          <w:kern w:val="0"/>
          <w:sz w:val="24"/>
        </w:rPr>
        <w:t>第三部分</w:t>
      </w:r>
      <w:r>
        <w:rPr>
          <w:sz w:val="24"/>
        </w:rPr>
        <w:t>项目需求。</w:t>
      </w:r>
    </w:p>
    <w:p>
      <w:pPr>
        <w:spacing w:line="600" w:lineRule="exact"/>
        <w:ind w:firstLine="480" w:firstLineChars="200"/>
        <w:rPr>
          <w:rFonts w:hint="eastAsia" w:eastAsia="宋体"/>
          <w:color w:val="auto"/>
          <w:spacing w:val="7"/>
          <w:lang w:eastAsia="zh-CN"/>
        </w:rPr>
      </w:pPr>
      <w:r>
        <w:rPr>
          <w:rFonts w:hint="eastAsia"/>
          <w:color w:val="auto"/>
          <w:sz w:val="24"/>
          <w:lang w:val="en-US" w:eastAsia="zh-CN"/>
        </w:rPr>
        <w:t>合同履行期限</w:t>
      </w:r>
      <w:r>
        <w:rPr>
          <w:rFonts w:hint="eastAsia"/>
          <w:color w:val="auto"/>
          <w:sz w:val="24"/>
        </w:rPr>
        <w:t>：合同签订后10日历天内提供采购人所需设备及软件系统并安装、调试完毕。</w:t>
      </w:r>
    </w:p>
    <w:p>
      <w:pPr>
        <w:snapToGrid w:val="0"/>
        <w:spacing w:line="480" w:lineRule="exact"/>
        <w:ind w:firstLine="480" w:firstLineChars="200"/>
        <w:rPr>
          <w:sz w:val="24"/>
        </w:rPr>
      </w:pPr>
      <w:r>
        <w:rPr>
          <w:sz w:val="24"/>
        </w:rPr>
        <w:t>本项目不接受联合体</w:t>
      </w:r>
      <w:r>
        <w:rPr>
          <w:rFonts w:hint="eastAsia"/>
          <w:sz w:val="24"/>
        </w:rPr>
        <w:t>响应</w:t>
      </w:r>
      <w:r>
        <w:rPr>
          <w:sz w:val="24"/>
        </w:rPr>
        <w:t>。</w:t>
      </w:r>
    </w:p>
    <w:p>
      <w:pPr>
        <w:snapToGrid w:val="0"/>
        <w:spacing w:line="480" w:lineRule="exact"/>
        <w:ind w:firstLine="480" w:firstLineChars="200"/>
        <w:rPr>
          <w:b/>
          <w:sz w:val="24"/>
        </w:rPr>
      </w:pPr>
      <w:r>
        <w:rPr>
          <w:b/>
          <w:sz w:val="24"/>
        </w:rPr>
        <w:t>二、申请人的资格要求：</w:t>
      </w:r>
    </w:p>
    <w:p>
      <w:pPr>
        <w:snapToGrid w:val="0"/>
        <w:spacing w:line="480" w:lineRule="exact"/>
        <w:ind w:firstLine="480" w:firstLineChars="200"/>
        <w:rPr>
          <w:sz w:val="24"/>
        </w:rPr>
      </w:pPr>
      <w:r>
        <w:rPr>
          <w:rFonts w:hint="eastAsia"/>
          <w:sz w:val="24"/>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napToGrid w:val="0"/>
        <w:spacing w:line="480" w:lineRule="exact"/>
        <w:ind w:firstLine="480" w:firstLineChars="200"/>
        <w:rPr>
          <w:sz w:val="24"/>
        </w:rPr>
      </w:pPr>
      <w:r>
        <w:rPr>
          <w:rFonts w:hint="eastAsia"/>
          <w:sz w:val="24"/>
        </w:rPr>
        <w:t>2.未被“信用中国”网站（www.creditchina.gov.cn）、“中国政府采购网”（www.ccgp.gov.cn）列入失信被执行人、重大税收违法案件当事人名单、政府采购严重违法失信行为记录名单；</w:t>
      </w:r>
    </w:p>
    <w:p>
      <w:pPr>
        <w:snapToGrid w:val="0"/>
        <w:spacing w:line="480" w:lineRule="exact"/>
        <w:ind w:firstLine="480" w:firstLineChars="200"/>
        <w:rPr>
          <w:b/>
          <w:sz w:val="24"/>
        </w:rPr>
      </w:pPr>
      <w:r>
        <w:rPr>
          <w:b/>
          <w:sz w:val="24"/>
        </w:rPr>
        <w:t>三、获取</w:t>
      </w:r>
      <w:r>
        <w:rPr>
          <w:rFonts w:hint="eastAsia"/>
          <w:b/>
          <w:sz w:val="24"/>
        </w:rPr>
        <w:t>采购</w:t>
      </w:r>
      <w:r>
        <w:rPr>
          <w:b/>
          <w:sz w:val="24"/>
        </w:rPr>
        <w:t>文件</w:t>
      </w:r>
    </w:p>
    <w:p>
      <w:pPr>
        <w:snapToGrid w:val="0"/>
        <w:spacing w:line="480" w:lineRule="exact"/>
        <w:ind w:firstLine="480" w:firstLineChars="200"/>
        <w:rPr>
          <w:sz w:val="24"/>
        </w:rPr>
      </w:pPr>
      <w:r>
        <w:rPr>
          <w:sz w:val="24"/>
        </w:rPr>
        <w:t>时间：</w:t>
      </w:r>
      <w:r>
        <w:rPr>
          <w:rFonts w:hint="eastAsia"/>
          <w:sz w:val="24"/>
          <w:u w:val="single"/>
        </w:rPr>
        <w:t>自公告发布之日</w:t>
      </w:r>
      <w:r>
        <w:rPr>
          <w:rFonts w:hint="eastAsia"/>
          <w:sz w:val="24"/>
        </w:rPr>
        <w:t>起</w:t>
      </w:r>
      <w:r>
        <w:rPr>
          <w:sz w:val="24"/>
        </w:rPr>
        <w:t>至</w:t>
      </w:r>
      <w:r>
        <w:rPr>
          <w:rFonts w:hint="eastAsia"/>
          <w:sz w:val="24"/>
          <w:u w:val="single"/>
          <w:lang w:eastAsia="zh-CN"/>
        </w:rPr>
        <w:t>2024年12月21日09点00分</w:t>
      </w:r>
      <w:r>
        <w:rPr>
          <w:sz w:val="24"/>
        </w:rPr>
        <w:t>。</w:t>
      </w:r>
    </w:p>
    <w:p>
      <w:pPr>
        <w:snapToGrid w:val="0"/>
        <w:spacing w:line="480" w:lineRule="exact"/>
        <w:ind w:firstLine="480" w:firstLineChars="200"/>
        <w:rPr>
          <w:b/>
          <w:bCs/>
          <w:sz w:val="24"/>
        </w:rPr>
      </w:pPr>
      <w:r>
        <w:rPr>
          <w:rFonts w:hint="eastAsia"/>
          <w:sz w:val="24"/>
        </w:rPr>
        <w:t>地点：</w:t>
      </w:r>
      <w:r>
        <w:rPr>
          <w:rFonts w:hint="eastAsia"/>
          <w:sz w:val="24"/>
          <w:u w:val="single"/>
        </w:rPr>
        <w:t>南通开放大学官网、南通市教育局网</w:t>
      </w:r>
    </w:p>
    <w:p>
      <w:pPr>
        <w:snapToGrid w:val="0"/>
        <w:spacing w:line="480" w:lineRule="exact"/>
        <w:ind w:firstLine="480" w:firstLineChars="200"/>
        <w:rPr>
          <w:b/>
          <w:sz w:val="24"/>
          <w:u w:val="single"/>
        </w:rPr>
      </w:pPr>
      <w:r>
        <w:rPr>
          <w:rFonts w:hint="eastAsia"/>
          <w:sz w:val="24"/>
        </w:rPr>
        <w:t>方式：自行下载</w:t>
      </w:r>
    </w:p>
    <w:p>
      <w:pPr>
        <w:snapToGrid w:val="0"/>
        <w:spacing w:line="480" w:lineRule="exact"/>
        <w:ind w:firstLine="480" w:firstLineChars="200"/>
        <w:rPr>
          <w:b/>
          <w:sz w:val="24"/>
        </w:rPr>
      </w:pPr>
      <w:r>
        <w:rPr>
          <w:b/>
          <w:sz w:val="24"/>
        </w:rPr>
        <w:t>四、</w:t>
      </w:r>
      <w:r>
        <w:rPr>
          <w:rFonts w:hint="eastAsia"/>
          <w:b/>
          <w:sz w:val="24"/>
        </w:rPr>
        <w:t>响应</w:t>
      </w:r>
      <w:r>
        <w:rPr>
          <w:b/>
          <w:sz w:val="24"/>
        </w:rPr>
        <w:t>文件</w:t>
      </w:r>
      <w:r>
        <w:rPr>
          <w:rFonts w:hint="eastAsia"/>
          <w:b/>
          <w:sz w:val="24"/>
        </w:rPr>
        <w:t>提交</w:t>
      </w:r>
    </w:p>
    <w:p>
      <w:pPr>
        <w:snapToGrid w:val="0"/>
        <w:spacing w:line="480" w:lineRule="exact"/>
        <w:ind w:firstLine="480" w:firstLineChars="200"/>
        <w:rPr>
          <w:sz w:val="24"/>
        </w:rPr>
      </w:pPr>
      <w:r>
        <w:rPr>
          <w:rFonts w:hint="eastAsia"/>
          <w:sz w:val="24"/>
        </w:rPr>
        <w:t>截止时间：</w:t>
      </w:r>
      <w:r>
        <w:rPr>
          <w:rFonts w:hint="eastAsia"/>
          <w:sz w:val="24"/>
          <w:u w:val="single"/>
          <w:lang w:eastAsia="zh-CN"/>
        </w:rPr>
        <w:t>2024年12月21日09点00分</w:t>
      </w:r>
      <w:r>
        <w:rPr>
          <w:sz w:val="24"/>
        </w:rPr>
        <w:t>（北京时间）</w:t>
      </w:r>
      <w:r>
        <w:rPr>
          <w:rFonts w:hint="eastAsia"/>
          <w:sz w:val="24"/>
        </w:rPr>
        <w:t>，</w:t>
      </w:r>
      <w:r>
        <w:rPr>
          <w:sz w:val="24"/>
        </w:rPr>
        <w:t>逾时拒绝接收</w:t>
      </w:r>
      <w:r>
        <w:rPr>
          <w:rFonts w:hint="eastAsia"/>
          <w:sz w:val="24"/>
        </w:rPr>
        <w:t>磋商</w:t>
      </w:r>
      <w:r>
        <w:rPr>
          <w:sz w:val="24"/>
        </w:rPr>
        <w:t>响应文件</w:t>
      </w:r>
      <w:r>
        <w:rPr>
          <w:rFonts w:hint="eastAsia"/>
          <w:sz w:val="24"/>
        </w:rPr>
        <w:t>。</w:t>
      </w:r>
    </w:p>
    <w:p>
      <w:pPr>
        <w:snapToGrid w:val="0"/>
        <w:spacing w:line="480" w:lineRule="exact"/>
        <w:ind w:firstLine="480" w:firstLineChars="200"/>
        <w:rPr>
          <w:sz w:val="24"/>
        </w:rPr>
      </w:pPr>
      <w:r>
        <w:rPr>
          <w:sz w:val="24"/>
        </w:rPr>
        <w:t>地点：</w:t>
      </w:r>
      <w:r>
        <w:rPr>
          <w:rFonts w:hint="eastAsia"/>
          <w:sz w:val="24"/>
        </w:rPr>
        <w:t>南通市崇川区北大街108号金域商业中心T3楼24楼02室，如有变动另行通知。</w:t>
      </w:r>
    </w:p>
    <w:p>
      <w:pPr>
        <w:snapToGrid w:val="0"/>
        <w:spacing w:line="480" w:lineRule="exact"/>
        <w:ind w:firstLine="480" w:firstLineChars="200"/>
        <w:rPr>
          <w:b/>
          <w:sz w:val="24"/>
        </w:rPr>
      </w:pPr>
      <w:r>
        <w:rPr>
          <w:rFonts w:hint="eastAsia"/>
          <w:b/>
          <w:sz w:val="24"/>
        </w:rPr>
        <w:t>五、开启</w:t>
      </w:r>
    </w:p>
    <w:p>
      <w:pPr>
        <w:snapToGrid w:val="0"/>
        <w:spacing w:line="480" w:lineRule="exact"/>
        <w:ind w:firstLine="480" w:firstLineChars="200"/>
        <w:rPr>
          <w:sz w:val="24"/>
        </w:rPr>
      </w:pPr>
      <w:r>
        <w:rPr>
          <w:rFonts w:hint="eastAsia"/>
          <w:sz w:val="24"/>
        </w:rPr>
        <w:t>时间：</w:t>
      </w:r>
      <w:r>
        <w:rPr>
          <w:rFonts w:hint="eastAsia"/>
          <w:sz w:val="24"/>
          <w:u w:val="single"/>
          <w:lang w:eastAsia="zh-CN"/>
        </w:rPr>
        <w:t>2024年12月21日09点00分</w:t>
      </w:r>
      <w:r>
        <w:rPr>
          <w:sz w:val="24"/>
        </w:rPr>
        <w:t>（北京时间）</w:t>
      </w:r>
    </w:p>
    <w:p>
      <w:pPr>
        <w:snapToGrid w:val="0"/>
        <w:spacing w:line="480" w:lineRule="exact"/>
        <w:ind w:firstLine="480" w:firstLineChars="200"/>
        <w:rPr>
          <w:sz w:val="24"/>
        </w:rPr>
      </w:pPr>
      <w:r>
        <w:rPr>
          <w:rFonts w:hint="eastAsia"/>
          <w:sz w:val="24"/>
        </w:rPr>
        <w:t>地点：南通市崇川区北大街108号金域商业中心T3楼24楼02室，如有变动另行通知。</w:t>
      </w:r>
    </w:p>
    <w:p>
      <w:pPr>
        <w:snapToGrid w:val="0"/>
        <w:spacing w:line="480" w:lineRule="exact"/>
        <w:ind w:firstLine="480" w:firstLineChars="200"/>
        <w:rPr>
          <w:b/>
          <w:sz w:val="24"/>
        </w:rPr>
      </w:pPr>
      <w:r>
        <w:rPr>
          <w:rFonts w:hint="eastAsia"/>
          <w:b/>
          <w:sz w:val="24"/>
        </w:rPr>
        <w:t>六</w:t>
      </w:r>
      <w:r>
        <w:rPr>
          <w:b/>
          <w:sz w:val="24"/>
        </w:rPr>
        <w:t>、公告期限</w:t>
      </w:r>
    </w:p>
    <w:p>
      <w:pPr>
        <w:snapToGrid w:val="0"/>
        <w:spacing w:line="480" w:lineRule="exact"/>
        <w:ind w:firstLine="480" w:firstLineChars="200"/>
        <w:rPr>
          <w:sz w:val="24"/>
        </w:rPr>
      </w:pPr>
      <w:r>
        <w:rPr>
          <w:sz w:val="24"/>
        </w:rPr>
        <w:t>自本公告发布之日起</w:t>
      </w:r>
      <w:r>
        <w:rPr>
          <w:rFonts w:hint="eastAsia"/>
          <w:sz w:val="24"/>
        </w:rPr>
        <w:t>3</w:t>
      </w:r>
      <w:r>
        <w:rPr>
          <w:sz w:val="24"/>
        </w:rPr>
        <w:t>个工作日。</w:t>
      </w:r>
    </w:p>
    <w:p>
      <w:pPr>
        <w:snapToGrid w:val="0"/>
        <w:spacing w:line="480" w:lineRule="exact"/>
        <w:ind w:firstLine="480" w:firstLineChars="200"/>
        <w:rPr>
          <w:b/>
          <w:sz w:val="24"/>
        </w:rPr>
      </w:pPr>
      <w:r>
        <w:rPr>
          <w:rFonts w:hint="eastAsia"/>
          <w:b/>
          <w:sz w:val="24"/>
        </w:rPr>
        <w:t>七</w:t>
      </w:r>
      <w:r>
        <w:rPr>
          <w:b/>
          <w:sz w:val="24"/>
        </w:rPr>
        <w:t>、其他补充事宜</w:t>
      </w:r>
    </w:p>
    <w:p>
      <w:pPr>
        <w:snapToGrid w:val="0"/>
        <w:spacing w:line="480" w:lineRule="exact"/>
        <w:ind w:firstLine="480" w:firstLineChars="200"/>
        <w:rPr>
          <w:sz w:val="24"/>
        </w:rPr>
      </w:pPr>
      <w:r>
        <w:rPr>
          <w:sz w:val="24"/>
        </w:rPr>
        <w:t>1</w:t>
      </w:r>
      <w:r>
        <w:rPr>
          <w:rFonts w:hint="eastAsia"/>
          <w:sz w:val="24"/>
        </w:rPr>
        <w:t>.</w:t>
      </w:r>
      <w:r>
        <w:rPr>
          <w:sz w:val="24"/>
        </w:rPr>
        <w:t>保证金：免收</w:t>
      </w:r>
    </w:p>
    <w:p>
      <w:pPr>
        <w:snapToGrid w:val="0"/>
        <w:spacing w:line="480" w:lineRule="exact"/>
        <w:ind w:firstLine="480" w:firstLineChars="200"/>
        <w:rPr>
          <w:b/>
          <w:sz w:val="24"/>
        </w:rPr>
      </w:pPr>
      <w:r>
        <w:rPr>
          <w:sz w:val="24"/>
        </w:rPr>
        <w:t>2</w:t>
      </w:r>
      <w:r>
        <w:rPr>
          <w:rFonts w:hint="eastAsia"/>
          <w:sz w:val="24"/>
        </w:rPr>
        <w:t>.</w:t>
      </w:r>
      <w:r>
        <w:rPr>
          <w:sz w:val="24"/>
        </w:rPr>
        <w:t>项目</w:t>
      </w:r>
      <w:r>
        <w:rPr>
          <w:rFonts w:hint="eastAsia"/>
          <w:sz w:val="24"/>
        </w:rPr>
        <w:t>磋商</w:t>
      </w:r>
      <w:r>
        <w:rPr>
          <w:sz w:val="24"/>
        </w:rPr>
        <w:t>活动模式：</w:t>
      </w:r>
      <w:r>
        <w:rPr>
          <w:bCs/>
          <w:sz w:val="24"/>
        </w:rPr>
        <w:t>现场模式</w:t>
      </w:r>
    </w:p>
    <w:p>
      <w:pPr>
        <w:snapToGrid w:val="0"/>
        <w:spacing w:line="480" w:lineRule="exact"/>
        <w:ind w:firstLine="480" w:firstLineChars="200"/>
        <w:rPr>
          <w:sz w:val="24"/>
        </w:rPr>
      </w:pPr>
      <w:r>
        <w:rPr>
          <w:sz w:val="24"/>
        </w:rPr>
        <w:t>3</w:t>
      </w:r>
      <w:r>
        <w:rPr>
          <w:rFonts w:hint="eastAsia"/>
          <w:sz w:val="24"/>
        </w:rPr>
        <w:t>.</w:t>
      </w:r>
      <w:r>
        <w:rPr>
          <w:sz w:val="24"/>
        </w:rPr>
        <w:t>项目演示、样品、答辩等：</w:t>
      </w:r>
      <w:r>
        <w:rPr>
          <w:rFonts w:hint="eastAsia"/>
          <w:sz w:val="24"/>
          <w:lang w:val="en-US" w:eastAsia="zh-CN"/>
        </w:rPr>
        <w:t>无</w:t>
      </w:r>
    </w:p>
    <w:p>
      <w:pPr>
        <w:snapToGrid w:val="0"/>
        <w:spacing w:line="480" w:lineRule="exact"/>
        <w:ind w:firstLine="480" w:firstLineChars="200"/>
        <w:rPr>
          <w:sz w:val="24"/>
        </w:rPr>
      </w:pPr>
      <w:r>
        <w:rPr>
          <w:sz w:val="24"/>
        </w:rPr>
        <w:t>4</w:t>
      </w:r>
      <w:r>
        <w:rPr>
          <w:rFonts w:hint="eastAsia"/>
          <w:sz w:val="24"/>
        </w:rPr>
        <w:t>.</w:t>
      </w:r>
      <w:r>
        <w:rPr>
          <w:sz w:val="24"/>
        </w:rPr>
        <w:t>对项目需求部分（供应商其他资格要求、项目需求、评分标准）的询问、质疑请向采购人提出，由采购人负责答复；对项目</w:t>
      </w:r>
      <w:r>
        <w:rPr>
          <w:rFonts w:hint="eastAsia"/>
          <w:sz w:val="24"/>
        </w:rPr>
        <w:t>采购</w:t>
      </w:r>
      <w:r>
        <w:rPr>
          <w:sz w:val="24"/>
        </w:rPr>
        <w:t>文件其它部分的询问请向</w:t>
      </w:r>
      <w:r>
        <w:rPr>
          <w:rFonts w:hint="eastAsia"/>
          <w:sz w:val="24"/>
        </w:rPr>
        <w:t>采购</w:t>
      </w:r>
      <w:r>
        <w:rPr>
          <w:sz w:val="24"/>
        </w:rPr>
        <w:t>人或项目</w:t>
      </w:r>
      <w:r>
        <w:rPr>
          <w:rFonts w:hint="eastAsia"/>
          <w:sz w:val="24"/>
        </w:rPr>
        <w:t>联系</w:t>
      </w:r>
      <w:r>
        <w:rPr>
          <w:sz w:val="24"/>
        </w:rPr>
        <w:t>人提出。</w:t>
      </w:r>
    </w:p>
    <w:p>
      <w:pPr>
        <w:snapToGrid w:val="0"/>
        <w:spacing w:line="480" w:lineRule="exact"/>
        <w:ind w:firstLine="480" w:firstLineChars="200"/>
        <w:rPr>
          <w:sz w:val="24"/>
        </w:rPr>
      </w:pPr>
      <w:r>
        <w:rPr>
          <w:rFonts w:hint="eastAsia"/>
          <w:sz w:val="24"/>
        </w:rPr>
        <w:t>5.</w:t>
      </w:r>
      <w:r>
        <w:rPr>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napToGrid w:val="0"/>
        <w:spacing w:line="480" w:lineRule="exact"/>
        <w:ind w:firstLine="480" w:firstLineChars="200"/>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pPr>
        <w:widowControl/>
        <w:shd w:val="clear" w:color="auto" w:fill="FFFFFF"/>
        <w:adjustRightInd w:val="0"/>
        <w:snapToGrid w:val="0"/>
        <w:spacing w:line="480" w:lineRule="exact"/>
        <w:ind w:firstLine="480" w:firstLineChars="200"/>
        <w:jc w:val="left"/>
        <w:rPr>
          <w:sz w:val="24"/>
        </w:rPr>
      </w:pPr>
      <w:r>
        <w:rPr>
          <w:sz w:val="24"/>
        </w:rPr>
        <w:t>1</w:t>
      </w:r>
      <w:r>
        <w:rPr>
          <w:rFonts w:hint="eastAsia"/>
          <w:sz w:val="24"/>
        </w:rPr>
        <w:t>. 采购人信息</w:t>
      </w:r>
    </w:p>
    <w:p>
      <w:pPr>
        <w:widowControl/>
        <w:shd w:val="clear" w:color="auto" w:fill="FFFFFF"/>
        <w:adjustRightInd w:val="0"/>
        <w:snapToGrid w:val="0"/>
        <w:spacing w:line="480" w:lineRule="exact"/>
        <w:ind w:firstLine="480" w:firstLineChars="200"/>
        <w:jc w:val="left"/>
        <w:rPr>
          <w:sz w:val="24"/>
        </w:rPr>
      </w:pPr>
      <w:r>
        <w:rPr>
          <w:rFonts w:hint="eastAsia"/>
          <w:sz w:val="24"/>
        </w:rPr>
        <w:t>名称：南通开放大学</w:t>
      </w:r>
    </w:p>
    <w:p>
      <w:pPr>
        <w:widowControl/>
        <w:shd w:val="clear" w:color="auto" w:fill="FFFFFF"/>
        <w:adjustRightInd w:val="0"/>
        <w:snapToGrid w:val="0"/>
        <w:spacing w:line="480" w:lineRule="exact"/>
        <w:ind w:firstLine="480" w:firstLineChars="200"/>
        <w:jc w:val="left"/>
        <w:rPr>
          <w:sz w:val="24"/>
        </w:rPr>
      </w:pPr>
      <w:r>
        <w:rPr>
          <w:rFonts w:hint="eastAsia"/>
          <w:sz w:val="24"/>
        </w:rPr>
        <w:t>联系方式：</w:t>
      </w:r>
      <w:r>
        <w:rPr>
          <w:rFonts w:hint="eastAsia"/>
          <w:sz w:val="24"/>
          <w:lang w:val="en-US" w:eastAsia="zh-CN"/>
        </w:rPr>
        <w:t>姜</w:t>
      </w:r>
      <w:r>
        <w:rPr>
          <w:rFonts w:hint="eastAsia"/>
          <w:sz w:val="24"/>
        </w:rPr>
        <w:t>老师89090630、</w:t>
      </w:r>
      <w:r>
        <w:rPr>
          <w:rFonts w:hint="eastAsia"/>
          <w:sz w:val="24"/>
          <w:lang w:val="en-US" w:eastAsia="zh-CN"/>
        </w:rPr>
        <w:t>吴</w:t>
      </w:r>
      <w:r>
        <w:rPr>
          <w:rFonts w:hint="eastAsia"/>
          <w:sz w:val="24"/>
        </w:rPr>
        <w:t>老师83559922</w:t>
      </w:r>
    </w:p>
    <w:p>
      <w:pPr>
        <w:widowControl/>
        <w:shd w:val="clear" w:color="auto" w:fill="FFFFFF"/>
        <w:adjustRightInd w:val="0"/>
        <w:snapToGrid w:val="0"/>
        <w:spacing w:line="480" w:lineRule="exact"/>
        <w:ind w:firstLine="480" w:firstLineChars="200"/>
        <w:jc w:val="left"/>
        <w:rPr>
          <w:sz w:val="24"/>
        </w:rPr>
      </w:pPr>
      <w:r>
        <w:rPr>
          <w:rFonts w:hint="eastAsia"/>
          <w:sz w:val="24"/>
        </w:rPr>
        <w:t>2.采购代理机构信息</w:t>
      </w:r>
    </w:p>
    <w:p>
      <w:pPr>
        <w:widowControl/>
        <w:shd w:val="clear" w:color="auto" w:fill="FFFFFF"/>
        <w:adjustRightInd w:val="0"/>
        <w:snapToGrid w:val="0"/>
        <w:spacing w:line="480" w:lineRule="exact"/>
        <w:ind w:firstLine="480" w:firstLineChars="200"/>
        <w:jc w:val="left"/>
        <w:rPr>
          <w:sz w:val="24"/>
        </w:rPr>
      </w:pPr>
      <w:r>
        <w:rPr>
          <w:rFonts w:hint="eastAsia"/>
          <w:sz w:val="24"/>
        </w:rPr>
        <w:t>名称：江苏西亚项目管理咨询有限公司</w:t>
      </w:r>
    </w:p>
    <w:p>
      <w:pPr>
        <w:widowControl/>
        <w:shd w:val="clear" w:color="auto" w:fill="FFFFFF"/>
        <w:adjustRightInd w:val="0"/>
        <w:snapToGrid w:val="0"/>
        <w:spacing w:line="480" w:lineRule="exact"/>
        <w:ind w:firstLine="480" w:firstLineChars="200"/>
        <w:jc w:val="left"/>
        <w:rPr>
          <w:sz w:val="24"/>
        </w:rPr>
      </w:pPr>
      <w:r>
        <w:rPr>
          <w:rFonts w:hint="eastAsia"/>
          <w:sz w:val="24"/>
        </w:rPr>
        <w:t>地址：南通市北大街万科金域广场T3楼24楼02室</w:t>
      </w:r>
    </w:p>
    <w:p>
      <w:pPr>
        <w:widowControl/>
        <w:shd w:val="clear" w:color="auto" w:fill="FFFFFF"/>
        <w:adjustRightInd w:val="0"/>
        <w:snapToGrid w:val="0"/>
        <w:spacing w:line="480" w:lineRule="exact"/>
        <w:ind w:firstLine="480" w:firstLineChars="200"/>
        <w:jc w:val="left"/>
        <w:rPr>
          <w:sz w:val="24"/>
        </w:rPr>
      </w:pPr>
      <w:r>
        <w:rPr>
          <w:rFonts w:hint="eastAsia"/>
          <w:sz w:val="24"/>
        </w:rPr>
        <w:t xml:space="preserve">联系方式：徐玲18962990275 </w:t>
      </w:r>
    </w:p>
    <w:bookmarkEnd w:id="0"/>
    <w:p>
      <w:pPr>
        <w:snapToGrid w:val="0"/>
        <w:spacing w:line="480" w:lineRule="exact"/>
        <w:contextualSpacing/>
        <w:jc w:val="center"/>
        <w:rPr>
          <w:rFonts w:ascii="仿宋_GB2312" w:eastAsia="仿宋_GB2312"/>
          <w:b/>
          <w:sz w:val="28"/>
          <w:szCs w:val="28"/>
        </w:rPr>
      </w:pPr>
      <w:r>
        <w:rPr>
          <w:rFonts w:ascii="仿宋_GB2312" w:eastAsia="仿宋_GB2312"/>
          <w:sz w:val="36"/>
          <w:szCs w:val="36"/>
          <w:lang w:val="zh-CN"/>
        </w:rPr>
        <w:br w:type="page"/>
      </w:r>
      <w:r>
        <w:rPr>
          <w:rFonts w:hint="eastAsia" w:ascii="仿宋_GB2312" w:eastAsia="仿宋_GB2312"/>
          <w:b/>
          <w:bCs/>
          <w:sz w:val="36"/>
          <w:szCs w:val="36"/>
          <w:lang w:val="zh-CN"/>
        </w:rPr>
        <w:t>第二部分 磋商须知</w:t>
      </w:r>
    </w:p>
    <w:p>
      <w:pPr>
        <w:autoSpaceDE w:val="0"/>
        <w:autoSpaceDN w:val="0"/>
        <w:adjustRightInd w:val="0"/>
        <w:snapToGrid w:val="0"/>
        <w:spacing w:line="300" w:lineRule="auto"/>
        <w:contextualSpacing/>
        <w:rPr>
          <w:rFonts w:ascii="黑体" w:eastAsia="黑体"/>
          <w:b/>
          <w:bCs/>
          <w:sz w:val="28"/>
          <w:szCs w:val="28"/>
          <w:lang w:val="zh-CN"/>
        </w:rPr>
      </w:pPr>
    </w:p>
    <w:p>
      <w:pPr>
        <w:snapToGrid w:val="0"/>
        <w:spacing w:line="480" w:lineRule="exact"/>
        <w:ind w:firstLine="480" w:firstLineChars="200"/>
        <w:contextualSpacing/>
        <w:outlineLvl w:val="0"/>
        <w:rPr>
          <w:b/>
          <w:sz w:val="24"/>
        </w:rPr>
      </w:pPr>
      <w:r>
        <w:rPr>
          <w:b/>
          <w:sz w:val="24"/>
        </w:rPr>
        <w:t>一、本磋商文件由采购人或采购代理机构解释。</w:t>
      </w:r>
    </w:p>
    <w:p>
      <w:pPr>
        <w:snapToGrid w:val="0"/>
        <w:spacing w:line="480" w:lineRule="exact"/>
        <w:ind w:firstLine="480" w:firstLineChars="200"/>
        <w:contextualSpacing/>
        <w:rPr>
          <w:b/>
          <w:sz w:val="24"/>
        </w:rPr>
      </w:pPr>
      <w:r>
        <w:rPr>
          <w:sz w:val="24"/>
        </w:rPr>
        <w:t>1、供应商</w:t>
      </w:r>
      <w:r>
        <w:rPr>
          <w:rFonts w:hint="eastAsia"/>
          <w:sz w:val="24"/>
          <w:lang w:eastAsia="zh-Hans"/>
        </w:rPr>
        <w:t>获取</w:t>
      </w:r>
      <w:r>
        <w:rPr>
          <w:sz w:val="24"/>
        </w:rPr>
        <w:t>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sz w:val="24"/>
        </w:rPr>
      </w:pPr>
      <w:r>
        <w:rPr>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0" w:firstLineChars="200"/>
        <w:contextualSpacing/>
        <w:rPr>
          <w:b/>
          <w:sz w:val="24"/>
        </w:rPr>
      </w:pPr>
      <w:r>
        <w:rPr>
          <w:b/>
          <w:sz w:val="24"/>
        </w:rPr>
        <w:t>二、磋商文件的澄清、修改、答疑</w:t>
      </w:r>
    </w:p>
    <w:p>
      <w:pPr>
        <w:pStyle w:val="11"/>
        <w:snapToGrid w:val="0"/>
        <w:spacing w:line="480" w:lineRule="exact"/>
        <w:ind w:left="0" w:leftChars="0" w:firstLine="480" w:firstLineChars="20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11"/>
        <w:snapToGrid w:val="0"/>
        <w:spacing w:line="480" w:lineRule="exact"/>
        <w:ind w:left="0" w:leftChars="0" w:firstLine="480" w:firstLineChars="20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pPr>
        <w:pStyle w:val="11"/>
        <w:snapToGrid w:val="0"/>
        <w:spacing w:line="480" w:lineRule="exact"/>
        <w:ind w:left="0" w:leftChars="0" w:firstLine="480" w:firstLineChars="200"/>
        <w:contextualSpacing/>
        <w:rPr>
          <w:sz w:val="24"/>
        </w:rPr>
      </w:pPr>
      <w:r>
        <w:rPr>
          <w:sz w:val="24"/>
          <w:lang w:val="zh-CN"/>
        </w:rPr>
        <w:t>采购单位可视情组织答疑会。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三、响应文件的编写、递交、上传</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pPr>
        <w:snapToGrid w:val="0"/>
        <w:spacing w:line="480" w:lineRule="exact"/>
        <w:ind w:firstLine="480"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1、响应文件三部分内容（资格审查文件、商务技术文件、报价文件）须分别单独密封，</w:t>
      </w:r>
      <w:r>
        <w:rPr>
          <w:sz w:val="24"/>
          <w:lang w:val="zh-CN"/>
        </w:rPr>
        <w:t>并牢</w:t>
      </w:r>
      <w:r>
        <w:rPr>
          <w:sz w:val="24"/>
        </w:rPr>
        <w:t>固装订成册，不得相互混淆，文件自编目录并连续标注页码，不得将内容拆开。报价文件不得出现于其他磋商文件中。</w:t>
      </w:r>
    </w:p>
    <w:p>
      <w:pPr>
        <w:snapToGrid w:val="0"/>
        <w:spacing w:line="480" w:lineRule="exact"/>
        <w:ind w:firstLine="480" w:firstLineChars="200"/>
        <w:rPr>
          <w:sz w:val="24"/>
        </w:rPr>
      </w:pPr>
      <w:r>
        <w:rPr>
          <w:sz w:val="24"/>
        </w:rPr>
        <w:t>2、响应文件每一部分内容均须提供“</w:t>
      </w:r>
      <w:r>
        <w:rPr>
          <w:b/>
          <w:sz w:val="24"/>
        </w:rPr>
        <w:t>一正</w:t>
      </w:r>
      <w:r>
        <w:rPr>
          <w:rFonts w:hint="eastAsia"/>
          <w:b/>
          <w:sz w:val="24"/>
          <w:u w:val="single"/>
          <w:lang w:eastAsia="zh-Hans"/>
        </w:rPr>
        <w:t>二</w:t>
      </w:r>
      <w:r>
        <w:rPr>
          <w:b/>
          <w:sz w:val="24"/>
        </w:rPr>
        <w:t>副”</w:t>
      </w:r>
      <w:r>
        <w:rPr>
          <w:sz w:val="24"/>
        </w:rPr>
        <w:t>纸质响应文件。</w:t>
      </w:r>
    </w:p>
    <w:p>
      <w:pPr>
        <w:snapToGrid w:val="0"/>
        <w:spacing w:line="480" w:lineRule="exact"/>
        <w:ind w:firstLine="480" w:firstLineChars="200"/>
        <w:rPr>
          <w:sz w:val="24"/>
        </w:rPr>
      </w:pPr>
      <w:r>
        <w:rPr>
          <w:rFonts w:hint="eastAsia"/>
          <w:sz w:val="24"/>
        </w:rPr>
        <w:t>3</w:t>
      </w:r>
      <w:r>
        <w:rPr>
          <w:sz w:val="24"/>
        </w:rPr>
        <w:t>、</w:t>
      </w:r>
      <w:r>
        <w:rPr>
          <w:rFonts w:hint="eastAsia"/>
          <w:sz w:val="24"/>
        </w:rPr>
        <w:t>密封后，应在每一密封的响应文件上明确标注采购项目名称、响应文件各自对应的名称（</w:t>
      </w:r>
      <w:r>
        <w:rPr>
          <w:sz w:val="24"/>
        </w:rPr>
        <w:t>（资格审查文件</w:t>
      </w:r>
      <w:r>
        <w:rPr>
          <w:rFonts w:hint="eastAsia"/>
          <w:sz w:val="24"/>
        </w:rPr>
        <w:t>/</w:t>
      </w:r>
      <w:r>
        <w:rPr>
          <w:sz w:val="24"/>
        </w:rPr>
        <w:t>商务技术文件</w:t>
      </w:r>
      <w:r>
        <w:rPr>
          <w:rFonts w:hint="eastAsia"/>
          <w:sz w:val="24"/>
        </w:rPr>
        <w:t>/</w:t>
      </w:r>
      <w:r>
        <w:rPr>
          <w:sz w:val="24"/>
        </w:rPr>
        <w:t>报价文件）</w:t>
      </w:r>
      <w:r>
        <w:rPr>
          <w:rFonts w:hint="eastAsia"/>
          <w:sz w:val="24"/>
        </w:rPr>
        <w:t>、供应商全称及日期，同时加盖供应商公章或骑缝签字。</w:t>
      </w:r>
    </w:p>
    <w:p>
      <w:pPr>
        <w:snapToGrid w:val="0"/>
        <w:spacing w:line="480" w:lineRule="exact"/>
        <w:ind w:firstLine="480" w:firstLineChars="200"/>
        <w:contextualSpacing/>
        <w:rPr>
          <w:sz w:val="24"/>
        </w:rPr>
      </w:pPr>
      <w:r>
        <w:rPr>
          <w:rFonts w:hint="eastAsia"/>
          <w:sz w:val="24"/>
        </w:rPr>
        <w:t>4</w:t>
      </w:r>
      <w:r>
        <w:rPr>
          <w:sz w:val="24"/>
        </w:rPr>
        <w:t>、纸质响应文件须</w:t>
      </w:r>
      <w:r>
        <w:rPr>
          <w:sz w:val="24"/>
          <w:lang w:val="zh-CN"/>
        </w:rPr>
        <w:t>采用A4纸（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5、递交时间：供应商须在规定的响应文件接收截止时间前送达指定地点。</w:t>
      </w:r>
    </w:p>
    <w:p>
      <w:pPr>
        <w:snapToGrid w:val="0"/>
        <w:spacing w:line="460" w:lineRule="exact"/>
        <w:ind w:firstLine="480" w:firstLineChars="200"/>
        <w:outlineLvl w:val="1"/>
        <w:rPr>
          <w:rFonts w:hint="eastAsia" w:ascii="宋体" w:hAnsi="宋体" w:cs="宋体"/>
          <w:b/>
          <w:bCs/>
          <w:sz w:val="24"/>
        </w:rPr>
      </w:pPr>
      <w:r>
        <w:rPr>
          <w:rFonts w:hint="eastAsia" w:ascii="宋体" w:hAnsi="宋体" w:cs="宋体"/>
          <w:b/>
          <w:bCs/>
          <w:sz w:val="24"/>
        </w:rPr>
        <w:t>四、响应文件的有效期</w:t>
      </w:r>
    </w:p>
    <w:p>
      <w:pPr>
        <w:snapToGrid w:val="0"/>
        <w:spacing w:line="460" w:lineRule="exact"/>
        <w:ind w:firstLine="480" w:firstLineChars="200"/>
        <w:rPr>
          <w:rFonts w:hint="eastAsia" w:ascii="宋体" w:hAnsi="宋体" w:cs="宋体"/>
          <w:sz w:val="24"/>
        </w:rPr>
      </w:pPr>
      <w:r>
        <w:rPr>
          <w:rFonts w:hint="eastAsia" w:ascii="宋体" w:hAnsi="宋体" w:cs="宋体"/>
          <w:sz w:val="24"/>
        </w:rPr>
        <w:t>1、从响应文件接收截止之日算起，</w:t>
      </w:r>
      <w:r>
        <w:rPr>
          <w:rFonts w:ascii="宋体" w:hAnsi="宋体" w:cs="宋体"/>
          <w:b/>
          <w:sz w:val="24"/>
          <w:u w:val="single"/>
        </w:rPr>
        <w:t>45</w:t>
      </w:r>
      <w:r>
        <w:rPr>
          <w:rFonts w:hint="eastAsia" w:ascii="宋体" w:hAnsi="宋体" w:cs="宋体"/>
          <w:sz w:val="24"/>
        </w:rPr>
        <w:t>个“日历天”内响应文件应保持有效。有效期短于这个规定期限的，投标将被拒绝。</w:t>
      </w:r>
    </w:p>
    <w:p>
      <w:pPr>
        <w:snapToGrid w:val="0"/>
        <w:spacing w:line="460" w:lineRule="exact"/>
        <w:ind w:firstLine="470" w:firstLineChars="196"/>
        <w:outlineLvl w:val="1"/>
        <w:rPr>
          <w:rFonts w:hint="eastAsia" w:ascii="宋体" w:hAnsi="宋体" w:cs="宋体"/>
          <w:b/>
          <w:sz w:val="24"/>
        </w:rPr>
      </w:pPr>
      <w:r>
        <w:rPr>
          <w:rFonts w:hint="eastAsia" w:ascii="宋体" w:hAnsi="宋体" w:cs="宋体"/>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pPr>
        <w:snapToGrid w:val="0"/>
        <w:spacing w:line="480" w:lineRule="exact"/>
        <w:ind w:firstLine="601" w:firstLineChars="250"/>
        <w:contextualSpacing/>
        <w:rPr>
          <w:b/>
          <w:sz w:val="24"/>
        </w:rPr>
      </w:pPr>
      <w:r>
        <w:rPr>
          <w:rFonts w:hint="eastAsia"/>
          <w:b/>
          <w:sz w:val="24"/>
        </w:rPr>
        <w:t>五</w:t>
      </w:r>
      <w:r>
        <w:rPr>
          <w:b/>
          <w:sz w:val="24"/>
        </w:rPr>
        <w:t>、报价准备</w:t>
      </w:r>
    </w:p>
    <w:p>
      <w:pPr>
        <w:pStyle w:val="28"/>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1、磋商结束后，供应商就所有内容进行最后报价，少报无效。</w:t>
      </w:r>
    </w:p>
    <w:p>
      <w:pPr>
        <w:pStyle w:val="28"/>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 xml:space="preserve">2、最后报价应包括本项目的全部费用 (含一切必须的辅助材料费用)及相关服务费等。 </w:t>
      </w:r>
    </w:p>
    <w:p>
      <w:pPr>
        <w:pStyle w:val="28"/>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3、最后报价将作为磋商小组评定成交供应商的组成依据。</w:t>
      </w:r>
    </w:p>
    <w:p>
      <w:pPr>
        <w:snapToGrid w:val="0"/>
        <w:spacing w:line="480" w:lineRule="exact"/>
        <w:ind w:firstLine="480" w:firstLineChars="200"/>
        <w:rPr>
          <w:sz w:val="24"/>
        </w:rPr>
      </w:pPr>
      <w:r>
        <w:rPr>
          <w:rFonts w:hint="eastAsia"/>
          <w:b/>
          <w:sz w:val="24"/>
          <w:lang w:val="zh-CN"/>
        </w:rPr>
        <w:t>六</w:t>
      </w:r>
      <w:r>
        <w:rPr>
          <w:b/>
          <w:sz w:val="24"/>
          <w:lang w:val="zh-CN"/>
        </w:rPr>
        <w:t>、</w:t>
      </w:r>
      <w:r>
        <w:rPr>
          <w:b/>
          <w:bCs/>
          <w:sz w:val="24"/>
        </w:rPr>
        <w:t>相关费用</w:t>
      </w:r>
    </w:p>
    <w:p>
      <w:pPr>
        <w:snapToGrid w:val="0"/>
        <w:spacing w:line="480" w:lineRule="exact"/>
        <w:ind w:firstLine="480" w:firstLineChars="200"/>
        <w:contextualSpacing/>
        <w:rPr>
          <w:sz w:val="24"/>
        </w:rPr>
      </w:pPr>
      <w:r>
        <w:rPr>
          <w:sz w:val="24"/>
        </w:rPr>
        <w:t>1、供应商承担参与磋商可能发生的全部费用，采购人在任何情况下均无义务和责任承担这些费用。</w:t>
      </w:r>
    </w:p>
    <w:p>
      <w:pPr>
        <w:snapToGrid w:val="0"/>
        <w:spacing w:line="480" w:lineRule="exact"/>
        <w:ind w:firstLine="480" w:firstLineChars="200"/>
        <w:contextualSpacing/>
        <w:rPr>
          <w:sz w:val="24"/>
        </w:rPr>
      </w:pPr>
      <w:r>
        <w:rPr>
          <w:sz w:val="24"/>
        </w:rPr>
        <w:t>2、采购人不收取任何费用。</w:t>
      </w:r>
    </w:p>
    <w:p>
      <w:pPr>
        <w:snapToGrid w:val="0"/>
        <w:spacing w:line="440" w:lineRule="exact"/>
        <w:ind w:firstLine="480" w:firstLineChars="200"/>
        <w:outlineLvl w:val="1"/>
        <w:rPr>
          <w:bCs/>
          <w:sz w:val="24"/>
        </w:rPr>
      </w:pPr>
      <w:r>
        <w:rPr>
          <w:rFonts w:hint="eastAsia"/>
          <w:bCs/>
          <w:sz w:val="24"/>
        </w:rPr>
        <w:t>3、文件费：300元/份，递交响应文件时缴纳给代理机构。</w:t>
      </w:r>
    </w:p>
    <w:p>
      <w:pPr>
        <w:snapToGrid w:val="0"/>
        <w:spacing w:line="440" w:lineRule="exact"/>
        <w:ind w:firstLine="480" w:firstLineChars="200"/>
        <w:outlineLvl w:val="1"/>
        <w:rPr>
          <w:bCs/>
          <w:sz w:val="24"/>
        </w:rPr>
      </w:pPr>
      <w:r>
        <w:rPr>
          <w:rFonts w:hint="eastAsia"/>
          <w:bCs/>
          <w:sz w:val="24"/>
        </w:rPr>
        <w:t>4、采购代理费：按</w:t>
      </w:r>
      <w:r>
        <w:rPr>
          <w:rFonts w:hint="eastAsia"/>
          <w:bCs/>
          <w:sz w:val="24"/>
          <w:lang w:val="en-US" w:eastAsia="zh-CN"/>
        </w:rPr>
        <w:t>3</w:t>
      </w:r>
      <w:r>
        <w:rPr>
          <w:rFonts w:hint="eastAsia"/>
          <w:bCs/>
          <w:sz w:val="24"/>
        </w:rPr>
        <w:t>000元计收，由</w:t>
      </w:r>
      <w:r>
        <w:rPr>
          <w:rFonts w:hint="eastAsia"/>
          <w:bCs/>
          <w:sz w:val="24"/>
          <w:lang w:eastAsia="zh-Hans"/>
        </w:rPr>
        <w:t>成交</w:t>
      </w:r>
      <w:r>
        <w:rPr>
          <w:rFonts w:hint="eastAsia"/>
          <w:bCs/>
          <w:sz w:val="24"/>
        </w:rPr>
        <w:t>人支付；专家费按实结算，由</w:t>
      </w:r>
      <w:r>
        <w:rPr>
          <w:rFonts w:hint="eastAsia"/>
          <w:bCs/>
          <w:sz w:val="24"/>
          <w:lang w:eastAsia="zh-Hans"/>
        </w:rPr>
        <w:t>成交人</w:t>
      </w:r>
      <w:r>
        <w:rPr>
          <w:rFonts w:hint="eastAsia"/>
          <w:bCs/>
          <w:sz w:val="24"/>
        </w:rPr>
        <w:t>承担</w:t>
      </w:r>
      <w:r>
        <w:rPr>
          <w:bCs/>
          <w:sz w:val="24"/>
        </w:rPr>
        <w:t>。</w:t>
      </w:r>
      <w:r>
        <w:rPr>
          <w:rFonts w:hint="eastAsia"/>
          <w:bCs/>
          <w:sz w:val="24"/>
        </w:rPr>
        <w:t xml:space="preserve">    </w:t>
      </w:r>
    </w:p>
    <w:p>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第三部分 项目需求</w:t>
      </w:r>
    </w:p>
    <w:p>
      <w:pPr>
        <w:adjustRightInd w:val="0"/>
        <w:snapToGrid w:val="0"/>
        <w:spacing w:line="500" w:lineRule="exact"/>
        <w:ind w:firstLine="480" w:firstLineChars="200"/>
        <w:rPr>
          <w:rFonts w:ascii="宋体" w:cs="宋体"/>
          <w:b/>
          <w:kern w:val="0"/>
          <w:sz w:val="24"/>
          <w:lang w:val="zh-CN"/>
        </w:rPr>
      </w:pPr>
      <w:r>
        <w:rPr>
          <w:rFonts w:hint="eastAsia"/>
          <w:b/>
          <w:sz w:val="24"/>
        </w:rPr>
        <w:t>供应商</w:t>
      </w:r>
      <w:r>
        <w:rPr>
          <w:b/>
          <w:sz w:val="24"/>
          <w:lang w:val="zh-CN"/>
        </w:rPr>
        <w:t>在制作</w:t>
      </w:r>
      <w:r>
        <w:rPr>
          <w:rFonts w:hint="eastAsia"/>
          <w:b/>
          <w:sz w:val="24"/>
        </w:rPr>
        <w:t>响应</w:t>
      </w:r>
      <w:r>
        <w:rPr>
          <w:b/>
          <w:sz w:val="24"/>
          <w:lang w:val="zh-CN"/>
        </w:rPr>
        <w:t>文件时仔细研究项目需求说明。项目需求包括技术要求和商务要求:技术要求是指对采购标的功能和质量要求，包括性能、材料、结构、外观、安全，或者服务内容和标准等</w:t>
      </w:r>
      <w:r>
        <w:rPr>
          <w:rFonts w:hint="eastAsia"/>
          <w:b/>
          <w:sz w:val="24"/>
          <w:lang w:val="zh-CN"/>
        </w:rPr>
        <w:t>；</w:t>
      </w:r>
      <w:r>
        <w:rPr>
          <w:b/>
          <w:sz w:val="24"/>
          <w:lang w:val="zh-CN"/>
        </w:rPr>
        <w:t>商务要求是指取得采购标的的时间、地点、财务和服务要求，包括交付（实施）的时间（期限）和地点（范围），付款条件（进度和方法），</w:t>
      </w:r>
      <w:r>
        <w:rPr>
          <w:rFonts w:hint="eastAsia"/>
          <w:b/>
          <w:sz w:val="24"/>
        </w:rPr>
        <w:t>商品</w:t>
      </w:r>
      <w:r>
        <w:rPr>
          <w:b/>
          <w:sz w:val="24"/>
          <w:lang w:val="zh-CN"/>
        </w:rPr>
        <w:t>包装</w:t>
      </w:r>
      <w:r>
        <w:rPr>
          <w:rFonts w:hint="eastAsia"/>
          <w:b/>
          <w:sz w:val="24"/>
          <w:lang w:val="zh-CN"/>
        </w:rPr>
        <w:t>、</w:t>
      </w:r>
      <w:r>
        <w:rPr>
          <w:rFonts w:hint="eastAsia"/>
          <w:b/>
          <w:sz w:val="24"/>
        </w:rPr>
        <w:t>快递包装</w:t>
      </w:r>
      <w:r>
        <w:rPr>
          <w:b/>
          <w:sz w:val="24"/>
          <w:lang w:val="zh-CN"/>
        </w:rPr>
        <w:t>和运输，售后服务，保险等。</w:t>
      </w:r>
    </w:p>
    <w:p>
      <w:pPr>
        <w:pStyle w:val="28"/>
        <w:snapToGrid w:val="0"/>
        <w:spacing w:line="480" w:lineRule="exact"/>
        <w:ind w:firstLine="480" w:firstLineChars="200"/>
        <w:rPr>
          <w:rFonts w:hint="eastAsia" w:ascii="宋体" w:eastAsia="宋体" w:cs="宋体"/>
          <w:kern w:val="0"/>
          <w:sz w:val="24"/>
          <w:szCs w:val="24"/>
          <w:lang w:val="zh-CN"/>
        </w:rPr>
      </w:pPr>
      <w:r>
        <w:rPr>
          <w:rFonts w:hint="eastAsia" w:ascii="宋体" w:eastAsia="宋体" w:cs="宋体"/>
          <w:b/>
          <w:kern w:val="0"/>
          <w:sz w:val="24"/>
          <w:szCs w:val="24"/>
          <w:lang w:val="zh-CN"/>
        </w:rPr>
        <w:t>请供应商在制作响应文件时仔细研究项目需求说明。</w:t>
      </w:r>
      <w:r>
        <w:rPr>
          <w:rFonts w:hint="eastAsia" w:ascii="宋体" w:eastAsia="宋体" w:cs="宋体"/>
          <w:kern w:val="0"/>
          <w:sz w:val="24"/>
          <w:szCs w:val="24"/>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eastAsia="宋体"/>
          <w:sz w:val="24"/>
          <w:szCs w:val="24"/>
        </w:rPr>
        <w:t>务部分正负偏离表》和《技术部分正负偏离表》上明示，如不明示的视同完全响应</w:t>
      </w:r>
      <w:r>
        <w:rPr>
          <w:rFonts w:hint="eastAsia" w:ascii="宋体" w:eastAsia="宋体" w:cs="宋体"/>
          <w:kern w:val="0"/>
          <w:sz w:val="24"/>
          <w:szCs w:val="24"/>
          <w:lang w:val="zh-CN"/>
        </w:rPr>
        <w:t>。</w:t>
      </w:r>
    </w:p>
    <w:p>
      <w:pPr>
        <w:pStyle w:val="7"/>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eastAsia="zh-CN"/>
        </w:rPr>
        <w:t>一、</w:t>
      </w:r>
      <w:r>
        <w:rPr>
          <w:rFonts w:hint="eastAsia" w:ascii="宋体" w:hAnsi="宋体" w:eastAsia="宋体" w:cs="宋体"/>
          <w:b/>
          <w:bCs/>
          <w:kern w:val="0"/>
          <w:sz w:val="24"/>
          <w:szCs w:val="24"/>
          <w:lang w:val="zh-CN"/>
        </w:rPr>
        <w:t>采购清单</w:t>
      </w:r>
    </w:p>
    <w:tbl>
      <w:tblPr>
        <w:tblStyle w:val="21"/>
        <w:tblW w:w="4405" w:type="pct"/>
        <w:jc w:val="center"/>
        <w:tblLayout w:type="fixed"/>
        <w:tblCellMar>
          <w:top w:w="0" w:type="dxa"/>
          <w:left w:w="108" w:type="dxa"/>
          <w:bottom w:w="0" w:type="dxa"/>
          <w:right w:w="108" w:type="dxa"/>
        </w:tblCellMar>
      </w:tblPr>
      <w:tblGrid>
        <w:gridCol w:w="1482"/>
        <w:gridCol w:w="4053"/>
        <w:gridCol w:w="1435"/>
        <w:gridCol w:w="912"/>
      </w:tblGrid>
      <w:tr>
        <w:trPr>
          <w:trHeight w:val="527"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textAlignment w:val="bottom"/>
              <w:rPr>
                <w:rFonts w:hint="eastAsia" w:ascii="宋体" w:hAnsi="宋体" w:eastAsia="宋体" w:cs="宋体"/>
                <w:kern w:val="0"/>
                <w:sz w:val="24"/>
                <w:szCs w:val="24"/>
                <w:lang w:val="zh-CN"/>
              </w:rPr>
            </w:pPr>
            <w:r>
              <w:rPr>
                <w:rFonts w:hint="eastAsia" w:ascii="宋体" w:hAnsi="宋体" w:eastAsia="宋体" w:cs="宋体"/>
                <w:kern w:val="0"/>
                <w:sz w:val="24"/>
                <w:szCs w:val="24"/>
                <w:lang w:val="zh-CN" w:bidi="ar-SA"/>
              </w:rPr>
              <w:t>序号</w:t>
            </w:r>
          </w:p>
        </w:tc>
        <w:tc>
          <w:tcPr>
            <w:tcW w:w="2571"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textAlignment w:val="bottom"/>
              <w:rPr>
                <w:rFonts w:hint="eastAsia" w:ascii="宋体" w:hAnsi="宋体" w:eastAsia="宋体" w:cs="宋体"/>
                <w:kern w:val="0"/>
                <w:sz w:val="24"/>
                <w:szCs w:val="24"/>
                <w:lang w:val="zh-CN"/>
              </w:rPr>
            </w:pPr>
            <w:r>
              <w:rPr>
                <w:rFonts w:hint="eastAsia" w:ascii="宋体" w:hAnsi="宋体" w:eastAsia="宋体" w:cs="宋体"/>
                <w:kern w:val="0"/>
                <w:sz w:val="24"/>
                <w:szCs w:val="24"/>
                <w:lang w:val="zh-CN" w:bidi="ar-SA"/>
              </w:rPr>
              <w:t>产品</w:t>
            </w:r>
          </w:p>
        </w:tc>
        <w:tc>
          <w:tcPr>
            <w:tcW w:w="910"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textAlignment w:val="bottom"/>
              <w:rPr>
                <w:rFonts w:hint="eastAsia" w:ascii="宋体" w:hAnsi="宋体" w:eastAsia="宋体" w:cs="宋体"/>
                <w:kern w:val="0"/>
                <w:sz w:val="24"/>
                <w:szCs w:val="24"/>
                <w:lang w:val="zh-CN"/>
              </w:rPr>
            </w:pPr>
            <w:r>
              <w:rPr>
                <w:rFonts w:hint="eastAsia" w:ascii="宋体" w:hAnsi="宋体" w:eastAsia="宋体" w:cs="宋体"/>
                <w:kern w:val="0"/>
                <w:sz w:val="24"/>
                <w:szCs w:val="24"/>
                <w:lang w:val="zh-CN" w:bidi="ar-SA"/>
              </w:rPr>
              <w:t>规格</w:t>
            </w:r>
          </w:p>
        </w:tc>
        <w:tc>
          <w:tcPr>
            <w:tcW w:w="578"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textAlignment w:val="bottom"/>
              <w:rPr>
                <w:rFonts w:hint="eastAsia" w:ascii="宋体" w:hAnsi="宋体" w:eastAsia="宋体" w:cs="宋体"/>
                <w:kern w:val="0"/>
                <w:sz w:val="24"/>
                <w:szCs w:val="24"/>
                <w:lang w:val="zh-CN"/>
              </w:rPr>
            </w:pPr>
            <w:r>
              <w:rPr>
                <w:rFonts w:hint="eastAsia" w:ascii="宋体" w:hAnsi="宋体" w:eastAsia="宋体" w:cs="宋体"/>
                <w:kern w:val="0"/>
                <w:sz w:val="24"/>
                <w:szCs w:val="24"/>
                <w:lang w:val="zh-CN" w:bidi="ar-SA"/>
              </w:rPr>
              <w:t>数量</w:t>
            </w:r>
          </w:p>
        </w:tc>
      </w:tr>
      <w:tr>
        <w:trPr>
          <w:trHeight w:val="544" w:hRule="atLeast"/>
          <w:jc w:val="center"/>
        </w:trPr>
        <w:tc>
          <w:tcPr>
            <w:tcW w:w="9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1</w:t>
            </w:r>
          </w:p>
        </w:tc>
        <w:tc>
          <w:tcPr>
            <w:tcW w:w="2571"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bottom"/>
              <w:rPr>
                <w:rFonts w:hint="eastAsia" w:ascii="宋体" w:hAnsi="宋体" w:eastAsia="宋体" w:cs="宋体"/>
                <w:kern w:val="0"/>
                <w:sz w:val="24"/>
                <w:szCs w:val="24"/>
                <w:lang w:val="zh-CN"/>
              </w:rPr>
            </w:pPr>
            <w:bookmarkStart w:id="1" w:name="_Hlk150885079"/>
            <w:r>
              <w:rPr>
                <w:rFonts w:hint="eastAsia" w:ascii="宋体" w:hAnsi="宋体" w:eastAsia="宋体" w:cs="宋体"/>
                <w:kern w:val="0"/>
                <w:sz w:val="24"/>
                <w:szCs w:val="24"/>
                <w:lang w:val="zh-CN"/>
              </w:rPr>
              <w:t>机器人系统集成应用技术平台</w:t>
            </w:r>
            <w:bookmarkEnd w:id="1"/>
          </w:p>
        </w:tc>
        <w:tc>
          <w:tcPr>
            <w:tcW w:w="910"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bottom"/>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定制</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bottom"/>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1</w:t>
            </w:r>
          </w:p>
        </w:tc>
      </w:tr>
    </w:tbl>
    <w:p>
      <w:pPr>
        <w:rPr>
          <w:rFonts w:hint="eastAsia" w:ascii="宋体" w:hAnsi="宋体" w:eastAsia="宋体" w:cs="宋体"/>
          <w:b w:val="0"/>
          <w:bCs w:val="0"/>
          <w:kern w:val="0"/>
          <w:sz w:val="24"/>
          <w:lang w:val="zh-CN"/>
        </w:rPr>
      </w:pPr>
    </w:p>
    <w:p>
      <w:pPr>
        <w:rPr>
          <w:rFonts w:hint="eastAsia" w:ascii="宋体" w:hAnsi="宋体" w:eastAsia="宋体" w:cs="宋体"/>
          <w:b/>
          <w:bCs/>
          <w:kern w:val="0"/>
          <w:sz w:val="24"/>
          <w:lang w:val="zh-CN" w:eastAsia="zh-CN"/>
        </w:rPr>
      </w:pPr>
      <w:r>
        <w:rPr>
          <w:rFonts w:hint="eastAsia" w:ascii="宋体" w:hAnsi="宋体" w:eastAsia="宋体" w:cs="宋体"/>
          <w:b/>
          <w:bCs/>
          <w:kern w:val="0"/>
          <w:sz w:val="24"/>
          <w:lang w:val="zh-CN" w:eastAsia="zh-CN"/>
        </w:rPr>
        <w:t>1、</w:t>
      </w:r>
      <w:r>
        <w:rPr>
          <w:rFonts w:hint="eastAsia" w:ascii="宋体" w:hAnsi="宋体" w:eastAsia="宋体" w:cs="宋体"/>
          <w:b/>
          <w:bCs/>
          <w:kern w:val="0"/>
          <w:sz w:val="24"/>
          <w:lang w:val="zh-CN"/>
        </w:rPr>
        <w:t>机器人系统集成应用技术平台</w:t>
      </w:r>
      <w:r>
        <w:rPr>
          <w:rFonts w:hint="eastAsia" w:ascii="宋体" w:hAnsi="宋体" w:eastAsia="宋体" w:cs="宋体"/>
          <w:b/>
          <w:bCs/>
          <w:kern w:val="0"/>
          <w:sz w:val="24"/>
          <w:lang w:val="zh-CN" w:eastAsia="zh-CN"/>
        </w:rPr>
        <w:t>技术要求</w:t>
      </w:r>
    </w:p>
    <w:tbl>
      <w:tblPr>
        <w:tblStyle w:val="22"/>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6"/>
        <w:gridCol w:w="720"/>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序号</w:t>
            </w:r>
          </w:p>
        </w:tc>
        <w:tc>
          <w:tcPr>
            <w:tcW w:w="1136" w:type="dxa"/>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组件名称</w:t>
            </w:r>
          </w:p>
        </w:tc>
        <w:tc>
          <w:tcPr>
            <w:tcW w:w="720" w:type="dxa"/>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数量</w:t>
            </w:r>
          </w:p>
        </w:tc>
        <w:tc>
          <w:tcPr>
            <w:tcW w:w="5565" w:type="dxa"/>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w:t>
            </w:r>
          </w:p>
        </w:tc>
        <w:tc>
          <w:tcPr>
            <w:tcW w:w="1136"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执行单元</w:t>
            </w:r>
          </w:p>
        </w:tc>
        <w:tc>
          <w:tcPr>
            <w:tcW w:w="720"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1台</w:t>
            </w: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工业机器人×1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六自由度串联关节桌面型工业机器人；</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工作范围580mm；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有效荷重3kg，手臂荷重0.3kg；</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手腕设有10路集成信号源，4路集成气源；</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重复定位精度0.01mm；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防护等级IP30；</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轴1旋转，工作范围+165°~-165°，最大速度250°/s；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轴2手臂，工作范围+110°~-110°，最大速度250°/s；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轴3手臂，工作范围+70°~-90°，最大速度250°/s；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轴4手腕，工作范围+160°~-160°，最大速度320°/s；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轴5弯曲，工作范围+120°~-120°，最大速度320°/s；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轴6翻转，工作范围+400°~-400°，最大速度420°/s；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1kg拾料节拍，25×300×25mm区域为0.58s，TCP最大速度6.2m/s，TCP最大加速度28m/s，加速时间0~1m/s为0.07s；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电源电压为200~600V，50/60Hz，功耗0.25kW；</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本体重量25kg；</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在工作台台面上布置有手动/自动模式切换旋钮、电机开启按钮及示教器接线接口，方便接线。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▲工业机器人扩展IO模块×1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支持DeviceNet总线通讯；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支持适配IO模块数量最多32个；</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传输距离最大5000米，总线速率最大500kbps；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附带数字量输入模块2个，单模块8通道，输入信号类型PNP，输入电流典型值3mA，隔离耐压500V，隔离方式光耦隔离；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附带数字量输出模块4个，单模块8通道，输出信号类型源型，驱动能力500mA/通道，隔离耐压500V，隔离方式光耦隔离；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附带模拟量输出模块1个，单模块4通道，输出电压0V~10V，负载能力&gt;5kΩ，负载类型为阻性负载、容性负载，分辨率12位；</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在工作台台面上布置有远程IO适配器的网络通信接口，方便接线。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工具快换模块法兰端×1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针对多关节机器人设计，使气管、信号确认线一次性自动装卸；</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超硬铝材质，安装位置为机器手侧；</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自重125g，可搬重量3kg；</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锁紧力123N，张开力63N；</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支持9路电信号（2A，DC 24V）、6路气路连接。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平移滑台×1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有效工作行程700mm，有效负载重量50kg，额定运行速度15mm/s；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驱动方式为伺服电机经减速机减速后，通过同步带带动滚珠丝杠实现旋转运动变换到直线运动，由滚珠导轨导向滑动；</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伺服电机额定输出400W，额定转矩1.3Nm，额定转速3000r/min，增量式17bit编码器，配套同品牌伺服放大器，输出额定电压三相AC170V/额定电流2.8A，电源输入电压三相或单相AC200V~240V/额定电流2.6A，控制方式为正弦波PWM控制/电流控制方式，配套精密减速机，减速比1:3；</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滚珠丝杠直径25mm，导程5mm，全长990mm，配套自润滑螺母；</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滚珠导轨共2个，宽度20mm，全长1240mm，每个导轨配套2个滑块；</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直线导轨安装有防护罩，保护导轨和丝杠等零件，确保运行安全，配有拖链系统方便工业机器人线缆及其他连接线布线，外侧安装有长度标尺，可指示滑台当前位置。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PLC控制器×1：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工作存储器75KB，装载存储器2MB，保持性存储器10KB；</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本体集成I/O，数字量8点输入/6点输出，模拟量2路输入；</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过程映像大小为1024字节输入（I）和1024字节输出（Q）；</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位存储器为4096字节（M）；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具备1个以太网通信端口，支持PROFINET通信；</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实数数学运算执行速度2.3μs/指令，布尔运算执行速度0.08μs/指令；</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扩展IO模块，数字量输入模块1个，输入点数16位，类型为源型/漏型，额定电压24V DC（4mA）；</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在工作台台面上布置有PLC的网络通信接口，方便接线。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远程IO模块×1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支持ProfiNet总线通讯；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支持适配IO模块数量最多32个；</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传输距离最大100米（站站距离），总线速率最大100Mbps；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附带数字量输入模块4个，单模块8通道，输入信号类型PNP，输入电流典型值3mA，隔离耐压500V，隔离方式光耦隔离；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附带数字量输出模块2个，单模块8通道，输出信号类型源型，驱动能力500mA/通道，隔离耐压500V，隔离方式光耦隔离；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附带模拟量输入模块1个，单模块4通道，输入电压0V~10V，输入滤波可配置（1ms~10ms），输入阻抗&gt;500kΩ，分辨率12位；</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在工作台台面上布置有远程IO适配器的网络通信接口，方便接线。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工作台×1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铝合金型材结构，工作台式设计，台面可安装功能模块，底部柜体内可安装电气设备；</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台面长1360mm，宽680mm，厚20mm；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底部柜体长1280mm，宽600mm，高700mm；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底部柜体四角安装有脚轮，轮片直径50mm，轮片宽度25mm，可调高度10mm；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工作台面合理布置有线槽，方便控制信号线和气路布线，且电、气分开；</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底部柜体上端和下端四周安装有线槽，可方便电源线、气管和通信线布线；</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底部柜体门板为快捷可拆卸设计，每个门板完全相同可互换安装。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2</w:t>
            </w:r>
          </w:p>
        </w:tc>
        <w:tc>
          <w:tcPr>
            <w:tcW w:w="1136"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工具单元</w:t>
            </w:r>
          </w:p>
        </w:tc>
        <w:tc>
          <w:tcPr>
            <w:tcW w:w="720"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1台</w:t>
            </w: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轮辐夹爪×1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三指夹爪，气动驱动，自动定心，可针对零件轮辐位置稳定夹持；</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配有工具快换模块工具端，与工具快换法兰端配套，自重45g，安装后厚度38mm。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轮毂夹爪×1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三指夹爪，气动驱动，自动定心，可针对零件轮毂位置稳定夹持；</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配有工具快换模块工具端，与工具快换法兰端配套，自重45g，安装后厚度38mm。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轮辋内圈夹爪×1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三指夹爪，气动驱动，自动定心，可针对零件轮辋内圈位置稳定夹持；</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配有工具快换模块工具端，与工具快换法兰端配套，自重45g，安装后厚度38mm。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吸盘工具×1</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吸盘直径φ25mm，可针对车标稳定拾取；</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配有工具快换模块工具端，与工具快换法兰端配套。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吸盘夹爪×1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五位吸盘工具，可对零件轮辐的正面、反面表面稳定拾取；</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配有工具快换模块工具端，与工具快换法兰端配套，自重45g，安装后厚度38mm。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端面打磨工具×1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电动打磨工具，配有端面打磨头，可对零件表面进行打磨加工；</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配有工具快换模块工具端，与工具快换法兰端配套，自重45g，安装后厚度38mm。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侧面打磨工具×1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电动打磨工具，配有侧面打磨头，可对零件表面进行打磨加工；</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配有工具快换模块工具端，与工具快换法兰端配套，自重45g，安装后厚度38mm。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工具支架×1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铝合金结构，可稳定支撑并定位所有工具；</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提供7个工具摆放位置，位置标号清晰标示；</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所有工具的定位方式相同，可互换位置，不影响正常使用。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示教器支架×1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与工业机器人示教器配套，可稳定安放，不易滑落；</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配套线缆悬挂支架，方便线缆收放。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工作台×1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铝合金型材结构，工作台式设计，台面可安装功能模块，底部柜体内可安装电气设备；</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台面长680mm，宽680mm，厚20mm；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底部柜体长600mm，宽600mm，高700mm；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底部柜体四角安装有脚轮，轮片直径50mm，轮片宽度25mm，可调高度10mm；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工作台面合理布置有线槽，方便控制信号线和气路布线，且电、气分开；</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底部柜体上端和下端四周安装有线槽，可方便电源线、气管和通信线布线；</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底部柜体门板为快捷可拆卸设计，每个门板完全相同可互换安装。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3</w:t>
            </w:r>
          </w:p>
        </w:tc>
        <w:tc>
          <w:tcPr>
            <w:tcW w:w="1136"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仓储单元</w:t>
            </w:r>
          </w:p>
        </w:tc>
        <w:tc>
          <w:tcPr>
            <w:tcW w:w="720"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1台</w:t>
            </w: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立体仓库×1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双层共6仓位，采用铝型材作为结构支撑；</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每个仓位可存储1个轮毂零件；</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仓位托盘可由气动推杆驱动推出缩回；</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仓位托盘底部设置有传感器可检测当前仓位是否存有零件；</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每个仓位具有红绿指示灯表明当前仓位仓储状态，并有明确标识仓位编号。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远程IO模块×1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支持ProfiNet总线通讯；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支持适配IO模块数量最多32个；</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传输距离最大100米（站站距离），总线速率最大100Mbps；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附带数字量输入模块2个，单模块8通道，输入信号类型PNP，输入电流典型值3mA，隔离耐压500V，隔离方式光耦隔离；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附带数字量输出模块3个，单模块8通道，输出信号类型源型，驱动能力500mA/通道，隔离耐压500V，隔离方式光耦隔离；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在工作台台面上布置有远程IO适配器的网络通信接口，方便接线。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轮毂零件×6</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铝合金材质，五幅轮毂缩比零件；</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轮辋直径102mm，最大外圈直径114mm，轮辋内圈直径88mm，轮毂直径28mm，整体厚度45mm，轮辐厚度16mm；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正面设计有可更换的数控加工耗材安装板，直径37mm，厚度8mm，塑料材质；</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零件正面、反面均设计有定位槽、视觉检测区域、打磨加工区域和二维码标签位置。</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5）轮毂正反两面均安装RFID芯片。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工作台×1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铝合金型材结构，工作台式设计，台面可安装功能模块，底部柜体内可安装电气设备；</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台面长680mm，宽680mm，厚20mm；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底部柜体长600mm，宽600mm，高700mm；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底部柜体四角安装有脚轮，轮片直径50mm，轮片宽度25mm，可调高度10mm；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工作台面合理布置有线槽，方便控制信号线和气路布线，且电、气分开；</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底部柜体上端和下端四周安装有线槽，可方便电源线、气管和通信线布线；</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底部柜体门板为快捷可拆卸设计，每个门板完全相同可互换安装。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4</w:t>
            </w:r>
          </w:p>
        </w:tc>
        <w:tc>
          <w:tcPr>
            <w:tcW w:w="1136"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加工单元</w:t>
            </w:r>
          </w:p>
        </w:tc>
        <w:tc>
          <w:tcPr>
            <w:tcW w:w="720"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1台</w:t>
            </w: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数控机床×1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典型三轴立式铣床结构，加工台面不动，主轴可实现X\Y\Z三轴加工运动；</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▲主轴为风冷电主轴，转速24000r/min，额定功率0.8kW，轴端连接为ER11，可夹持3mm直径刀柄的刀具；</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X轴有效行程240mm，最大运行速度30mm/s，3Nm高性能伺服电机驱动，通过同步带带动滚珠丝杠实现旋转运动变换到直线运动，由滚珠导轨导向滑动；</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Y轴有效行程250mm，最大运行速度30mm/s，3Nm高性能伺服电机驱动，通过同步带带动滚珠丝杠实现旋转运动变换到直线运动，由滚珠导轨导向滑动；</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Z轴有效行程180mm，最大运行速度30mm/s，3Nm高性能伺服电机驱动，带抱闸，通过同步带带动滚珠丝杠实现旋转运动变换到直线运动，由滚珠导轨导向滑动；</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夹具采用气动驱动夹紧，缸径32mm，夹具可有气动驱动前后两端定位，方便上下料；</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数控机床配有安全护栏，铝合金框架透明隔断，正面、背面均配有安全门，由气动驱动实现开启关闭。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模拟刀库×1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模拟刀库采用虚拟化设计，由显示屏显示当前使用刀具信息和刀库工作状态；</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显示屏尺寸9英寸，TFT真彩液晶屏，64K色，分辨率800×480，背光平均无故障时间20000小时，可用内存10MB，支持ProfiNet通讯；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侧面配装有数控机床工作指示灯，可指示当前工作状态。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▲数控系统×1</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数控系统性能稳定；</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10.4英寸TFT彩色显示屏；</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PLC控制基于SIMATIC S7-200；</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最大加工通道/方式组数为1，CNC用户内存3MB；</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具备铣削工艺；</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进给轴具备进给平滑控制、力矩前馈控制功能；支持各轴自动优化和轨迹插补功能；</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插补轴数最大4轴，支持直线插补、圆弧插补、螺旋线插补、精优曲面功能、高速高精设定、程序段预读功能、压缩器功能；</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具备刀具管理功能，刀具数最大256，刀刃数最大256，支持刀具质量、刀具寿命检测功能，带替换刀具管理功能；</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具备OPC UA通讯接口，可将数控系统中的运行数据传输到MES软件中；</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提供手轮对各轴手动操作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远程IO模块×1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支持ProfiNet总线通讯；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支持适配IO模块数量最多32个；</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传输距离最大100米（站站距离），总线速率最大100Mbps；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附带数字量输入模块1个，单模块8通道，输入信号类型PNP，输入电流典型值3mA，隔离耐压500V，隔离方式光耦隔离；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附带数字量输出模块1个，单模块8通道，输出信号类型源型，驱动能力500mA/通道，隔离耐压500V，隔离方式光耦隔离；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在工作台台面上布置有远程IO适配器的网络通信接口，方便接线。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工作台×1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铝合金型材结构，工作台式设计，台面可安装功能模块，底部柜体内可安装电气设备；</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台面长1360mm，宽680mm，厚20mm；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底部柜体长1280mm，宽600mm，高700mm；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底部柜体四角安装有脚轮，轮片直径50mm，轮片宽度25mm，可调高度10mm；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工作台面合理布置有线槽，方便控制信号线和气路布线，且电、气分开；</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底部柜体上端和下端四周安装有线槽，可方便电源线、气管和通信线布线；</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底部柜体门板为快捷可拆卸设计，每个门板完全相同可互换安装。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5</w:t>
            </w:r>
          </w:p>
        </w:tc>
        <w:tc>
          <w:tcPr>
            <w:tcW w:w="1136"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打磨单元</w:t>
            </w:r>
          </w:p>
        </w:tc>
        <w:tc>
          <w:tcPr>
            <w:tcW w:w="720"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1台</w:t>
            </w: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打磨工位×1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铝合金框架结构，可稳定支撑零件加工；</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四爪夹具由气动驱动，可对零件轮毂位置进行稳定夹持，自动对心定位；</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底部配有传感器可检测当前工位是否存有零件。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旋转工位×1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铝合金框架结构，可稳定支撑零件加工；</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四爪夹具由气动驱动，可对零件轮辋内圈进行稳定夹持，自动对心定位；</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底部配有传感器可检测当前工位是否存有零件；</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旋转气缸可带动旋转工位整体180°旋转，实现零件沿轴线旋转。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翻转工装×1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双指夹具对零件轮辋外圈稳定夹持，自动对心定位，翻转过程无位移；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旋转气缸可驱动双指夹具实现所夹持的零件在打磨工位和旋转工位间翻转；</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升降气缸可实现翻转后的零件在小距离内垂直放入取出工位，确保定位准确。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吹屑工位×1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不锈钢材质，外形尺寸150mm×150mm×100mm；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顶部开口直径130mm；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两侧布置了吹气口，可将打磨后粘附在零件表面上的碎屑清除。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远程IO模块×1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支持ProfiNet总线通讯；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支持适配IO模块数量最多32个；</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传输距离最大100米（站站距离），总线速率最大100Mbps；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附带数字量输入模块2个，单模块8通道，输入信号类型PNP，输入电流典型值3mA，隔离耐压500V，隔离方式光耦隔离；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附带数字量输出模块2个，单模块8通道，输出信号类型源型，驱动能力500mA/通道，隔离耐压500V，隔离方式光耦隔离；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在工作台台面上布置有远程IO适配器的网络通信接口，方便接线。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工作台×1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铝合金型材结构，工作台式设计，台面可安装功能模块，底部柜体内可安装电气设备；</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台面长680mm，宽680mm，厚20mm；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底部柜体长600mm，宽600mm，高700mm；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底部柜体四角安装有脚轮，轮片直径50mm，轮片宽度25mm，可调高度10mm；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工作台面合理布置有线槽，方便控制信号线和气路布线，且电、气分开；</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底部柜体上端和下端四周安装有线槽，可方便电源线、气管和通信线布线；</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底部柜体门板为快捷可拆卸设计，每个门板完全相同可互换安装。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6</w:t>
            </w:r>
          </w:p>
        </w:tc>
        <w:tc>
          <w:tcPr>
            <w:tcW w:w="1136"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检测单元</w:t>
            </w:r>
          </w:p>
        </w:tc>
        <w:tc>
          <w:tcPr>
            <w:tcW w:w="720"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1台</w:t>
            </w: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▲视觉系统×1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采用30W像素CCD相机，彩色，有效像素640×480，像素尺寸7.4μm×7.4μm，电子快门；</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控制器为箱型；</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动作模式包括标准模式、倍速多通道输入、不间断调整；</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支持128场景数；</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利用流程编辑功能制作处理流程；</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支持Ethernet通信，采用无协议（TCP/UDP）；</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在工作台台面上布置有网络通信接口，方便接线。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配套光源及显示器×1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配套漫反射环形光源，白色，明亮度可调节；</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光源配有保护支架，可有效防止零件掉落损坏光源；</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配套视觉系统显示器和操作用鼠标。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RFID检测模块×1</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 感应头通过无线电讯号与标签之间进行非接触式的数据通信，读取或写入标签数据；</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2)读写头与上位机采用Modbus-TCP通讯；</w:t>
            </w:r>
          </w:p>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3)标签最多可存储112字节数据；</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4)感应头固定在可以调节位置的支架上。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车标库×1</w:t>
            </w:r>
          </w:p>
          <w:p>
            <w:pPr>
              <w:pStyle w:val="42"/>
              <w:widowControl/>
              <w:numPr>
                <w:ilvl w:val="0"/>
                <w:numId w:val="1"/>
              </w:numPr>
              <w:snapToGrid w:val="0"/>
              <w:spacing w:line="276"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车标库支架材料为铝合金，具有6个车标位置；</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2）配置12个车标。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工作台×1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铝合金型材结构，工作台式设计，台面可安装功能模块，底部柜体内可安装电气设备；</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台面长680mm，宽680mm，厚20mm；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底部柜体长600mm，宽600mm，高700mm；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底部柜体四角安装有脚轮，轮片直径50mm，轮片宽度25mm，可调高度10mm；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工作台面合理布置有线槽，方便控制信号线和气路布线，且电、气分开；</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底部柜体上端和下端四周安装有线槽，可方便电源线、气管和通信线布线；</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底部柜体门板为快捷可拆卸设计，每个门板完全相同可互换安装。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7</w:t>
            </w:r>
          </w:p>
        </w:tc>
        <w:tc>
          <w:tcPr>
            <w:tcW w:w="1136"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分拣单元</w:t>
            </w:r>
          </w:p>
        </w:tc>
        <w:tc>
          <w:tcPr>
            <w:tcW w:w="720"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1台</w:t>
            </w: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传送带×1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宽度125mm，有效长度1250mm；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▲调速电机驱动，功率120W，单相220V供电，配套1:18减速比减速器，采用变频器驱动，适用电机容量0.4kW，输出额定容量1.0kVA/额定电流2.5A，电源额定输入电压单相200V~240V/额定容量1.5kVA；</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传送带起始端配有传感器，可检测当前位置是否有零件。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分拣机构×3</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分拣机构配有传感器，可检测当前分拣机构前是否有零件；</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利用垂直气缸可实现阻挡片升降，将零件拦截在指定分拣机构前；</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利用推动气缸可实现将零件推入指定分拣工位。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分拣工位×3</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分拣工位末端配有传感器，可检测当前分拣工位是否存有零件；</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分拣工位末端为V型顶块，可配合顶紧气缸对零件精确定位；</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每个分拣工位均有明确标号。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远程IO模块×1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支持ProfiNet总线通讯；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支持适配IO模块数量最多32个；</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传输距离最大100米（站站距离），总线速率最大100Mbps；</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附带数字量输入模块3个，单模块8通道，输入信号类型PNP，输入电流典型值3mA，隔离耐压500V，隔离方式光耦隔离；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附带数字量输出模块2个，单模块8通道，输出信号类型源型，驱动能力500mA/通道，隔离耐压500V，隔离方式光耦隔离；</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在工作台台面上布置有远程IO适配器的网络通信接口，方便接线。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工作台×1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铝合金型材结构，工作台式设计，台面可安装功能模块，底部柜体内可安装电气设备；</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台面长1360mm，宽680mm，厚20mm；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底部柜体长1280mm，宽600mm，高700mm；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底部柜体四角安装有脚轮，轮片直径50mm，轮片宽度25mm，可调高度10mm；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工作台面合理布置有线槽，方便控制信号线和气路布线，且电、气分开；</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底部柜体上端和下端四周安装有线槽，可方便电源线、气管和通信线布线；</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底部柜体门板为快捷可拆卸设计，每个门板完全相同可互换安装。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8</w:t>
            </w:r>
          </w:p>
        </w:tc>
        <w:tc>
          <w:tcPr>
            <w:tcW w:w="1136"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总控单元</w:t>
            </w:r>
          </w:p>
        </w:tc>
        <w:tc>
          <w:tcPr>
            <w:tcW w:w="720"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1台</w:t>
            </w: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▲PLC控制器×2：</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工作存储器75KB，装载存储器2MB，保持性存储器10KB；</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本体集成I/O，数字量8点输入/6点输出，模拟量2路输入；</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过程映像大小为1024字节输入（I）和1024字节输出（Q）；</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位存储器为4096字节（M）；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具备1个以太网通信端口，支持PROFINET通信；</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实数数学运算执行速度2.3μs/指令，布尔运算执行速度0.08μs/指令。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交换机×1：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IEC/NE 61000-4工业级保护；</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5个百兆RJ45端口；</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铝金属外壳，坚固耐用；</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4）标准DIN导轨安装。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b w:val="0"/>
                <w:bCs w:val="0"/>
                <w:kern w:val="0"/>
                <w:sz w:val="24"/>
                <w:szCs w:val="24"/>
                <w:shd w:val="clear"/>
                <w:lang w:val="zh-CN"/>
              </w:rPr>
              <w:t>无线路由器</w:t>
            </w:r>
            <w:r>
              <w:rPr>
                <w:rFonts w:hint="eastAsia" w:ascii="宋体" w:hAnsi="宋体" w:eastAsia="宋体" w:cs="宋体"/>
                <w:kern w:val="0"/>
                <w:sz w:val="24"/>
                <w:szCs w:val="24"/>
                <w:lang w:val="zh-CN"/>
              </w:rPr>
              <w:t>×1：</w:t>
            </w:r>
          </w:p>
          <w:p>
            <w:pPr>
              <w:pStyle w:val="42"/>
              <w:numPr>
                <w:ilvl w:val="0"/>
                <w:numId w:val="2"/>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300Mbps 11NS无线，信号强；</w:t>
            </w:r>
          </w:p>
          <w:p>
            <w:pPr>
              <w:pStyle w:val="42"/>
              <w:numPr>
                <w:ilvl w:val="0"/>
                <w:numId w:val="2"/>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支持多个SSID；</w:t>
            </w:r>
          </w:p>
          <w:p>
            <w:pPr>
              <w:pStyle w:val="42"/>
              <w:numPr>
                <w:ilvl w:val="0"/>
                <w:numId w:val="2"/>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配置一个固定WAN口，7个固定LAN口和1个WAN/LAN可变口；</w:t>
            </w:r>
          </w:p>
          <w:p>
            <w:pPr>
              <w:pStyle w:val="42"/>
              <w:numPr>
                <w:ilvl w:val="0"/>
                <w:numId w:val="2"/>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支持防火墙。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监控×1</w:t>
            </w:r>
          </w:p>
          <w:p>
            <w:pPr>
              <w:pStyle w:val="42"/>
              <w:numPr>
                <w:ilvl w:val="0"/>
                <w:numId w:val="3"/>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摄像头像素：不低于200万。</w:t>
            </w:r>
          </w:p>
          <w:p>
            <w:pPr>
              <w:pStyle w:val="42"/>
              <w:numPr>
                <w:ilvl w:val="0"/>
                <w:numId w:val="3"/>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监控支架可伸缩。</w:t>
            </w:r>
          </w:p>
          <w:p>
            <w:pPr>
              <w:pStyle w:val="42"/>
              <w:numPr>
                <w:ilvl w:val="0"/>
                <w:numId w:val="3"/>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360度全景。</w:t>
            </w:r>
          </w:p>
          <w:p>
            <w:pPr>
              <w:pStyle w:val="42"/>
              <w:numPr>
                <w:ilvl w:val="0"/>
                <w:numId w:val="3"/>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焦距4mm。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4" w:hRule="atLeast"/>
        </w:trPr>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操作面板×1：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提供1个总电源输入开关，可控制输入电源的开启关闭；</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提供1个电源模块急停按钮，可切断总控单元电源模块向其他单元模块的供电；</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提供4个自定义功能按钮，1个自复位绿色灯按钮，1个自复位红色灯按钮，1个自保持绿色灯按钮，1个自保持红色灯按钮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电源模块×1：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输入电源为三相五线制，AC 380V，50Hz，15kW，重载连接器插头，接线安全防触电；</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执行单元输出电源为单相三线制，AC 220V，50Hz，7kW，重载连接器插头，接线安全防触电，配空气开关和指示灯；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仓储单元输出电源为单相三线制，AC 220V，50Hz，2kW，重载连接器插头，接线安全防触电，配空气开关和指示灯；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加工单元输出电源为三相五线制，AC 380V，50Hz，12kW，重载连接器插头，接线安全防触电，配空气开关和指示灯；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打磨单元输出电源为单相三线制，AC 220V，50Hz，2kW，重载连接器插头，接线安全防触电，配空气开关和指示灯；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检测单元输出电源为单相三线制，AC 220V，50Hz，2kW，重载连接器插头，接线安全防触电，配空气开关和指示灯；</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分拣单元输出电源为单相三线制，AC 220V，50Hz，2kW，重载连接器插头，接线安全防触电，配空气开关和指示灯。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气源模块×1：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气泵功率600W，排气量118L/min，最大压力8bar，储气罐24L；</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提供8路气路供气接口，可用于其他单元独立提供压缩空气，每路空气接口可单独开启关闭。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3" w:hRule="atLeast"/>
        </w:trPr>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3"/>
              <w:spacing w:line="276"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工业网关×1：</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1）系统应支持设备驱动安装，能快速新建设备、支持设备的导入和导出，支持设备的分组管理功能。</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2）系统应支持对PLC、DCS、智能模块、智能仪表等设备的数据采集，支持COM、TCP等多种链路，支持多路并发采集及转发，支持OPC、Modbus等标准协议。</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系统应支持与主流数据库数据存储功能，支持断线缓存和续传能力，确保数据完整。设备须内置表贴的断缓专用电子盘，容量不小于4GB,可以扩展到8G，支持当地数据存储一年。当设备与平台的网络连接断开时，将采集到的数据缓存在电子盘，网络连接恢复后，将断线期间的数据补录到平台数据库。</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 支持IEC60870、IEC61850、DNP3、BACnet、Modbus、SNMP、CDT、DLT645、CJ-T188、OPC、MQTT主流关系数据库等标准接口协议或规范，以及市场上主流的PLC、电力综保的数据采集，并支持多协议、多通道并发工作。</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 支持数据采集通道的端口冗余功能，在端口故障时可自动切换。</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 支持边缘智能计算功能，配置软件提供逻辑报警、触发器的二次开发配置，支持内置C语法的脚本系统，可让编制脚本对数据进行二次计算。</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 支 持LUA语言开发。</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 支持数据传输的加密和压缩功能。</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 设备具备采集数据的实时二次计算功能，用户可自行配置系数、量程转换、取反等功能。</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 支持电能量等累计量的实时用量计算功能，用户可自行设定计算周期，将采集到的读表数据转换为周期用量数据。</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 支持远程调试诊断功能，在工程师不到现场的条件下，维护工程师可远程配置、调试、维护PLC。</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 提供统一监视维护的“网络管理软件”，可以使用该软件统一监视各设备的运行状态，查看设备日志、实时数据、端口报文、异常捕捉等。</w:t>
            </w:r>
          </w:p>
          <w:p>
            <w:pPr>
              <w:pStyle w:val="43"/>
              <w:widowControl/>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 提供统一开发配置的“开发配置软件”，用户可不依赖厂家自行完成现场设备的接入配置及调试工作。</w:t>
            </w:r>
          </w:p>
          <w:p>
            <w:pPr>
              <w:pStyle w:val="43"/>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 设备整机功耗小于10W的无风扇防尘设计，具备CE\FCC等认证资质。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工作台×1：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铝合金型材结构，工作台式设计，台面可安装功能模块，底部柜体内可安装电气设备；</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台面长1360mm，宽680mm，厚20mm；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底部柜体长1280mm，宽600mm，高700mm；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底部柜体四角安装有脚轮，轮片直径50mm，轮片宽度25mm，可调高度10mm；</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工作台面合理布置有线槽，方便控制信号线和气路布线，且电、气分开；</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底部柜体上端和下端四周安装有线槽，可方便电源线、气管和通信线布线；</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底部柜体门板为快捷可拆卸设计，每个门板完全相同可互换安装。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8" w:hRule="atLeast"/>
        </w:trPr>
        <w:tc>
          <w:tcPr>
            <w:tcW w:w="988"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9</w:t>
            </w:r>
          </w:p>
        </w:tc>
        <w:tc>
          <w:tcPr>
            <w:tcW w:w="1136"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配套软件</w:t>
            </w:r>
          </w:p>
        </w:tc>
        <w:tc>
          <w:tcPr>
            <w:tcW w:w="720" w:type="dxa"/>
            <w:vMerge w:val="restart"/>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1套</w:t>
            </w: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自动化编程软件×1：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1）▲正版软件，中文界面，可提供持续的中文技术支持服务，软件可使用所有功能模块，授权无时间限制；</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2）与总控单元的PLC控制器同品牌，用于对PLC及其IO模块进行组态配置和编程编译；</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3）面向任务和用户的系统；</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4）所有的程序编辑器都具有统一的外观，优化后的工作区域画面布局工位灵活便捷；</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5）网络与设备图形化的组合方式。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8" w:hRule="atLeast"/>
        </w:trPr>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HMI的组态平台×1：</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1）▲正版软件，中文界面，可提供持续的中文技术支持服务，软件可使用所有功能模块，授权无时间限制；</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2）与总控单元的PLC控制器同品牌，用于对HMI人机界面进行组态配置和编程编译；</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3）通用的应用程序，适合所有工业领域的解决方案；</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4）内置所有操作和管理功能，可简单、有效地进行组态；</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5）可基于Web持续延展，采用开放性标准，集成简便；</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6）支持工业以太网通讯，方便大数据实时传输；</w:t>
            </w:r>
          </w:p>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7）基于最新软件技术的创新组态界面、适用于用户定义对象和面板的全面库设计，实现图形化组态和批量数据处理的智能工具。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8" w:hRule="atLeast"/>
        </w:trPr>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管控一体化MES系统×1：</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（1）系统需具备自主知识产权，正版软件，全中文操作界面，可提供持续的中文技术支持服务。</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（2）系统应为B/S架构，支持大规模并发用户在线使用，同时提供快速、优化的查询处理算法，保证系统的及时响应。</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（3）系统应提供完整的软件安装手册、系统操作手册，提供全面的用户指导与培训。</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（4）系统功能应包括但不限于以下功能模块：</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系统管理中心</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▲系统支持多学校、多班级、多小组独立实训，做到租户间数据隔离，学生端独立运行数据互不干扰，实现实训独立性和考核公平性。</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系统支持按租户独立管理用户，分配用户所属角色，模拟企业生产实际角色分配，不同角色间业务功能独立，支持用户多角色分配。系统自动记录用户登录和使用日志信息。</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▲系统支持按租户进行系统业务数据存档备份管理和恢复数据备份，以支持阶段性教学实训。系统预置不少于2套行业案例数据用于系统认知和教学实训开展。</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生产数据中心</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系统支持将设计数据进行初始化到系统中进行管理，包含物料数据、库房库位、生产设备、人员班组、设备编组、加工单元等。物料数据支持导入功能。</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产品数据中心</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▲系统支持管理产品BOM、产品工艺、作业工序等产品数据，支持自定义编制产品BOM树和产品工艺树结构数据，支持按版本和有效性管理产品数据。</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四、工艺派工中心</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系统支持手工编制生产订单，支持订单审批工作流，订单运算产生生产计划和物料需求计划，分别用于指导生产和物料备料。</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生产执行中心</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系统支持将已派工的任务进行手动开完工操作执行。支持按设备查询生产任务执行情况，可详细跟踪监控任务执行进度。</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六、质量管理中心</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  系统支持按照工艺设定，在工人现场作业任务完工后自动生成检验作业任务，对于检验不合格的情况，系统支持返修废补业务闭环处理；支持正向查询单件产品单条作业工序的装机物料清单和出库物料明细，支持按物料信息反向查询该批次物料所有装机记录。</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七、</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库房管理中心</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系统支持库房出入库业务管理，支持手工出入库、计划入库、配套出库、生产入库等功能，支持查询库存台账和出入库详细流水记录。</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八、</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设备管理中心</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系统支持管理生产现场各类设备相关信息，支持上传设备图片和设备维护保养手册文档；支持管理设备故障记录，支持管理设备保养记录。</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九、</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信息监控中心</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系统支持按人员、按产品、按作业任务、按时间范围等不同维度进行人员作业工时的查询统计功能。</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 系统支持数据大屏统计展示系统中业务数据，包括但不限于生产订单数据、订单产品数据、生产计划数据、人员作业任务数据、设备作业任务数据、库存台账数据等。</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十、</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开发运维工具</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▲文件管理工具：支持文件上传、下载、在线预览、文件移动、 分享等功能，文件格式不限于图片、office文档、PDF、音频、视频等内容，支持按分类管理上传文件资源。</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▲报表配置工具：支持用户自定义配置数据报表，通过报表设计器设置报表界面，绑定数据源、预览输出报表，并提供生产计划报表统计案例，报表查询统计数据结果支持导出功能。</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▲流程配置工具：支持用户自定义配置工作流程模型，配置流程节点，支持流程模型导入、导出，流程模型关联业务表单、流程调试、流程部署等功能，提供生产订单审批流程完整案例。</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十一、</w:t>
            </w:r>
            <w:r>
              <w:rPr>
                <w:rFonts w:hint="eastAsia" w:ascii="宋体" w:hAnsi="宋体" w:eastAsia="宋体" w:cs="宋体"/>
                <w:kern w:val="0"/>
                <w:sz w:val="24"/>
                <w:lang w:val="zh-CN"/>
              </w:rPr>
              <w:t>工业物联网平台</w:t>
            </w:r>
          </w:p>
          <w:p>
            <w:pPr>
              <w:numPr>
                <w:ilvl w:val="0"/>
                <w:numId w:val="4"/>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网关注册管理：系统后台支持管理网关，包括品牌、型号的管理，管理员可将网关在系统内进行注册并分配使用权限给指定租户。</w:t>
            </w:r>
          </w:p>
          <w:p>
            <w:pPr>
              <w:numPr>
                <w:ilvl w:val="0"/>
                <w:numId w:val="4"/>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系统首页：系统支持在首页预览系统内网关、点位、产品、设备等数字资产，网关在地图中做分布标记，支持展示网关实时在线率及近期系统接入数据量走势。</w:t>
            </w:r>
          </w:p>
          <w:p>
            <w:pPr>
              <w:numPr>
                <w:ilvl w:val="0"/>
                <w:numId w:val="4"/>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项目管理：系统支持按项目管理接入设备，项目支持不同的行业类型,项目下包含设备数量直观体现到项目数据卡。</w:t>
            </w:r>
          </w:p>
          <w:p>
            <w:pPr>
              <w:numPr>
                <w:ilvl w:val="0"/>
                <w:numId w:val="4"/>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网关管理：系统支持用户按后台预先分配关系进行网关激活接入，网关下可创建多个虚拟设备及不同类型数据点位，支持管理数据点位的读写权限，支持查看网关实时通讯报文，支持预览点位实时数据，支持对可写类型的点位进行数据下发操作。</w:t>
            </w:r>
          </w:p>
          <w:p>
            <w:pPr>
              <w:numPr>
                <w:ilvl w:val="0"/>
                <w:numId w:val="4"/>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产品管理：系统支持按产品管理接入的设备，对于同一款产品，只需要在系统中维护一次即可按产品批量进行设备的创建和管理。</w:t>
            </w:r>
          </w:p>
          <w:p>
            <w:pPr>
              <w:numPr>
                <w:ilvl w:val="0"/>
                <w:numId w:val="4"/>
              </w:num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设备管理：系统支持按产品实例化设备，且设备动态继承产品全部属性，设备属性支持自定义关联到网关的数据点位，支持实时查看设备数字画像。</w:t>
            </w:r>
          </w:p>
          <w:p>
            <w:pPr>
              <w:numPr>
                <w:ilvl w:val="0"/>
                <w:numId w:val="4"/>
              </w:numPr>
              <w:ind w:left="462" w:hanging="554" w:hangingChars="231"/>
              <w:rPr>
                <w:rFonts w:hint="eastAsia" w:ascii="宋体" w:hAnsi="宋体" w:eastAsia="宋体" w:cs="宋体"/>
                <w:kern w:val="0"/>
                <w:sz w:val="24"/>
                <w:lang w:val="zh-CN"/>
              </w:rPr>
            </w:pPr>
            <w:r>
              <w:rPr>
                <w:rFonts w:hint="eastAsia" w:ascii="宋体" w:hAnsi="宋体" w:eastAsia="宋体" w:cs="宋体"/>
                <w:kern w:val="0"/>
                <w:sz w:val="24"/>
                <w:szCs w:val="24"/>
                <w:lang w:val="zh-CN"/>
              </w:rPr>
              <w:t>▲ 数据备份：系统支持按租户进行系统配置数据存档备份管理和按备份进行配置数据一键恢复，以支持阶段性的教学实训。</w:t>
            </w:r>
          </w:p>
          <w:p>
            <w:pPr>
              <w:numPr>
                <w:ilvl w:val="0"/>
                <w:numId w:val="4"/>
              </w:numPr>
              <w:ind w:left="462" w:hanging="554" w:hangingChars="231"/>
              <w:rPr>
                <w:rFonts w:hint="eastAsia" w:ascii="宋体" w:hAnsi="宋体" w:eastAsia="宋体" w:cs="宋体"/>
                <w:kern w:val="0"/>
                <w:sz w:val="24"/>
                <w:lang w:val="zh-CN"/>
              </w:rPr>
            </w:pPr>
            <w:r>
              <w:rPr>
                <w:rFonts w:hint="eastAsia" w:ascii="宋体" w:hAnsi="宋体" w:eastAsia="宋体" w:cs="宋体"/>
                <w:kern w:val="0"/>
                <w:sz w:val="24"/>
                <w:szCs w:val="24"/>
                <w:lang w:val="zh-CN"/>
              </w:rPr>
              <w:t>▲ 可视化数据大屏：系统提供可视化大屏配置工具，内置柱状图、折线图、饼图、散点图等统计图表组件，支持文本类、图片类、视频类、表格类等多种数据组件，内置丰富的组件案例，支持静态数据、API接口数据、SQL数据、实时数据等多种数据源可配置，支持用户组态化配置可视化数据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noWrap w:val="0"/>
            <w:vAlign w:val="top"/>
          </w:tcPr>
          <w:p>
            <w:pPr>
              <w:rPr>
                <w:rFonts w:hint="eastAsia" w:ascii="宋体" w:hAnsi="宋体" w:eastAsia="宋体" w:cs="宋体"/>
                <w:kern w:val="0"/>
                <w:sz w:val="24"/>
                <w:lang w:val="zh-CN"/>
              </w:rPr>
            </w:pPr>
          </w:p>
        </w:tc>
        <w:tc>
          <w:tcPr>
            <w:tcW w:w="1136" w:type="dxa"/>
            <w:vMerge w:val="continue"/>
            <w:noWrap w:val="0"/>
            <w:vAlign w:val="top"/>
          </w:tcPr>
          <w:p>
            <w:pPr>
              <w:rPr>
                <w:rFonts w:hint="eastAsia" w:ascii="宋体" w:hAnsi="宋体" w:eastAsia="宋体" w:cs="宋体"/>
                <w:kern w:val="0"/>
                <w:sz w:val="24"/>
                <w:lang w:val="zh-CN"/>
              </w:rPr>
            </w:pPr>
          </w:p>
        </w:tc>
        <w:tc>
          <w:tcPr>
            <w:tcW w:w="720" w:type="dxa"/>
            <w:vMerge w:val="continue"/>
            <w:noWrap w:val="0"/>
            <w:vAlign w:val="top"/>
          </w:tcPr>
          <w:p>
            <w:pPr>
              <w:rPr>
                <w:rFonts w:hint="eastAsia" w:ascii="宋体" w:hAnsi="宋体" w:eastAsia="宋体" w:cs="宋体"/>
                <w:kern w:val="0"/>
                <w:sz w:val="24"/>
                <w:lang w:val="zh-CN"/>
              </w:rPr>
            </w:pPr>
          </w:p>
        </w:tc>
        <w:tc>
          <w:tcPr>
            <w:tcW w:w="5565" w:type="dxa"/>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工厂虚拟调试仿真软件×2：</w:t>
            </w:r>
          </w:p>
          <w:p>
            <w:pPr>
              <w:rPr>
                <w:rFonts w:hint="eastAsia" w:ascii="宋体" w:hAnsi="宋体" w:eastAsia="宋体" w:cs="宋体"/>
                <w:kern w:val="0"/>
                <w:sz w:val="24"/>
                <w:lang w:val="zh-CN"/>
              </w:rPr>
            </w:pPr>
            <w:r>
              <w:rPr>
                <w:rFonts w:hint="eastAsia" w:ascii="宋体" w:hAnsi="宋体" w:eastAsia="宋体" w:cs="宋体"/>
                <w:kern w:val="0"/>
                <w:sz w:val="24"/>
                <w:lang w:val="zh-CN"/>
              </w:rPr>
              <w:t>1）▲正版软件，可提供持续的中文技术支持服务，软件可使用所有功能模块，界面没有试用版字样；</w:t>
            </w:r>
          </w:p>
          <w:p>
            <w:pPr>
              <w:rPr>
                <w:rFonts w:hint="eastAsia" w:ascii="宋体" w:hAnsi="宋体" w:eastAsia="宋体" w:cs="宋体"/>
                <w:kern w:val="0"/>
                <w:sz w:val="24"/>
                <w:lang w:val="zh-CN"/>
              </w:rPr>
            </w:pPr>
            <w:r>
              <w:rPr>
                <w:rFonts w:hint="eastAsia" w:ascii="宋体" w:hAnsi="宋体" w:eastAsia="宋体" w:cs="宋体"/>
                <w:kern w:val="0"/>
                <w:sz w:val="24"/>
                <w:lang w:val="zh-CN"/>
              </w:rPr>
              <w:t>2）具备快速搭建智能制造产线、智能装配产线以及物流产线的仿真模拟，进行工艺规划与工厂规划，逻辑与程序验证，实现生产流程高效、可靠。</w:t>
            </w:r>
          </w:p>
          <w:p>
            <w:pPr>
              <w:rPr>
                <w:rFonts w:hint="eastAsia" w:ascii="宋体" w:hAnsi="宋体" w:eastAsia="宋体" w:cs="宋体"/>
                <w:kern w:val="0"/>
                <w:sz w:val="24"/>
                <w:lang w:val="zh-CN"/>
              </w:rPr>
            </w:pPr>
            <w:r>
              <w:rPr>
                <w:rFonts w:hint="eastAsia" w:ascii="宋体" w:hAnsi="宋体" w:eastAsia="宋体" w:cs="宋体"/>
                <w:kern w:val="0"/>
                <w:sz w:val="24"/>
                <w:lang w:val="zh-CN"/>
              </w:rPr>
              <w:t>3）▲支持根据生产工艺要求，结合零件点线面特征进行工作路径自动规划，并与其他自动化设备进行仿真验证，自动生成机器人程序，支持ABB、KUKA、Fanuc等90个以上品牌机器人。</w:t>
            </w:r>
          </w:p>
          <w:p>
            <w:pPr>
              <w:rPr>
                <w:rFonts w:hint="eastAsia" w:ascii="宋体" w:hAnsi="宋体" w:eastAsia="宋体" w:cs="宋体"/>
                <w:kern w:val="0"/>
                <w:sz w:val="24"/>
                <w:lang w:val="zh-CN"/>
              </w:rPr>
            </w:pPr>
            <w:r>
              <w:rPr>
                <w:rFonts w:hint="eastAsia" w:ascii="宋体" w:hAnsi="宋体" w:eastAsia="宋体" w:cs="宋体"/>
                <w:kern w:val="0"/>
                <w:sz w:val="24"/>
                <w:lang w:val="zh-CN"/>
              </w:rPr>
              <w:t>4）▲可基于CAD数据生成机器人加工轨迹，简化轨迹生成过程，提高精度，可利用实体模型、曲面或曲线直接生成机器人加工轨迹；</w:t>
            </w:r>
          </w:p>
          <w:p>
            <w:pPr>
              <w:rPr>
                <w:rFonts w:hint="eastAsia" w:ascii="宋体" w:hAnsi="宋体" w:eastAsia="宋体" w:cs="宋体"/>
                <w:kern w:val="0"/>
                <w:sz w:val="24"/>
                <w:lang w:val="zh-CN"/>
              </w:rPr>
            </w:pPr>
            <w:r>
              <w:rPr>
                <w:rFonts w:hint="eastAsia" w:ascii="宋体" w:hAnsi="宋体" w:eastAsia="宋体" w:cs="宋体"/>
                <w:kern w:val="0"/>
                <w:sz w:val="24"/>
                <w:lang w:val="zh-CN"/>
              </w:rPr>
              <w:t>5）可为人和AGV小车，生成导航路径；</w:t>
            </w:r>
          </w:p>
          <w:p>
            <w:pPr>
              <w:rPr>
                <w:rFonts w:hint="eastAsia" w:ascii="宋体" w:hAnsi="宋体" w:eastAsia="宋体" w:cs="宋体"/>
                <w:kern w:val="0"/>
                <w:sz w:val="24"/>
                <w:lang w:val="zh-CN"/>
              </w:rPr>
            </w:pPr>
            <w:r>
              <w:rPr>
                <w:rFonts w:hint="eastAsia" w:ascii="宋体" w:hAnsi="宋体" w:eastAsia="宋体" w:cs="宋体"/>
                <w:kern w:val="0"/>
                <w:sz w:val="24"/>
                <w:lang w:val="zh-CN"/>
              </w:rPr>
              <w:t>6）仿真与调试支持VR沉浸式体验。在VR环境中进行漫游，还可查看整条产线的仿真流程；</w:t>
            </w:r>
          </w:p>
          <w:p>
            <w:pPr>
              <w:rPr>
                <w:rFonts w:hint="eastAsia" w:ascii="宋体" w:hAnsi="宋体" w:eastAsia="宋体" w:cs="宋体"/>
                <w:kern w:val="0"/>
                <w:sz w:val="24"/>
                <w:lang w:val="zh-CN"/>
              </w:rPr>
            </w:pPr>
            <w:r>
              <w:rPr>
                <w:rFonts w:hint="eastAsia" w:ascii="宋体" w:hAnsi="宋体" w:eastAsia="宋体" w:cs="宋体"/>
                <w:kern w:val="0"/>
                <w:sz w:val="24"/>
                <w:lang w:val="zh-CN"/>
              </w:rPr>
              <w:t>7）提供≥200种的智能制造工作单元和设备资源，支持智能产线中各种主流设备的仿真与虚拟调试，包括PLC、机器人、传感器、变位机、导轨等，可实现规划与设计车间布局，自由调整。</w:t>
            </w:r>
          </w:p>
          <w:p>
            <w:pPr>
              <w:rPr>
                <w:rFonts w:hint="eastAsia" w:ascii="宋体" w:hAnsi="宋体" w:eastAsia="宋体" w:cs="宋体"/>
                <w:kern w:val="0"/>
                <w:sz w:val="24"/>
                <w:lang w:val="zh-CN"/>
              </w:rPr>
            </w:pPr>
            <w:r>
              <w:rPr>
                <w:rFonts w:hint="eastAsia" w:ascii="宋体" w:hAnsi="宋体" w:eastAsia="宋体" w:cs="宋体"/>
                <w:kern w:val="0"/>
                <w:sz w:val="24"/>
                <w:lang w:val="zh-CN"/>
              </w:rPr>
              <w:t>8）可以直接从云端设备库中选择机器人、物流等设备模块进行仿真调试，选择过程中支持搜索、筛选和排序，并推荐相似参数的模块设备，组成与实际设备一致的3D数字模型，自定义模块属性，生成与实际设备一致的业务路径；</w:t>
            </w:r>
          </w:p>
          <w:p>
            <w:pPr>
              <w:rPr>
                <w:rFonts w:hint="eastAsia" w:ascii="宋体" w:hAnsi="宋体" w:eastAsia="宋体" w:cs="宋体"/>
                <w:kern w:val="0"/>
                <w:sz w:val="24"/>
                <w:lang w:val="zh-CN"/>
              </w:rPr>
            </w:pPr>
            <w:r>
              <w:rPr>
                <w:rFonts w:hint="eastAsia" w:ascii="宋体" w:hAnsi="宋体" w:eastAsia="宋体" w:cs="宋体"/>
                <w:kern w:val="0"/>
                <w:sz w:val="24"/>
                <w:lang w:val="zh-CN"/>
              </w:rPr>
              <w:t>9）支持智能制造数字孪生功能，利用基于事件且由信号驱动的仿真技术实现了生产系统的虚拟调试，虚拟调试可用在完全虚拟环节中进行，也可是实物控制设备和虚拟工作设备互联实现半实物调试。</w:t>
            </w:r>
          </w:p>
          <w:p>
            <w:pPr>
              <w:rPr>
                <w:rFonts w:hint="eastAsia" w:ascii="宋体" w:hAnsi="宋体" w:eastAsia="宋体" w:cs="宋体"/>
                <w:kern w:val="0"/>
                <w:sz w:val="24"/>
                <w:lang w:val="zh-CN"/>
              </w:rPr>
            </w:pPr>
            <w:r>
              <w:rPr>
                <w:rFonts w:hint="eastAsia" w:ascii="宋体" w:hAnsi="宋体" w:eastAsia="宋体" w:cs="宋体"/>
                <w:kern w:val="0"/>
                <w:sz w:val="24"/>
                <w:lang w:val="zh-CN"/>
              </w:rPr>
              <w:t>10）支持多种三维格式模型的自由导入，软件可通过导入不同格式的三维模型进行自动化系统或制造车间的规划、仿真。</w:t>
            </w:r>
          </w:p>
          <w:p>
            <w:pPr>
              <w:rPr>
                <w:rFonts w:hint="eastAsia" w:ascii="宋体" w:hAnsi="宋体" w:eastAsia="宋体" w:cs="宋体"/>
                <w:kern w:val="0"/>
                <w:sz w:val="24"/>
                <w:lang w:val="zh-CN"/>
              </w:rPr>
            </w:pPr>
            <w:r>
              <w:rPr>
                <w:rFonts w:hint="eastAsia" w:ascii="宋体" w:hAnsi="宋体" w:eastAsia="宋体" w:cs="宋体"/>
                <w:kern w:val="0"/>
                <w:sz w:val="24"/>
                <w:lang w:val="zh-CN"/>
              </w:rPr>
              <w:t>11）通过仿真机器人可执行代码，模拟机器人在软件环境中的运动状态，并支持循环指令（如For）控制机机器人重复运动；</w:t>
            </w:r>
          </w:p>
          <w:p>
            <w:pPr>
              <w:rPr>
                <w:rFonts w:hint="eastAsia" w:ascii="宋体" w:hAnsi="宋体" w:eastAsia="宋体" w:cs="宋体"/>
                <w:kern w:val="0"/>
                <w:sz w:val="24"/>
                <w:lang w:val="zh-CN"/>
              </w:rPr>
            </w:pPr>
            <w:r>
              <w:rPr>
                <w:rFonts w:hint="eastAsia" w:ascii="宋体" w:hAnsi="宋体" w:eastAsia="宋体" w:cs="宋体"/>
                <w:kern w:val="0"/>
                <w:sz w:val="24"/>
                <w:lang w:val="zh-CN"/>
              </w:rPr>
              <w:t>12）具备专业的后置代码编辑器。后置代码编辑器可以显示代码的行号，数字、注释和指令等关键字以不同颜色显示；函数在编辑过程中有参数提示；函数和注释可折叠隐藏；</w:t>
            </w:r>
          </w:p>
          <w:p>
            <w:pPr>
              <w:rPr>
                <w:rFonts w:hint="eastAsia" w:ascii="宋体" w:hAnsi="宋体" w:eastAsia="宋体" w:cs="宋体"/>
                <w:kern w:val="0"/>
                <w:sz w:val="24"/>
                <w:lang w:val="zh-CN"/>
              </w:rPr>
            </w:pPr>
            <w:r>
              <w:rPr>
                <w:rFonts w:hint="eastAsia" w:ascii="宋体" w:hAnsi="宋体" w:eastAsia="宋体" w:cs="宋体"/>
                <w:kern w:val="0"/>
                <w:sz w:val="24"/>
                <w:lang w:val="zh-CN"/>
              </w:rPr>
              <w:t>13）支持场景设备的自由定义，用户可通过设计的三维模型以及技术参数自由定义机器人、工具、零件、传感器等设备。</w:t>
            </w:r>
          </w:p>
          <w:p>
            <w:pPr>
              <w:rPr>
                <w:rFonts w:hint="eastAsia" w:ascii="宋体" w:hAnsi="宋体" w:eastAsia="宋体" w:cs="宋体"/>
                <w:kern w:val="0"/>
                <w:sz w:val="24"/>
                <w:lang w:val="zh-CN"/>
              </w:rPr>
            </w:pPr>
            <w:r>
              <w:rPr>
                <w:rFonts w:hint="eastAsia" w:ascii="宋体" w:hAnsi="宋体" w:eastAsia="宋体" w:cs="宋体"/>
                <w:kern w:val="0"/>
                <w:sz w:val="24"/>
                <w:lang w:val="zh-CN"/>
              </w:rPr>
              <w:t>14）支持定义零件生成器，通过时间和信号的控制方式模拟物料重复生成和消失的过程；</w:t>
            </w:r>
          </w:p>
          <w:p>
            <w:pPr>
              <w:rPr>
                <w:rFonts w:hint="eastAsia" w:ascii="宋体" w:hAnsi="宋体" w:eastAsia="宋体" w:cs="宋体"/>
                <w:kern w:val="0"/>
                <w:sz w:val="24"/>
                <w:lang w:val="zh-CN"/>
              </w:rPr>
            </w:pPr>
            <w:r>
              <w:rPr>
                <w:rFonts w:hint="eastAsia" w:ascii="宋体" w:hAnsi="宋体" w:eastAsia="宋体" w:cs="宋体"/>
                <w:kern w:val="0"/>
                <w:sz w:val="24"/>
                <w:lang w:val="zh-CN"/>
              </w:rPr>
              <w:t>15）支持贴图功能，可通过贴图代替或简化离线编程软件虚拟场景中复杂的模型搭建，最大限度减小模型的大小；可极大加快绘图区的刷新帧速率，使绘图区操作响应更加灵敏。</w:t>
            </w:r>
          </w:p>
          <w:p>
            <w:pPr>
              <w:rPr>
                <w:rFonts w:hint="eastAsia" w:ascii="宋体" w:hAnsi="宋体" w:eastAsia="宋体" w:cs="宋体"/>
                <w:kern w:val="0"/>
                <w:sz w:val="24"/>
                <w:lang w:val="zh-CN"/>
              </w:rPr>
            </w:pPr>
            <w:r>
              <w:rPr>
                <w:rFonts w:hint="eastAsia" w:ascii="宋体" w:hAnsi="宋体" w:eastAsia="宋体" w:cs="宋体"/>
                <w:kern w:val="0"/>
                <w:sz w:val="24"/>
                <w:lang w:val="zh-CN"/>
              </w:rPr>
              <w:t>16）软件支持绘图区的全屏显示，在程序设计或仿真过程中，可通过按F11快捷键突出显示设计环境的绘图区内的模型；</w:t>
            </w:r>
          </w:p>
          <w:p>
            <w:pPr>
              <w:rPr>
                <w:rFonts w:hint="eastAsia" w:ascii="宋体" w:hAnsi="宋体" w:eastAsia="宋体" w:cs="宋体"/>
                <w:kern w:val="0"/>
                <w:sz w:val="24"/>
                <w:lang w:val="zh-CN"/>
              </w:rPr>
            </w:pPr>
            <w:r>
              <w:rPr>
                <w:rFonts w:hint="eastAsia" w:ascii="宋体" w:hAnsi="宋体" w:eastAsia="宋体" w:cs="宋体"/>
                <w:kern w:val="0"/>
                <w:sz w:val="24"/>
                <w:lang w:val="zh-CN"/>
              </w:rPr>
              <w:t>17）支持和多种品牌的PLC设备进行信号的联调，包括西门子、三菱、欧姆龙等；</w:t>
            </w:r>
          </w:p>
          <w:p>
            <w:pPr>
              <w:rPr>
                <w:rFonts w:hint="eastAsia" w:ascii="宋体" w:hAnsi="宋体" w:eastAsia="宋体" w:cs="宋体"/>
                <w:kern w:val="0"/>
                <w:sz w:val="24"/>
                <w:lang w:val="zh-CN"/>
              </w:rPr>
            </w:pPr>
            <w:r>
              <w:rPr>
                <w:rFonts w:hint="eastAsia" w:ascii="宋体" w:hAnsi="宋体" w:eastAsia="宋体" w:cs="宋体"/>
                <w:kern w:val="0"/>
                <w:sz w:val="24"/>
                <w:lang w:val="zh-CN"/>
              </w:rPr>
              <w:t>18）支持信号调试面板的显示，软件在虚拟仿真过程中，可通过信号调试面板实时观测相关信号的状态；</w:t>
            </w:r>
          </w:p>
          <w:p>
            <w:pPr>
              <w:rPr>
                <w:rFonts w:hint="eastAsia" w:ascii="宋体" w:hAnsi="宋体" w:eastAsia="宋体" w:cs="宋体"/>
                <w:kern w:val="0"/>
                <w:sz w:val="24"/>
                <w:lang w:val="zh-CN"/>
              </w:rPr>
            </w:pPr>
            <w:r>
              <w:rPr>
                <w:rFonts w:hint="eastAsia" w:ascii="宋体" w:hAnsi="宋体" w:eastAsia="宋体" w:cs="宋体"/>
                <w:kern w:val="0"/>
                <w:sz w:val="24"/>
                <w:lang w:val="zh-CN"/>
              </w:rPr>
              <w:t>19）▲支持虚拟PLC的调试，用户可通过自行编写Python和SCL虚拟PLC程序，实现软件中的设备和虚拟PLC之间的信号调试；</w:t>
            </w:r>
          </w:p>
          <w:p>
            <w:pPr>
              <w:rPr>
                <w:rFonts w:hint="eastAsia" w:ascii="宋体" w:hAnsi="宋体" w:eastAsia="宋体" w:cs="宋体"/>
                <w:kern w:val="0"/>
                <w:sz w:val="24"/>
                <w:lang w:val="zh-CN"/>
              </w:rPr>
            </w:pPr>
            <w:r>
              <w:rPr>
                <w:rFonts w:hint="eastAsia" w:ascii="宋体" w:hAnsi="宋体" w:eastAsia="宋体" w:cs="宋体"/>
                <w:kern w:val="0"/>
                <w:sz w:val="24"/>
                <w:lang w:val="zh-CN"/>
              </w:rPr>
              <w:t>20）▲利用云服务平台，实时把控前端软件考试活动进度；考试结果通过云端智能算法自动进行打分评判；考试全程远程、自动化运行；</w:t>
            </w:r>
          </w:p>
          <w:p>
            <w:pPr>
              <w:rPr>
                <w:rFonts w:hint="eastAsia" w:ascii="宋体" w:hAnsi="宋体" w:eastAsia="宋体" w:cs="宋体"/>
                <w:kern w:val="0"/>
                <w:sz w:val="24"/>
                <w:lang w:val="zh-CN"/>
              </w:rPr>
            </w:pPr>
            <w:r>
              <w:rPr>
                <w:rFonts w:hint="eastAsia" w:ascii="宋体" w:hAnsi="宋体" w:eastAsia="宋体" w:cs="宋体"/>
                <w:kern w:val="0"/>
                <w:sz w:val="24"/>
                <w:lang w:val="zh-CN"/>
              </w:rPr>
              <w:t>21）实现了软件技术手册、问题交流的在线化，相关在线资源的实时化更新；</w:t>
            </w:r>
          </w:p>
          <w:p>
            <w:pPr>
              <w:rPr>
                <w:rFonts w:hint="eastAsia" w:ascii="宋体" w:hAnsi="宋体" w:eastAsia="宋体" w:cs="宋体"/>
                <w:kern w:val="0"/>
                <w:sz w:val="24"/>
                <w:lang w:val="zh-CN"/>
              </w:rPr>
            </w:pPr>
            <w:r>
              <w:rPr>
                <w:rFonts w:hint="eastAsia" w:ascii="宋体" w:hAnsi="宋体" w:eastAsia="宋体" w:cs="宋体"/>
                <w:kern w:val="0"/>
                <w:sz w:val="24"/>
                <w:lang w:val="zh-CN"/>
              </w:rPr>
              <w:t>22）提供多种智能制造和智能装配产线的时序仿真、虚拟调试的学习案例，帮助用户快速掌握软件功能的使用；</w:t>
            </w:r>
          </w:p>
          <w:p>
            <w:pPr>
              <w:rPr>
                <w:rFonts w:hint="eastAsia" w:ascii="宋体" w:hAnsi="宋体" w:eastAsia="宋体" w:cs="宋体"/>
                <w:kern w:val="0"/>
                <w:sz w:val="24"/>
                <w:lang w:val="zh-CN"/>
              </w:rPr>
            </w:pPr>
            <w:r>
              <w:rPr>
                <w:rFonts w:hint="eastAsia" w:ascii="宋体" w:hAnsi="宋体" w:eastAsia="宋体" w:cs="宋体"/>
                <w:kern w:val="0"/>
                <w:sz w:val="24"/>
                <w:lang w:val="zh-CN"/>
              </w:rPr>
              <w:t>23）连接真实PLC设备，支持多种品牌网关的连接，包含组态王、炫思及MQTT网关；</w:t>
            </w:r>
          </w:p>
          <w:p>
            <w:pPr>
              <w:rPr>
                <w:rFonts w:hint="eastAsia" w:ascii="宋体" w:hAnsi="宋体" w:eastAsia="宋体" w:cs="宋体"/>
                <w:kern w:val="0"/>
                <w:sz w:val="24"/>
                <w:lang w:val="zh-CN"/>
              </w:rPr>
            </w:pPr>
            <w:r>
              <w:rPr>
                <w:rFonts w:hint="eastAsia" w:ascii="宋体" w:hAnsi="宋体" w:eastAsia="宋体" w:cs="宋体"/>
                <w:kern w:val="0"/>
                <w:sz w:val="24"/>
                <w:lang w:val="zh-CN"/>
              </w:rPr>
              <w:t>24）支持PLC编程软件中变量表的导入，包含robport、csv以及xlsx等格式；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10</w:t>
            </w:r>
          </w:p>
        </w:tc>
        <w:tc>
          <w:tcPr>
            <w:tcW w:w="1136" w:type="dxa"/>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配套工具</w:t>
            </w:r>
          </w:p>
        </w:tc>
        <w:tc>
          <w:tcPr>
            <w:tcW w:w="720" w:type="dxa"/>
            <w:noWrap w:val="0"/>
            <w:vAlign w:val="top"/>
          </w:tcPr>
          <w:p>
            <w:pPr>
              <w:rPr>
                <w:rFonts w:hint="eastAsia" w:ascii="宋体" w:hAnsi="宋体" w:eastAsia="宋体" w:cs="宋体"/>
                <w:kern w:val="0"/>
                <w:sz w:val="24"/>
                <w:lang w:val="zh-CN"/>
              </w:rPr>
            </w:pPr>
            <w:r>
              <w:rPr>
                <w:rFonts w:hint="eastAsia" w:ascii="宋体" w:hAnsi="宋体" w:eastAsia="宋体" w:cs="宋体"/>
                <w:kern w:val="0"/>
                <w:sz w:val="24"/>
                <w:lang w:val="zh-CN"/>
              </w:rPr>
              <w:t>1套</w:t>
            </w:r>
          </w:p>
        </w:tc>
        <w:tc>
          <w:tcPr>
            <w:tcW w:w="5565" w:type="dxa"/>
            <w:noWrap w:val="0"/>
            <w:vAlign w:val="top"/>
          </w:tcPr>
          <w:p>
            <w:pPr>
              <w:pStyle w:val="4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具盒1个，内六角扳手1套，螺丝刀1把，斜口钳1把，气管剪1个，万用表1个，刀具2把，端面打磨头20个，侧面打磨头5个，单元间固定连接板15个，单元间供电连接线五线制2根，单元间供电连接线三线制5根，单元间通信连接线5m长6根，单元间通信连接线1m长3根，视觉标定板1套。</w:t>
            </w:r>
          </w:p>
        </w:tc>
      </w:tr>
    </w:tbl>
    <w:p>
      <w:pPr>
        <w:snapToGrid w:val="0"/>
        <w:spacing w:line="360" w:lineRule="auto"/>
        <w:ind w:firstLine="480" w:firstLineChars="200"/>
        <w:rPr>
          <w:rFonts w:hint="eastAsia" w:ascii="宋体" w:hAnsi="宋体" w:eastAsia="宋体" w:cs="宋体"/>
          <w:b w:val="0"/>
          <w:bCs w:val="0"/>
          <w:kern w:val="0"/>
          <w:sz w:val="24"/>
          <w:szCs w:val="24"/>
          <w:lang w:val="zh-CN"/>
        </w:rPr>
      </w:pPr>
    </w:p>
    <w:p>
      <w:pPr>
        <w:snapToGrid w:val="0"/>
        <w:spacing w:line="360" w:lineRule="auto"/>
        <w:ind w:firstLine="480" w:firstLineChars="20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lang w:val="zh-CN"/>
        </w:rPr>
        <w:t>、付款时间和条件</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1.项目完成期限：合同签订后10日历天内提供采购人所需设备及软件系统并安装、调试完毕。</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2.质保期：一年</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3.验收标准：在接到供应商以书面形式提出验收申请后，在5个工作日内及时组织相关专业技术人员，必要时邀请采购中心、质检等部门共同参与验收，并出具验收报告，作为支付货款的依据。</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4.付款方式</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合同签订后</w:t>
      </w:r>
      <w:r>
        <w:rPr>
          <w:rFonts w:hint="eastAsia" w:ascii="宋体" w:hAnsi="宋体" w:eastAsia="宋体" w:cs="宋体"/>
          <w:kern w:val="0"/>
          <w:sz w:val="24"/>
          <w:szCs w:val="24"/>
          <w:lang w:val="zh-CN" w:eastAsia="zh-CN"/>
        </w:rPr>
        <w:t>，</w:t>
      </w:r>
      <w:r>
        <w:rPr>
          <w:rFonts w:hint="eastAsia" w:ascii="宋体" w:hAnsi="宋体" w:eastAsia="宋体" w:cs="宋体"/>
          <w:kern w:val="0"/>
          <w:sz w:val="24"/>
          <w:szCs w:val="24"/>
          <w:lang w:val="zh-CN"/>
        </w:rPr>
        <w:t>待项目履行结束并通过验收后一次性付清全部合同价款。</w:t>
      </w:r>
    </w:p>
    <w:p>
      <w:pPr>
        <w:snapToGrid w:val="0"/>
        <w:spacing w:line="360" w:lineRule="auto"/>
        <w:ind w:firstLine="480" w:firstLineChars="20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lang w:val="zh-CN"/>
        </w:rPr>
        <w:t>、其他</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1.签订合同日期：自成交通知书发出之日起30个工作日内按时签约。</w:t>
      </w:r>
    </w:p>
    <w:p>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2.交货（服务）地点：南通市中远路169号，南通开放大学。</w:t>
      </w:r>
    </w:p>
    <w:p>
      <w:pPr>
        <w:widowControl/>
        <w:shd w:val="clear"/>
        <w:snapToGrid w:val="0"/>
        <w:spacing w:line="360" w:lineRule="auto"/>
        <w:ind w:firstLine="560" w:firstLineChars="200"/>
        <w:rPr>
          <w:rFonts w:cs="楷体_GB2312"/>
          <w:kern w:val="0"/>
          <w:sz w:val="28"/>
          <w:szCs w:val="28"/>
        </w:rPr>
      </w:pPr>
    </w:p>
    <w:p>
      <w:pPr>
        <w:autoSpaceDE w:val="0"/>
        <w:autoSpaceDN w:val="0"/>
        <w:adjustRightInd w:val="0"/>
        <w:snapToGrid w:val="0"/>
        <w:spacing w:line="300" w:lineRule="auto"/>
        <w:jc w:val="center"/>
        <w:rPr>
          <w:rFonts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第四部分  评审程序和内容</w:t>
      </w:r>
    </w:p>
    <w:p>
      <w:pPr>
        <w:tabs>
          <w:tab w:val="left" w:pos="3585"/>
        </w:tabs>
        <w:snapToGrid w:val="0"/>
        <w:spacing w:line="480" w:lineRule="exact"/>
        <w:ind w:firstLine="461" w:firstLineChars="192"/>
        <w:rPr>
          <w:b/>
          <w:sz w:val="24"/>
        </w:rPr>
      </w:pPr>
      <w:r>
        <w:rPr>
          <w:rFonts w:hint="eastAsia"/>
          <w:b/>
          <w:bCs/>
          <w:sz w:val="24"/>
        </w:rPr>
        <w:t>一、</w:t>
      </w:r>
      <w:r>
        <w:rPr>
          <w:rFonts w:hint="eastAsia"/>
          <w:b/>
          <w:sz w:val="24"/>
        </w:rPr>
        <w:t>采购人委托代理机构组织磋商</w:t>
      </w:r>
    </w:p>
    <w:p>
      <w:pPr>
        <w:tabs>
          <w:tab w:val="left" w:pos="3585"/>
        </w:tabs>
        <w:snapToGrid w:val="0"/>
        <w:spacing w:line="480" w:lineRule="exact"/>
        <w:ind w:firstLine="460" w:firstLineChars="192"/>
        <w:rPr>
          <w:rFonts w:cs="宋体"/>
          <w:kern w:val="0"/>
          <w:sz w:val="24"/>
        </w:rPr>
      </w:pPr>
      <w:r>
        <w:rPr>
          <w:kern w:val="0"/>
          <w:sz w:val="24"/>
          <w:lang w:val="zh-CN"/>
        </w:rPr>
        <w:t>响应供应商</w:t>
      </w:r>
      <w:r>
        <w:rPr>
          <w:rFonts w:hint="eastAsia" w:cs="宋体"/>
          <w:kern w:val="0"/>
          <w:sz w:val="24"/>
          <w:lang w:val="zh-CN"/>
        </w:rPr>
        <w:t>须持有效身份</w:t>
      </w:r>
      <w:r>
        <w:rPr>
          <w:rFonts w:hint="eastAsia" w:cs="宋体"/>
          <w:kern w:val="0"/>
          <w:sz w:val="24"/>
        </w:rPr>
        <w:t>证明</w:t>
      </w:r>
      <w:r>
        <w:rPr>
          <w:kern w:val="0"/>
          <w:sz w:val="24"/>
          <w:lang w:val="zh-CN"/>
        </w:rPr>
        <w:t>参加磋商会</w:t>
      </w:r>
      <w:r>
        <w:rPr>
          <w:rFonts w:hint="eastAsia" w:cs="宋体"/>
          <w:kern w:val="0"/>
          <w:sz w:val="24"/>
          <w:lang w:val="zh-CN"/>
        </w:rPr>
        <w:t>。</w:t>
      </w:r>
    </w:p>
    <w:p>
      <w:pPr>
        <w:snapToGrid w:val="0"/>
        <w:spacing w:line="480" w:lineRule="exact"/>
        <w:ind w:firstLine="480" w:firstLineChars="200"/>
        <w:rPr>
          <w:b/>
          <w:bCs/>
          <w:sz w:val="24"/>
        </w:rPr>
      </w:pPr>
      <w:r>
        <w:rPr>
          <w:rFonts w:hint="eastAsia"/>
          <w:b/>
          <w:kern w:val="0"/>
          <w:sz w:val="24"/>
          <w:lang w:val="zh-CN"/>
        </w:rPr>
        <w:t>二、</w:t>
      </w:r>
      <w:r>
        <w:rPr>
          <w:b/>
          <w:kern w:val="0"/>
          <w:sz w:val="24"/>
          <w:lang w:val="zh-CN"/>
        </w:rPr>
        <w:t>竞争性磋商小组</w:t>
      </w:r>
      <w:r>
        <w:rPr>
          <w:rFonts w:hint="eastAsia"/>
          <w:b/>
          <w:bCs/>
          <w:sz w:val="24"/>
        </w:rPr>
        <w:t>由有关专家和</w:t>
      </w:r>
      <w:r>
        <w:rPr>
          <w:rFonts w:hint="eastAsia"/>
          <w:b/>
          <w:sz w:val="24"/>
        </w:rPr>
        <w:t>采购人代表</w:t>
      </w:r>
      <w:r>
        <w:rPr>
          <w:rFonts w:hint="eastAsia"/>
          <w:b/>
          <w:bCs/>
          <w:sz w:val="24"/>
        </w:rPr>
        <w:t>组成</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pPr>
        <w:snapToGrid w:val="0"/>
        <w:spacing w:line="480" w:lineRule="exact"/>
        <w:ind w:firstLine="480" w:firstLineChars="200"/>
        <w:rPr>
          <w:b/>
          <w:bCs/>
          <w:sz w:val="24"/>
        </w:rPr>
      </w:pPr>
      <w:r>
        <w:rPr>
          <w:rFonts w:hint="eastAsia"/>
          <w:bCs/>
          <w:sz w:val="24"/>
        </w:rPr>
        <w:t>磋商小组</w:t>
      </w:r>
      <w:r>
        <w:rPr>
          <w:bCs/>
          <w:sz w:val="24"/>
        </w:rPr>
        <w:t>由采购人代表和评审专家共计3人组成。</w:t>
      </w:r>
    </w:p>
    <w:p>
      <w:pPr>
        <w:snapToGrid w:val="0"/>
        <w:spacing w:line="480" w:lineRule="exact"/>
        <w:ind w:firstLine="570"/>
        <w:rPr>
          <w:b/>
          <w:bCs/>
          <w:sz w:val="24"/>
        </w:rPr>
      </w:pPr>
      <w:r>
        <w:rPr>
          <w:rFonts w:hint="eastAsia"/>
          <w:b/>
          <w:bCs/>
          <w:sz w:val="24"/>
        </w:rPr>
        <w:t>（一）评审内容</w:t>
      </w:r>
    </w:p>
    <w:p>
      <w:pPr>
        <w:snapToGrid w:val="0"/>
        <w:spacing w:line="480" w:lineRule="exact"/>
        <w:ind w:firstLine="480" w:firstLineChars="200"/>
        <w:jc w:val="left"/>
        <w:rPr>
          <w:bCs/>
          <w:sz w:val="24"/>
        </w:rPr>
      </w:pPr>
      <w:r>
        <w:rPr>
          <w:bCs/>
          <w:sz w:val="24"/>
        </w:rPr>
        <w:t>1、是否递交</w:t>
      </w:r>
      <w:r>
        <w:rPr>
          <w:rFonts w:hint="eastAsia"/>
          <w:bCs/>
          <w:sz w:val="24"/>
        </w:rPr>
        <w:t>响应文件</w:t>
      </w:r>
      <w:r>
        <w:rPr>
          <w:bCs/>
          <w:sz w:val="24"/>
        </w:rPr>
        <w:t>；</w:t>
      </w:r>
    </w:p>
    <w:p>
      <w:pPr>
        <w:snapToGrid w:val="0"/>
        <w:spacing w:line="480" w:lineRule="exact"/>
        <w:ind w:firstLine="480" w:firstLineChars="200"/>
        <w:jc w:val="left"/>
        <w:rPr>
          <w:bCs/>
          <w:sz w:val="24"/>
        </w:rPr>
      </w:pPr>
      <w:r>
        <w:rPr>
          <w:bCs/>
          <w:sz w:val="24"/>
        </w:rPr>
        <w:t>2、</w:t>
      </w:r>
      <w:r>
        <w:rPr>
          <w:rFonts w:hint="eastAsia"/>
          <w:bCs/>
          <w:sz w:val="24"/>
        </w:rPr>
        <w:t>供应商</w:t>
      </w:r>
      <w:r>
        <w:rPr>
          <w:bCs/>
          <w:sz w:val="24"/>
        </w:rPr>
        <w:t>资格是否符合</w:t>
      </w:r>
      <w:r>
        <w:rPr>
          <w:rFonts w:hint="eastAsia"/>
          <w:bCs/>
          <w:sz w:val="24"/>
        </w:rPr>
        <w:t>；</w:t>
      </w:r>
    </w:p>
    <w:p>
      <w:pPr>
        <w:snapToGrid w:val="0"/>
        <w:spacing w:line="480" w:lineRule="exact"/>
        <w:ind w:firstLine="480" w:firstLineChars="200"/>
        <w:jc w:val="left"/>
        <w:rPr>
          <w:sz w:val="24"/>
        </w:rPr>
      </w:pPr>
      <w:r>
        <w:rPr>
          <w:sz w:val="24"/>
        </w:rPr>
        <w:t>3、</w:t>
      </w:r>
      <w:r>
        <w:rPr>
          <w:rFonts w:hint="eastAsia"/>
          <w:sz w:val="24"/>
        </w:rPr>
        <w:t>响应文件</w:t>
      </w:r>
      <w:r>
        <w:rPr>
          <w:sz w:val="24"/>
        </w:rPr>
        <w:t>是否完整；</w:t>
      </w:r>
    </w:p>
    <w:p>
      <w:pPr>
        <w:snapToGrid w:val="0"/>
        <w:spacing w:line="480" w:lineRule="exact"/>
        <w:ind w:firstLine="480" w:firstLineChars="200"/>
        <w:jc w:val="left"/>
        <w:rPr>
          <w:sz w:val="24"/>
        </w:rPr>
      </w:pPr>
      <w:r>
        <w:rPr>
          <w:sz w:val="24"/>
        </w:rPr>
        <w:t>4、</w:t>
      </w:r>
      <w:r>
        <w:rPr>
          <w:rFonts w:hint="eastAsia"/>
          <w:sz w:val="24"/>
        </w:rPr>
        <w:t>响应文件</w:t>
      </w:r>
      <w:r>
        <w:rPr>
          <w:sz w:val="24"/>
        </w:rPr>
        <w:t>是否恰当地签署；</w:t>
      </w:r>
    </w:p>
    <w:p>
      <w:pPr>
        <w:snapToGrid w:val="0"/>
        <w:spacing w:line="480" w:lineRule="exact"/>
        <w:ind w:firstLine="480" w:firstLineChars="200"/>
        <w:jc w:val="left"/>
        <w:rPr>
          <w:sz w:val="24"/>
        </w:rPr>
      </w:pPr>
      <w:r>
        <w:rPr>
          <w:sz w:val="24"/>
        </w:rPr>
        <w:t>5、是否作出实质性响应（是否有实质性响应，只根据</w:t>
      </w:r>
      <w:r>
        <w:rPr>
          <w:rFonts w:hint="eastAsia"/>
          <w:sz w:val="24"/>
        </w:rPr>
        <w:t>响应文件</w:t>
      </w:r>
      <w:r>
        <w:rPr>
          <w:sz w:val="24"/>
        </w:rPr>
        <w:t>本身，而不寻求外部证据）；</w:t>
      </w:r>
    </w:p>
    <w:p>
      <w:pPr>
        <w:snapToGrid w:val="0"/>
        <w:spacing w:line="480" w:lineRule="exact"/>
        <w:ind w:firstLine="480" w:firstLineChars="200"/>
        <w:jc w:val="left"/>
        <w:rPr>
          <w:sz w:val="24"/>
        </w:rPr>
      </w:pPr>
      <w:r>
        <w:rPr>
          <w:sz w:val="24"/>
        </w:rPr>
        <w:t>6、是否有计算错误。</w:t>
      </w:r>
    </w:p>
    <w:p>
      <w:pPr>
        <w:snapToGrid w:val="0"/>
        <w:spacing w:line="480" w:lineRule="exact"/>
        <w:ind w:firstLine="480" w:firstLineChars="200"/>
        <w:rPr>
          <w:b/>
          <w:bCs/>
          <w:sz w:val="24"/>
        </w:rPr>
      </w:pPr>
      <w:r>
        <w:rPr>
          <w:rFonts w:hint="eastAsia"/>
          <w:b/>
          <w:bCs/>
          <w:sz w:val="24"/>
        </w:rPr>
        <w:t>（二）相应的规定</w:t>
      </w:r>
    </w:p>
    <w:p>
      <w:pPr>
        <w:snapToGrid w:val="0"/>
        <w:spacing w:line="480" w:lineRule="exact"/>
        <w:ind w:firstLine="480" w:firstLineChars="200"/>
        <w:rPr>
          <w:sz w:val="24"/>
        </w:rPr>
      </w:pPr>
      <w:r>
        <w:rPr>
          <w:sz w:val="24"/>
        </w:rPr>
        <w:t>1、</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pPr>
        <w:snapToGrid w:val="0"/>
        <w:spacing w:line="480" w:lineRule="exact"/>
        <w:ind w:firstLine="480" w:firstLineChars="200"/>
        <w:rPr>
          <w:sz w:val="24"/>
        </w:rPr>
      </w:pPr>
      <w:r>
        <w:rPr>
          <w:sz w:val="24"/>
        </w:rPr>
        <w:t>2、大写金额和小写金额不一致的，以大写金额为准；</w:t>
      </w:r>
    </w:p>
    <w:p>
      <w:pPr>
        <w:snapToGrid w:val="0"/>
        <w:spacing w:line="480" w:lineRule="exact"/>
        <w:ind w:firstLine="480" w:firstLineChars="200"/>
        <w:rPr>
          <w:sz w:val="24"/>
        </w:rPr>
      </w:pPr>
      <w:r>
        <w:rPr>
          <w:sz w:val="24"/>
        </w:rPr>
        <w:t>3、单价金额小数点或者百分比有明显错位的，以</w:t>
      </w:r>
      <w:r>
        <w:rPr>
          <w:rFonts w:hint="eastAsia"/>
          <w:sz w:val="24"/>
        </w:rPr>
        <w:t>报价总表</w:t>
      </w:r>
      <w:r>
        <w:rPr>
          <w:sz w:val="24"/>
        </w:rPr>
        <w:t>的总价为准，并修改单价；</w:t>
      </w:r>
    </w:p>
    <w:p>
      <w:pPr>
        <w:snapToGrid w:val="0"/>
        <w:spacing w:line="480" w:lineRule="exact"/>
        <w:ind w:firstLine="480" w:firstLineChars="200"/>
        <w:rPr>
          <w:sz w:val="24"/>
        </w:rPr>
      </w:pPr>
      <w:r>
        <w:rPr>
          <w:sz w:val="24"/>
        </w:rPr>
        <w:t>4、总价金额与按单价汇总金额不一致的，以单价金额计算结果为准。</w:t>
      </w:r>
    </w:p>
    <w:p>
      <w:pPr>
        <w:snapToGrid w:val="0"/>
        <w:spacing w:line="480" w:lineRule="exact"/>
        <w:ind w:firstLine="480" w:firstLineChars="200"/>
        <w:rPr>
          <w:sz w:val="24"/>
        </w:rPr>
      </w:pPr>
      <w:r>
        <w:rPr>
          <w:sz w:val="24"/>
        </w:rPr>
        <w:t>同时出现两种以上不一致的，按照前款规定的顺序修正。修正后的报价按照财政部第87号令第五十一条第二款的规定经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pPr>
        <w:tabs>
          <w:tab w:val="left" w:pos="3585"/>
        </w:tabs>
        <w:snapToGrid w:val="0"/>
        <w:spacing w:line="480" w:lineRule="exact"/>
        <w:ind w:firstLine="480" w:firstLineChars="200"/>
        <w:rPr>
          <w:b/>
          <w:bCs/>
          <w:sz w:val="24"/>
        </w:rPr>
      </w:pPr>
      <w:r>
        <w:rPr>
          <w:rFonts w:hint="eastAsia"/>
          <w:b/>
          <w:bCs/>
          <w:sz w:val="24"/>
        </w:rPr>
        <w:t>三、</w:t>
      </w:r>
      <w:r>
        <w:rPr>
          <w:rFonts w:hint="eastAsia"/>
          <w:b/>
          <w:sz w:val="24"/>
        </w:rPr>
        <w:t>陈述、演示、</w:t>
      </w:r>
      <w:r>
        <w:rPr>
          <w:rFonts w:hint="eastAsia"/>
          <w:b/>
          <w:bCs/>
          <w:sz w:val="24"/>
        </w:rPr>
        <w:t>答疑、澄清</w:t>
      </w:r>
    </w:p>
    <w:p>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pPr>
        <w:snapToGrid w:val="0"/>
        <w:spacing w:line="480" w:lineRule="exact"/>
        <w:ind w:firstLine="570"/>
        <w:rPr>
          <w:sz w:val="24"/>
        </w:rPr>
      </w:pPr>
      <w:r>
        <w:rPr>
          <w:rFonts w:hint="eastAsia"/>
          <w:sz w:val="24"/>
        </w:rPr>
        <w:t>重要澄清答复应是书面的，但不得对响应内容进行实质性修改。</w:t>
      </w:r>
    </w:p>
    <w:p>
      <w:pPr>
        <w:snapToGrid w:val="0"/>
        <w:spacing w:line="480" w:lineRule="exact"/>
        <w:ind w:firstLine="570"/>
        <w:rPr>
          <w:b/>
          <w:sz w:val="24"/>
        </w:rPr>
      </w:pPr>
      <w:r>
        <w:rPr>
          <w:rFonts w:hint="eastAsia"/>
          <w:b/>
          <w:sz w:val="24"/>
        </w:rPr>
        <w:t>四、出现下列情形之一的，作无效响应处理</w:t>
      </w:r>
    </w:p>
    <w:p>
      <w:pPr>
        <w:snapToGrid w:val="0"/>
        <w:spacing w:line="480" w:lineRule="exact"/>
        <w:ind w:firstLine="480" w:firstLineChars="200"/>
        <w:rPr>
          <w:sz w:val="24"/>
        </w:rPr>
      </w:pPr>
      <w:r>
        <w:rPr>
          <w:rFonts w:hint="eastAsia"/>
          <w:sz w:val="24"/>
        </w:rPr>
        <w:t>1、响应文件</w:t>
      </w:r>
      <w:r>
        <w:rPr>
          <w:sz w:val="24"/>
        </w:rPr>
        <w:t>未按</w:t>
      </w:r>
      <w:r>
        <w:rPr>
          <w:rFonts w:hint="eastAsia"/>
          <w:sz w:val="24"/>
        </w:rPr>
        <w:t>采购文件</w:t>
      </w:r>
      <w:r>
        <w:rPr>
          <w:sz w:val="24"/>
        </w:rPr>
        <w:t>要求密封、签署、盖章及主要资料不齐全</w:t>
      </w:r>
      <w:r>
        <w:rPr>
          <w:rFonts w:hint="eastAsia"/>
          <w:sz w:val="24"/>
        </w:rPr>
        <w:t>或加</w:t>
      </w:r>
      <w:r>
        <w:rPr>
          <w:sz w:val="24"/>
        </w:rPr>
        <w:t>盖电子签章</w:t>
      </w:r>
      <w:r>
        <w:rPr>
          <w:rFonts w:hint="eastAsia"/>
          <w:sz w:val="24"/>
        </w:rPr>
        <w:t>；</w:t>
      </w:r>
    </w:p>
    <w:p>
      <w:pPr>
        <w:snapToGrid w:val="0"/>
        <w:spacing w:line="480" w:lineRule="exact"/>
        <w:ind w:firstLine="480" w:firstLineChars="200"/>
        <w:rPr>
          <w:sz w:val="24"/>
        </w:rPr>
      </w:pPr>
      <w:r>
        <w:rPr>
          <w:rFonts w:hint="eastAsia"/>
          <w:sz w:val="24"/>
        </w:rPr>
        <w:t>2、供应商</w:t>
      </w:r>
      <w:r>
        <w:rPr>
          <w:sz w:val="24"/>
        </w:rPr>
        <w:t>在”鸿雁不见面交易系统”规定的时间内未成功解密电子</w:t>
      </w:r>
      <w:r>
        <w:rPr>
          <w:rFonts w:hint="eastAsia"/>
          <w:sz w:val="24"/>
        </w:rPr>
        <w:t>响应文件</w:t>
      </w:r>
      <w:r>
        <w:rPr>
          <w:sz w:val="24"/>
        </w:rPr>
        <w:t>的</w:t>
      </w:r>
      <w:r>
        <w:rPr>
          <w:rFonts w:hint="eastAsia"/>
          <w:sz w:val="24"/>
        </w:rPr>
        <w:t>（本项目不适用）；</w:t>
      </w:r>
    </w:p>
    <w:p>
      <w:pPr>
        <w:snapToGrid w:val="0"/>
        <w:spacing w:line="480" w:lineRule="exact"/>
        <w:ind w:firstLine="480" w:firstLineChars="200"/>
        <w:rPr>
          <w:sz w:val="24"/>
        </w:rPr>
      </w:pPr>
      <w:r>
        <w:rPr>
          <w:rFonts w:hint="eastAsia"/>
          <w:sz w:val="24"/>
        </w:rPr>
        <w:t>3、</w:t>
      </w:r>
      <w:r>
        <w:rPr>
          <w:sz w:val="24"/>
        </w:rPr>
        <w:t>未完整上传</w:t>
      </w:r>
      <w:r>
        <w:rPr>
          <w:rFonts w:hint="eastAsia"/>
          <w:sz w:val="24"/>
        </w:rPr>
        <w:t>响应文件</w:t>
      </w:r>
      <w:r>
        <w:rPr>
          <w:sz w:val="24"/>
        </w:rPr>
        <w:t>电子文档的，或上传的文件打不开的</w:t>
      </w:r>
      <w:r>
        <w:rPr>
          <w:rFonts w:hint="eastAsia"/>
          <w:sz w:val="24"/>
        </w:rPr>
        <w:t>（本项目不适用）；</w:t>
      </w:r>
    </w:p>
    <w:p>
      <w:pPr>
        <w:snapToGrid w:val="0"/>
        <w:spacing w:line="480" w:lineRule="exact"/>
        <w:ind w:firstLine="480" w:firstLineChars="200"/>
        <w:rPr>
          <w:sz w:val="24"/>
        </w:rPr>
      </w:pPr>
      <w:r>
        <w:rPr>
          <w:rFonts w:hint="eastAsia"/>
          <w:sz w:val="24"/>
        </w:rPr>
        <w:t>4、</w:t>
      </w:r>
      <w:r>
        <w:rPr>
          <w:sz w:val="24"/>
        </w:rPr>
        <w:t>不具备</w:t>
      </w:r>
      <w:r>
        <w:rPr>
          <w:rFonts w:hint="eastAsia"/>
          <w:sz w:val="24"/>
        </w:rPr>
        <w:t>采购文件</w:t>
      </w:r>
      <w:r>
        <w:rPr>
          <w:sz w:val="24"/>
        </w:rPr>
        <w:t>中规定的资格要求的</w:t>
      </w:r>
      <w:r>
        <w:rPr>
          <w:rFonts w:hint="eastAsia"/>
          <w:sz w:val="24"/>
        </w:rPr>
        <w:t>；</w:t>
      </w:r>
    </w:p>
    <w:p>
      <w:pPr>
        <w:snapToGrid w:val="0"/>
        <w:spacing w:line="480" w:lineRule="exact"/>
        <w:ind w:firstLine="480" w:firstLineChars="200"/>
        <w:rPr>
          <w:sz w:val="24"/>
        </w:rPr>
      </w:pPr>
      <w:r>
        <w:rPr>
          <w:rFonts w:hint="eastAsia"/>
          <w:sz w:val="24"/>
        </w:rPr>
        <w:t>5、</w:t>
      </w:r>
      <w:r>
        <w:rPr>
          <w:sz w:val="24"/>
        </w:rPr>
        <w:t>未通过符合性检查的；</w:t>
      </w:r>
    </w:p>
    <w:p>
      <w:pPr>
        <w:snapToGrid w:val="0"/>
        <w:spacing w:line="480" w:lineRule="exact"/>
        <w:ind w:firstLine="480" w:firstLineChars="200"/>
        <w:rPr>
          <w:sz w:val="24"/>
        </w:rPr>
      </w:pPr>
      <w:r>
        <w:rPr>
          <w:rFonts w:hint="eastAsia"/>
          <w:sz w:val="24"/>
        </w:rPr>
        <w:t>6、</w:t>
      </w:r>
      <w:r>
        <w:rPr>
          <w:sz w:val="24"/>
        </w:rPr>
        <w:t>报价超过</w:t>
      </w:r>
      <w:r>
        <w:rPr>
          <w:rFonts w:hint="eastAsia"/>
          <w:sz w:val="24"/>
        </w:rPr>
        <w:t>采购文件</w:t>
      </w:r>
      <w:r>
        <w:rPr>
          <w:sz w:val="24"/>
        </w:rPr>
        <w:t>中规定的预算金额或者最高限价的；</w:t>
      </w:r>
    </w:p>
    <w:p>
      <w:pPr>
        <w:snapToGrid w:val="0"/>
        <w:spacing w:line="480" w:lineRule="exact"/>
        <w:ind w:firstLine="480" w:firstLineChars="200"/>
        <w:rPr>
          <w:sz w:val="24"/>
        </w:rPr>
      </w:pPr>
      <w:r>
        <w:rPr>
          <w:rFonts w:hint="eastAsia"/>
          <w:sz w:val="24"/>
        </w:rPr>
        <w:t>7、</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pPr>
        <w:snapToGrid w:val="0"/>
        <w:spacing w:line="480" w:lineRule="exact"/>
        <w:ind w:firstLine="480" w:firstLineChars="200"/>
        <w:rPr>
          <w:sz w:val="24"/>
        </w:rPr>
      </w:pPr>
      <w:r>
        <w:rPr>
          <w:rFonts w:hint="eastAsia"/>
          <w:sz w:val="24"/>
        </w:rPr>
        <w:t>8、报价文件出现在其他响应文件中的；</w:t>
      </w:r>
    </w:p>
    <w:p>
      <w:pPr>
        <w:snapToGrid w:val="0"/>
        <w:spacing w:line="480" w:lineRule="exact"/>
        <w:ind w:firstLine="480" w:firstLineChars="200"/>
        <w:rPr>
          <w:sz w:val="24"/>
        </w:rPr>
      </w:pPr>
      <w:r>
        <w:rPr>
          <w:rFonts w:hint="eastAsia"/>
          <w:sz w:val="24"/>
        </w:rPr>
        <w:t>9、响应文件</w:t>
      </w:r>
      <w:r>
        <w:rPr>
          <w:sz w:val="24"/>
        </w:rPr>
        <w:t>含有采购人不能接受的附加条件的；</w:t>
      </w:r>
    </w:p>
    <w:p>
      <w:pPr>
        <w:snapToGrid w:val="0"/>
        <w:spacing w:line="480" w:lineRule="exact"/>
        <w:ind w:firstLine="480" w:firstLineChars="200"/>
        <w:rPr>
          <w:sz w:val="24"/>
        </w:rPr>
      </w:pPr>
      <w:r>
        <w:rPr>
          <w:rFonts w:hint="eastAsia"/>
          <w:sz w:val="24"/>
        </w:rPr>
        <w:t>10、</w:t>
      </w:r>
      <w:r>
        <w:rPr>
          <w:sz w:val="24"/>
        </w:rPr>
        <w:t>不符合</w:t>
      </w:r>
      <w:r>
        <w:rPr>
          <w:rFonts w:hint="eastAsia"/>
          <w:sz w:val="24"/>
        </w:rPr>
        <w:t>采购文件</w:t>
      </w:r>
      <w:r>
        <w:rPr>
          <w:sz w:val="24"/>
        </w:rPr>
        <w:t>中规定的其他实质性要求</w:t>
      </w:r>
      <w:r>
        <w:rPr>
          <w:rFonts w:hint="eastAsia"/>
          <w:sz w:val="24"/>
        </w:rPr>
        <w:t>和条件的；</w:t>
      </w:r>
    </w:p>
    <w:p>
      <w:pPr>
        <w:snapToGrid w:val="0"/>
        <w:spacing w:line="480" w:lineRule="exact"/>
        <w:ind w:firstLine="480" w:firstLineChars="200"/>
        <w:rPr>
          <w:sz w:val="24"/>
        </w:rPr>
      </w:pPr>
      <w:r>
        <w:rPr>
          <w:rFonts w:hint="eastAsia"/>
          <w:sz w:val="24"/>
        </w:rPr>
        <w:t>11、供应商的商务技术部分得分相差悬殊，磋商小组认为得分畸低者没有实质性响应的；</w:t>
      </w:r>
    </w:p>
    <w:p>
      <w:pPr>
        <w:snapToGrid w:val="0"/>
        <w:spacing w:line="480" w:lineRule="exact"/>
        <w:ind w:firstLine="480" w:firstLineChars="200"/>
        <w:rPr>
          <w:sz w:val="24"/>
        </w:rPr>
      </w:pPr>
      <w:r>
        <w:rPr>
          <w:rFonts w:hint="eastAsia"/>
          <w:sz w:val="24"/>
        </w:rPr>
        <w:t>12、响应供应商未在规定时间内提交最后报价的；</w:t>
      </w:r>
    </w:p>
    <w:p>
      <w:pPr>
        <w:snapToGrid w:val="0"/>
        <w:spacing w:line="480" w:lineRule="exact"/>
        <w:ind w:firstLine="480" w:firstLineChars="200"/>
        <w:rPr>
          <w:sz w:val="24"/>
        </w:rPr>
      </w:pPr>
      <w:r>
        <w:rPr>
          <w:rFonts w:hint="eastAsia"/>
          <w:sz w:val="24"/>
        </w:rPr>
        <w:t>13、磋商小组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pPr>
        <w:snapToGrid w:val="0"/>
        <w:spacing w:line="480" w:lineRule="exact"/>
        <w:ind w:firstLine="480" w:firstLineChars="200"/>
        <w:rPr>
          <w:sz w:val="24"/>
        </w:rPr>
      </w:pPr>
      <w:r>
        <w:rPr>
          <w:rFonts w:hint="eastAsia"/>
          <w:sz w:val="24"/>
        </w:rPr>
        <w:t>14、供应商</w:t>
      </w:r>
      <w:r>
        <w:rPr>
          <w:sz w:val="24"/>
        </w:rPr>
        <w:t>被 “信用中国”网站（www.creditchina.gov.cn）</w:t>
      </w:r>
      <w:r>
        <w:rPr>
          <w:rFonts w:hint="eastAsia"/>
          <w:sz w:val="24"/>
        </w:rPr>
        <w:t>、“中国政府采购网”（www.ccgp.gov.cn）</w:t>
      </w:r>
      <w:r>
        <w:rPr>
          <w:sz w:val="24"/>
        </w:rPr>
        <w:t>列入失信被执行人或重大税收违法案件当事人名单或政府采购严重失信行为记录名单</w:t>
      </w:r>
      <w:r>
        <w:rPr>
          <w:rFonts w:hint="eastAsia"/>
          <w:sz w:val="24"/>
          <w:lang w:val="en-US" w:eastAsia="zh-CN"/>
        </w:rPr>
        <w:t>的</w:t>
      </w:r>
      <w:bookmarkStart w:id="2" w:name="_GoBack"/>
      <w:bookmarkEnd w:id="2"/>
      <w:r>
        <w:rPr>
          <w:rFonts w:hint="eastAsia"/>
          <w:sz w:val="24"/>
        </w:rPr>
        <w:t>；</w:t>
      </w:r>
    </w:p>
    <w:p>
      <w:pPr>
        <w:snapToGrid w:val="0"/>
        <w:spacing w:line="480" w:lineRule="exact"/>
        <w:ind w:firstLine="480" w:firstLineChars="200"/>
        <w:rPr>
          <w:sz w:val="24"/>
        </w:rPr>
      </w:pPr>
      <w:r>
        <w:rPr>
          <w:rFonts w:hint="eastAsia"/>
          <w:sz w:val="24"/>
        </w:rPr>
        <w:t>15、</w:t>
      </w:r>
      <w:r>
        <w:rPr>
          <w:sz w:val="24"/>
        </w:rPr>
        <w:t>本项目采购产品</w:t>
      </w:r>
      <w:r>
        <w:rPr>
          <w:rFonts w:hint="eastAsia"/>
          <w:sz w:val="24"/>
        </w:rPr>
        <w:t>被列入</w:t>
      </w:r>
      <w:r>
        <w:rPr>
          <w:rFonts w:hint="eastAsia"/>
          <w:sz w:val="24"/>
          <w:lang w:val="zh-CN"/>
        </w:rPr>
        <w:t>政府采购节能产品、环境标志产品实施品目清单</w:t>
      </w:r>
      <w:r>
        <w:rPr>
          <w:rFonts w:hint="eastAsia"/>
          <w:sz w:val="24"/>
        </w:rPr>
        <w:t>强制采购范围</w:t>
      </w:r>
      <w:r>
        <w:rPr>
          <w:sz w:val="24"/>
        </w:rPr>
        <w:t>，而</w:t>
      </w:r>
      <w:r>
        <w:rPr>
          <w:rFonts w:hint="eastAsia"/>
          <w:sz w:val="24"/>
        </w:rPr>
        <w:t>供应商</w:t>
      </w:r>
      <w:r>
        <w:rPr>
          <w:sz w:val="24"/>
        </w:rPr>
        <w:t>所投产品不在强制采购范围内的</w:t>
      </w:r>
      <w:r>
        <w:rPr>
          <w:rFonts w:hint="eastAsia"/>
          <w:sz w:val="24"/>
        </w:rPr>
        <w:t>；</w:t>
      </w:r>
    </w:p>
    <w:p>
      <w:pPr>
        <w:snapToGrid w:val="0"/>
        <w:spacing w:line="480" w:lineRule="exact"/>
        <w:ind w:firstLine="480" w:firstLineChars="200"/>
        <w:rPr>
          <w:sz w:val="24"/>
        </w:rPr>
      </w:pPr>
      <w:r>
        <w:rPr>
          <w:rFonts w:hint="eastAsia"/>
          <w:sz w:val="24"/>
        </w:rPr>
        <w:t>16、不</w:t>
      </w:r>
      <w:r>
        <w:rPr>
          <w:sz w:val="24"/>
        </w:rPr>
        <w:t>同的</w:t>
      </w:r>
      <w:r>
        <w:rPr>
          <w:rFonts w:hint="eastAsia"/>
          <w:sz w:val="24"/>
        </w:rPr>
        <w:t>供应商响应文件</w:t>
      </w:r>
      <w:r>
        <w:rPr>
          <w:sz w:val="24"/>
        </w:rPr>
        <w:t>制作机器码、文件创建标识码一致的</w:t>
      </w:r>
      <w:r>
        <w:rPr>
          <w:rFonts w:hint="eastAsia"/>
          <w:sz w:val="24"/>
        </w:rPr>
        <w:t>；</w:t>
      </w:r>
    </w:p>
    <w:p>
      <w:pPr>
        <w:snapToGrid w:val="0"/>
        <w:spacing w:line="480" w:lineRule="exact"/>
        <w:ind w:firstLine="480" w:firstLineChars="200"/>
        <w:rPr>
          <w:sz w:val="24"/>
        </w:rPr>
      </w:pPr>
      <w:r>
        <w:rPr>
          <w:rFonts w:hint="eastAsia"/>
          <w:sz w:val="24"/>
        </w:rPr>
        <w:t>17、</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r>
        <w:rPr>
          <w:rFonts w:hint="eastAsia"/>
          <w:sz w:val="24"/>
        </w:rPr>
        <w:t xml:space="preserve">            </w:t>
      </w:r>
    </w:p>
    <w:p>
      <w:pPr>
        <w:snapToGrid w:val="0"/>
        <w:spacing w:line="480" w:lineRule="exact"/>
        <w:ind w:firstLine="570"/>
        <w:rPr>
          <w:b/>
          <w:sz w:val="24"/>
        </w:rPr>
      </w:pPr>
      <w:r>
        <w:rPr>
          <w:rFonts w:hint="eastAsia"/>
          <w:b/>
          <w:sz w:val="24"/>
        </w:rPr>
        <w:t>五、出现下列情形之一的，作废标处理</w:t>
      </w:r>
    </w:p>
    <w:p>
      <w:pPr>
        <w:snapToGrid w:val="0"/>
        <w:spacing w:line="480" w:lineRule="exact"/>
        <w:ind w:firstLine="480" w:firstLineChars="200"/>
        <w:rPr>
          <w:sz w:val="24"/>
        </w:rPr>
      </w:pPr>
      <w:r>
        <w:rPr>
          <w:sz w:val="24"/>
        </w:rPr>
        <w:t>1、符合专业条件的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sz w:val="24"/>
          <w:u w:val="single"/>
        </w:rPr>
        <w:t>3</w:t>
      </w:r>
      <w:r>
        <w:rPr>
          <w:sz w:val="24"/>
        </w:rPr>
        <w:t>家的；</w:t>
      </w:r>
    </w:p>
    <w:p>
      <w:pPr>
        <w:snapToGrid w:val="0"/>
        <w:spacing w:line="480" w:lineRule="exact"/>
        <w:ind w:firstLine="480" w:firstLineChars="200"/>
        <w:rPr>
          <w:sz w:val="24"/>
        </w:rPr>
      </w:pPr>
      <w:r>
        <w:rPr>
          <w:rFonts w:hint="eastAsia"/>
          <w:sz w:val="24"/>
        </w:rPr>
        <w:t>2、</w:t>
      </w:r>
      <w:r>
        <w:rPr>
          <w:sz w:val="24"/>
        </w:rPr>
        <w:t>出现影响采购公正的违法违规行为的；</w:t>
      </w:r>
    </w:p>
    <w:p>
      <w:pPr>
        <w:snapToGrid w:val="0"/>
        <w:spacing w:line="480" w:lineRule="exact"/>
        <w:ind w:firstLine="480" w:firstLineChars="200"/>
        <w:rPr>
          <w:sz w:val="24"/>
        </w:rPr>
      </w:pPr>
      <w:r>
        <w:rPr>
          <w:sz w:val="24"/>
        </w:rPr>
        <w:t>3、</w:t>
      </w:r>
      <w:r>
        <w:rPr>
          <w:rFonts w:hint="eastAsia"/>
          <w:sz w:val="24"/>
        </w:rPr>
        <w:t>供应商</w:t>
      </w:r>
      <w:r>
        <w:rPr>
          <w:sz w:val="24"/>
        </w:rPr>
        <w:t>的报价均超过了采购预算，采购人不能支付的；</w:t>
      </w:r>
    </w:p>
    <w:p>
      <w:pPr>
        <w:snapToGrid w:val="0"/>
        <w:spacing w:line="480" w:lineRule="exact"/>
        <w:ind w:firstLine="480" w:firstLineChars="200"/>
        <w:rPr>
          <w:sz w:val="24"/>
        </w:rPr>
      </w:pPr>
      <w:r>
        <w:rPr>
          <w:sz w:val="24"/>
        </w:rPr>
        <w:t>4、因重大变故，采购任务取消的</w:t>
      </w:r>
      <w:r>
        <w:rPr>
          <w:rFonts w:hint="eastAsia"/>
          <w:sz w:val="24"/>
        </w:rPr>
        <w:t>；</w:t>
      </w:r>
    </w:p>
    <w:p>
      <w:pPr>
        <w:snapToGrid w:val="0"/>
        <w:spacing w:line="480" w:lineRule="exact"/>
        <w:ind w:firstLine="480" w:firstLineChars="200"/>
        <w:rPr>
          <w:kern w:val="0"/>
          <w:sz w:val="24"/>
          <w:szCs w:val="20"/>
        </w:rPr>
      </w:pPr>
      <w:r>
        <w:rPr>
          <w:rFonts w:hint="eastAsia"/>
          <w:kern w:val="0"/>
          <w:sz w:val="24"/>
          <w:szCs w:val="20"/>
        </w:rPr>
        <w:t>5、磋商小组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pPr>
        <w:snapToGrid w:val="0"/>
        <w:spacing w:line="480" w:lineRule="exact"/>
        <w:ind w:firstLine="480" w:firstLineChars="200"/>
        <w:rPr>
          <w:kern w:val="0"/>
          <w:sz w:val="24"/>
          <w:szCs w:val="20"/>
        </w:rPr>
      </w:pPr>
      <w:r>
        <w:rPr>
          <w:rFonts w:hint="eastAsia"/>
          <w:kern w:val="0"/>
          <w:sz w:val="24"/>
          <w:szCs w:val="20"/>
        </w:rPr>
        <w:t>6、</w:t>
      </w:r>
      <w:r>
        <w:rPr>
          <w:kern w:val="0"/>
          <w:sz w:val="24"/>
          <w:szCs w:val="20"/>
        </w:rPr>
        <w:t>因系统故障原因造成</w:t>
      </w:r>
      <w:r>
        <w:rPr>
          <w:rFonts w:hint="eastAsia"/>
          <w:kern w:val="0"/>
          <w:sz w:val="24"/>
          <w:szCs w:val="20"/>
        </w:rPr>
        <w:t>评审工作无法继续进行的</w:t>
      </w:r>
      <w:r>
        <w:rPr>
          <w:kern w:val="0"/>
          <w:sz w:val="24"/>
          <w:szCs w:val="20"/>
        </w:rPr>
        <w:t>。</w:t>
      </w:r>
    </w:p>
    <w:p>
      <w:pPr>
        <w:snapToGrid w:val="0"/>
        <w:spacing w:line="480" w:lineRule="exact"/>
        <w:ind w:firstLine="555"/>
        <w:rPr>
          <w:sz w:val="24"/>
        </w:rPr>
      </w:pPr>
      <w:r>
        <w:rPr>
          <w:rFonts w:hint="eastAsia"/>
          <w:sz w:val="24"/>
        </w:rPr>
        <w:t>上述均保留磋商小组认定可以确定为无效响应或废标的其他情况。</w:t>
      </w:r>
    </w:p>
    <w:p>
      <w:pPr>
        <w:snapToGrid w:val="0"/>
        <w:spacing w:line="480" w:lineRule="exact"/>
        <w:ind w:firstLine="555"/>
        <w:rPr>
          <w:b/>
          <w:sz w:val="24"/>
        </w:rPr>
      </w:pPr>
      <w:r>
        <w:rPr>
          <w:rFonts w:hint="eastAsia"/>
          <w:b/>
          <w:sz w:val="24"/>
        </w:rPr>
        <w:t>六</w:t>
      </w:r>
      <w:r>
        <w:rPr>
          <w:rFonts w:hint="eastAsia"/>
          <w:sz w:val="24"/>
        </w:rPr>
        <w:t>、</w:t>
      </w:r>
      <w:r>
        <w:rPr>
          <w:rFonts w:hint="eastAsia"/>
          <w:b/>
          <w:sz w:val="24"/>
        </w:rPr>
        <w:t>变更为其他方式采购的情形</w:t>
      </w:r>
    </w:p>
    <w:p>
      <w:pPr>
        <w:autoSpaceDE w:val="0"/>
        <w:autoSpaceDN w:val="0"/>
        <w:adjustRightInd w:val="0"/>
        <w:snapToGrid w:val="0"/>
        <w:spacing w:line="480" w:lineRule="exact"/>
        <w:ind w:firstLine="480" w:firstLineChars="200"/>
        <w:rPr>
          <w:sz w:val="24"/>
          <w:lang w:val="zh-CN"/>
        </w:rPr>
      </w:pPr>
      <w:r>
        <w:rPr>
          <w:rFonts w:hint="eastAsia"/>
          <w:sz w:val="24"/>
        </w:rPr>
        <w:t>响应</w:t>
      </w:r>
      <w:r>
        <w:rPr>
          <w:sz w:val="24"/>
        </w:rPr>
        <w:t>截止时间出现：</w:t>
      </w:r>
      <w:r>
        <w:rPr>
          <w:rFonts w:hint="eastAsia"/>
          <w:sz w:val="24"/>
        </w:rPr>
        <w:t>响应</w:t>
      </w:r>
      <w:r>
        <w:rPr>
          <w:sz w:val="24"/>
        </w:rPr>
        <w:t>的供应商不足</w:t>
      </w:r>
      <w:r>
        <w:rPr>
          <w:sz w:val="24"/>
          <w:u w:val="single"/>
        </w:rPr>
        <w:t>3</w:t>
      </w:r>
      <w:r>
        <w:rPr>
          <w:sz w:val="24"/>
        </w:rPr>
        <w:t>家的，及评</w:t>
      </w:r>
      <w:r>
        <w:rPr>
          <w:rFonts w:hint="eastAsia"/>
          <w:sz w:val="24"/>
        </w:rPr>
        <w:t>审</w:t>
      </w:r>
      <w:r>
        <w:rPr>
          <w:sz w:val="24"/>
        </w:rPr>
        <w:t>中出现符合专业条件的供应商或对</w:t>
      </w:r>
      <w:r>
        <w:rPr>
          <w:rFonts w:hint="eastAsia"/>
          <w:sz w:val="24"/>
        </w:rPr>
        <w:t>采购文件</w:t>
      </w:r>
      <w:r>
        <w:rPr>
          <w:sz w:val="24"/>
        </w:rPr>
        <w:t>作实质响应的</w:t>
      </w:r>
      <w:r>
        <w:rPr>
          <w:rFonts w:hint="eastAsia"/>
          <w:sz w:val="24"/>
        </w:rPr>
        <w:t>供应商</w:t>
      </w:r>
      <w:r>
        <w:rPr>
          <w:sz w:val="24"/>
        </w:rPr>
        <w:t>不足</w:t>
      </w:r>
      <w:r>
        <w:rPr>
          <w:sz w:val="24"/>
          <w:u w:val="single"/>
        </w:rPr>
        <w:t>3</w:t>
      </w:r>
      <w:r>
        <w:rPr>
          <w:sz w:val="24"/>
        </w:rPr>
        <w:t>家如下情形时，除采购任务取消外，采购人报告财政局，视情采取其他方式采购。</w:t>
      </w:r>
      <w:r>
        <w:rPr>
          <w:sz w:val="24"/>
          <w:lang w:val="zh-CN"/>
        </w:rPr>
        <w:t>本次</w:t>
      </w:r>
      <w:r>
        <w:rPr>
          <w:rFonts w:hint="eastAsia"/>
          <w:sz w:val="24"/>
          <w:lang w:val="zh-CN"/>
        </w:rPr>
        <w:t>采购文件</w:t>
      </w:r>
      <w:r>
        <w:rPr>
          <w:sz w:val="24"/>
          <w:lang w:val="zh-CN"/>
        </w:rPr>
        <w:t>中对供应商资质、技术等要求，将作为</w:t>
      </w:r>
      <w:r>
        <w:rPr>
          <w:sz w:val="24"/>
        </w:rPr>
        <w:t>其他</w:t>
      </w:r>
      <w:r>
        <w:rPr>
          <w:sz w:val="24"/>
          <w:lang w:val="zh-CN"/>
        </w:rPr>
        <w:t>方式采购的基本要求和依据。原已经</w:t>
      </w:r>
      <w:r>
        <w:rPr>
          <w:rFonts w:hint="eastAsia"/>
          <w:sz w:val="24"/>
          <w:lang w:val="zh-CN"/>
        </w:rPr>
        <w:t>响应</w:t>
      </w:r>
      <w:r>
        <w:rPr>
          <w:sz w:val="24"/>
          <w:lang w:val="zh-CN"/>
        </w:rPr>
        <w:t>并符合要求的供应商，根据自愿原则，参加</w:t>
      </w:r>
      <w:r>
        <w:rPr>
          <w:sz w:val="24"/>
        </w:rPr>
        <w:t>其他</w:t>
      </w:r>
      <w:r>
        <w:rPr>
          <w:sz w:val="24"/>
          <w:lang w:val="zh-CN"/>
        </w:rPr>
        <w:t>方式采购。</w:t>
      </w:r>
    </w:p>
    <w:p>
      <w:pPr>
        <w:pStyle w:val="29"/>
        <w:snapToGrid w:val="0"/>
        <w:spacing w:before="0" w:after="0" w:line="500" w:lineRule="exact"/>
        <w:ind w:left="0" w:right="0" w:firstLine="480" w:firstLineChars="200"/>
        <w:jc w:val="left"/>
        <w:rPr>
          <w:rFonts w:ascii="Times New Roman" w:hAnsi="Times New Roman"/>
          <w:b/>
        </w:rPr>
      </w:pPr>
      <w:r>
        <w:rPr>
          <w:rFonts w:hint="eastAsia" w:ascii="Times New Roman" w:hAnsi="Times New Roman"/>
          <w:b/>
        </w:rPr>
        <w:t>七、磋商程序及评审方法和标准</w:t>
      </w:r>
    </w:p>
    <w:p>
      <w:pPr>
        <w:snapToGrid w:val="0"/>
        <w:spacing w:line="480" w:lineRule="exact"/>
        <w:ind w:firstLine="480" w:firstLineChars="200"/>
        <w:rPr>
          <w:rFonts w:cs="宋体"/>
          <w:sz w:val="24"/>
        </w:rPr>
      </w:pPr>
      <w:r>
        <w:rPr>
          <w:rFonts w:hint="eastAsia" w:cs="宋体"/>
          <w:sz w:val="24"/>
        </w:rPr>
        <w:t xml:space="preserve">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  </w:t>
      </w:r>
    </w:p>
    <w:p>
      <w:pPr>
        <w:snapToGrid w:val="0"/>
        <w:spacing w:line="480" w:lineRule="exact"/>
        <w:ind w:firstLine="480" w:firstLineChars="200"/>
        <w:rPr>
          <w:rFonts w:cs="宋体"/>
          <w:sz w:val="24"/>
        </w:rPr>
      </w:pPr>
      <w:r>
        <w:rPr>
          <w:rFonts w:hint="eastAsia" w:cs="宋体"/>
          <w:sz w:val="24"/>
        </w:rPr>
        <w:t>商务技术部分评审结束后进入最后报价环节，最后报价将作为评审价。代理机构宣布最后报价填报通知后，所有的响应供应商须在规定时间内填写并提交最后报价，未在规定时间内提交最后报价的，视作无效响应处理。</w:t>
      </w:r>
    </w:p>
    <w:p>
      <w:pPr>
        <w:snapToGrid w:val="0"/>
        <w:spacing w:line="480" w:lineRule="exact"/>
        <w:ind w:firstLine="480" w:firstLineChars="200"/>
        <w:rPr>
          <w:rFonts w:cs="宋体"/>
          <w:sz w:val="24"/>
        </w:rPr>
      </w:pPr>
      <w:r>
        <w:rPr>
          <w:rFonts w:hint="eastAsia" w:cs="宋体"/>
          <w:sz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pPr>
        <w:snapToGrid w:val="0"/>
        <w:spacing w:line="480" w:lineRule="exact"/>
        <w:ind w:firstLine="480" w:firstLineChars="200"/>
        <w:rPr>
          <w:rFonts w:cs="宋体"/>
          <w:sz w:val="24"/>
        </w:rPr>
      </w:pPr>
      <w:r>
        <w:rPr>
          <w:rFonts w:hint="eastAsia" w:cs="宋体"/>
          <w:sz w:val="24"/>
        </w:rPr>
        <w:t>供应商商务、技术部分和价格部分的合计分值，为该供应商的评审总得分。</w:t>
      </w:r>
    </w:p>
    <w:p>
      <w:pPr>
        <w:snapToGrid w:val="0"/>
        <w:spacing w:line="480" w:lineRule="exact"/>
        <w:ind w:firstLine="480" w:firstLineChars="200"/>
        <w:rPr>
          <w:rFonts w:cs="宋体"/>
          <w:sz w:val="24"/>
        </w:rPr>
      </w:pPr>
      <w:r>
        <w:rPr>
          <w:rFonts w:hint="eastAsia" w:cs="宋体"/>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snapToGrid w:val="0"/>
        <w:spacing w:line="480" w:lineRule="exact"/>
        <w:ind w:firstLine="480" w:firstLineChars="200"/>
        <w:rPr>
          <w:rFonts w:cs="宋体"/>
          <w:sz w:val="24"/>
        </w:rPr>
      </w:pPr>
      <w:r>
        <w:rPr>
          <w:rFonts w:hint="eastAsia" w:cs="宋体"/>
          <w:sz w:val="24"/>
        </w:rPr>
        <w:t>评委在认真审阅响应文件的基础上，根据各响应文件的响应程度独立评判，不得统一打分。</w:t>
      </w:r>
    </w:p>
    <w:p>
      <w:pPr>
        <w:snapToGrid w:val="0"/>
        <w:spacing w:line="480" w:lineRule="exact"/>
        <w:ind w:firstLine="570"/>
        <w:rPr>
          <w:b/>
          <w:kern w:val="0"/>
          <w:sz w:val="24"/>
        </w:rPr>
      </w:pPr>
      <w:r>
        <w:rPr>
          <w:rFonts w:hint="eastAsia"/>
          <w:b/>
          <w:kern w:val="0"/>
          <w:sz w:val="24"/>
        </w:rPr>
        <w:t>（一）磋商小组对供应商资格进行审查</w:t>
      </w:r>
    </w:p>
    <w:p>
      <w:pPr>
        <w:snapToGrid w:val="0"/>
        <w:spacing w:line="480" w:lineRule="exact"/>
        <w:ind w:firstLine="480" w:firstLineChars="200"/>
        <w:rPr>
          <w:rFonts w:cs="宋体"/>
          <w:sz w:val="24"/>
        </w:rPr>
      </w:pPr>
      <w:r>
        <w:rPr>
          <w:rFonts w:hint="eastAsia" w:cs="宋体"/>
          <w:sz w:val="24"/>
        </w:rPr>
        <w:t>供应商资格不合格的，其响应文件判定为无效响应文件。</w:t>
      </w:r>
    </w:p>
    <w:p>
      <w:pPr>
        <w:snapToGrid w:val="0"/>
        <w:spacing w:line="480" w:lineRule="exact"/>
        <w:ind w:firstLine="570"/>
        <w:rPr>
          <w:b/>
          <w:kern w:val="0"/>
          <w:sz w:val="24"/>
        </w:rPr>
      </w:pPr>
      <w:r>
        <w:rPr>
          <w:rFonts w:hint="eastAsia"/>
          <w:b/>
          <w:kern w:val="0"/>
          <w:sz w:val="24"/>
        </w:rPr>
        <w:t>（二）磋商小组对符合资格供应商的响应文件进行符合性审查</w:t>
      </w:r>
    </w:p>
    <w:p>
      <w:pPr>
        <w:snapToGrid w:val="0"/>
        <w:spacing w:line="480" w:lineRule="exact"/>
        <w:ind w:firstLine="480" w:firstLineChars="200"/>
        <w:rPr>
          <w:rFonts w:cs="宋体"/>
          <w:sz w:val="24"/>
        </w:rPr>
      </w:pPr>
      <w:r>
        <w:rPr>
          <w:rFonts w:hint="eastAsia" w:cs="宋体"/>
          <w:sz w:val="24"/>
        </w:rPr>
        <w:t xml:space="preserve">未通过符合性审查的响应文件，将被判为不满足磋商文件实质性要求。 </w:t>
      </w:r>
    </w:p>
    <w:p>
      <w:pPr>
        <w:snapToGrid w:val="0"/>
        <w:spacing w:line="480" w:lineRule="exact"/>
        <w:ind w:firstLine="570"/>
        <w:rPr>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b/>
          <w:kern w:val="0"/>
          <w:sz w:val="24"/>
          <w:lang w:val="zh-CN"/>
        </w:rPr>
        <w:t>商务技术分：</w:t>
      </w:r>
      <w:r>
        <w:rPr>
          <w:b/>
          <w:kern w:val="0"/>
          <w:sz w:val="24"/>
        </w:rPr>
        <w:t>70</w:t>
      </w:r>
      <w:r>
        <w:rPr>
          <w:rFonts w:hint="eastAsia"/>
          <w:b/>
          <w:kern w:val="0"/>
          <w:sz w:val="24"/>
          <w:lang w:val="zh-CN"/>
        </w:rPr>
        <w:t>分</w:t>
      </w:r>
    </w:p>
    <w:p>
      <w:pPr>
        <w:autoSpaceDE w:val="0"/>
        <w:autoSpaceDN w:val="0"/>
        <w:adjustRightInd w:val="0"/>
        <w:snapToGrid w:val="0"/>
        <w:spacing w:line="480" w:lineRule="exact"/>
        <w:ind w:firstLine="480" w:firstLineChars="200"/>
        <w:rPr>
          <w:rFonts w:hint="eastAsia" w:ascii="宋体" w:hAnsi="宋体"/>
          <w:sz w:val="24"/>
        </w:rPr>
      </w:pPr>
      <w:r>
        <w:rPr>
          <w:rFonts w:hint="eastAsia" w:ascii="宋体" w:hAnsi="宋体"/>
          <w:sz w:val="24"/>
        </w:rPr>
        <w:t xml:space="preserve">供应商得分为磋商小组成员评分的算术平均分,分值保留小数点后两位。 </w:t>
      </w:r>
    </w:p>
    <w:p>
      <w:pPr>
        <w:autoSpaceDE w:val="0"/>
        <w:autoSpaceDN w:val="0"/>
        <w:adjustRightInd w:val="0"/>
        <w:snapToGrid w:val="0"/>
        <w:spacing w:line="480" w:lineRule="exact"/>
        <w:ind w:firstLine="0" w:firstLineChars="0"/>
        <w:rPr>
          <w:rFonts w:hint="eastAsia" w:ascii="宋体" w:hAnsi="宋体"/>
          <w:sz w:val="24"/>
        </w:rPr>
      </w:pPr>
      <w:r>
        <w:rPr>
          <w:rFonts w:hint="eastAsia" w:ascii="宋体" w:hAnsi="宋体"/>
          <w:sz w:val="24"/>
        </w:rPr>
        <w:t xml:space="preserve"> </w:t>
      </w:r>
    </w:p>
    <w:tbl>
      <w:tblPr>
        <w:tblStyle w:val="21"/>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60"/>
        <w:gridCol w:w="1051"/>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0" w:firstLineChars="0"/>
              <w:jc w:val="left"/>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firstLineChars="200"/>
              <w:jc w:val="left"/>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评审</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0" w:firstLineChars="0"/>
              <w:jc w:val="left"/>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分值</w:t>
            </w:r>
          </w:p>
        </w:tc>
        <w:tc>
          <w:tcPr>
            <w:tcW w:w="49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firstLineChars="200"/>
              <w:jc w:val="left"/>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2"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firstLineChars="200"/>
              <w:jc w:val="left"/>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1</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0" w:firstLineChars="0"/>
              <w:rPr>
                <w:rFonts w:hint="eastAsia" w:ascii="Times New Roman" w:hAnsi="Times New Roman" w:eastAsia="宋体" w:cs="宋体"/>
                <w:kern w:val="2"/>
                <w:sz w:val="24"/>
                <w:szCs w:val="24"/>
              </w:rPr>
            </w:pPr>
            <w:r>
              <w:rPr>
                <w:rFonts w:hint="eastAsia" w:ascii="Times New Roman" w:hAnsi="Times New Roman" w:eastAsia="宋体" w:cs="宋体"/>
                <w:sz w:val="24"/>
                <w:szCs w:val="24"/>
                <w:lang w:eastAsia="zh-CN"/>
              </w:rPr>
              <w:t>企业业绩</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0" w:firstLineChars="0"/>
              <w:jc w:val="left"/>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6</w:t>
            </w:r>
          </w:p>
        </w:tc>
        <w:tc>
          <w:tcPr>
            <w:tcW w:w="49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0" w:firstLineChars="0"/>
              <w:rPr>
                <w:rFonts w:hint="eastAsia" w:ascii="Times New Roman" w:hAnsi="Times New Roman" w:eastAsia="宋体" w:cs="宋体"/>
                <w:kern w:val="2"/>
                <w:sz w:val="24"/>
                <w:szCs w:val="24"/>
              </w:rPr>
            </w:pPr>
            <w:r>
              <w:rPr>
                <w:rFonts w:hint="eastAsia" w:ascii="Times New Roman" w:hAnsi="Times New Roman" w:eastAsia="宋体" w:cs="宋体"/>
                <w:sz w:val="24"/>
                <w:szCs w:val="24"/>
                <w:lang w:eastAsia="zh-CN"/>
              </w:rPr>
              <w:t>自2020年1月1日至今完成的业绩（提供中标通知书、合同、验收单原件扫描件并加盖公章，三项缺一不可，否则不计分），每份得2分，满分6分。（时间以验收时间为准）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firstLineChars="200"/>
              <w:jc w:val="left"/>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2</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0" w:firstLineChars="0"/>
              <w:rPr>
                <w:rFonts w:hint="eastAsia" w:ascii="Times New Roman" w:hAnsi="Times New Roman" w:eastAsia="宋体" w:cs="宋体"/>
                <w:kern w:val="2"/>
                <w:sz w:val="24"/>
                <w:szCs w:val="24"/>
              </w:rPr>
            </w:pPr>
            <w:r>
              <w:rPr>
                <w:rFonts w:hint="eastAsia" w:ascii="Times New Roman" w:hAnsi="Times New Roman" w:eastAsia="宋体" w:cs="宋体"/>
                <w:sz w:val="24"/>
                <w:szCs w:val="24"/>
                <w:lang w:eastAsia="zh-CN"/>
              </w:rPr>
              <w:t>荣誉资质</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0" w:firstLineChars="0"/>
              <w:jc w:val="left"/>
              <w:rPr>
                <w:rFonts w:hint="eastAsia" w:ascii="Times New Roman" w:hAnsi="Times New Roman" w:eastAsia="宋体" w:cs="宋体"/>
                <w:kern w:val="2"/>
                <w:sz w:val="24"/>
                <w:szCs w:val="24"/>
                <w:lang w:val="en-US" w:eastAsia="zh-CN"/>
              </w:rPr>
            </w:pPr>
            <w:r>
              <w:rPr>
                <w:rFonts w:hint="eastAsia" w:ascii="Times New Roman" w:hAnsi="Times New Roman" w:eastAsia="宋体" w:cs="宋体"/>
                <w:kern w:val="2"/>
                <w:sz w:val="24"/>
                <w:szCs w:val="24"/>
                <w:lang w:val="en-US" w:eastAsia="zh-CN"/>
              </w:rPr>
              <w:t>10</w:t>
            </w:r>
          </w:p>
        </w:tc>
        <w:tc>
          <w:tcPr>
            <w:tcW w:w="4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0" w:firstLineChars="0"/>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1.投标人被认定为工信部国家级专精特新“小巨人”企业的，</w:t>
            </w:r>
            <w:r>
              <w:rPr>
                <w:rFonts w:hint="eastAsia" w:eastAsia="宋体" w:cs="宋体"/>
                <w:sz w:val="24"/>
                <w:szCs w:val="24"/>
                <w:lang w:val="en-US" w:eastAsia="zh-CN"/>
              </w:rPr>
              <w:t>得</w:t>
            </w:r>
            <w:r>
              <w:rPr>
                <w:rFonts w:hint="eastAsia" w:ascii="Times New Roman" w:hAnsi="Times New Roman" w:eastAsia="宋体" w:cs="宋体"/>
                <w:sz w:val="24"/>
                <w:szCs w:val="24"/>
                <w:lang w:eastAsia="zh-CN"/>
              </w:rPr>
              <w:t>4分。（提供证明文件并加盖公章）</w:t>
            </w:r>
          </w:p>
          <w:p>
            <w:pPr>
              <w:snapToGrid w:val="0"/>
              <w:spacing w:line="480" w:lineRule="exact"/>
              <w:ind w:firstLine="0" w:firstLineChars="0"/>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2.</w:t>
            </w:r>
            <w:r>
              <w:rPr>
                <w:rFonts w:hint="eastAsia" w:eastAsia="宋体" w:cs="宋体"/>
                <w:sz w:val="24"/>
                <w:lang w:eastAsia="zh-CN"/>
              </w:rPr>
              <w:t xml:space="preserve"> </w:t>
            </w:r>
            <w:r>
              <w:rPr>
                <w:rFonts w:hint="eastAsia" w:ascii="Times New Roman" w:hAnsi="Times New Roman" w:eastAsia="宋体" w:cs="宋体"/>
                <w:sz w:val="24"/>
                <w:szCs w:val="24"/>
                <w:lang w:eastAsia="zh-CN"/>
              </w:rPr>
              <w:t>投标人有作为全国职业院校技能大赛机器人系统集成应用技术或工业机器人相关赛项合作企业的，</w:t>
            </w:r>
            <w:r>
              <w:rPr>
                <w:rFonts w:hint="eastAsia" w:eastAsia="宋体" w:cs="宋体"/>
                <w:sz w:val="24"/>
                <w:szCs w:val="24"/>
                <w:lang w:val="en-US" w:eastAsia="zh-CN"/>
              </w:rPr>
              <w:t>得</w:t>
            </w:r>
            <w:r>
              <w:rPr>
                <w:rFonts w:hint="eastAsia" w:ascii="Times New Roman" w:hAnsi="Times New Roman" w:eastAsia="宋体" w:cs="宋体"/>
                <w:sz w:val="24"/>
                <w:szCs w:val="24"/>
                <w:lang w:eastAsia="zh-CN"/>
              </w:rPr>
              <w:t>3分（提供证明文件并加盖公章）</w:t>
            </w:r>
          </w:p>
          <w:p>
            <w:pPr>
              <w:snapToGrid w:val="0"/>
              <w:spacing w:line="480" w:lineRule="exact"/>
              <w:ind w:firstLine="0" w:firstLineChars="0"/>
              <w:rPr>
                <w:rFonts w:hint="eastAsia" w:ascii="Times New Roman" w:hAnsi="Times New Roman" w:eastAsia="宋体" w:cs="宋体"/>
                <w:kern w:val="2"/>
                <w:sz w:val="24"/>
                <w:szCs w:val="24"/>
              </w:rPr>
            </w:pPr>
            <w:r>
              <w:rPr>
                <w:rFonts w:hint="eastAsia" w:ascii="Times New Roman" w:hAnsi="Times New Roman" w:eastAsia="宋体" w:cs="宋体"/>
                <w:sz w:val="24"/>
                <w:szCs w:val="24"/>
                <w:lang w:eastAsia="zh-CN"/>
              </w:rPr>
              <w:t>3.投标人为教育部供需对接就业育人项目合作企业的，</w:t>
            </w:r>
            <w:r>
              <w:rPr>
                <w:rFonts w:hint="eastAsia" w:eastAsia="宋体" w:cs="宋体"/>
                <w:sz w:val="24"/>
                <w:szCs w:val="24"/>
                <w:lang w:val="en-US" w:eastAsia="zh-CN"/>
              </w:rPr>
              <w:t>得</w:t>
            </w:r>
            <w:r>
              <w:rPr>
                <w:rFonts w:hint="eastAsia" w:ascii="Times New Roman" w:hAnsi="Times New Roman" w:eastAsia="宋体" w:cs="宋体"/>
                <w:sz w:val="24"/>
                <w:szCs w:val="24"/>
                <w:lang w:eastAsia="zh-CN"/>
              </w:rPr>
              <w:t>3分。（提供证明文件并加盖公章）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firstLineChars="200"/>
              <w:jc w:val="left"/>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3</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0" w:firstLineChars="0"/>
              <w:rPr>
                <w:rFonts w:hint="eastAsia" w:ascii="Times New Roman" w:hAnsi="Times New Roman" w:eastAsia="宋体" w:cs="宋体"/>
                <w:kern w:val="2"/>
                <w:sz w:val="24"/>
                <w:szCs w:val="24"/>
              </w:rPr>
            </w:pPr>
            <w:r>
              <w:rPr>
                <w:rFonts w:hint="eastAsia" w:ascii="Times New Roman" w:hAnsi="Times New Roman" w:eastAsia="宋体" w:cs="宋体"/>
                <w:sz w:val="24"/>
                <w:szCs w:val="24"/>
                <w:lang w:eastAsia="zh-CN"/>
              </w:rPr>
              <w:t>专利及著作权证书</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0" w:firstLineChars="0"/>
              <w:jc w:val="left"/>
              <w:rPr>
                <w:rFonts w:hint="eastAsia" w:ascii="Times New Roman" w:hAnsi="Times New Roman" w:eastAsia="宋体" w:cs="宋体"/>
                <w:kern w:val="2"/>
                <w:sz w:val="24"/>
                <w:szCs w:val="24"/>
                <w:lang w:eastAsia="zh-CN"/>
              </w:rPr>
            </w:pPr>
            <w:r>
              <w:rPr>
                <w:rFonts w:hint="eastAsia" w:ascii="Times New Roman" w:hAnsi="Times New Roman" w:eastAsia="宋体" w:cs="宋体"/>
                <w:kern w:val="2"/>
                <w:sz w:val="24"/>
                <w:szCs w:val="24"/>
                <w:lang w:val="en-US" w:eastAsia="zh-CN"/>
              </w:rPr>
              <w:t>4</w:t>
            </w:r>
          </w:p>
        </w:tc>
        <w:tc>
          <w:tcPr>
            <w:tcW w:w="4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480" w:firstLineChars="200"/>
              <w:rPr>
                <w:rFonts w:hint="eastAsia" w:ascii="Times New Roman" w:hAnsi="Times New Roman" w:eastAsia="宋体" w:cs="宋体"/>
                <w:bCs w:val="0"/>
                <w:sz w:val="24"/>
                <w:szCs w:val="24"/>
              </w:rPr>
            </w:pPr>
            <w:r>
              <w:rPr>
                <w:rFonts w:hint="eastAsia" w:ascii="Times New Roman" w:hAnsi="Times New Roman" w:eastAsia="宋体" w:cs="宋体"/>
                <w:sz w:val="24"/>
                <w:szCs w:val="24"/>
                <w:lang w:eastAsia="zh-CN"/>
              </w:rPr>
              <w:t>投标人获得工业机器人离线编程软件发明专利、软件著作权证书的，每提供一项得2分。满分4分。（须提供证书复印件加盖公章）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firstLineChars="200"/>
              <w:jc w:val="left"/>
              <w:rPr>
                <w:rFonts w:hint="eastAsia" w:ascii="Times New Roman" w:hAnsi="Times New Roman" w:eastAsia="宋体" w:cs="宋体"/>
                <w:kern w:val="2"/>
                <w:sz w:val="24"/>
                <w:szCs w:val="24"/>
                <w:lang w:val="en-US" w:eastAsia="zh-CN"/>
              </w:rPr>
            </w:pPr>
            <w:r>
              <w:rPr>
                <w:rFonts w:hint="eastAsia" w:ascii="Times New Roman" w:hAnsi="Times New Roman" w:eastAsia="宋体" w:cs="宋体"/>
                <w:kern w:val="2"/>
                <w:sz w:val="24"/>
                <w:szCs w:val="24"/>
                <w:lang w:val="en-US" w:eastAsia="zh-CN"/>
              </w:rPr>
              <w:t>4</w:t>
            </w: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0" w:firstLineChars="0"/>
              <w:rPr>
                <w:rFonts w:hint="eastAsia" w:ascii="Times New Roman" w:hAnsi="Times New Roman" w:eastAsia="宋体" w:cs="宋体"/>
                <w:kern w:val="2"/>
                <w:sz w:val="24"/>
                <w:szCs w:val="24"/>
              </w:rPr>
            </w:pPr>
            <w:r>
              <w:rPr>
                <w:rFonts w:hint="eastAsia" w:ascii="Times New Roman" w:hAnsi="Times New Roman" w:eastAsia="宋体" w:cs="宋体"/>
                <w:sz w:val="24"/>
                <w:szCs w:val="24"/>
              </w:rPr>
              <w:t>售后服务方案</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0" w:firstLineChars="0"/>
              <w:jc w:val="left"/>
              <w:rPr>
                <w:rFonts w:hint="eastAsia" w:ascii="Times New Roman" w:hAnsi="Times New Roman" w:eastAsia="宋体" w:cs="宋体"/>
                <w:kern w:val="2"/>
                <w:sz w:val="24"/>
                <w:szCs w:val="24"/>
                <w:lang w:val="en-US" w:eastAsia="zh-CN"/>
              </w:rPr>
            </w:pPr>
            <w:r>
              <w:rPr>
                <w:rFonts w:hint="eastAsia" w:ascii="Times New Roman" w:hAnsi="Times New Roman" w:eastAsia="宋体" w:cs="宋体"/>
                <w:kern w:val="2"/>
                <w:sz w:val="24"/>
                <w:szCs w:val="24"/>
                <w:lang w:val="en-US" w:eastAsia="zh-CN"/>
              </w:rPr>
              <w:t>5</w:t>
            </w:r>
          </w:p>
        </w:tc>
        <w:tc>
          <w:tcPr>
            <w:tcW w:w="4976"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根据供应商在售后服务方案等方面的响应情况进行综合比较，售后服务方案全面、保障措施较好得5分；售后服务方案不够全面或保障措施较差得3分；售后服务方案不全面、保障措施差得1分。不</w:t>
            </w:r>
            <w:r>
              <w:rPr>
                <w:rFonts w:hint="eastAsia" w:eastAsia="宋体" w:cs="宋体"/>
                <w:sz w:val="24"/>
                <w:szCs w:val="24"/>
                <w:lang w:val="en-US" w:eastAsia="zh-CN"/>
              </w:rPr>
              <w:t>提供</w:t>
            </w:r>
            <w:r>
              <w:rPr>
                <w:rFonts w:hint="eastAsia" w:ascii="Times New Roman" w:hAnsi="Times New Roman" w:eastAsia="宋体" w:cs="宋体"/>
                <w:sz w:val="24"/>
                <w:szCs w:val="24"/>
                <w:lang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firstLineChars="200"/>
              <w:jc w:val="left"/>
              <w:rPr>
                <w:rFonts w:hint="eastAsia" w:ascii="Times New Roman" w:hAnsi="Times New Roman" w:eastAsia="宋体" w:cs="宋体"/>
                <w:kern w:val="2"/>
                <w:sz w:val="24"/>
                <w:szCs w:val="24"/>
                <w:lang w:val="en-US" w:eastAsia="zh-CN"/>
              </w:rPr>
            </w:pPr>
            <w:r>
              <w:rPr>
                <w:rFonts w:hint="eastAsia" w:ascii="Times New Roman" w:hAnsi="Times New Roman" w:eastAsia="宋体" w:cs="宋体"/>
                <w:kern w:val="2"/>
                <w:sz w:val="24"/>
                <w:szCs w:val="24"/>
                <w:lang w:val="en-US" w:eastAsia="zh-CN"/>
              </w:rPr>
              <w:t>5</w:t>
            </w: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0" w:firstLineChars="0"/>
              <w:rPr>
                <w:rFonts w:hint="eastAsia" w:ascii="Times New Roman" w:hAnsi="Times New Roman" w:eastAsia="宋体" w:cs="宋体"/>
                <w:kern w:val="2"/>
                <w:sz w:val="24"/>
                <w:szCs w:val="24"/>
              </w:rPr>
            </w:pPr>
            <w:r>
              <w:rPr>
                <w:rFonts w:hint="eastAsia" w:ascii="Times New Roman" w:hAnsi="Times New Roman" w:eastAsia="宋体" w:cs="宋体"/>
                <w:sz w:val="24"/>
                <w:szCs w:val="24"/>
                <w:lang w:eastAsia="zh-CN"/>
              </w:rPr>
              <w:t>安装方案及能力</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0" w:firstLineChars="0"/>
              <w:jc w:val="left"/>
              <w:rPr>
                <w:rFonts w:hint="eastAsia" w:ascii="Times New Roman" w:hAnsi="Times New Roman" w:eastAsia="宋体" w:cs="宋体"/>
                <w:kern w:val="2"/>
                <w:sz w:val="24"/>
                <w:szCs w:val="24"/>
                <w:lang w:val="en-US" w:eastAsia="zh-CN"/>
              </w:rPr>
            </w:pPr>
            <w:r>
              <w:rPr>
                <w:rFonts w:hint="eastAsia" w:ascii="Times New Roman" w:hAnsi="Times New Roman" w:eastAsia="宋体" w:cs="宋体"/>
                <w:kern w:val="2"/>
                <w:sz w:val="24"/>
                <w:szCs w:val="24"/>
                <w:lang w:val="en-US" w:eastAsia="zh-CN"/>
              </w:rPr>
              <w:t>5</w:t>
            </w:r>
          </w:p>
        </w:tc>
        <w:tc>
          <w:tcPr>
            <w:tcW w:w="4976"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根据投标人进度安排、项目实施及安装人员的配备情况进行综合比较，进度安排合理，人员配备齐全得5分；进度安排较合理，人员配备较齐全得3分；进度安排不合理，人员配备不齐全得1分。不响应不得分。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firstLineChars="200"/>
              <w:jc w:val="left"/>
              <w:rPr>
                <w:rFonts w:hint="eastAsia" w:ascii="Times New Roman" w:hAnsi="Times New Roman" w:eastAsia="宋体" w:cs="宋体"/>
                <w:kern w:val="2"/>
                <w:sz w:val="24"/>
                <w:szCs w:val="24"/>
                <w:lang w:eastAsia="zh-CN"/>
              </w:rPr>
            </w:pPr>
            <w:r>
              <w:rPr>
                <w:rFonts w:hint="eastAsia" w:eastAsia="宋体" w:cs="宋体"/>
                <w:kern w:val="2"/>
                <w:sz w:val="24"/>
                <w:szCs w:val="24"/>
                <w:lang w:val="en-US" w:eastAsia="zh-CN"/>
              </w:rPr>
              <w:t>6</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0" w:firstLineChars="0"/>
              <w:rPr>
                <w:rFonts w:hint="eastAsia" w:ascii="Times New Roman" w:hAnsi="Times New Roman" w:eastAsia="宋体" w:cs="宋体"/>
                <w:kern w:val="2"/>
                <w:sz w:val="24"/>
                <w:szCs w:val="24"/>
              </w:rPr>
            </w:pPr>
            <w:r>
              <w:rPr>
                <w:rFonts w:hint="eastAsia" w:ascii="Times New Roman" w:hAnsi="Times New Roman" w:eastAsia="宋体" w:cs="宋体"/>
                <w:sz w:val="24"/>
                <w:szCs w:val="24"/>
              </w:rPr>
              <w:t>技术响应</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0" w:firstLineChars="0"/>
              <w:jc w:val="left"/>
              <w:rPr>
                <w:rFonts w:hint="eastAsia" w:ascii="Times New Roman" w:hAnsi="Times New Roman" w:eastAsia="宋体" w:cs="宋体"/>
                <w:kern w:val="2"/>
                <w:sz w:val="24"/>
                <w:szCs w:val="24"/>
                <w:lang w:val="en-US" w:eastAsia="zh-CN"/>
              </w:rPr>
            </w:pPr>
            <w:r>
              <w:rPr>
                <w:rFonts w:hint="eastAsia" w:ascii="Times New Roman" w:hAnsi="Times New Roman" w:eastAsia="宋体" w:cs="宋体"/>
                <w:kern w:val="2"/>
                <w:sz w:val="24"/>
                <w:szCs w:val="24"/>
                <w:lang w:val="en-US" w:eastAsia="zh-CN"/>
              </w:rPr>
              <w:t>30</w:t>
            </w:r>
          </w:p>
        </w:tc>
        <w:tc>
          <w:tcPr>
            <w:tcW w:w="49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480" w:firstLineChars="200"/>
              <w:rPr>
                <w:rFonts w:hint="eastAsia" w:ascii="Times New Roman" w:hAnsi="Times New Roman" w:eastAsia="宋体" w:cs="宋体"/>
                <w:kern w:val="2"/>
                <w:sz w:val="24"/>
                <w:szCs w:val="24"/>
              </w:rPr>
            </w:pPr>
            <w:r>
              <w:rPr>
                <w:rFonts w:hint="eastAsia" w:ascii="Times New Roman" w:hAnsi="Times New Roman" w:eastAsia="宋体" w:cs="宋体"/>
                <w:sz w:val="24"/>
                <w:szCs w:val="24"/>
                <w:lang w:eastAsia="zh-CN"/>
              </w:rPr>
              <w:t>投标产品技术参数和功能符合招标要求的，得30分，带“</w:t>
            </w:r>
            <w:r>
              <w:rPr>
                <w:rFonts w:hint="eastAsia" w:eastAsia="宋体" w:cs="宋体"/>
                <w:sz w:val="24"/>
                <w:lang w:eastAsia="zh-CN"/>
              </w:rPr>
              <w:t>▲</w:t>
            </w:r>
            <w:r>
              <w:rPr>
                <w:rFonts w:hint="eastAsia" w:ascii="Times New Roman" w:hAnsi="Times New Roman" w:eastAsia="宋体" w:cs="宋体"/>
                <w:sz w:val="24"/>
                <w:szCs w:val="24"/>
                <w:lang w:eastAsia="zh-CN"/>
              </w:rPr>
              <w:t>”项的为重要技术参数，每负偏离一项扣3分；其余技术参数每负偏离一项扣1分，扣完为止。评委需结合</w:t>
            </w:r>
            <w:r>
              <w:rPr>
                <w:rFonts w:hint="eastAsia" w:eastAsia="宋体" w:cs="宋体"/>
                <w:sz w:val="24"/>
                <w:szCs w:val="24"/>
                <w:lang w:val="en-US" w:eastAsia="zh-CN"/>
              </w:rPr>
              <w:t>响应</w:t>
            </w:r>
            <w:r>
              <w:rPr>
                <w:rFonts w:hint="eastAsia" w:ascii="Times New Roman" w:hAnsi="Times New Roman" w:eastAsia="宋体" w:cs="宋体"/>
                <w:sz w:val="24"/>
                <w:szCs w:val="24"/>
                <w:lang w:eastAsia="zh-CN"/>
              </w:rPr>
              <w:t>文件中产品方案、技术说明、《技术部分正负偏离表》等有关资料的情况综合评分。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firstLineChars="200"/>
              <w:jc w:val="left"/>
              <w:rPr>
                <w:rFonts w:hint="eastAsia" w:ascii="Times New Roman" w:hAnsi="Times New Roman" w:eastAsia="宋体" w:cs="宋体"/>
                <w:kern w:val="2"/>
                <w:sz w:val="24"/>
                <w:szCs w:val="24"/>
                <w:lang w:eastAsia="zh-CN"/>
              </w:rPr>
            </w:pPr>
            <w:r>
              <w:rPr>
                <w:rFonts w:hint="eastAsia" w:eastAsia="宋体" w:cs="宋体"/>
                <w:kern w:val="2"/>
                <w:sz w:val="24"/>
                <w:szCs w:val="24"/>
                <w:lang w:val="en-US" w:eastAsia="zh-CN"/>
              </w:rPr>
              <w:t>7</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0" w:firstLineChars="0"/>
              <w:rPr>
                <w:rFonts w:hint="eastAsia" w:ascii="Times New Roman" w:hAnsi="Times New Roman" w:eastAsia="宋体" w:cs="宋体"/>
                <w:kern w:val="2"/>
                <w:sz w:val="24"/>
                <w:szCs w:val="24"/>
              </w:rPr>
            </w:pPr>
            <w:r>
              <w:rPr>
                <w:rFonts w:hint="eastAsia" w:ascii="Times New Roman" w:hAnsi="Times New Roman" w:eastAsia="宋体" w:cs="宋体"/>
                <w:sz w:val="24"/>
                <w:szCs w:val="24"/>
                <w:lang w:eastAsia="zh-CN"/>
              </w:rPr>
              <w:t>方案设计及产品功能</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0" w:firstLineChars="0"/>
              <w:jc w:val="left"/>
              <w:rPr>
                <w:rFonts w:hint="eastAsia" w:ascii="Times New Roman" w:hAnsi="Times New Roman" w:eastAsia="宋体" w:cs="宋体"/>
                <w:kern w:val="2"/>
                <w:sz w:val="24"/>
                <w:szCs w:val="24"/>
                <w:lang w:val="en-US" w:eastAsia="zh-CN"/>
              </w:rPr>
            </w:pPr>
            <w:r>
              <w:rPr>
                <w:rFonts w:hint="eastAsia" w:ascii="Times New Roman" w:hAnsi="Times New Roman" w:eastAsia="宋体" w:cs="宋体"/>
                <w:kern w:val="2"/>
                <w:sz w:val="24"/>
                <w:szCs w:val="24"/>
                <w:lang w:val="en-US" w:eastAsia="zh-CN"/>
              </w:rPr>
              <w:t>10</w:t>
            </w:r>
          </w:p>
        </w:tc>
        <w:tc>
          <w:tcPr>
            <w:tcW w:w="49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480" w:firstLineChars="200"/>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1.评委根据各投标单位提供的工作站设计效果，以及产品的技术方案及详细介绍，投标单位提供的设计方案详尽，产品功能完善，得</w:t>
            </w:r>
            <w:r>
              <w:rPr>
                <w:rFonts w:hint="eastAsia" w:eastAsia="宋体" w:cs="宋体"/>
                <w:sz w:val="24"/>
                <w:szCs w:val="24"/>
                <w:lang w:val="en-US" w:eastAsia="zh-CN"/>
              </w:rPr>
              <w:t>8</w:t>
            </w:r>
            <w:r>
              <w:rPr>
                <w:rFonts w:hint="eastAsia" w:ascii="Times New Roman" w:hAnsi="Times New Roman" w:eastAsia="宋体" w:cs="宋体"/>
                <w:sz w:val="24"/>
                <w:szCs w:val="24"/>
                <w:lang w:eastAsia="zh-CN"/>
              </w:rPr>
              <w:t>分；投标单位提供的设计方案一般，功能一般，得</w:t>
            </w:r>
            <w:r>
              <w:rPr>
                <w:rFonts w:hint="eastAsia" w:eastAsia="宋体" w:cs="宋体"/>
                <w:sz w:val="24"/>
                <w:szCs w:val="24"/>
                <w:lang w:val="en-US" w:eastAsia="zh-CN"/>
              </w:rPr>
              <w:t>5</w:t>
            </w:r>
            <w:r>
              <w:rPr>
                <w:rFonts w:hint="eastAsia" w:ascii="Times New Roman" w:hAnsi="Times New Roman" w:eastAsia="宋体" w:cs="宋体"/>
                <w:sz w:val="24"/>
                <w:szCs w:val="24"/>
                <w:lang w:eastAsia="zh-CN"/>
              </w:rPr>
              <w:t>分；投标单位提供的设计方案较差，功能不完整的，得</w:t>
            </w:r>
            <w:r>
              <w:rPr>
                <w:rFonts w:hint="eastAsia" w:eastAsia="宋体" w:cs="宋体"/>
                <w:sz w:val="24"/>
                <w:szCs w:val="24"/>
                <w:lang w:val="en-US" w:eastAsia="zh-CN"/>
              </w:rPr>
              <w:t>2</w:t>
            </w:r>
            <w:r>
              <w:rPr>
                <w:rFonts w:hint="eastAsia" w:ascii="Times New Roman" w:hAnsi="Times New Roman" w:eastAsia="宋体" w:cs="宋体"/>
                <w:sz w:val="24"/>
                <w:szCs w:val="24"/>
                <w:lang w:eastAsia="zh-CN"/>
              </w:rPr>
              <w:t>分</w:t>
            </w:r>
            <w:r>
              <w:rPr>
                <w:rFonts w:hint="eastAsia" w:eastAsia="宋体" w:cs="宋体"/>
                <w:sz w:val="24"/>
                <w:szCs w:val="24"/>
                <w:lang w:eastAsia="zh-CN"/>
              </w:rPr>
              <w:t>，</w:t>
            </w:r>
            <w:r>
              <w:rPr>
                <w:rFonts w:hint="eastAsia" w:eastAsia="宋体" w:cs="宋体"/>
                <w:sz w:val="24"/>
                <w:szCs w:val="24"/>
                <w:lang w:val="en-US" w:eastAsia="zh-CN"/>
              </w:rPr>
              <w:t>不提供不得分。</w:t>
            </w:r>
          </w:p>
          <w:p>
            <w:pPr>
              <w:spacing w:line="480" w:lineRule="exact"/>
              <w:ind w:firstLine="480" w:firstLineChars="200"/>
              <w:rPr>
                <w:rFonts w:hint="eastAsia" w:ascii="Times New Roman" w:hAnsi="Times New Roman" w:eastAsia="宋体" w:cs="宋体"/>
                <w:kern w:val="2"/>
                <w:sz w:val="24"/>
                <w:szCs w:val="24"/>
              </w:rPr>
            </w:pPr>
            <w:r>
              <w:rPr>
                <w:rFonts w:hint="eastAsia" w:ascii="Times New Roman" w:hAnsi="Times New Roman" w:eastAsia="宋体" w:cs="宋体"/>
                <w:sz w:val="24"/>
                <w:szCs w:val="24"/>
                <w:lang w:eastAsia="zh-CN"/>
              </w:rPr>
              <w:t>2.要求提供与投标方案和参数完全符合的设备平台的三维设计效果图或实物照片，并进行功能展示。每提供一个设备平台，得0.5分，最多得2分。（每个设备平台至少提供三个角度的设计效果图，并加盖公章）</w:t>
            </w:r>
          </w:p>
        </w:tc>
      </w:tr>
    </w:tbl>
    <w:p>
      <w:pPr>
        <w:autoSpaceDE w:val="0"/>
        <w:autoSpaceDN w:val="0"/>
        <w:adjustRightInd w:val="0"/>
        <w:snapToGrid w:val="0"/>
        <w:spacing w:line="480" w:lineRule="exact"/>
        <w:ind w:firstLine="0" w:firstLineChars="0"/>
        <w:rPr>
          <w:rFonts w:hint="eastAsia" w:ascii="宋体" w:hAnsi="宋体"/>
          <w:sz w:val="24"/>
        </w:rPr>
      </w:pPr>
    </w:p>
    <w:p>
      <w:pPr>
        <w:autoSpaceDE w:val="0"/>
        <w:autoSpaceDN w:val="0"/>
        <w:adjustRightInd w:val="0"/>
        <w:snapToGrid w:val="0"/>
        <w:spacing w:line="480" w:lineRule="exact"/>
        <w:ind w:firstLine="480" w:firstLineChars="200"/>
        <w:rPr>
          <w:rFonts w:hint="eastAsia" w:ascii="宋体" w:hAnsi="宋体"/>
          <w:sz w:val="24"/>
        </w:rPr>
      </w:pPr>
    </w:p>
    <w:p>
      <w:pPr>
        <w:snapToGrid w:val="0"/>
        <w:spacing w:line="480" w:lineRule="exact"/>
        <w:ind w:firstLine="570"/>
        <w:rPr>
          <w:b/>
          <w:kern w:val="0"/>
          <w:sz w:val="24"/>
        </w:rPr>
      </w:pPr>
      <w:r>
        <w:rPr>
          <w:rFonts w:hint="eastAsia"/>
          <w:b/>
          <w:kern w:val="0"/>
          <w:sz w:val="24"/>
        </w:rPr>
        <w:t>（</w:t>
      </w:r>
      <w:r>
        <w:rPr>
          <w:rFonts w:hint="eastAsia"/>
          <w:b/>
          <w:kern w:val="0"/>
          <w:sz w:val="24"/>
          <w:lang w:val="zh-CN"/>
        </w:rPr>
        <w:t>四</w:t>
      </w:r>
      <w:r>
        <w:rPr>
          <w:rFonts w:hint="eastAsia"/>
          <w:b/>
          <w:kern w:val="0"/>
          <w:sz w:val="24"/>
        </w:rPr>
        <w:t>）价格分</w:t>
      </w:r>
      <w:r>
        <w:rPr>
          <w:b/>
          <w:kern w:val="0"/>
          <w:sz w:val="24"/>
        </w:rPr>
        <w:t>30</w:t>
      </w:r>
      <w:r>
        <w:rPr>
          <w:rFonts w:hint="eastAsia"/>
          <w:b/>
          <w:kern w:val="0"/>
          <w:sz w:val="24"/>
          <w:lang w:val="zh-CN"/>
        </w:rPr>
        <w:t>分</w:t>
      </w:r>
    </w:p>
    <w:p>
      <w:pPr>
        <w:autoSpaceDE w:val="0"/>
        <w:autoSpaceDN w:val="0"/>
        <w:adjustRightInd w:val="0"/>
        <w:snapToGrid w:val="0"/>
        <w:spacing w:line="480" w:lineRule="exact"/>
        <w:ind w:firstLine="480" w:firstLineChars="200"/>
        <w:rPr>
          <w:sz w:val="24"/>
        </w:rPr>
      </w:pPr>
      <w:r>
        <w:rPr>
          <w:sz w:val="24"/>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napToGrid w:val="0"/>
        <w:spacing w:line="480" w:lineRule="exact"/>
        <w:ind w:firstLine="480" w:firstLineChars="200"/>
        <w:rPr>
          <w:sz w:val="24"/>
        </w:rPr>
      </w:pPr>
      <w:r>
        <w:rPr>
          <w:sz w:val="24"/>
        </w:rPr>
        <w:t>磋商报价得分=（磋商基准价/最后磋商报价）×价格权值×100</w:t>
      </w:r>
    </w:p>
    <w:p>
      <w:pPr>
        <w:autoSpaceDE w:val="0"/>
        <w:autoSpaceDN w:val="0"/>
        <w:adjustRightInd w:val="0"/>
        <w:snapToGrid w:val="0"/>
        <w:spacing w:line="480" w:lineRule="exact"/>
        <w:ind w:firstLine="480" w:firstLineChars="200"/>
        <w:rPr>
          <w:sz w:val="24"/>
        </w:rPr>
      </w:pPr>
      <w:r>
        <w:rPr>
          <w:sz w:val="24"/>
        </w:rPr>
        <w:t>项目评审过程中，不得去掉最后报价中的最高报价和最低报价。</w:t>
      </w:r>
    </w:p>
    <w:p>
      <w:pPr>
        <w:autoSpaceDE w:val="0"/>
        <w:autoSpaceDN w:val="0"/>
        <w:adjustRightInd w:val="0"/>
        <w:snapToGrid w:val="0"/>
        <w:spacing w:line="480" w:lineRule="exact"/>
        <w:ind w:firstLine="480" w:firstLineChars="200"/>
        <w:rPr>
          <w:sz w:val="24"/>
        </w:rPr>
      </w:pPr>
      <w:r>
        <w:rPr>
          <w:rFonts w:hint="eastAsia"/>
          <w:sz w:val="24"/>
        </w:rPr>
        <w:t>注：现场报价时，磋商响应供应商只需报总价，各分部分项子目最终报价按同比例下浮计算。</w:t>
      </w:r>
    </w:p>
    <w:p>
      <w:pPr>
        <w:snapToGrid w:val="0"/>
        <w:spacing w:line="480" w:lineRule="exact"/>
        <w:ind w:firstLine="570"/>
        <w:rPr>
          <w:b/>
          <w:kern w:val="0"/>
          <w:sz w:val="24"/>
        </w:rPr>
      </w:pPr>
      <w:r>
        <w:rPr>
          <w:rFonts w:hint="eastAsia"/>
          <w:b/>
          <w:kern w:val="0"/>
          <w:sz w:val="24"/>
        </w:rPr>
        <w:t>（五）成交供应商的确定</w:t>
      </w:r>
    </w:p>
    <w:p>
      <w:pPr>
        <w:snapToGrid w:val="0"/>
        <w:spacing w:line="480" w:lineRule="exact"/>
        <w:ind w:firstLine="570"/>
        <w:rPr>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snapToGrid w:val="0"/>
        <w:spacing w:line="480" w:lineRule="exact"/>
        <w:ind w:firstLine="570"/>
        <w:rPr>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pPr>
        <w:adjustRightInd w:val="0"/>
        <w:snapToGrid w:val="0"/>
        <w:spacing w:line="500" w:lineRule="exact"/>
        <w:ind w:firstLine="570"/>
        <w:rPr>
          <w:rFonts w:hint="eastAsia" w:hAnsi="宋体" w:cs="宋体"/>
          <w:bCs/>
          <w:sz w:val="24"/>
        </w:rPr>
      </w:pPr>
      <w:r>
        <w:rPr>
          <w:rFonts w:hint="eastAsia" w:hAnsi="宋体" w:cs="宋体"/>
          <w:bCs/>
          <w:sz w:val="24"/>
        </w:rPr>
        <w:t>磋商小组汇总各评委评分后，按照得分从高到低的顺序推荐三名成交候选人，并编写评审报告。</w:t>
      </w:r>
    </w:p>
    <w:p>
      <w:pPr>
        <w:adjustRightInd w:val="0"/>
        <w:snapToGrid w:val="0"/>
        <w:spacing w:line="500" w:lineRule="exact"/>
        <w:ind w:firstLine="570"/>
        <w:rPr>
          <w:rFonts w:hint="eastAsia" w:ascii="宋体" w:hAnsi="宋体" w:cs="宋体"/>
          <w:bCs/>
          <w:sz w:val="24"/>
        </w:rPr>
      </w:pPr>
      <w:r>
        <w:rPr>
          <w:rFonts w:hint="eastAsia" w:ascii="宋体" w:hAnsi="宋体" w:cs="宋体"/>
          <w:b/>
          <w:sz w:val="24"/>
        </w:rPr>
        <w:t>采购人委托</w:t>
      </w:r>
      <w:r>
        <w:rPr>
          <w:rFonts w:hint="eastAsia" w:hAnsi="宋体" w:cs="宋体"/>
          <w:b/>
          <w:sz w:val="24"/>
        </w:rPr>
        <w:t>磋商小组</w:t>
      </w:r>
      <w:r>
        <w:rPr>
          <w:rFonts w:hint="eastAsia" w:hAnsi="宋体" w:cs="宋体"/>
          <w:bCs/>
          <w:sz w:val="24"/>
        </w:rPr>
        <w:t>直接确定排名第一的成交候选人为成交供应商。成交</w:t>
      </w:r>
      <w:r>
        <w:rPr>
          <w:rFonts w:hint="eastAsia" w:ascii="宋体" w:hAnsi="宋体" w:cs="宋体"/>
          <w:bCs/>
          <w:sz w:val="24"/>
        </w:rPr>
        <w:t>候选人并列的，由采购人委托磋商小组按照现场抽签方式确定</w:t>
      </w:r>
      <w:r>
        <w:rPr>
          <w:rFonts w:hint="eastAsia" w:hAnsi="宋体" w:cs="宋体"/>
          <w:bCs/>
          <w:sz w:val="24"/>
        </w:rPr>
        <w:t>成交</w:t>
      </w:r>
      <w:r>
        <w:rPr>
          <w:rFonts w:hint="eastAsia" w:ascii="宋体" w:hAnsi="宋体" w:cs="宋体"/>
          <w:bCs/>
          <w:sz w:val="24"/>
        </w:rPr>
        <w:t>人。</w:t>
      </w:r>
    </w:p>
    <w:p>
      <w:pPr>
        <w:snapToGrid w:val="0"/>
        <w:spacing w:line="480" w:lineRule="exact"/>
        <w:ind w:firstLine="570"/>
        <w:rPr>
          <w:b/>
          <w:kern w:val="0"/>
          <w:sz w:val="24"/>
        </w:rPr>
      </w:pPr>
      <w:r>
        <w:rPr>
          <w:rFonts w:hint="eastAsia"/>
          <w:b/>
          <w:kern w:val="0"/>
          <w:sz w:val="24"/>
        </w:rPr>
        <w:t>（六）</w:t>
      </w:r>
      <w:r>
        <w:rPr>
          <w:b/>
          <w:kern w:val="0"/>
          <w:sz w:val="24"/>
        </w:rPr>
        <w:t>采购代理机构</w:t>
      </w:r>
      <w:r>
        <w:rPr>
          <w:rFonts w:hint="eastAsia"/>
          <w:b/>
          <w:kern w:val="0"/>
          <w:sz w:val="24"/>
        </w:rPr>
        <w:t>宣布评审结果。</w:t>
      </w:r>
    </w:p>
    <w:p>
      <w:pPr>
        <w:snapToGrid w:val="0"/>
        <w:spacing w:line="480" w:lineRule="exact"/>
        <w:ind w:firstLine="570"/>
        <w:rPr>
          <w:b/>
          <w:kern w:val="0"/>
          <w:sz w:val="24"/>
        </w:rPr>
      </w:pPr>
      <w:r>
        <w:rPr>
          <w:rFonts w:hint="eastAsia"/>
          <w:b/>
          <w:kern w:val="0"/>
          <w:sz w:val="24"/>
        </w:rPr>
        <w:t>（七）公告成交结果</w:t>
      </w:r>
    </w:p>
    <w:p>
      <w:pPr>
        <w:adjustRightInd w:val="0"/>
        <w:snapToGrid w:val="0"/>
        <w:spacing w:line="500" w:lineRule="exact"/>
        <w:ind w:firstLine="570"/>
        <w:rPr>
          <w:rFonts w:eastAsia="方正仿宋_GBK"/>
          <w:sz w:val="28"/>
          <w:szCs w:val="28"/>
        </w:rPr>
      </w:pPr>
      <w:r>
        <w:rPr>
          <w:rFonts w:hint="eastAsia" w:hAnsi="宋体" w:cs="宋体"/>
          <w:bCs/>
          <w:sz w:val="24"/>
        </w:rPr>
        <w:t>自确定成交供应商之日起2个工作日内，在南通开放大学官网、南通市教育局网公告成交结果，公告期限为1个工作日。</w:t>
      </w:r>
    </w:p>
    <w:p>
      <w:pPr>
        <w:snapToGrid w:val="0"/>
        <w:spacing w:line="480" w:lineRule="exact"/>
        <w:ind w:firstLine="570"/>
        <w:rPr>
          <w:b/>
          <w:kern w:val="0"/>
          <w:sz w:val="24"/>
        </w:rPr>
      </w:pPr>
      <w:r>
        <w:rPr>
          <w:rFonts w:hint="eastAsia"/>
          <w:b/>
          <w:kern w:val="0"/>
          <w:sz w:val="24"/>
        </w:rPr>
        <w:t>（八）发放成交通知书</w:t>
      </w:r>
    </w:p>
    <w:p>
      <w:pPr>
        <w:snapToGrid w:val="0"/>
        <w:spacing w:line="480" w:lineRule="exact"/>
        <w:ind w:firstLine="480" w:firstLineChars="200"/>
        <w:contextualSpacing/>
        <w:rPr>
          <w:sz w:val="24"/>
          <w:u w:val="single"/>
        </w:rPr>
      </w:pPr>
      <w:r>
        <w:rPr>
          <w:rFonts w:hint="eastAsia"/>
          <w:sz w:val="24"/>
        </w:rPr>
        <w:t>成交</w:t>
      </w:r>
      <w:r>
        <w:rPr>
          <w:sz w:val="24"/>
        </w:rPr>
        <w:t>通知书发放条件和途径：</w:t>
      </w:r>
      <w:r>
        <w:rPr>
          <w:rFonts w:hint="eastAsia"/>
          <w:sz w:val="24"/>
        </w:rPr>
        <w:t>发布成交</w:t>
      </w:r>
      <w:r>
        <w:rPr>
          <w:sz w:val="24"/>
        </w:rPr>
        <w:t>结果公告</w:t>
      </w:r>
      <w:r>
        <w:rPr>
          <w:rFonts w:hint="eastAsia"/>
          <w:sz w:val="24"/>
        </w:rPr>
        <w:t>的同时，采购代理机构应当向成交人发放成交通知书。</w:t>
      </w:r>
      <w:r>
        <w:rPr>
          <w:sz w:val="24"/>
        </w:rPr>
        <w:t>领取地址：</w:t>
      </w:r>
      <w:r>
        <w:rPr>
          <w:rFonts w:hint="eastAsia"/>
          <w:sz w:val="24"/>
        </w:rPr>
        <w:t>南通市崇川区北大街108号金域商业中心T3楼24楼02室</w:t>
      </w:r>
      <w:r>
        <w:rPr>
          <w:sz w:val="24"/>
        </w:rPr>
        <w:t>，电话：</w:t>
      </w:r>
      <w:r>
        <w:rPr>
          <w:rFonts w:hint="eastAsia"/>
          <w:sz w:val="24"/>
        </w:rPr>
        <w:t>18962990275</w:t>
      </w:r>
      <w:r>
        <w:rPr>
          <w:sz w:val="24"/>
        </w:rPr>
        <w:t>。</w:t>
      </w:r>
    </w:p>
    <w:p>
      <w:pPr>
        <w:snapToGrid w:val="0"/>
        <w:spacing w:line="480" w:lineRule="exact"/>
        <w:ind w:firstLine="480" w:firstLineChars="200"/>
        <w:rPr>
          <w:sz w:val="24"/>
        </w:rPr>
      </w:pPr>
      <w:r>
        <w:rPr>
          <w:rFonts w:hint="eastAsia"/>
          <w:sz w:val="24"/>
        </w:rPr>
        <w:t>成交</w:t>
      </w:r>
      <w:r>
        <w:rPr>
          <w:sz w:val="24"/>
        </w:rPr>
        <w:t>通知书对采购人和</w:t>
      </w:r>
      <w:r>
        <w:rPr>
          <w:rFonts w:hint="eastAsia"/>
          <w:sz w:val="24"/>
        </w:rPr>
        <w:t>成交</w:t>
      </w:r>
      <w:r>
        <w:rPr>
          <w:sz w:val="24"/>
        </w:rPr>
        <w:t>供应商均具有法律效力。</w:t>
      </w:r>
      <w:r>
        <w:rPr>
          <w:rFonts w:hint="eastAsia"/>
          <w:sz w:val="24"/>
        </w:rPr>
        <w:t>成交</w:t>
      </w:r>
      <w:r>
        <w:rPr>
          <w:sz w:val="24"/>
        </w:rPr>
        <w:t>通知书发出后，采购人改变</w:t>
      </w:r>
      <w:r>
        <w:rPr>
          <w:rFonts w:hint="eastAsia"/>
          <w:sz w:val="24"/>
        </w:rPr>
        <w:t>成交</w:t>
      </w:r>
      <w:r>
        <w:rPr>
          <w:sz w:val="24"/>
        </w:rPr>
        <w:t>结果的，或者</w:t>
      </w:r>
      <w:r>
        <w:rPr>
          <w:rFonts w:hint="eastAsia"/>
          <w:sz w:val="24"/>
        </w:rPr>
        <w:t>成交</w:t>
      </w:r>
      <w:r>
        <w:rPr>
          <w:sz w:val="24"/>
        </w:rPr>
        <w:t>供应商放弃</w:t>
      </w:r>
      <w:r>
        <w:rPr>
          <w:rFonts w:hint="eastAsia"/>
          <w:sz w:val="24"/>
        </w:rPr>
        <w:t>成交</w:t>
      </w:r>
      <w:r>
        <w:rPr>
          <w:sz w:val="24"/>
        </w:rPr>
        <w:t>项目的，应当依法承担法律责任。</w:t>
      </w:r>
    </w:p>
    <w:p>
      <w:pPr>
        <w:snapToGrid w:val="0"/>
        <w:spacing w:line="480" w:lineRule="exact"/>
        <w:ind w:firstLine="570"/>
        <w:rPr>
          <w:b/>
          <w:kern w:val="0"/>
          <w:sz w:val="24"/>
        </w:rPr>
      </w:pPr>
      <w:r>
        <w:rPr>
          <w:rFonts w:hint="eastAsia"/>
          <w:b/>
          <w:kern w:val="0"/>
          <w:sz w:val="24"/>
        </w:rPr>
        <w:t>八、其他注意事项</w:t>
      </w:r>
    </w:p>
    <w:p>
      <w:pPr>
        <w:snapToGrid w:val="0"/>
        <w:spacing w:line="480" w:lineRule="exact"/>
        <w:ind w:firstLine="480" w:firstLineChars="200"/>
        <w:rPr>
          <w:sz w:val="24"/>
        </w:rPr>
      </w:pPr>
      <w:r>
        <w:rPr>
          <w:rFonts w:hint="eastAsia"/>
          <w:sz w:val="24"/>
        </w:rPr>
        <w:t>1、</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pPr>
        <w:snapToGrid w:val="0"/>
        <w:spacing w:line="480" w:lineRule="exact"/>
        <w:ind w:firstLine="480" w:firstLineChars="200"/>
        <w:rPr>
          <w:sz w:val="24"/>
        </w:rPr>
      </w:pPr>
      <w:r>
        <w:rPr>
          <w:rFonts w:hint="eastAsia"/>
          <w:sz w:val="24"/>
        </w:rPr>
        <w:t>2、磋商小组不得向供应商解释落标原因。</w:t>
      </w:r>
    </w:p>
    <w:p>
      <w:pPr>
        <w:snapToGrid w:val="0"/>
        <w:spacing w:line="480" w:lineRule="exact"/>
        <w:ind w:firstLine="480" w:firstLineChars="200"/>
        <w:rPr>
          <w:sz w:val="24"/>
        </w:rPr>
      </w:pPr>
      <w:r>
        <w:rPr>
          <w:sz w:val="24"/>
        </w:rPr>
        <w:t>3、在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pPr>
        <w:snapToGrid w:val="0"/>
        <w:spacing w:line="480" w:lineRule="exact"/>
        <w:ind w:firstLine="480" w:firstLineChars="20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pPr>
        <w:snapToGrid w:val="0"/>
        <w:spacing w:line="480" w:lineRule="exact"/>
        <w:ind w:firstLine="570"/>
        <w:rPr>
          <w:sz w:val="24"/>
        </w:rPr>
      </w:pPr>
    </w:p>
    <w:p>
      <w:pPr>
        <w:snapToGrid w:val="0"/>
        <w:spacing w:line="300" w:lineRule="auto"/>
        <w:jc w:val="center"/>
        <w:outlineLvl w:val="0"/>
        <w:rPr>
          <w:rFonts w:hint="eastAsia" w:ascii="仿宋_GB2312" w:hAnsi="宋体" w:eastAsia="仿宋_GB2312"/>
          <w:b/>
          <w:sz w:val="36"/>
          <w:szCs w:val="36"/>
        </w:rPr>
        <w:sectPr>
          <w:footerReference r:id="rId3" w:type="default"/>
          <w:pgSz w:w="11907" w:h="16839"/>
          <w:pgMar w:top="1418" w:right="1588" w:bottom="1418" w:left="1588" w:header="851" w:footer="851" w:gutter="0"/>
          <w:cols w:space="720" w:num="1"/>
          <w:docGrid w:linePitch="286" w:charSpace="0"/>
        </w:sectPr>
      </w:pPr>
    </w:p>
    <w:p>
      <w:pPr>
        <w:snapToGrid w:val="0"/>
        <w:spacing w:line="300" w:lineRule="auto"/>
        <w:jc w:val="center"/>
        <w:outlineLvl w:val="0"/>
        <w:rPr>
          <w:rFonts w:hint="eastAsia" w:ascii="仿宋_GB2312" w:hAnsi="宋体" w:eastAsia="仿宋_GB2312"/>
          <w:b/>
          <w:sz w:val="36"/>
          <w:szCs w:val="36"/>
        </w:rPr>
      </w:pPr>
      <w:r>
        <w:rPr>
          <w:rFonts w:hint="eastAsia" w:ascii="仿宋_GB2312" w:hAnsi="宋体" w:eastAsia="仿宋_GB2312"/>
          <w:b/>
          <w:sz w:val="36"/>
          <w:szCs w:val="36"/>
        </w:rPr>
        <w:t>第五部分  合同签订与验收付款</w:t>
      </w:r>
    </w:p>
    <w:p>
      <w:pPr>
        <w:snapToGrid w:val="0"/>
        <w:spacing w:line="480" w:lineRule="exact"/>
        <w:ind w:firstLine="471" w:firstLineChars="196"/>
        <w:jc w:val="left"/>
        <w:rPr>
          <w:b/>
          <w:sz w:val="24"/>
        </w:rPr>
      </w:pPr>
    </w:p>
    <w:p>
      <w:pPr>
        <w:snapToGrid w:val="0"/>
        <w:spacing w:line="480" w:lineRule="exact"/>
        <w:ind w:firstLine="480" w:firstLineChars="200"/>
        <w:rPr>
          <w:sz w:val="24"/>
          <w:lang w:val="zh-CN"/>
        </w:rPr>
      </w:pPr>
      <w:r>
        <w:rPr>
          <w:sz w:val="24"/>
          <w:lang w:val="zh-CN"/>
        </w:rPr>
        <w:t>一、</w:t>
      </w:r>
      <w:r>
        <w:rPr>
          <w:b/>
          <w:bCs/>
          <w:sz w:val="24"/>
          <w:lang w:val="zh-CN"/>
        </w:rPr>
        <w:t>成交供应商和采购单位</w:t>
      </w:r>
      <w:r>
        <w:rPr>
          <w:rFonts w:hint="eastAsia" w:ascii="宋体" w:hAnsi="宋体"/>
          <w:b/>
          <w:bCs/>
          <w:sz w:val="24"/>
        </w:rPr>
        <w:t>需在</w:t>
      </w:r>
      <w:r>
        <w:rPr>
          <w:b/>
          <w:bCs/>
          <w:sz w:val="24"/>
          <w:lang w:val="zh-CN"/>
        </w:rPr>
        <w:t>《成交通知书》</w:t>
      </w:r>
      <w:r>
        <w:rPr>
          <w:rFonts w:hint="eastAsia"/>
          <w:b/>
          <w:bCs/>
          <w:sz w:val="24"/>
        </w:rPr>
        <w:t>发出之日起</w:t>
      </w:r>
      <w:r>
        <w:rPr>
          <w:rFonts w:hint="eastAsia"/>
          <w:b/>
          <w:bCs/>
          <w:sz w:val="24"/>
          <w:lang w:val="en-US" w:eastAsia="zh-CN"/>
        </w:rPr>
        <w:t>3</w:t>
      </w:r>
      <w:r>
        <w:rPr>
          <w:rFonts w:hint="eastAsia"/>
          <w:b/>
          <w:bCs/>
          <w:sz w:val="24"/>
        </w:rPr>
        <w:t>0个工作日内</w:t>
      </w:r>
      <w:r>
        <w:rPr>
          <w:rFonts w:hint="eastAsia" w:ascii="宋体" w:hAnsi="宋体"/>
          <w:b/>
          <w:bCs/>
          <w:sz w:val="24"/>
        </w:rPr>
        <w:t>签订合同</w:t>
      </w:r>
      <w:r>
        <w:rPr>
          <w:b/>
          <w:bCs/>
          <w:sz w:val="24"/>
          <w:lang w:val="zh-CN"/>
        </w:rPr>
        <w:t>。</w:t>
      </w:r>
      <w:r>
        <w:rPr>
          <w:rFonts w:hint="eastAsia"/>
          <w:sz w:val="24"/>
          <w:lang w:val="zh-CN"/>
        </w:rPr>
        <w:t>合同签订后成交供应商方可履约，否则引起的一切后果由成交人自行承担。纸质合同一式肆份，采购人、供应商各两份。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0" w:firstLineChars="200"/>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9"/>
        <w:kinsoku w:val="0"/>
        <w:topLinePunct/>
        <w:autoSpaceDE w:val="0"/>
        <w:autoSpaceDN w:val="0"/>
        <w:snapToGrid w:val="0"/>
        <w:spacing w:line="480" w:lineRule="exact"/>
        <w:ind w:right="210" w:firstLine="513" w:firstLineChars="214"/>
        <w:contextualSpacing/>
        <w:rPr>
          <w:b/>
          <w:sz w:val="24"/>
          <w:szCs w:val="24"/>
        </w:rPr>
      </w:pPr>
      <w:r>
        <w:rPr>
          <w:sz w:val="24"/>
          <w:szCs w:val="24"/>
          <w:lang w:val="zh-CN"/>
        </w:rPr>
        <w:t>五、</w:t>
      </w:r>
      <w:r>
        <w:rPr>
          <w:b/>
          <w:sz w:val="24"/>
          <w:szCs w:val="24"/>
        </w:rPr>
        <w:t>不响应付款方式的，视同响应文件无效处理。</w:t>
      </w:r>
      <w:r>
        <w:rPr>
          <w:rFonts w:hint="eastAsia"/>
          <w:b/>
          <w:sz w:val="24"/>
        </w:rPr>
        <w:t>实际付款方式以最终签订采购合同为准。</w:t>
      </w:r>
    </w:p>
    <w:p>
      <w:pPr>
        <w:pStyle w:val="9"/>
        <w:kinsoku w:val="0"/>
        <w:topLinePunct/>
        <w:autoSpaceDE w:val="0"/>
        <w:autoSpaceDN w:val="0"/>
        <w:snapToGrid w:val="0"/>
        <w:spacing w:line="480" w:lineRule="exact"/>
        <w:ind w:right="210" w:firstLine="480" w:firstLineChars="200"/>
        <w:contextualSpacing/>
        <w:rPr>
          <w:sz w:val="24"/>
          <w:szCs w:val="24"/>
          <w:lang w:val="zh-CN"/>
        </w:rPr>
      </w:pPr>
      <w:r>
        <w:rPr>
          <w:sz w:val="24"/>
          <w:szCs w:val="24"/>
        </w:rPr>
        <w:t>款项由采购人按相关财务支付规定办理支付手续。不得故意拖延支付时间。</w:t>
      </w:r>
    </w:p>
    <w:p>
      <w:pPr>
        <w:snapToGrid w:val="0"/>
        <w:spacing w:line="400" w:lineRule="atLeast"/>
        <w:ind w:firstLine="577" w:firstLineChars="200"/>
        <w:jc w:val="center"/>
        <w:outlineLvl w:val="0"/>
        <w:rPr>
          <w:rFonts w:cs="宋体"/>
          <w:b/>
          <w:bCs/>
          <w:w w:val="80"/>
          <w:sz w:val="36"/>
          <w:szCs w:val="36"/>
        </w:rPr>
      </w:pPr>
    </w:p>
    <w:p>
      <w:pPr>
        <w:snapToGrid w:val="0"/>
        <w:spacing w:line="400" w:lineRule="atLeast"/>
        <w:ind w:firstLine="723" w:firstLineChars="200"/>
        <w:jc w:val="center"/>
        <w:outlineLvl w:val="0"/>
        <w:rPr>
          <w:rFonts w:hint="eastAsia" w:ascii="仿宋_GB2312" w:hAnsi="宋体" w:eastAsia="仿宋_GB2312"/>
          <w:b/>
          <w:sz w:val="36"/>
          <w:szCs w:val="36"/>
        </w:rPr>
        <w:sectPr>
          <w:pgSz w:w="11907" w:h="16839"/>
          <w:pgMar w:top="1418" w:right="1588" w:bottom="1418" w:left="1588" w:header="851" w:footer="851" w:gutter="0"/>
          <w:cols w:space="720" w:num="1"/>
          <w:docGrid w:linePitch="286" w:charSpace="0"/>
        </w:sectPr>
      </w:pPr>
    </w:p>
    <w:p>
      <w:pPr>
        <w:snapToGrid w:val="0"/>
        <w:spacing w:line="400" w:lineRule="atLeast"/>
        <w:ind w:firstLine="723" w:firstLineChars="200"/>
        <w:jc w:val="center"/>
        <w:outlineLvl w:val="0"/>
        <w:rPr>
          <w:rFonts w:hint="eastAsia" w:ascii="仿宋_GB2312" w:hAnsi="宋体" w:eastAsia="仿宋_GB2312"/>
          <w:b/>
          <w:sz w:val="36"/>
          <w:szCs w:val="36"/>
        </w:rPr>
      </w:pPr>
      <w:r>
        <w:rPr>
          <w:rFonts w:hint="eastAsia" w:ascii="仿宋_GB2312" w:hAnsi="宋体" w:eastAsia="仿宋_GB2312"/>
          <w:b/>
          <w:sz w:val="36"/>
          <w:szCs w:val="36"/>
        </w:rPr>
        <w:t>第六部分  质疑提出和处理</w:t>
      </w:r>
    </w:p>
    <w:p>
      <w:pPr>
        <w:pStyle w:val="11"/>
        <w:snapToGrid w:val="0"/>
        <w:spacing w:line="400" w:lineRule="atLeast"/>
        <w:ind w:left="0" w:leftChars="0" w:firstLine="640" w:firstLineChars="200"/>
        <w:contextualSpacing/>
        <w:rPr>
          <w:rFonts w:hint="eastAsia" w:ascii="仿宋_GB2312" w:hAnsi="宋体" w:eastAsia="仿宋_GB2312"/>
          <w:sz w:val="32"/>
          <w:szCs w:val="32"/>
        </w:rPr>
      </w:pPr>
    </w:p>
    <w:p>
      <w:pPr>
        <w:snapToGrid w:val="0"/>
        <w:spacing w:after="120" w:line="400" w:lineRule="atLeast"/>
        <w:ind w:firstLine="420" w:firstLineChars="200"/>
        <w:contextualSpacing/>
        <w:rPr>
          <w:rFonts w:eastAsia="仿宋_GB2312"/>
          <w:sz w:val="32"/>
          <w:szCs w:val="32"/>
        </w:rPr>
      </w:pPr>
      <w:r>
        <w:rPr>
          <w:b/>
          <w:bCs/>
          <w:u w:val="thick" w:color="FF0000"/>
        </w:rPr>
        <w:t>质疑函格式参见附件</w:t>
      </w:r>
      <w:r>
        <w:rPr>
          <w:b/>
          <w:bCs/>
        </w:rPr>
        <w:t>。</w:t>
      </w:r>
    </w:p>
    <w:p>
      <w:pPr>
        <w:pStyle w:val="11"/>
        <w:snapToGrid w:val="0"/>
        <w:spacing w:line="480" w:lineRule="exact"/>
        <w:ind w:firstLine="480" w:firstLineChars="200"/>
        <w:contextualSpacing/>
        <w:rPr>
          <w:sz w:val="24"/>
        </w:rPr>
      </w:pPr>
      <w:r>
        <w:rPr>
          <w:sz w:val="24"/>
        </w:rPr>
        <w:t>一、质疑的提出</w:t>
      </w:r>
    </w:p>
    <w:p>
      <w:pPr>
        <w:pStyle w:val="11"/>
        <w:snapToGrid w:val="0"/>
        <w:spacing w:line="480" w:lineRule="exact"/>
        <w:ind w:firstLine="480" w:firstLineChars="200"/>
        <w:contextualSpacing/>
        <w:rPr>
          <w:sz w:val="24"/>
        </w:rPr>
      </w:pPr>
      <w:r>
        <w:rPr>
          <w:sz w:val="24"/>
        </w:rPr>
        <w:t xml:space="preserve">(一)质疑人的身份要求      </w:t>
      </w:r>
    </w:p>
    <w:p>
      <w:pPr>
        <w:pStyle w:val="11"/>
        <w:snapToGrid w:val="0"/>
        <w:spacing w:line="480" w:lineRule="exact"/>
        <w:ind w:firstLine="480" w:firstLineChars="200"/>
        <w:contextualSpacing/>
        <w:rPr>
          <w:sz w:val="24"/>
        </w:rPr>
      </w:pPr>
      <w:r>
        <w:rPr>
          <w:sz w:val="24"/>
        </w:rPr>
        <w:t>1.提出质疑的供应商应当是参与所质疑项目采购活动的供应商。</w:t>
      </w:r>
    </w:p>
    <w:p>
      <w:pPr>
        <w:pStyle w:val="11"/>
        <w:snapToGrid w:val="0"/>
        <w:spacing w:line="480" w:lineRule="exact"/>
        <w:ind w:firstLine="480" w:firstLineChars="200"/>
        <w:contextualSpacing/>
        <w:rPr>
          <w:sz w:val="24"/>
        </w:rPr>
      </w:pPr>
      <w:r>
        <w:rPr>
          <w:sz w:val="24"/>
        </w:rPr>
        <w:t>2.潜在供应商已依法获取其可质疑的采购文件的，可以对该文件提出质疑。对采购文件提出质疑的，应当在获取采购文件或者采购文件公告期限届满之日起7个工作日内提出。</w:t>
      </w:r>
    </w:p>
    <w:p>
      <w:pPr>
        <w:pStyle w:val="11"/>
        <w:snapToGrid w:val="0"/>
        <w:spacing w:line="480" w:lineRule="exact"/>
        <w:ind w:firstLine="480" w:firstLineChars="200"/>
        <w:contextualSpacing/>
        <w:rPr>
          <w:sz w:val="24"/>
        </w:rPr>
      </w:pPr>
      <w:r>
        <w:rPr>
          <w:sz w:val="24"/>
        </w:rPr>
        <w:t xml:space="preserve">(二)质疑提出的格式要求   </w:t>
      </w:r>
    </w:p>
    <w:p>
      <w:pPr>
        <w:pStyle w:val="11"/>
        <w:snapToGrid w:val="0"/>
        <w:spacing w:line="480" w:lineRule="exact"/>
        <w:ind w:firstLine="480" w:firstLineChars="200"/>
        <w:contextualSpacing/>
        <w:rPr>
          <w:sz w:val="24"/>
        </w:rPr>
      </w:pPr>
      <w:r>
        <w:rPr>
          <w:sz w:val="24"/>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pPr>
        <w:pStyle w:val="11"/>
        <w:snapToGrid w:val="0"/>
        <w:spacing w:line="480" w:lineRule="exact"/>
        <w:ind w:firstLine="480" w:firstLineChars="200"/>
        <w:contextualSpacing/>
        <w:rPr>
          <w:sz w:val="24"/>
        </w:rPr>
      </w:pPr>
      <w:r>
        <w:rPr>
          <w:sz w:val="24"/>
        </w:rPr>
        <w:t xml:space="preserve">2.质疑函应包括：    </w:t>
      </w:r>
    </w:p>
    <w:p>
      <w:pPr>
        <w:pStyle w:val="11"/>
        <w:snapToGrid w:val="0"/>
        <w:spacing w:line="480" w:lineRule="exact"/>
        <w:ind w:firstLine="480" w:firstLineChars="200"/>
        <w:contextualSpacing/>
        <w:rPr>
          <w:sz w:val="24"/>
        </w:rPr>
      </w:pPr>
      <w:r>
        <w:rPr>
          <w:sz w:val="24"/>
        </w:rPr>
        <w:t>（1）质疑</w:t>
      </w:r>
      <w:r>
        <w:rPr>
          <w:rFonts w:hint="eastAsia"/>
          <w:sz w:val="24"/>
        </w:rPr>
        <w:t>供应商</w:t>
      </w:r>
      <w:r>
        <w:rPr>
          <w:sz w:val="24"/>
        </w:rPr>
        <w:t>的名称、地址、邮编、联系人及联系电话；</w:t>
      </w:r>
    </w:p>
    <w:p>
      <w:pPr>
        <w:pStyle w:val="11"/>
        <w:snapToGrid w:val="0"/>
        <w:spacing w:line="480" w:lineRule="exact"/>
        <w:ind w:firstLine="480" w:firstLineChars="200"/>
        <w:contextualSpacing/>
        <w:rPr>
          <w:sz w:val="24"/>
        </w:rPr>
      </w:pPr>
      <w:r>
        <w:rPr>
          <w:sz w:val="24"/>
        </w:rPr>
        <w:t>（2）质疑项目的名称、编号；</w:t>
      </w:r>
    </w:p>
    <w:p>
      <w:pPr>
        <w:pStyle w:val="11"/>
        <w:snapToGrid w:val="0"/>
        <w:spacing w:line="480" w:lineRule="exact"/>
        <w:ind w:firstLine="480" w:firstLineChars="200"/>
        <w:contextualSpacing/>
        <w:rPr>
          <w:sz w:val="24"/>
        </w:rPr>
      </w:pPr>
      <w:r>
        <w:rPr>
          <w:sz w:val="24"/>
        </w:rPr>
        <w:t>（3）具体、明确的质疑事项和与质疑事项相关的请求；</w:t>
      </w:r>
    </w:p>
    <w:p>
      <w:pPr>
        <w:pStyle w:val="11"/>
        <w:snapToGrid w:val="0"/>
        <w:spacing w:line="480" w:lineRule="exact"/>
        <w:ind w:firstLine="480" w:firstLineChars="200"/>
        <w:contextualSpacing/>
        <w:rPr>
          <w:sz w:val="24"/>
        </w:rPr>
      </w:pPr>
      <w:r>
        <w:rPr>
          <w:sz w:val="24"/>
        </w:rPr>
        <w:t>（4）事实依据；</w:t>
      </w:r>
    </w:p>
    <w:p>
      <w:pPr>
        <w:pStyle w:val="11"/>
        <w:snapToGrid w:val="0"/>
        <w:spacing w:line="480" w:lineRule="exact"/>
        <w:ind w:firstLine="480" w:firstLineChars="200"/>
        <w:contextualSpacing/>
        <w:rPr>
          <w:sz w:val="24"/>
        </w:rPr>
      </w:pPr>
      <w:r>
        <w:rPr>
          <w:sz w:val="24"/>
        </w:rPr>
        <w:t xml:space="preserve">（5）必要的法律依据；                          </w:t>
      </w:r>
    </w:p>
    <w:p>
      <w:pPr>
        <w:pStyle w:val="11"/>
        <w:snapToGrid w:val="0"/>
        <w:spacing w:line="480" w:lineRule="exact"/>
        <w:ind w:firstLine="480" w:firstLineChars="200"/>
        <w:contextualSpacing/>
        <w:rPr>
          <w:sz w:val="24"/>
        </w:rPr>
      </w:pPr>
      <w:r>
        <w:rPr>
          <w:sz w:val="24"/>
        </w:rPr>
        <w:t>（6）提出质疑的日期。</w:t>
      </w:r>
    </w:p>
    <w:p>
      <w:pPr>
        <w:pStyle w:val="11"/>
        <w:snapToGrid w:val="0"/>
        <w:spacing w:line="480" w:lineRule="exact"/>
        <w:ind w:firstLine="480" w:firstLineChars="200"/>
        <w:contextualSpacing/>
        <w:rPr>
          <w:sz w:val="24"/>
        </w:rPr>
      </w:pPr>
      <w:r>
        <w:rPr>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pPr>
        <w:pStyle w:val="11"/>
        <w:snapToGrid w:val="0"/>
        <w:spacing w:line="480" w:lineRule="exact"/>
        <w:ind w:firstLine="480" w:firstLineChars="200"/>
        <w:contextualSpacing/>
        <w:rPr>
          <w:sz w:val="24"/>
        </w:rPr>
      </w:pPr>
      <w:r>
        <w:rPr>
          <w:sz w:val="24"/>
        </w:rPr>
        <w:t>3.质疑函需遵循的原则：</w:t>
      </w:r>
    </w:p>
    <w:p>
      <w:pPr>
        <w:pStyle w:val="11"/>
        <w:snapToGrid w:val="0"/>
        <w:spacing w:line="480" w:lineRule="exact"/>
        <w:ind w:firstLine="480" w:firstLineChars="200"/>
        <w:contextualSpacing/>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11"/>
        <w:snapToGrid w:val="0"/>
        <w:spacing w:line="480" w:lineRule="exact"/>
        <w:ind w:firstLine="480" w:firstLineChars="200"/>
        <w:contextualSpacing/>
        <w:rPr>
          <w:sz w:val="24"/>
        </w:rPr>
      </w:pPr>
      <w:r>
        <w:rPr>
          <w:sz w:val="24"/>
        </w:rPr>
        <w:t>（三）质疑提出的时效要求</w:t>
      </w:r>
    </w:p>
    <w:p>
      <w:pPr>
        <w:pStyle w:val="11"/>
        <w:snapToGrid w:val="0"/>
        <w:spacing w:line="480" w:lineRule="exact"/>
        <w:ind w:firstLine="480" w:firstLineChars="200"/>
        <w:contextualSpacing/>
        <w:rPr>
          <w:sz w:val="24"/>
        </w:rPr>
      </w:pPr>
      <w:r>
        <w:rPr>
          <w:sz w:val="24"/>
        </w:rPr>
        <w:t>1.</w:t>
      </w:r>
      <w:r>
        <w:rPr>
          <w:rFonts w:hint="eastAsia"/>
          <w:sz w:val="24"/>
        </w:rPr>
        <w:t>供应商</w:t>
      </w:r>
      <w:r>
        <w:rPr>
          <w:sz w:val="24"/>
        </w:rPr>
        <w:t xml:space="preserve">认为采购文件、采购过程和采购结果使自己的权益受到损害的，可以在知道或应知其权益受到损害之日起七个工作日内，以书面形式向采购人、采购代理机构提出质疑。上述应知其权益受到损害之日，是指：                       </w:t>
      </w:r>
    </w:p>
    <w:p>
      <w:pPr>
        <w:pStyle w:val="11"/>
        <w:snapToGrid w:val="0"/>
        <w:spacing w:line="480" w:lineRule="exact"/>
        <w:ind w:firstLine="480" w:firstLineChars="200"/>
        <w:contextualSpacing/>
        <w:rPr>
          <w:sz w:val="24"/>
        </w:rPr>
      </w:pPr>
      <w:r>
        <w:rPr>
          <w:sz w:val="24"/>
        </w:rPr>
        <w:t>（1）对可以质疑的采购文件提出质疑的，为收到采购文件之日或者采购文件公告期限届满之日；</w:t>
      </w:r>
    </w:p>
    <w:p>
      <w:pPr>
        <w:pStyle w:val="11"/>
        <w:snapToGrid w:val="0"/>
        <w:spacing w:line="480" w:lineRule="exact"/>
        <w:ind w:firstLine="480" w:firstLineChars="200"/>
        <w:contextualSpacing/>
        <w:rPr>
          <w:sz w:val="24"/>
        </w:rPr>
      </w:pPr>
      <w:r>
        <w:rPr>
          <w:sz w:val="24"/>
        </w:rPr>
        <w:t>（2）对采购过程提出质疑的，为各采购程序环节结束之日；</w:t>
      </w:r>
    </w:p>
    <w:p>
      <w:pPr>
        <w:pStyle w:val="11"/>
        <w:snapToGrid w:val="0"/>
        <w:spacing w:line="480" w:lineRule="exact"/>
        <w:ind w:firstLine="480" w:firstLineChars="200"/>
        <w:contextualSpacing/>
        <w:rPr>
          <w:sz w:val="24"/>
        </w:rPr>
      </w:pPr>
      <w:r>
        <w:rPr>
          <w:sz w:val="24"/>
        </w:rPr>
        <w:t>（3）对中标或者成交结果提出质疑的，为中标或者成交结果公告期限届满之日。</w:t>
      </w:r>
    </w:p>
    <w:p>
      <w:pPr>
        <w:pStyle w:val="11"/>
        <w:snapToGrid w:val="0"/>
        <w:spacing w:line="480" w:lineRule="exact"/>
        <w:ind w:firstLine="480" w:firstLineChars="20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pPr>
        <w:pStyle w:val="11"/>
        <w:snapToGrid w:val="0"/>
        <w:spacing w:line="480" w:lineRule="exact"/>
        <w:ind w:firstLine="480" w:firstLineChars="200"/>
        <w:contextualSpacing/>
        <w:rPr>
          <w:sz w:val="24"/>
        </w:rPr>
      </w:pPr>
      <w:r>
        <w:rPr>
          <w:sz w:val="24"/>
        </w:rPr>
        <w:t>2.</w:t>
      </w:r>
      <w:r>
        <w:rPr>
          <w:rFonts w:hint="eastAsia"/>
          <w:sz w:val="24"/>
        </w:rPr>
        <w:t>供应商</w:t>
      </w:r>
      <w:r>
        <w:rPr>
          <w:sz w:val="24"/>
        </w:rPr>
        <w:t xml:space="preserve">应在法定质疑期一次性提出针对同一采购程序环节的质疑。                         </w:t>
      </w:r>
    </w:p>
    <w:p>
      <w:pPr>
        <w:pStyle w:val="11"/>
        <w:snapToGrid w:val="0"/>
        <w:spacing w:line="480" w:lineRule="exact"/>
        <w:ind w:firstLine="480" w:firstLineChars="200"/>
        <w:contextualSpacing/>
        <w:rPr>
          <w:sz w:val="24"/>
        </w:rPr>
      </w:pPr>
      <w:r>
        <w:rPr>
          <w:sz w:val="24"/>
        </w:rPr>
        <w:t>二、《质疑函》的受理和答复</w:t>
      </w:r>
    </w:p>
    <w:p>
      <w:pPr>
        <w:pStyle w:val="11"/>
        <w:snapToGrid w:val="0"/>
        <w:spacing w:line="480" w:lineRule="exact"/>
        <w:ind w:firstLine="480" w:firstLineChars="200"/>
        <w:contextualSpacing/>
        <w:rPr>
          <w:sz w:val="24"/>
        </w:rPr>
      </w:pPr>
      <w:r>
        <w:rPr>
          <w:sz w:val="24"/>
        </w:rPr>
        <w:t>1.采购人、采购代理机构收到质疑函后，将对质疑的形式和内容进行审查，如质疑函内容、格式不符合规定，需告知质疑人进行补正。</w:t>
      </w:r>
    </w:p>
    <w:p>
      <w:pPr>
        <w:pStyle w:val="11"/>
        <w:snapToGrid w:val="0"/>
        <w:spacing w:line="480" w:lineRule="exact"/>
        <w:ind w:firstLine="480" w:firstLineChars="200"/>
        <w:contextualSpacing/>
        <w:rPr>
          <w:sz w:val="24"/>
        </w:rPr>
      </w:pPr>
      <w:r>
        <w:rPr>
          <w:sz w:val="24"/>
        </w:rPr>
        <w:t>2. 质疑人应当在法定质疑期限内进行补正并重新提交质疑函，拒不补正或者在法定期限内未重新提交质疑函的，为无效质疑，不予受理。</w:t>
      </w:r>
    </w:p>
    <w:p>
      <w:pPr>
        <w:pStyle w:val="11"/>
        <w:snapToGrid w:val="0"/>
        <w:spacing w:line="480" w:lineRule="exact"/>
        <w:ind w:firstLine="480" w:firstLineChars="200"/>
        <w:contextualSpacing/>
        <w:rPr>
          <w:sz w:val="24"/>
        </w:rPr>
      </w:pPr>
      <w:r>
        <w:rPr>
          <w:sz w:val="24"/>
        </w:rPr>
        <w:t>3.采购人、采购代理机构答复供应商质疑应当采用书面方式并依法送达，质疑供应商或其委托代理人拒绝签收的视为已经送达。</w:t>
      </w:r>
    </w:p>
    <w:p>
      <w:pPr>
        <w:pStyle w:val="11"/>
        <w:snapToGrid w:val="0"/>
        <w:spacing w:line="480" w:lineRule="exact"/>
        <w:ind w:firstLine="480" w:firstLineChars="200"/>
        <w:contextualSpacing/>
        <w:rPr>
          <w:sz w:val="24"/>
        </w:rPr>
      </w:pPr>
      <w:r>
        <w:rPr>
          <w:sz w:val="24"/>
        </w:rPr>
        <w:t>4.采购人负责供应商质疑答复。采购人委托采购代理机构采购的，采购代理机构在委托授权范围内作出答复。</w:t>
      </w:r>
    </w:p>
    <w:p>
      <w:pPr>
        <w:pStyle w:val="11"/>
        <w:snapToGrid w:val="0"/>
        <w:spacing w:line="480" w:lineRule="exact"/>
        <w:ind w:firstLine="480" w:firstLineChars="200"/>
        <w:contextualSpacing/>
        <w:rPr>
          <w:sz w:val="24"/>
        </w:rPr>
      </w:pPr>
      <w:r>
        <w:rPr>
          <w:sz w:val="24"/>
        </w:rPr>
        <w:t>三、质疑处理</w:t>
      </w:r>
    </w:p>
    <w:p>
      <w:pPr>
        <w:pStyle w:val="11"/>
        <w:snapToGrid w:val="0"/>
        <w:spacing w:line="480" w:lineRule="exact"/>
        <w:ind w:firstLine="480" w:firstLineChars="200"/>
        <w:contextualSpacing/>
        <w:rPr>
          <w:sz w:val="24"/>
        </w:rPr>
      </w:pPr>
      <w:r>
        <w:rPr>
          <w:sz w:val="24"/>
        </w:rPr>
        <w:t>1. 质疑成立的处理</w:t>
      </w:r>
    </w:p>
    <w:p>
      <w:pPr>
        <w:pStyle w:val="11"/>
        <w:snapToGrid w:val="0"/>
        <w:spacing w:line="480" w:lineRule="exact"/>
        <w:ind w:firstLine="480" w:firstLineChars="200"/>
        <w:contextualSpacing/>
        <w:rPr>
          <w:sz w:val="24"/>
        </w:rPr>
      </w:pPr>
      <w:r>
        <w:rPr>
          <w:sz w:val="24"/>
        </w:rPr>
        <w:t xml:space="preserve">（1）对于内容、格式符合规定的质疑函，采购人、采购代理机构在收到投标供应商的书面质疑后七个工作日内作出书面答复，但答复的内容不得涉及商业秘密。                       </w:t>
      </w:r>
    </w:p>
    <w:p>
      <w:pPr>
        <w:pStyle w:val="11"/>
        <w:snapToGrid w:val="0"/>
        <w:spacing w:line="480" w:lineRule="exact"/>
        <w:ind w:firstLine="480" w:firstLineChars="200"/>
        <w:contextualSpacing/>
        <w:rPr>
          <w:sz w:val="24"/>
        </w:rPr>
      </w:pPr>
      <w:r>
        <w:rPr>
          <w:sz w:val="24"/>
        </w:rPr>
        <w:t>（2）对采购文件提出的质疑，依法通过澄清或者修改可以继续开展采购活动的，澄清或者修改采购文件后继续开展采购活动；否则应当修改采购文件后重新开展采购活动。</w:t>
      </w:r>
    </w:p>
    <w:p>
      <w:pPr>
        <w:pStyle w:val="11"/>
        <w:snapToGrid w:val="0"/>
        <w:spacing w:line="480" w:lineRule="exact"/>
        <w:ind w:firstLine="480" w:firstLineChars="200"/>
        <w:contextualSpacing/>
        <w:rPr>
          <w:sz w:val="24"/>
        </w:rPr>
      </w:pPr>
      <w:r>
        <w:rPr>
          <w:sz w:val="24"/>
        </w:rPr>
        <w:t>（3）对采购过程、中标或者成交结果提出的质疑，合格供应商符合法定数量时，可以从合格的候选人中另行确定中标、成交供应商的，应当依法另行确定中标供应商；否则应当重新开展采购活动。</w:t>
      </w:r>
    </w:p>
    <w:p>
      <w:pPr>
        <w:pStyle w:val="11"/>
        <w:snapToGrid w:val="0"/>
        <w:spacing w:line="480" w:lineRule="exact"/>
        <w:ind w:firstLine="480" w:firstLineChars="200"/>
        <w:contextualSpacing/>
        <w:rPr>
          <w:sz w:val="24"/>
        </w:rPr>
      </w:pPr>
      <w:r>
        <w:rPr>
          <w:sz w:val="24"/>
        </w:rPr>
        <w:t>质疑答复导致中标、成交结果改变的，采购人或者采购代理机构应当将有关情况书面报告本级财政部门。</w:t>
      </w:r>
    </w:p>
    <w:p>
      <w:pPr>
        <w:pStyle w:val="11"/>
        <w:snapToGrid w:val="0"/>
        <w:spacing w:line="480" w:lineRule="exact"/>
        <w:ind w:firstLine="480" w:firstLineChars="200"/>
        <w:contextualSpacing/>
        <w:rPr>
          <w:sz w:val="24"/>
        </w:rPr>
      </w:pPr>
      <w:r>
        <w:rPr>
          <w:sz w:val="24"/>
        </w:rPr>
        <w:t>2.质疑不成立的处理</w:t>
      </w:r>
    </w:p>
    <w:p>
      <w:pPr>
        <w:pStyle w:val="11"/>
        <w:snapToGrid w:val="0"/>
        <w:spacing w:line="480" w:lineRule="exact"/>
        <w:ind w:firstLine="480" w:firstLineChars="200"/>
        <w:contextualSpacing/>
        <w:rPr>
          <w:sz w:val="24"/>
        </w:rPr>
      </w:pPr>
      <w:r>
        <w:rPr>
          <w:sz w:val="24"/>
        </w:rPr>
        <w:t xml:space="preserve">若质疑不成立，或者成立未对中标、成交结果构成影响的，继续开展采购活动。                  </w:t>
      </w:r>
    </w:p>
    <w:p>
      <w:pPr>
        <w:pStyle w:val="11"/>
        <w:snapToGrid w:val="0"/>
        <w:spacing w:line="480" w:lineRule="exact"/>
        <w:ind w:firstLine="480" w:firstLineChars="200"/>
        <w:contextualSpacing/>
        <w:rPr>
          <w:sz w:val="24"/>
        </w:rPr>
      </w:pPr>
      <w:r>
        <w:rPr>
          <w:sz w:val="24"/>
        </w:rPr>
        <w:t xml:space="preserve">3.虚假质疑的处理          </w:t>
      </w:r>
    </w:p>
    <w:p>
      <w:pPr>
        <w:pStyle w:val="11"/>
        <w:snapToGrid w:val="0"/>
        <w:spacing w:line="480" w:lineRule="exact"/>
        <w:ind w:firstLine="480" w:firstLineChars="200"/>
        <w:contextualSpacing/>
        <w:rPr>
          <w:sz w:val="24"/>
        </w:rPr>
      </w:pPr>
      <w:r>
        <w:rPr>
          <w:sz w:val="24"/>
        </w:rPr>
        <w:t>（1）</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 xml:space="preserve">进行相应的行政处罚。                          </w:t>
      </w:r>
    </w:p>
    <w:p>
      <w:pPr>
        <w:pStyle w:val="11"/>
        <w:snapToGrid w:val="0"/>
        <w:spacing w:line="480" w:lineRule="exact"/>
        <w:ind w:firstLine="480" w:firstLineChars="200"/>
        <w:contextualSpacing/>
        <w:rPr>
          <w:sz w:val="24"/>
        </w:rPr>
      </w:pPr>
      <w:r>
        <w:rPr>
          <w:sz w:val="24"/>
        </w:rPr>
        <w:t>（2）在江苏省范围内一年累计三次以上质疑，均查无实据的供应商将按失信行为记入该注册供应商诚信档案中。</w:t>
      </w:r>
    </w:p>
    <w:p>
      <w:pPr>
        <w:autoSpaceDE w:val="0"/>
        <w:autoSpaceDN w:val="0"/>
        <w:adjustRightInd w:val="0"/>
        <w:snapToGrid w:val="0"/>
        <w:spacing w:line="300" w:lineRule="auto"/>
        <w:ind w:left="4513" w:right="210" w:hanging="4513"/>
        <w:jc w:val="center"/>
        <w:rPr>
          <w:sz w:val="24"/>
        </w:rPr>
        <w:sectPr>
          <w:pgSz w:w="11907" w:h="16839"/>
          <w:pgMar w:top="1418" w:right="1588" w:bottom="1418" w:left="1588" w:header="851" w:footer="851" w:gutter="0"/>
          <w:cols w:space="720" w:num="1"/>
          <w:docGrid w:linePitch="286" w:charSpace="0"/>
        </w:sectPr>
      </w:pPr>
      <w:r>
        <w:rPr>
          <w:rFonts w:hint="eastAsia"/>
          <w:sz w:val="24"/>
        </w:rPr>
        <w:t xml:space="preserve"> </w:t>
      </w:r>
      <w:r>
        <w:rPr>
          <w:sz w:val="24"/>
        </w:rPr>
        <w:t>（3）采购人、采购代理机构受理质疑和答复相关咨询，联系电话详见</w:t>
      </w:r>
      <w:r>
        <w:rPr>
          <w:rFonts w:hint="eastAsia"/>
          <w:sz w:val="24"/>
        </w:rPr>
        <w:t>采购</w:t>
      </w:r>
      <w:r>
        <w:rPr>
          <w:sz w:val="24"/>
        </w:rPr>
        <w:t>公告。</w:t>
      </w: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hint="eastAsia" w:ascii="仿宋_GB2312" w:eastAsia="仿宋_GB2312"/>
          <w:b/>
          <w:bCs/>
          <w:sz w:val="36"/>
          <w:szCs w:val="36"/>
          <w:lang w:val="zh-CN"/>
        </w:rPr>
        <w:t>第七部分  响应文件组成</w:t>
      </w:r>
    </w:p>
    <w:p>
      <w:pPr>
        <w:snapToGrid w:val="0"/>
        <w:spacing w:line="480" w:lineRule="exact"/>
        <w:ind w:firstLine="480" w:firstLineChars="200"/>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pPr>
        <w:snapToGrid w:val="0"/>
        <w:spacing w:line="480" w:lineRule="exact"/>
        <w:ind w:firstLine="471" w:firstLineChars="196"/>
        <w:contextualSpacing/>
        <w:rPr>
          <w:b/>
          <w:sz w:val="24"/>
        </w:rPr>
      </w:pPr>
      <w:r>
        <w:rPr>
          <w:b/>
          <w:sz w:val="24"/>
        </w:rPr>
        <w:t>一、资格审查</w:t>
      </w:r>
      <w:r>
        <w:rPr>
          <w:rFonts w:hint="eastAsia"/>
          <w:b/>
          <w:sz w:val="24"/>
        </w:rPr>
        <w:t>文件</w:t>
      </w:r>
      <w:r>
        <w:rPr>
          <w:b/>
          <w:sz w:val="24"/>
        </w:rPr>
        <w:t>（</w:t>
      </w:r>
      <w:r>
        <w:rPr>
          <w:rFonts w:hint="eastAsia"/>
          <w:b/>
          <w:sz w:val="24"/>
          <w:lang w:val="en-US" w:eastAsia="zh-CN"/>
        </w:rPr>
        <w:t>单独密封，</w:t>
      </w:r>
      <w:r>
        <w:rPr>
          <w:b/>
          <w:sz w:val="24"/>
        </w:rPr>
        <w:t>不能出现报价、商务技术标）</w:t>
      </w:r>
    </w:p>
    <w:p>
      <w:pPr>
        <w:numPr>
          <w:ilvl w:val="0"/>
          <w:numId w:val="5"/>
        </w:numPr>
        <w:snapToGrid w:val="0"/>
        <w:spacing w:line="440" w:lineRule="exact"/>
        <w:ind w:firstLine="480" w:firstLineChars="200"/>
        <w:contextualSpacing/>
        <w:rPr>
          <w:kern w:val="0"/>
          <w:sz w:val="24"/>
          <w:szCs w:val="20"/>
          <w:lang w:val="zh-CN"/>
        </w:rPr>
      </w:pPr>
      <w:r>
        <w:rPr>
          <w:rFonts w:hint="eastAsia"/>
          <w:kern w:val="0"/>
          <w:sz w:val="24"/>
          <w:szCs w:val="20"/>
          <w:lang w:val="zh-CN"/>
        </w:rPr>
        <w:t>供应商</w:t>
      </w:r>
      <w:r>
        <w:rPr>
          <w:kern w:val="0"/>
          <w:sz w:val="24"/>
          <w:szCs w:val="20"/>
          <w:lang w:val="zh-CN"/>
        </w:rPr>
        <w:t>符合规定条件的</w:t>
      </w:r>
      <w:r>
        <w:rPr>
          <w:rFonts w:hint="eastAsia"/>
          <w:kern w:val="0"/>
          <w:sz w:val="24"/>
          <w:szCs w:val="20"/>
        </w:rPr>
        <w:t>声明函</w:t>
      </w:r>
      <w:r>
        <w:rPr>
          <w:rFonts w:hint="eastAsia"/>
          <w:kern w:val="0"/>
          <w:sz w:val="24"/>
          <w:szCs w:val="20"/>
          <w:lang w:val="zh-CN"/>
        </w:rPr>
        <w:t>（格式见附件）</w:t>
      </w:r>
      <w:r>
        <w:rPr>
          <w:kern w:val="0"/>
          <w:sz w:val="24"/>
          <w:szCs w:val="20"/>
          <w:lang w:val="zh-CN"/>
        </w:rPr>
        <w:t>；</w:t>
      </w:r>
    </w:p>
    <w:p>
      <w:pPr>
        <w:numPr>
          <w:ilvl w:val="0"/>
          <w:numId w:val="5"/>
        </w:numPr>
        <w:snapToGrid w:val="0"/>
        <w:spacing w:line="440" w:lineRule="exact"/>
        <w:ind w:firstLine="480" w:firstLineChars="200"/>
        <w:contextualSpacing/>
        <w:rPr>
          <w:kern w:val="0"/>
          <w:sz w:val="24"/>
          <w:szCs w:val="20"/>
          <w:lang w:val="zh-CN"/>
        </w:rPr>
      </w:pPr>
      <w:r>
        <w:rPr>
          <w:rFonts w:hint="eastAsia"/>
          <w:kern w:val="0"/>
          <w:sz w:val="24"/>
          <w:szCs w:val="20"/>
          <w:lang w:val="zh-CN"/>
        </w:rPr>
        <w:t>法定代表人身份证明书（如</w:t>
      </w:r>
      <w:r>
        <w:rPr>
          <w:rFonts w:hint="eastAsia"/>
          <w:kern w:val="0"/>
          <w:sz w:val="24"/>
          <w:szCs w:val="20"/>
          <w:lang w:val="en-US" w:eastAsia="zh-CN"/>
        </w:rPr>
        <w:t>法定代表人</w:t>
      </w:r>
      <w:r>
        <w:rPr>
          <w:rFonts w:hint="eastAsia"/>
          <w:kern w:val="0"/>
          <w:sz w:val="24"/>
          <w:szCs w:val="20"/>
          <w:lang w:val="zh-CN"/>
        </w:rPr>
        <w:t>参加投标，则提供，格式见</w:t>
      </w:r>
      <w:r>
        <w:rPr>
          <w:rFonts w:hint="eastAsia"/>
          <w:kern w:val="0"/>
          <w:sz w:val="24"/>
          <w:szCs w:val="20"/>
          <w:lang w:val="en-US" w:eastAsia="zh-CN"/>
        </w:rPr>
        <w:t>附件）或</w:t>
      </w:r>
      <w:r>
        <w:rPr>
          <w:rFonts w:hint="eastAsia"/>
          <w:kern w:val="0"/>
          <w:sz w:val="24"/>
          <w:szCs w:val="20"/>
          <w:lang w:val="zh-CN"/>
        </w:rPr>
        <w:t>法定代表人授权委托书（如授权委托人参加投标，则提供，格式见附件）；</w:t>
      </w:r>
    </w:p>
    <w:p>
      <w:pPr>
        <w:numPr>
          <w:ilvl w:val="0"/>
          <w:numId w:val="5"/>
        </w:numPr>
        <w:snapToGrid w:val="0"/>
        <w:spacing w:line="440" w:lineRule="exact"/>
        <w:ind w:firstLine="480" w:firstLineChars="200"/>
        <w:contextualSpacing/>
        <w:rPr>
          <w:kern w:val="0"/>
          <w:sz w:val="24"/>
          <w:szCs w:val="20"/>
          <w:lang w:val="zh-CN"/>
        </w:rPr>
      </w:pPr>
      <w:r>
        <w:rPr>
          <w:rFonts w:hint="eastAsia"/>
          <w:kern w:val="0"/>
          <w:sz w:val="24"/>
          <w:szCs w:val="20"/>
        </w:rPr>
        <w:t>有效的营业执照（提供复印件加盖公章）；</w:t>
      </w:r>
    </w:p>
    <w:p>
      <w:pPr>
        <w:numPr>
          <w:ilvl w:val="0"/>
          <w:numId w:val="5"/>
        </w:numPr>
        <w:snapToGrid w:val="0"/>
        <w:spacing w:line="440" w:lineRule="exact"/>
        <w:ind w:firstLine="480" w:firstLineChars="200"/>
        <w:contextualSpacing/>
        <w:rPr>
          <w:kern w:val="0"/>
          <w:sz w:val="24"/>
          <w:szCs w:val="20"/>
          <w:lang w:val="zh-CN"/>
        </w:rPr>
      </w:pPr>
      <w:r>
        <w:rPr>
          <w:rFonts w:hint="eastAsia"/>
          <w:kern w:val="0"/>
          <w:sz w:val="24"/>
          <w:szCs w:val="20"/>
          <w:lang w:val="zh-CN"/>
        </w:rPr>
        <w:t>磋商</w:t>
      </w:r>
      <w:r>
        <w:rPr>
          <w:kern w:val="0"/>
          <w:sz w:val="24"/>
          <w:szCs w:val="20"/>
          <w:lang w:val="zh-CN"/>
        </w:rPr>
        <w:t>公告资格要求提供相应的佐证材料；</w:t>
      </w:r>
    </w:p>
    <w:p>
      <w:pPr>
        <w:snapToGrid w:val="0"/>
        <w:spacing w:line="440" w:lineRule="exact"/>
        <w:ind w:firstLine="480" w:firstLineChars="200"/>
        <w:contextualSpacing/>
        <w:rPr>
          <w:kern w:val="0"/>
          <w:sz w:val="24"/>
          <w:szCs w:val="20"/>
          <w:lang w:val="zh-CN"/>
        </w:rPr>
      </w:pPr>
      <w:r>
        <w:rPr>
          <w:rFonts w:hint="eastAsia"/>
          <w:kern w:val="0"/>
          <w:sz w:val="24"/>
          <w:szCs w:val="20"/>
          <w:lang w:val="en-US" w:eastAsia="zh-CN"/>
        </w:rPr>
        <w:t>5</w:t>
      </w:r>
      <w:r>
        <w:rPr>
          <w:kern w:val="0"/>
          <w:sz w:val="24"/>
          <w:szCs w:val="20"/>
        </w:rPr>
        <w:t>、</w:t>
      </w:r>
      <w:r>
        <w:rPr>
          <w:kern w:val="0"/>
          <w:sz w:val="24"/>
          <w:szCs w:val="20"/>
          <w:lang w:val="zh-CN"/>
        </w:rPr>
        <w:t>其它需要提交的资格审查证明材料。</w:t>
      </w:r>
    </w:p>
    <w:p>
      <w:pPr>
        <w:pStyle w:val="28"/>
        <w:snapToGrid w:val="0"/>
        <w:spacing w:line="480" w:lineRule="exact"/>
        <w:ind w:firstLine="480" w:firstLineChars="200"/>
        <w:rPr>
          <w:rFonts w:ascii="Times New Roman" w:hAnsi="Times New Roman" w:eastAsia="宋体"/>
          <w:b/>
          <w:bCs/>
          <w:kern w:val="0"/>
          <w:sz w:val="24"/>
          <w:szCs w:val="24"/>
          <w:lang w:val="zh-CN"/>
        </w:rPr>
      </w:pPr>
      <w:r>
        <w:rPr>
          <w:rFonts w:ascii="Times New Roman" w:hAnsi="Times New Roman" w:eastAsia="宋体"/>
          <w:b/>
          <w:sz w:val="24"/>
          <w:szCs w:val="24"/>
        </w:rPr>
        <w:t>二、商务技术文件</w:t>
      </w:r>
      <w:r>
        <w:rPr>
          <w:rFonts w:ascii="Times New Roman" w:hAnsi="Times New Roman" w:eastAsia="宋体"/>
          <w:b/>
          <w:bCs/>
          <w:kern w:val="0"/>
          <w:sz w:val="24"/>
          <w:szCs w:val="24"/>
          <w:lang w:val="zh-CN"/>
        </w:rPr>
        <w:t>（</w:t>
      </w:r>
      <w:r>
        <w:rPr>
          <w:rFonts w:hint="eastAsia"/>
          <w:b/>
          <w:sz w:val="24"/>
          <w:lang w:val="en-US" w:eastAsia="zh-CN"/>
        </w:rPr>
        <w:t>单独密封，</w:t>
      </w:r>
      <w:r>
        <w:rPr>
          <w:rFonts w:ascii="Times New Roman" w:hAnsi="Times New Roman" w:eastAsia="宋体"/>
          <w:b/>
          <w:bCs/>
          <w:kern w:val="0"/>
          <w:sz w:val="24"/>
          <w:szCs w:val="24"/>
          <w:lang w:val="zh-CN"/>
        </w:rPr>
        <w:t>不能出现报价）</w:t>
      </w:r>
    </w:p>
    <w:p>
      <w:pPr>
        <w:numPr>
          <w:ilvl w:val="0"/>
          <w:numId w:val="6"/>
        </w:numPr>
        <w:snapToGrid w:val="0"/>
        <w:spacing w:line="440" w:lineRule="exact"/>
        <w:ind w:firstLine="480" w:firstLineChars="200"/>
        <w:contextualSpacing/>
        <w:rPr>
          <w:kern w:val="0"/>
          <w:sz w:val="24"/>
          <w:szCs w:val="20"/>
          <w:lang w:val="zh-CN"/>
        </w:rPr>
      </w:pPr>
      <w:r>
        <w:rPr>
          <w:kern w:val="0"/>
          <w:sz w:val="24"/>
          <w:szCs w:val="20"/>
          <w:lang w:val="zh-CN"/>
        </w:rPr>
        <w:t>商务部分正负偏离表</w:t>
      </w:r>
      <w:r>
        <w:rPr>
          <w:rFonts w:hint="eastAsia"/>
          <w:kern w:val="0"/>
          <w:sz w:val="24"/>
          <w:szCs w:val="20"/>
          <w:lang w:val="zh-CN"/>
        </w:rPr>
        <w:t>（格式见附件）</w:t>
      </w:r>
      <w:r>
        <w:rPr>
          <w:kern w:val="0"/>
          <w:sz w:val="24"/>
          <w:szCs w:val="20"/>
          <w:lang w:val="zh-CN"/>
        </w:rPr>
        <w:t>；</w:t>
      </w:r>
    </w:p>
    <w:p>
      <w:pPr>
        <w:numPr>
          <w:ilvl w:val="0"/>
          <w:numId w:val="6"/>
        </w:numPr>
        <w:snapToGrid w:val="0"/>
        <w:spacing w:line="440" w:lineRule="exact"/>
        <w:ind w:firstLine="480" w:firstLineChars="200"/>
        <w:contextualSpacing/>
        <w:rPr>
          <w:rFonts w:hint="eastAsia"/>
          <w:kern w:val="0"/>
          <w:sz w:val="24"/>
          <w:szCs w:val="20"/>
          <w:lang w:val="en-US" w:eastAsia="zh-CN"/>
        </w:rPr>
      </w:pPr>
      <w:r>
        <w:rPr>
          <w:kern w:val="0"/>
          <w:sz w:val="24"/>
          <w:szCs w:val="20"/>
          <w:lang w:val="zh-CN"/>
        </w:rPr>
        <w:t>技术部分正负偏离表</w:t>
      </w:r>
      <w:r>
        <w:rPr>
          <w:rFonts w:hint="eastAsia"/>
          <w:kern w:val="0"/>
          <w:sz w:val="24"/>
          <w:szCs w:val="20"/>
          <w:lang w:val="zh-CN"/>
        </w:rPr>
        <w:t>（格式见附件）</w:t>
      </w:r>
      <w:r>
        <w:rPr>
          <w:kern w:val="0"/>
          <w:sz w:val="24"/>
          <w:szCs w:val="20"/>
          <w:lang w:val="zh-CN"/>
        </w:rPr>
        <w:t>；</w:t>
      </w:r>
    </w:p>
    <w:p>
      <w:pPr>
        <w:numPr>
          <w:ilvl w:val="0"/>
          <w:numId w:val="6"/>
        </w:numPr>
        <w:snapToGrid w:val="0"/>
        <w:spacing w:line="440" w:lineRule="exact"/>
        <w:ind w:firstLine="480" w:firstLineChars="200"/>
        <w:contextualSpacing/>
        <w:rPr>
          <w:kern w:val="0"/>
          <w:sz w:val="24"/>
          <w:szCs w:val="20"/>
          <w:lang w:val="zh-CN"/>
        </w:rPr>
      </w:pPr>
      <w:r>
        <w:rPr>
          <w:kern w:val="0"/>
          <w:sz w:val="24"/>
          <w:szCs w:val="20"/>
          <w:lang w:val="zh-CN"/>
        </w:rPr>
        <w:t>商务技术评分标准中须提供的相关得分佐证材料；</w:t>
      </w:r>
    </w:p>
    <w:p>
      <w:pPr>
        <w:numPr>
          <w:ilvl w:val="0"/>
          <w:numId w:val="6"/>
        </w:numPr>
        <w:snapToGrid w:val="0"/>
        <w:spacing w:line="440" w:lineRule="exact"/>
        <w:ind w:firstLine="480" w:firstLineChars="200"/>
        <w:contextualSpacing/>
        <w:rPr>
          <w:kern w:val="0"/>
          <w:sz w:val="24"/>
          <w:szCs w:val="20"/>
          <w:lang w:val="zh-CN"/>
        </w:rPr>
      </w:pPr>
      <w:r>
        <w:rPr>
          <w:rFonts w:hint="eastAsia"/>
          <w:kern w:val="0"/>
          <w:sz w:val="24"/>
          <w:szCs w:val="20"/>
          <w:lang w:val="zh-CN"/>
        </w:rPr>
        <w:t>供应商</w:t>
      </w:r>
      <w:r>
        <w:rPr>
          <w:kern w:val="0"/>
          <w:sz w:val="24"/>
          <w:szCs w:val="20"/>
          <w:lang w:val="zh-CN"/>
        </w:rPr>
        <w:t>认为需要提交的其他商务技术材料。</w:t>
      </w:r>
    </w:p>
    <w:p>
      <w:pPr>
        <w:pStyle w:val="28"/>
        <w:snapToGrid w:val="0"/>
        <w:spacing w:line="480" w:lineRule="exact"/>
        <w:ind w:firstLine="480" w:firstLineChars="200"/>
        <w:rPr>
          <w:rFonts w:hint="eastAsia" w:ascii="Times New Roman" w:hAnsi="Times New Roman" w:eastAsia="宋体"/>
          <w:b/>
          <w:sz w:val="24"/>
          <w:szCs w:val="24"/>
          <w:lang w:eastAsia="zh-CN"/>
        </w:rPr>
      </w:pPr>
      <w:r>
        <w:rPr>
          <w:rFonts w:ascii="Times New Roman" w:hAnsi="Times New Roman" w:eastAsia="宋体"/>
          <w:b/>
          <w:sz w:val="24"/>
          <w:szCs w:val="24"/>
        </w:rPr>
        <w:t>三、</w:t>
      </w:r>
      <w:r>
        <w:rPr>
          <w:rFonts w:hint="eastAsia" w:ascii="Times New Roman" w:hAnsi="Times New Roman" w:eastAsia="宋体"/>
          <w:b/>
          <w:sz w:val="24"/>
          <w:szCs w:val="24"/>
        </w:rPr>
        <w:t>报价</w:t>
      </w:r>
      <w:r>
        <w:rPr>
          <w:rFonts w:ascii="Times New Roman" w:hAnsi="Times New Roman" w:eastAsia="宋体"/>
          <w:b/>
          <w:sz w:val="24"/>
          <w:szCs w:val="24"/>
        </w:rPr>
        <w:t>文件</w:t>
      </w:r>
      <w:r>
        <w:rPr>
          <w:rFonts w:hint="eastAsia" w:ascii="Times New Roman" w:hAnsi="Times New Roman" w:eastAsia="宋体"/>
          <w:b/>
          <w:sz w:val="24"/>
          <w:szCs w:val="24"/>
          <w:lang w:eastAsia="zh-CN"/>
        </w:rPr>
        <w:t>（</w:t>
      </w:r>
      <w:r>
        <w:rPr>
          <w:rFonts w:hint="eastAsia"/>
          <w:b/>
          <w:sz w:val="24"/>
          <w:lang w:val="en-US" w:eastAsia="zh-CN"/>
        </w:rPr>
        <w:t>单独密封）</w:t>
      </w:r>
    </w:p>
    <w:p>
      <w:pPr>
        <w:tabs>
          <w:tab w:val="left" w:pos="3375"/>
        </w:tabs>
        <w:autoSpaceDE w:val="0"/>
        <w:autoSpaceDN w:val="0"/>
        <w:adjustRightInd w:val="0"/>
        <w:snapToGrid w:val="0"/>
        <w:spacing w:line="480" w:lineRule="exact"/>
        <w:ind w:left="1" w:firstLine="480" w:firstLineChars="200"/>
        <w:rPr>
          <w:rFonts w:hint="eastAsia"/>
          <w:sz w:val="24"/>
          <w:lang w:eastAsia="zh-CN"/>
        </w:rPr>
      </w:pPr>
      <w:r>
        <w:rPr>
          <w:sz w:val="24"/>
        </w:rPr>
        <w:t>1、报价总表</w:t>
      </w:r>
      <w:r>
        <w:rPr>
          <w:rFonts w:hint="eastAsia"/>
          <w:kern w:val="0"/>
          <w:sz w:val="24"/>
          <w:szCs w:val="20"/>
          <w:lang w:val="zh-CN"/>
        </w:rPr>
        <w:t>（格式见附件）</w:t>
      </w:r>
      <w:r>
        <w:rPr>
          <w:rFonts w:hint="eastAsia"/>
          <w:sz w:val="24"/>
          <w:lang w:eastAsia="zh-CN"/>
        </w:rPr>
        <w:t>；</w:t>
      </w:r>
    </w:p>
    <w:p>
      <w:pPr>
        <w:tabs>
          <w:tab w:val="left" w:pos="3375"/>
        </w:tabs>
        <w:autoSpaceDE w:val="0"/>
        <w:autoSpaceDN w:val="0"/>
        <w:adjustRightInd w:val="0"/>
        <w:snapToGrid w:val="0"/>
        <w:spacing w:line="480" w:lineRule="exact"/>
        <w:ind w:left="1" w:firstLine="480" w:firstLineChars="200"/>
        <w:rPr>
          <w:rFonts w:hint="default" w:eastAsia="宋体"/>
          <w:kern w:val="0"/>
          <w:sz w:val="24"/>
          <w:lang w:val="en-US" w:eastAsia="zh-CN"/>
        </w:rPr>
      </w:pPr>
      <w:r>
        <w:rPr>
          <w:rFonts w:hint="eastAsia"/>
          <w:sz w:val="24"/>
          <w:lang w:val="en-US" w:eastAsia="zh-CN"/>
        </w:rPr>
        <w:t>2、分项报价表</w:t>
      </w:r>
      <w:r>
        <w:rPr>
          <w:rFonts w:hint="eastAsia"/>
          <w:kern w:val="0"/>
          <w:sz w:val="24"/>
          <w:szCs w:val="20"/>
          <w:lang w:val="zh-CN"/>
        </w:rPr>
        <w:t>（格式见附件）</w:t>
      </w:r>
      <w:r>
        <w:rPr>
          <w:rFonts w:hint="eastAsia"/>
          <w:sz w:val="24"/>
          <w:lang w:val="en-US" w:eastAsia="zh-CN"/>
        </w:rPr>
        <w:t>。</w:t>
      </w:r>
    </w:p>
    <w:p>
      <w:pPr>
        <w:tabs>
          <w:tab w:val="left" w:pos="3375"/>
        </w:tabs>
        <w:autoSpaceDE w:val="0"/>
        <w:autoSpaceDN w:val="0"/>
        <w:adjustRightInd w:val="0"/>
        <w:snapToGrid w:val="0"/>
        <w:spacing w:line="480" w:lineRule="exact"/>
        <w:ind w:left="1" w:firstLine="480" w:firstLineChars="200"/>
        <w:rPr>
          <w:sz w:val="24"/>
        </w:rPr>
      </w:pPr>
    </w:p>
    <w:p>
      <w:pPr>
        <w:snapToGrid w:val="0"/>
        <w:spacing w:line="300" w:lineRule="auto"/>
        <w:ind w:firstLine="538" w:firstLineChars="192"/>
        <w:contextualSpacing/>
        <w:rPr>
          <w:rFonts w:hint="eastAsia" w:ascii="宋体" w:hAnsi="宋体" w:cs="宋体"/>
          <w:b/>
          <w:kern w:val="0"/>
          <w:sz w:val="28"/>
          <w:szCs w:val="28"/>
          <w:lang w:val="zh-CN"/>
        </w:rPr>
      </w:pPr>
    </w:p>
    <w:p>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t>附件1</w:t>
      </w:r>
    </w:p>
    <w:p>
      <w:pPr>
        <w:jc w:val="center"/>
        <w:rPr>
          <w:rFonts w:hint="eastAsia" w:ascii="宋体" w:hAnsi="宋体"/>
          <w:b/>
          <w:sz w:val="30"/>
          <w:szCs w:val="30"/>
        </w:rPr>
      </w:pPr>
      <w:r>
        <w:rPr>
          <w:rFonts w:hint="eastAsia" w:ascii="宋体" w:hAnsi="宋体"/>
          <w:b/>
          <w:sz w:val="30"/>
          <w:szCs w:val="30"/>
        </w:rPr>
        <w:t>供应商符合规定条件的声明函</w:t>
      </w:r>
    </w:p>
    <w:p>
      <w:pPr>
        <w:spacing w:line="460" w:lineRule="exact"/>
        <w:rPr>
          <w:rFonts w:hint="eastAsia" w:ascii="宋体" w:hAnsi="宋体"/>
          <w:b/>
          <w:bCs/>
          <w:sz w:val="44"/>
          <w:szCs w:val="44"/>
        </w:rPr>
      </w:pPr>
      <w:r>
        <w:rPr>
          <w:rFonts w:hint="eastAsia" w:ascii="宋体" w:hAnsi="宋体"/>
          <w:b/>
          <w:bCs/>
          <w:sz w:val="24"/>
          <w:szCs w:val="21"/>
        </w:rPr>
        <w:t xml:space="preserve">                       </w:t>
      </w:r>
      <w:r>
        <w:rPr>
          <w:rFonts w:hint="eastAsia" w:ascii="宋体" w:hAnsi="宋体"/>
          <w:b/>
          <w:bCs/>
          <w:sz w:val="44"/>
          <w:szCs w:val="44"/>
        </w:rPr>
        <w:t xml:space="preserve">   </w:t>
      </w:r>
    </w:p>
    <w:p>
      <w:pPr>
        <w:spacing w:line="520" w:lineRule="exact"/>
        <w:ind w:firstLine="480" w:firstLineChars="200"/>
        <w:rPr>
          <w:rFonts w:hint="eastAsia" w:ascii="宋体" w:hAnsi="宋体"/>
          <w:b/>
          <w:bCs/>
          <w:sz w:val="24"/>
        </w:rPr>
      </w:pPr>
      <w:r>
        <w:rPr>
          <w:rFonts w:hint="eastAsia" w:ascii="宋体" w:hAnsi="宋体"/>
          <w:bCs/>
          <w:sz w:val="24"/>
        </w:rPr>
        <w:t>我单位参加</w:t>
      </w:r>
      <w:r>
        <w:rPr>
          <w:rFonts w:ascii="宋体" w:hAnsi="宋体"/>
          <w:bCs/>
          <w:sz w:val="24"/>
          <w:u w:val="single"/>
        </w:rPr>
        <w:t xml:space="preserve">         </w:t>
      </w:r>
      <w:r>
        <w:rPr>
          <w:rFonts w:hint="eastAsia" w:ascii="宋体" w:hAnsi="宋体"/>
          <w:bCs/>
          <w:sz w:val="24"/>
          <w:szCs w:val="21"/>
        </w:rPr>
        <w:t>（项目名称），</w:t>
      </w:r>
      <w:r>
        <w:rPr>
          <w:rFonts w:ascii="宋体" w:hAnsi="宋体"/>
          <w:bCs/>
          <w:sz w:val="24"/>
          <w:szCs w:val="21"/>
          <w:u w:val="single"/>
        </w:rPr>
        <w:t xml:space="preserve">       </w:t>
      </w:r>
      <w:r>
        <w:rPr>
          <w:rFonts w:hint="eastAsia" w:ascii="宋体" w:hAnsi="宋体"/>
          <w:bCs/>
          <w:sz w:val="24"/>
          <w:szCs w:val="21"/>
        </w:rPr>
        <w:t>（项目编号）活动。针对《中华人民共和国政府采购法》第二十二条规定做出如下声明：</w:t>
      </w:r>
    </w:p>
    <w:p>
      <w:pPr>
        <w:spacing w:line="520" w:lineRule="exact"/>
        <w:ind w:firstLine="482"/>
        <w:rPr>
          <w:rFonts w:hint="eastAsia" w:ascii="宋体" w:hAnsi="宋体"/>
          <w:sz w:val="24"/>
        </w:rPr>
      </w:pPr>
      <w:r>
        <w:rPr>
          <w:rFonts w:hint="eastAsia" w:ascii="宋体" w:hAnsi="宋体"/>
          <w:bCs/>
          <w:sz w:val="24"/>
          <w:szCs w:val="21"/>
        </w:rPr>
        <w:t>1.我单位具有独立承担民事责任的能力；</w:t>
      </w:r>
    </w:p>
    <w:p>
      <w:pPr>
        <w:spacing w:line="520" w:lineRule="exact"/>
        <w:ind w:firstLine="482"/>
        <w:rPr>
          <w:rFonts w:hint="eastAsia" w:ascii="宋体" w:hAnsi="宋体"/>
          <w:sz w:val="24"/>
        </w:rPr>
      </w:pPr>
      <w:r>
        <w:rPr>
          <w:rFonts w:hint="eastAsia" w:ascii="宋体" w:hAnsi="宋体"/>
          <w:sz w:val="24"/>
        </w:rPr>
        <w:t>2.我单位具有良好的商业信誉和健全的财务会计制度；</w:t>
      </w:r>
    </w:p>
    <w:p>
      <w:pPr>
        <w:spacing w:line="520" w:lineRule="exact"/>
        <w:ind w:firstLine="482"/>
        <w:rPr>
          <w:rFonts w:hint="eastAsia" w:ascii="宋体" w:hAnsi="宋体"/>
          <w:sz w:val="24"/>
        </w:rPr>
      </w:pPr>
      <w:r>
        <w:rPr>
          <w:rFonts w:hint="eastAsia" w:ascii="宋体" w:hAnsi="宋体"/>
          <w:sz w:val="24"/>
        </w:rPr>
        <w:t>3.我单位具有履行合同所必需的设备和专业技术能力；</w:t>
      </w:r>
    </w:p>
    <w:p>
      <w:pPr>
        <w:spacing w:line="520" w:lineRule="exact"/>
        <w:ind w:firstLine="482"/>
        <w:rPr>
          <w:rFonts w:hint="eastAsia" w:ascii="宋体" w:hAnsi="宋体"/>
          <w:sz w:val="24"/>
        </w:rPr>
      </w:pPr>
      <w:r>
        <w:rPr>
          <w:rFonts w:hint="eastAsia" w:ascii="宋体" w:hAnsi="宋体"/>
          <w:sz w:val="24"/>
        </w:rPr>
        <w:t>4.我单位有依法缴纳税收和社会保障资金的良好记录；</w:t>
      </w:r>
    </w:p>
    <w:p>
      <w:pPr>
        <w:spacing w:line="520" w:lineRule="exact"/>
        <w:ind w:firstLine="482"/>
        <w:rPr>
          <w:rFonts w:hint="eastAsia" w:ascii="宋体" w:hAnsi="宋体"/>
          <w:sz w:val="24"/>
        </w:rPr>
      </w:pPr>
      <w:r>
        <w:rPr>
          <w:rFonts w:hint="eastAsia" w:ascii="宋体" w:hAnsi="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40" w:lineRule="exact"/>
        <w:ind w:firstLine="480" w:firstLineChars="200"/>
        <w:contextualSpacing/>
        <w:rPr>
          <w:kern w:val="0"/>
          <w:sz w:val="24"/>
          <w:szCs w:val="20"/>
          <w:lang w:val="zh-CN"/>
        </w:rPr>
      </w:pPr>
      <w:r>
        <w:rPr>
          <w:rFonts w:hint="eastAsia" w:ascii="宋体" w:hAnsi="宋体"/>
          <w:sz w:val="24"/>
        </w:rPr>
        <w:t>6.我单位满足法律、行政法规规定的其他条件；</w:t>
      </w:r>
    </w:p>
    <w:p>
      <w:pPr>
        <w:snapToGrid w:val="0"/>
        <w:spacing w:line="440" w:lineRule="exact"/>
        <w:ind w:firstLine="480" w:firstLineChars="200"/>
        <w:contextualSpacing/>
        <w:rPr>
          <w:kern w:val="0"/>
          <w:sz w:val="24"/>
          <w:szCs w:val="20"/>
          <w:lang w:val="zh-CN"/>
        </w:rPr>
      </w:pPr>
      <w:r>
        <w:rPr>
          <w:rFonts w:hint="eastAsia" w:ascii="宋体" w:hAnsi="宋体"/>
          <w:sz w:val="24"/>
        </w:rPr>
        <w:t>7.我单位</w:t>
      </w:r>
      <w:r>
        <w:rPr>
          <w:rFonts w:hint="eastAsia"/>
          <w:sz w:val="24"/>
        </w:rPr>
        <w:t>未被“信用中国”网站（www.creditchina.gov.cn）、“中国政府采购网”（www.ccgp.gov.cn）列入失信被执行人、重大税收违法案件当事人名单、政府采购严重违法失信行为记录名单</w:t>
      </w:r>
      <w:r>
        <w:rPr>
          <w:rFonts w:hint="eastAsia"/>
          <w:kern w:val="0"/>
          <w:sz w:val="24"/>
          <w:szCs w:val="20"/>
        </w:rPr>
        <w:t>。</w:t>
      </w:r>
    </w:p>
    <w:p>
      <w:pPr>
        <w:spacing w:line="520" w:lineRule="exact"/>
        <w:ind w:firstLine="482"/>
        <w:rPr>
          <w:rFonts w:hint="eastAsia" w:ascii="宋体" w:hAnsi="宋体"/>
          <w:sz w:val="24"/>
        </w:rPr>
      </w:pPr>
    </w:p>
    <w:p>
      <w:pPr>
        <w:spacing w:line="500" w:lineRule="exact"/>
        <w:ind w:firstLine="482"/>
        <w:rPr>
          <w:rFonts w:hint="eastAsia" w:ascii="宋体" w:hAnsi="宋体"/>
          <w:sz w:val="24"/>
        </w:rPr>
      </w:pPr>
    </w:p>
    <w:p>
      <w:pPr>
        <w:spacing w:line="500" w:lineRule="exact"/>
        <w:rPr>
          <w:rFonts w:hint="eastAsia" w:ascii="宋体" w:hAnsi="宋体"/>
          <w:sz w:val="24"/>
        </w:rPr>
      </w:pPr>
    </w:p>
    <w:p>
      <w:pPr>
        <w:spacing w:line="460" w:lineRule="exact"/>
        <w:jc w:val="center"/>
        <w:rPr>
          <w:rFonts w:hint="eastAsia" w:ascii="宋体" w:hAnsi="宋体"/>
          <w:bCs/>
          <w:sz w:val="24"/>
          <w:szCs w:val="21"/>
        </w:rPr>
      </w:pPr>
      <w:r>
        <w:rPr>
          <w:rFonts w:hint="eastAsia" w:ascii="宋体" w:hAnsi="宋体"/>
          <w:bCs/>
          <w:sz w:val="24"/>
          <w:szCs w:val="21"/>
        </w:rPr>
        <w:t xml:space="preserve">                       承诺人名称（公章）：</w:t>
      </w:r>
    </w:p>
    <w:p>
      <w:pPr>
        <w:spacing w:line="460" w:lineRule="exact"/>
        <w:jc w:val="right"/>
        <w:rPr>
          <w:rFonts w:hint="eastAsia" w:ascii="宋体" w:hAnsi="宋体"/>
          <w:bCs/>
          <w:sz w:val="24"/>
          <w:szCs w:val="21"/>
        </w:rPr>
      </w:pPr>
      <w:r>
        <w:rPr>
          <w:rFonts w:hint="eastAsia" w:ascii="宋体" w:hAnsi="宋体"/>
          <w:bCs/>
          <w:sz w:val="24"/>
          <w:szCs w:val="21"/>
        </w:rPr>
        <w:t xml:space="preserve">    </w:t>
      </w:r>
    </w:p>
    <w:p>
      <w:pPr>
        <w:spacing w:line="460" w:lineRule="exact"/>
        <w:jc w:val="right"/>
        <w:rPr>
          <w:rFonts w:hint="eastAsia" w:ascii="宋体" w:hAnsi="宋体"/>
          <w:bCs/>
          <w:sz w:val="24"/>
          <w:szCs w:val="21"/>
        </w:rPr>
      </w:pPr>
      <w:r>
        <w:rPr>
          <w:rFonts w:hint="eastAsia" w:ascii="宋体" w:hAnsi="宋体"/>
          <w:bCs/>
          <w:sz w:val="24"/>
          <w:szCs w:val="21"/>
        </w:rPr>
        <w:t xml:space="preserve">                                 日期：______年</w:t>
      </w:r>
      <w:r>
        <w:rPr>
          <w:rFonts w:hint="eastAsia" w:ascii="宋体" w:hAnsi="宋体"/>
          <w:bCs/>
          <w:sz w:val="24"/>
          <w:szCs w:val="21"/>
          <w:u w:val="single"/>
        </w:rPr>
        <w:t xml:space="preserve">    </w:t>
      </w:r>
      <w:r>
        <w:rPr>
          <w:rFonts w:hint="eastAsia" w:ascii="宋体" w:hAnsi="宋体"/>
          <w:bCs/>
          <w:sz w:val="24"/>
          <w:szCs w:val="21"/>
        </w:rPr>
        <w:t>月</w:t>
      </w:r>
      <w:r>
        <w:rPr>
          <w:rFonts w:hint="eastAsia" w:ascii="宋体" w:hAnsi="宋体"/>
          <w:bCs/>
          <w:sz w:val="24"/>
          <w:szCs w:val="21"/>
          <w:u w:val="single"/>
        </w:rPr>
        <w:t xml:space="preserve">    </w:t>
      </w:r>
      <w:r>
        <w:rPr>
          <w:rFonts w:hint="eastAsia" w:ascii="宋体" w:hAnsi="宋体"/>
          <w:bCs/>
          <w:sz w:val="24"/>
          <w:szCs w:val="21"/>
        </w:rPr>
        <w:t>日</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附件2</w:t>
      </w:r>
    </w:p>
    <w:p>
      <w:pPr>
        <w:spacing w:line="560" w:lineRule="exact"/>
        <w:jc w:val="center"/>
        <w:rPr>
          <w:rFonts w:hint="eastAsia" w:ascii="宋体" w:hAnsi="宋体"/>
          <w:b/>
          <w:bCs/>
          <w:sz w:val="32"/>
          <w:szCs w:val="32"/>
        </w:rPr>
      </w:pPr>
      <w:r>
        <w:rPr>
          <w:rFonts w:hint="eastAsia" w:ascii="宋体" w:hAnsi="宋体"/>
          <w:b/>
          <w:bCs/>
          <w:sz w:val="32"/>
          <w:szCs w:val="32"/>
        </w:rPr>
        <w:t>法定代表人身份证明</w:t>
      </w:r>
    </w:p>
    <w:p>
      <w:pPr>
        <w:spacing w:line="480" w:lineRule="exact"/>
        <w:rPr>
          <w:rFonts w:hint="eastAsia" w:ascii="宋体" w:hAnsi="宋体"/>
          <w:sz w:val="24"/>
        </w:rPr>
      </w:pPr>
    </w:p>
    <w:p>
      <w:pPr>
        <w:spacing w:line="480" w:lineRule="exact"/>
        <w:ind w:firstLine="480" w:firstLineChars="200"/>
        <w:rPr>
          <w:rFonts w:hint="eastAsia" w:ascii="宋体" w:hAnsi="宋体"/>
          <w:sz w:val="24"/>
        </w:rPr>
      </w:pPr>
      <w:r>
        <w:rPr>
          <w:rFonts w:ascii="宋体" w:hAnsi="宋体"/>
          <w:sz w:val="24"/>
          <w:u w:val="single"/>
        </w:rPr>
        <w:t xml:space="preserve">        </w:t>
      </w:r>
      <w:r>
        <w:rPr>
          <w:rFonts w:hint="eastAsia" w:ascii="宋体" w:hAnsi="宋体"/>
          <w:sz w:val="24"/>
        </w:rPr>
        <w:t>先生/女士：</w:t>
      </w:r>
      <w:r>
        <w:rPr>
          <w:rFonts w:ascii="宋体" w:hAnsi="宋体"/>
          <w:sz w:val="24"/>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hint="eastAsia" w:ascii="宋体" w:hAnsi="宋体"/>
          <w:sz w:val="24"/>
          <w:u w:val="single"/>
        </w:rPr>
      </w:pPr>
      <w:r>
        <w:rPr>
          <w:rFonts w:hint="eastAsia" w:ascii="宋体" w:hAnsi="宋体"/>
          <w:sz w:val="24"/>
        </w:rPr>
        <w:t>身份证号码：</w:t>
      </w:r>
      <w:r>
        <w:rPr>
          <w:rFonts w:ascii="宋体" w:hAnsi="宋体"/>
          <w:sz w:val="24"/>
          <w:u w:val="single"/>
        </w:rPr>
        <w:t xml:space="preserve">                                               </w:t>
      </w:r>
    </w:p>
    <w:p>
      <w:pPr>
        <w:spacing w:line="480" w:lineRule="exact"/>
        <w:ind w:firstLine="480"/>
        <w:rPr>
          <w:rFonts w:hint="eastAsia" w:ascii="宋体" w:hAnsi="宋体"/>
          <w:sz w:val="24"/>
        </w:rPr>
      </w:pPr>
    </w:p>
    <w:p>
      <w:pPr>
        <w:spacing w:line="600" w:lineRule="exact"/>
        <w:rPr>
          <w:rFonts w:hint="eastAsia" w:ascii="宋体" w:hAnsi="宋体"/>
          <w:b/>
          <w:sz w:val="24"/>
        </w:rPr>
      </w:pPr>
      <w:r>
        <w:rPr>
          <w:rFonts w:hint="eastAsia" w:ascii="宋体" w:hAnsi="宋体"/>
          <w:b/>
          <w:sz w:val="24"/>
        </w:rPr>
        <w:t>注：提供法定代表人的身份证复印件</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附件3</w:t>
      </w:r>
    </w:p>
    <w:p>
      <w:pPr>
        <w:jc w:val="center"/>
        <w:rPr>
          <w:rFonts w:ascii="Calibri" w:hAnsi="Calibri"/>
          <w:sz w:val="32"/>
          <w:szCs w:val="32"/>
        </w:rPr>
      </w:pPr>
      <w:r>
        <w:rPr>
          <w:rFonts w:hint="eastAsia" w:ascii="Calibri" w:hAnsi="Calibri"/>
          <w:b/>
          <w:bCs/>
          <w:sz w:val="32"/>
          <w:szCs w:val="32"/>
        </w:rPr>
        <w:t>法定代表人授权委托书</w:t>
      </w:r>
    </w:p>
    <w:p>
      <w:pPr>
        <w:rPr>
          <w:rFonts w:ascii="Calibri" w:hAnsi="Calibri"/>
          <w:sz w:val="32"/>
          <w:szCs w:val="32"/>
        </w:rPr>
      </w:pPr>
    </w:p>
    <w:p>
      <w:pPr>
        <w:spacing w:line="360" w:lineRule="auto"/>
        <w:ind w:firstLine="560" w:firstLineChars="200"/>
        <w:rPr>
          <w:rFonts w:hint="eastAsia" w:ascii="宋体" w:hAnsi="宋体"/>
          <w:sz w:val="28"/>
          <w:szCs w:val="28"/>
        </w:rPr>
      </w:pPr>
      <w:r>
        <w:rPr>
          <w:rFonts w:hint="eastAsia" w:ascii="宋体" w:hAnsi="宋体"/>
          <w:sz w:val="28"/>
          <w:szCs w:val="28"/>
        </w:rPr>
        <w:t>本人</w:t>
      </w:r>
      <w:r>
        <w:rPr>
          <w:rFonts w:ascii="宋体" w:hAnsi="宋体"/>
          <w:sz w:val="24"/>
          <w:u w:val="single"/>
        </w:rPr>
        <w:t xml:space="preserve">        </w:t>
      </w:r>
      <w:r>
        <w:rPr>
          <w:rFonts w:hint="eastAsia" w:ascii="宋体" w:hAnsi="宋体"/>
          <w:sz w:val="28"/>
          <w:szCs w:val="28"/>
        </w:rPr>
        <w:t>（姓名）系</w:t>
      </w:r>
      <w:r>
        <w:rPr>
          <w:rFonts w:ascii="宋体" w:hAnsi="宋体"/>
          <w:sz w:val="24"/>
          <w:u w:val="single"/>
        </w:rPr>
        <w:t xml:space="preserve">        （</w:t>
      </w:r>
      <w:r>
        <w:rPr>
          <w:rFonts w:hint="eastAsia" w:ascii="宋体" w:hAnsi="宋体"/>
          <w:sz w:val="28"/>
          <w:szCs w:val="28"/>
        </w:rPr>
        <w:t>授权单位名称）的法定代表人，现委托</w:t>
      </w:r>
      <w:r>
        <w:rPr>
          <w:rFonts w:ascii="宋体" w:hAnsi="宋体"/>
          <w:sz w:val="24"/>
          <w:u w:val="single"/>
        </w:rPr>
        <w:t xml:space="preserve">        </w:t>
      </w:r>
      <w:r>
        <w:rPr>
          <w:rFonts w:hint="eastAsia" w:ascii="宋体" w:hAnsi="宋体"/>
          <w:sz w:val="28"/>
          <w:szCs w:val="28"/>
        </w:rPr>
        <w:t>（姓名）（身份证号</w:t>
      </w:r>
      <w:r>
        <w:rPr>
          <w:rFonts w:ascii="宋体" w:hAnsi="宋体"/>
          <w:sz w:val="24"/>
          <w:u w:val="single"/>
        </w:rPr>
        <w:t xml:space="preserve">        </w:t>
      </w:r>
      <w:r>
        <w:rPr>
          <w:rFonts w:hint="eastAsia" w:ascii="宋体" w:hAnsi="宋体"/>
          <w:sz w:val="28"/>
          <w:szCs w:val="28"/>
        </w:rPr>
        <w:t>）为我方代理人，以我方名义全权处理与本次采购项目（编号：</w:t>
      </w:r>
      <w:r>
        <w:rPr>
          <w:rFonts w:ascii="宋体" w:hAnsi="宋体"/>
          <w:sz w:val="24"/>
          <w:u w:val="single"/>
        </w:rPr>
        <w:t xml:space="preserve">        </w:t>
      </w:r>
      <w:r>
        <w:rPr>
          <w:rFonts w:hint="eastAsia" w:ascii="宋体" w:hAnsi="宋体"/>
          <w:sz w:val="28"/>
          <w:szCs w:val="28"/>
        </w:rPr>
        <w:t>）有关的一切事务，其法律后果由我方承担。</w:t>
      </w:r>
    </w:p>
    <w:p>
      <w:pPr>
        <w:spacing w:line="360" w:lineRule="auto"/>
        <w:ind w:firstLine="560" w:firstLineChars="200"/>
        <w:rPr>
          <w:rFonts w:hint="eastAsia" w:ascii="宋体" w:hAnsi="宋体"/>
          <w:sz w:val="28"/>
          <w:szCs w:val="28"/>
        </w:rPr>
      </w:pPr>
      <w:r>
        <w:rPr>
          <w:rFonts w:hint="eastAsia" w:ascii="宋体" w:hAnsi="宋体"/>
          <w:sz w:val="28"/>
          <w:szCs w:val="28"/>
        </w:rPr>
        <w:t>本授权书于</w:t>
      </w:r>
      <w:r>
        <w:rPr>
          <w:rFonts w:ascii="宋体" w:hAnsi="宋体"/>
          <w:sz w:val="24"/>
          <w:u w:val="single"/>
        </w:rPr>
        <w:t xml:space="preserve">    </w:t>
      </w:r>
      <w:r>
        <w:rPr>
          <w:rFonts w:hint="eastAsia" w:ascii="宋体" w:hAnsi="宋体"/>
          <w:sz w:val="28"/>
          <w:szCs w:val="28"/>
        </w:rPr>
        <w:t>年</w:t>
      </w:r>
      <w:r>
        <w:rPr>
          <w:rFonts w:ascii="宋体" w:hAnsi="宋体"/>
          <w:sz w:val="24"/>
          <w:u w:val="single"/>
        </w:rPr>
        <w:t xml:space="preserve">   </w:t>
      </w:r>
      <w:r>
        <w:rPr>
          <w:rFonts w:hint="eastAsia" w:ascii="宋体" w:hAnsi="宋体"/>
          <w:sz w:val="28"/>
          <w:szCs w:val="28"/>
        </w:rPr>
        <w:t>月</w:t>
      </w:r>
      <w:r>
        <w:rPr>
          <w:rFonts w:ascii="宋体" w:hAnsi="宋体"/>
          <w:sz w:val="24"/>
          <w:u w:val="single"/>
        </w:rPr>
        <w:t xml:space="preserve">    </w:t>
      </w:r>
      <w:r>
        <w:rPr>
          <w:rFonts w:hint="eastAsia" w:ascii="宋体" w:hAnsi="宋体"/>
          <w:sz w:val="28"/>
          <w:szCs w:val="28"/>
        </w:rPr>
        <w:t>日起生效。代理人无转委托权。</w:t>
      </w:r>
    </w:p>
    <w:p>
      <w:pPr>
        <w:spacing w:line="360" w:lineRule="auto"/>
        <w:ind w:firstLine="420" w:firstLineChars="150"/>
        <w:rPr>
          <w:rFonts w:hint="eastAsia" w:ascii="宋体" w:hAnsi="宋体"/>
          <w:sz w:val="28"/>
          <w:szCs w:val="28"/>
        </w:rPr>
      </w:pPr>
      <w:r>
        <w:rPr>
          <w:rFonts w:hint="eastAsia" w:ascii="宋体" w:hAnsi="宋体"/>
          <w:sz w:val="28"/>
          <w:szCs w:val="28"/>
        </w:rPr>
        <w:t>代理人(被授权人):</w:t>
      </w:r>
      <w:r>
        <w:rPr>
          <w:rFonts w:ascii="宋体" w:hAnsi="宋体"/>
          <w:sz w:val="24"/>
          <w:u w:val="single"/>
        </w:rPr>
        <w:t xml:space="preserve">        </w:t>
      </w:r>
    </w:p>
    <w:p>
      <w:pPr>
        <w:spacing w:line="360" w:lineRule="auto"/>
        <w:ind w:firstLine="420" w:firstLineChars="150"/>
        <w:rPr>
          <w:rFonts w:hint="eastAsia" w:ascii="宋体" w:hAnsi="宋体"/>
          <w:sz w:val="28"/>
          <w:szCs w:val="28"/>
        </w:rPr>
      </w:pPr>
      <w:r>
        <w:rPr>
          <w:rFonts w:hint="eastAsia" w:ascii="宋体" w:hAnsi="宋体"/>
          <w:sz w:val="28"/>
          <w:szCs w:val="28"/>
        </w:rPr>
        <w:t>授权单位名称（盖章）：</w:t>
      </w:r>
      <w:r>
        <w:rPr>
          <w:rFonts w:ascii="宋体" w:hAnsi="宋体"/>
          <w:sz w:val="24"/>
          <w:u w:val="single"/>
        </w:rPr>
        <w:t xml:space="preserve">        </w:t>
      </w:r>
    </w:p>
    <w:p>
      <w:pPr>
        <w:spacing w:line="360" w:lineRule="auto"/>
        <w:ind w:firstLine="420" w:firstLineChars="150"/>
        <w:rPr>
          <w:rFonts w:hint="eastAsia" w:ascii="宋体" w:hAnsi="宋体"/>
          <w:sz w:val="28"/>
          <w:szCs w:val="28"/>
        </w:rPr>
      </w:pPr>
      <w:r>
        <w:rPr>
          <w:rFonts w:hint="eastAsia" w:ascii="宋体" w:hAnsi="宋体"/>
          <w:sz w:val="28"/>
          <w:szCs w:val="28"/>
        </w:rPr>
        <w:t>授权单位法定代表人（签字或盖章）：</w:t>
      </w:r>
      <w:r>
        <w:rPr>
          <w:rFonts w:ascii="宋体" w:hAnsi="宋体"/>
          <w:sz w:val="24"/>
          <w:u w:val="single"/>
        </w:rPr>
        <w:t xml:space="preserve">        </w:t>
      </w:r>
    </w:p>
    <w:p>
      <w:pPr>
        <w:spacing w:line="360" w:lineRule="auto"/>
        <w:jc w:val="right"/>
        <w:rPr>
          <w:rFonts w:hint="eastAsia" w:ascii="宋体" w:hAnsi="宋体"/>
          <w:sz w:val="28"/>
          <w:szCs w:val="28"/>
        </w:rPr>
      </w:pPr>
    </w:p>
    <w:p>
      <w:pPr>
        <w:spacing w:line="360" w:lineRule="auto"/>
        <w:jc w:val="right"/>
        <w:rPr>
          <w:rFonts w:hint="eastAsia" w:ascii="宋体" w:hAnsi="宋体"/>
          <w:sz w:val="28"/>
          <w:szCs w:val="28"/>
        </w:rPr>
      </w:pPr>
      <w:r>
        <w:rPr>
          <w:rFonts w:ascii="宋体" w:hAnsi="宋体"/>
          <w:sz w:val="24"/>
          <w:u w:val="single"/>
        </w:rPr>
        <w:t xml:space="preserve">      </w:t>
      </w:r>
      <w:r>
        <w:rPr>
          <w:rFonts w:hint="eastAsia" w:ascii="宋体" w:hAnsi="宋体"/>
          <w:sz w:val="28"/>
          <w:szCs w:val="28"/>
        </w:rPr>
        <w:t>年</w:t>
      </w:r>
      <w:r>
        <w:rPr>
          <w:rFonts w:ascii="宋体" w:hAnsi="宋体"/>
          <w:sz w:val="24"/>
          <w:u w:val="single"/>
        </w:rPr>
        <w:t xml:space="preserve">    </w:t>
      </w:r>
      <w:r>
        <w:rPr>
          <w:rFonts w:hint="eastAsia" w:ascii="宋体" w:hAnsi="宋体"/>
          <w:sz w:val="28"/>
          <w:szCs w:val="28"/>
        </w:rPr>
        <w:t>月</w:t>
      </w:r>
      <w:r>
        <w:rPr>
          <w:rFonts w:ascii="宋体" w:hAnsi="宋体"/>
          <w:sz w:val="24"/>
          <w:u w:val="single"/>
        </w:rPr>
        <w:t xml:space="preserve">    </w:t>
      </w:r>
      <w:r>
        <w:rPr>
          <w:rFonts w:hint="eastAsia" w:ascii="宋体" w:hAnsi="宋体"/>
          <w:sz w:val="28"/>
          <w:szCs w:val="28"/>
        </w:rPr>
        <w:t>日</w:t>
      </w:r>
    </w:p>
    <w:p>
      <w:pPr>
        <w:snapToGrid w:val="0"/>
        <w:spacing w:line="400" w:lineRule="exact"/>
        <w:ind w:firstLine="538" w:firstLineChars="192"/>
        <w:contextualSpacing/>
        <w:rPr>
          <w:rFonts w:hint="eastAsia" w:ascii="宋体" w:hAnsi="宋体" w:cs="宋体"/>
          <w:b/>
          <w:kern w:val="0"/>
          <w:sz w:val="28"/>
          <w:szCs w:val="28"/>
        </w:rPr>
      </w:pPr>
    </w:p>
    <w:p>
      <w:pPr>
        <w:snapToGrid w:val="0"/>
        <w:spacing w:line="400" w:lineRule="exact"/>
        <w:ind w:firstLine="538" w:firstLineChars="192"/>
        <w:contextualSpacing/>
        <w:rPr>
          <w:rFonts w:hint="eastAsia" w:ascii="宋体" w:hAnsi="宋体" w:cs="宋体"/>
          <w:b/>
          <w:kern w:val="0"/>
          <w:sz w:val="28"/>
          <w:szCs w:val="28"/>
        </w:rPr>
      </w:pPr>
      <w:r>
        <w:rPr>
          <w:rFonts w:hint="eastAsia" w:ascii="宋体" w:hAnsi="宋体" w:cs="宋体"/>
          <w:b/>
          <w:kern w:val="0"/>
          <w:sz w:val="28"/>
          <w:szCs w:val="28"/>
        </w:rPr>
        <w:t>注：提供法定代表人的身份证复印件</w:t>
      </w:r>
    </w:p>
    <w:p>
      <w:pPr>
        <w:snapToGrid w:val="0"/>
        <w:spacing w:line="400" w:lineRule="exact"/>
        <w:ind w:firstLine="538" w:firstLineChars="192"/>
        <w:contextualSpacing/>
        <w:rPr>
          <w:rFonts w:hint="eastAsia" w:ascii="宋体" w:hAnsi="宋体" w:cs="宋体"/>
          <w:b/>
          <w:kern w:val="0"/>
          <w:sz w:val="28"/>
          <w:szCs w:val="28"/>
        </w:rPr>
      </w:pPr>
    </w:p>
    <w:p>
      <w:pPr>
        <w:snapToGrid w:val="0"/>
        <w:spacing w:line="400" w:lineRule="exact"/>
        <w:ind w:firstLine="538" w:firstLineChars="192"/>
        <w:contextualSpacing/>
        <w:rPr>
          <w:rFonts w:hint="eastAsia" w:ascii="宋体" w:hAnsi="宋体" w:cs="宋体"/>
          <w:b/>
          <w:kern w:val="0"/>
          <w:sz w:val="28"/>
          <w:szCs w:val="28"/>
        </w:rPr>
      </w:pPr>
    </w:p>
    <w:p>
      <w:pPr>
        <w:snapToGrid w:val="0"/>
        <w:spacing w:line="400" w:lineRule="exact"/>
        <w:ind w:firstLine="1099" w:firstLineChars="392"/>
        <w:contextualSpacing/>
        <w:rPr>
          <w:rFonts w:hint="eastAsia" w:ascii="宋体" w:hAnsi="宋体" w:cs="宋体"/>
          <w:b/>
          <w:kern w:val="0"/>
          <w:sz w:val="28"/>
          <w:szCs w:val="28"/>
        </w:rPr>
      </w:pPr>
    </w:p>
    <w:p>
      <w:pPr>
        <w:snapToGrid w:val="0"/>
        <w:spacing w:line="400" w:lineRule="exact"/>
        <w:ind w:firstLine="1099" w:firstLineChars="392"/>
        <w:contextualSpacing/>
        <w:rPr>
          <w:rFonts w:hint="eastAsia" w:ascii="宋体" w:hAnsi="宋体" w:cs="宋体"/>
          <w:b/>
          <w:kern w:val="0"/>
          <w:sz w:val="28"/>
          <w:szCs w:val="28"/>
        </w:rPr>
      </w:pPr>
    </w:p>
    <w:p>
      <w:pPr>
        <w:snapToGrid w:val="0"/>
        <w:spacing w:line="400" w:lineRule="exact"/>
        <w:ind w:firstLine="1099" w:firstLineChars="392"/>
        <w:contextualSpacing/>
        <w:rPr>
          <w:rFonts w:hint="eastAsia" w:ascii="宋体" w:hAnsi="宋体" w:cs="宋体"/>
          <w:b/>
          <w:kern w:val="0"/>
          <w:sz w:val="28"/>
          <w:szCs w:val="28"/>
        </w:rPr>
      </w:pPr>
    </w:p>
    <w:p>
      <w:pPr>
        <w:snapToGrid w:val="0"/>
        <w:spacing w:line="400" w:lineRule="exact"/>
        <w:ind w:firstLine="1099" w:firstLineChars="392"/>
        <w:contextualSpacing/>
        <w:rPr>
          <w:rFonts w:hint="eastAsia" w:ascii="宋体" w:hAnsi="宋体" w:cs="宋体"/>
          <w:b/>
          <w:kern w:val="0"/>
          <w:sz w:val="28"/>
          <w:szCs w:val="28"/>
        </w:rPr>
      </w:pPr>
      <w:r>
        <w:rPr>
          <w:rFonts w:hint="eastAsia" w:ascii="宋体" w:hAnsi="宋体" w:cs="宋体"/>
          <w:b/>
          <w:kern w:val="0"/>
          <w:sz w:val="28"/>
          <w:szCs w:val="28"/>
        </w:rPr>
        <w:t>磋商</w:t>
      </w:r>
      <w:r>
        <w:rPr>
          <w:rFonts w:ascii="宋体" w:hAnsi="宋体" w:cs="宋体"/>
          <w:b/>
          <w:kern w:val="0"/>
          <w:sz w:val="28"/>
          <w:szCs w:val="28"/>
        </w:rPr>
        <w:t>代表本人身份证复印件</w:t>
      </w:r>
    </w:p>
    <w:p>
      <w:pPr>
        <w:pStyle w:val="30"/>
        <w:spacing w:line="560" w:lineRule="exact"/>
        <w:rPr>
          <w:b/>
          <w:bCs/>
          <w:sz w:val="32"/>
          <w:szCs w:val="32"/>
        </w:rPr>
      </w:pPr>
      <w:r>
        <w:rPr>
          <w:b/>
          <w:bCs/>
          <w:sz w:val="32"/>
          <w:szCs w:val="32"/>
        </w:rPr>
        <w:br w:type="page"/>
      </w:r>
      <w:r>
        <w:rPr>
          <w:b/>
          <w:bCs/>
          <w:sz w:val="32"/>
          <w:szCs w:val="32"/>
        </w:rPr>
        <w:t xml:space="preserve">附件4 </w:t>
      </w:r>
    </w:p>
    <w:p>
      <w:pPr>
        <w:snapToGrid w:val="0"/>
        <w:spacing w:line="300" w:lineRule="auto"/>
        <w:contextualSpacing/>
        <w:jc w:val="center"/>
        <w:rPr>
          <w:rFonts w:hint="eastAsia" w:ascii="宋体" w:hAnsi="宋体"/>
          <w:b/>
          <w:sz w:val="32"/>
          <w:szCs w:val="32"/>
        </w:rPr>
      </w:pPr>
      <w:r>
        <w:rPr>
          <w:rFonts w:hint="eastAsia" w:ascii="宋体" w:hAnsi="宋体"/>
          <w:b/>
          <w:sz w:val="32"/>
          <w:szCs w:val="32"/>
        </w:rPr>
        <w:t>商务部分正负偏离表</w:t>
      </w:r>
    </w:p>
    <w:p>
      <w:pPr>
        <w:ind w:firstLine="560" w:firstLineChars="200"/>
        <w:jc w:val="center"/>
        <w:rPr>
          <w:rFonts w:hint="eastAsia" w:ascii="宋体" w:hAnsi="宋体"/>
          <w:sz w:val="28"/>
          <w:szCs w:val="28"/>
        </w:rPr>
      </w:pPr>
      <w:r>
        <w:rPr>
          <w:rFonts w:hint="eastAsia" w:ascii="宋体" w:hAnsi="宋体"/>
          <w:sz w:val="28"/>
          <w:szCs w:val="28"/>
        </w:rPr>
        <w:t>（由供应商据实填写，表格不够自行添加）</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宋体" w:hAnsi="宋体"/>
                <w:sz w:val="24"/>
              </w:rPr>
            </w:pPr>
          </w:p>
          <w:p>
            <w:pPr>
              <w:spacing w:line="340" w:lineRule="exact"/>
              <w:jc w:val="center"/>
              <w:rPr>
                <w:rFonts w:hint="eastAsia" w:ascii="宋体" w:hAnsi="宋体"/>
                <w:sz w:val="24"/>
              </w:rPr>
            </w:pPr>
            <w:r>
              <w:rPr>
                <w:rFonts w:hint="eastAsia" w:ascii="宋体" w:hAnsi="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bl>
    <w:p>
      <w:pPr>
        <w:snapToGrid w:val="0"/>
        <w:spacing w:line="300" w:lineRule="auto"/>
        <w:contextualSpacing/>
        <w:rPr>
          <w:rFonts w:hint="eastAsia" w:ascii="宋体" w:hAnsi="宋体"/>
          <w:b/>
          <w:sz w:val="24"/>
        </w:rPr>
      </w:pPr>
      <w:r>
        <w:rPr>
          <w:rFonts w:hint="eastAsia" w:ascii="宋体" w:hAnsi="宋体"/>
          <w:b/>
          <w:sz w:val="24"/>
        </w:rPr>
        <w:t>注：</w:t>
      </w:r>
    </w:p>
    <w:p>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1.供应商提交的响应文件中与磋商文件第三部分“项目需求”中的商务部分的要求，应逐条填列在偏离表中。</w:t>
      </w:r>
      <w:r>
        <w:rPr>
          <w:rFonts w:hint="eastAsia" w:ascii="宋体" w:hAnsi="宋体"/>
          <w:b/>
          <w:bCs/>
          <w:sz w:val="24"/>
        </w:rPr>
        <w:t>如完全响应，可空表列示。</w:t>
      </w:r>
    </w:p>
    <w:p>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“偏离说明”一栏选择“正偏离”、“无偏离”、“负偏离”进行填写。正偏离、无偏离的确认和负偏离的是否响应采购文件，由评委认定。</w:t>
      </w:r>
    </w:p>
    <w:p>
      <w:pPr>
        <w:snapToGrid w:val="0"/>
        <w:spacing w:line="300" w:lineRule="auto"/>
        <w:ind w:firstLine="480" w:firstLineChars="200"/>
        <w:contextualSpacing/>
        <w:rPr>
          <w:rFonts w:hint="eastAsia" w:ascii="宋体" w:hAnsi="宋体"/>
          <w:bCs/>
          <w:sz w:val="24"/>
        </w:rPr>
      </w:pPr>
      <w:r>
        <w:rPr>
          <w:rFonts w:hint="eastAsia" w:ascii="宋体" w:hAnsi="宋体"/>
          <w:bCs/>
          <w:sz w:val="24"/>
        </w:rPr>
        <w:t>3.供应商若提供其他增值服务，可以在表中自行据实填写。</w:t>
      </w:r>
    </w:p>
    <w:p>
      <w:pPr>
        <w:snapToGrid w:val="0"/>
        <w:spacing w:line="400" w:lineRule="exact"/>
        <w:contextualSpacing/>
        <w:rPr>
          <w:rFonts w:eastAsia="方正黑体_GBK"/>
          <w:kern w:val="0"/>
          <w:sz w:val="32"/>
          <w:szCs w:val="32"/>
        </w:rPr>
        <w:sectPr>
          <w:headerReference r:id="rId4" w:type="default"/>
          <w:pgSz w:w="11907" w:h="16839"/>
          <w:pgMar w:top="1440" w:right="1800" w:bottom="1440" w:left="1800" w:header="720" w:footer="720" w:gutter="0"/>
          <w:cols w:space="720" w:num="1"/>
          <w:docGrid w:linePitch="286" w:charSpace="0"/>
        </w:sectPr>
      </w:pPr>
    </w:p>
    <w:p>
      <w:pPr>
        <w:snapToGrid w:val="0"/>
        <w:spacing w:line="400" w:lineRule="exact"/>
        <w:contextualSpacing/>
        <w:rPr>
          <w:rFonts w:eastAsia="方正黑体_GBK"/>
          <w:kern w:val="0"/>
          <w:sz w:val="32"/>
          <w:szCs w:val="32"/>
        </w:rPr>
      </w:pPr>
      <w:r>
        <w:rPr>
          <w:rFonts w:eastAsia="方正黑体_GBK"/>
          <w:kern w:val="0"/>
          <w:sz w:val="32"/>
          <w:szCs w:val="32"/>
        </w:rPr>
        <w:t>附件</w:t>
      </w:r>
      <w:r>
        <w:rPr>
          <w:rFonts w:hint="eastAsia" w:eastAsia="方正黑体_GBK"/>
          <w:kern w:val="0"/>
          <w:sz w:val="32"/>
          <w:szCs w:val="32"/>
        </w:rPr>
        <w:t>5</w:t>
      </w:r>
    </w:p>
    <w:p>
      <w:pPr>
        <w:snapToGrid w:val="0"/>
        <w:spacing w:line="300" w:lineRule="auto"/>
        <w:contextualSpacing/>
        <w:jc w:val="center"/>
        <w:rPr>
          <w:rFonts w:hint="eastAsia" w:ascii="宋体" w:hAnsi="宋体"/>
          <w:b/>
          <w:sz w:val="32"/>
          <w:szCs w:val="32"/>
        </w:rPr>
      </w:pPr>
      <w:r>
        <w:rPr>
          <w:rFonts w:hint="eastAsia" w:ascii="宋体" w:hAnsi="宋体"/>
          <w:b/>
          <w:sz w:val="32"/>
          <w:szCs w:val="32"/>
        </w:rPr>
        <w:t>技术部分正负偏离表</w:t>
      </w:r>
    </w:p>
    <w:p>
      <w:pPr>
        <w:ind w:firstLine="560" w:firstLineChars="200"/>
        <w:jc w:val="center"/>
        <w:rPr>
          <w:rFonts w:hint="eastAsia" w:ascii="宋体" w:hAnsi="宋体"/>
          <w:sz w:val="28"/>
          <w:szCs w:val="28"/>
        </w:rPr>
      </w:pPr>
      <w:r>
        <w:rPr>
          <w:rFonts w:hint="eastAsia" w:ascii="宋体" w:hAnsi="宋体"/>
          <w:sz w:val="28"/>
          <w:szCs w:val="28"/>
        </w:rPr>
        <w:t>（由供应商据实填写，表格不够自行添加）</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宋体" w:hAnsi="宋体"/>
                <w:sz w:val="24"/>
              </w:rPr>
            </w:pPr>
          </w:p>
          <w:p>
            <w:pPr>
              <w:spacing w:line="340" w:lineRule="exact"/>
              <w:jc w:val="center"/>
              <w:rPr>
                <w:rFonts w:hint="eastAsia" w:ascii="宋体" w:hAnsi="宋体"/>
                <w:sz w:val="24"/>
              </w:rPr>
            </w:pPr>
            <w:r>
              <w:rPr>
                <w:rFonts w:hint="eastAsia" w:ascii="宋体" w:hAnsi="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bl>
    <w:p>
      <w:pPr>
        <w:snapToGrid w:val="0"/>
        <w:spacing w:line="300" w:lineRule="auto"/>
        <w:contextualSpacing/>
        <w:rPr>
          <w:rFonts w:hint="eastAsia" w:ascii="宋体" w:hAnsi="宋体"/>
          <w:b/>
          <w:sz w:val="24"/>
        </w:rPr>
      </w:pPr>
      <w:r>
        <w:rPr>
          <w:rFonts w:hint="eastAsia" w:ascii="宋体" w:hAnsi="宋体"/>
          <w:b/>
          <w:sz w:val="24"/>
        </w:rPr>
        <w:t>注：</w:t>
      </w:r>
    </w:p>
    <w:p>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1.供应商提交的响应文件中与磋商文件第三部分“项目需求”中的技术部分的要求，应逐条填列在偏离表中。</w:t>
      </w:r>
      <w:r>
        <w:rPr>
          <w:rFonts w:hint="eastAsia" w:ascii="宋体" w:hAnsi="宋体"/>
          <w:b/>
          <w:bCs/>
          <w:sz w:val="24"/>
        </w:rPr>
        <w:t>如完全响应，可空表列示。</w:t>
      </w:r>
    </w:p>
    <w:p>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“偏离说明”一栏选择“正偏离”、“无偏离”、“负偏离”进行填写。正偏离、无偏离的确认和负偏离的是否响应采购文件，由评委认定。</w:t>
      </w:r>
    </w:p>
    <w:p>
      <w:pPr>
        <w:snapToGrid w:val="0"/>
        <w:spacing w:line="300" w:lineRule="auto"/>
        <w:ind w:firstLine="480" w:firstLineChars="200"/>
        <w:contextualSpacing/>
        <w:rPr>
          <w:rFonts w:hint="eastAsia" w:ascii="宋体" w:hAnsi="宋体"/>
          <w:bCs/>
          <w:sz w:val="24"/>
        </w:rPr>
      </w:pPr>
      <w:r>
        <w:rPr>
          <w:rFonts w:hint="eastAsia" w:ascii="宋体" w:hAnsi="宋体"/>
          <w:sz w:val="24"/>
        </w:rPr>
        <w:t>3.</w:t>
      </w:r>
      <w:r>
        <w:rPr>
          <w:rFonts w:hint="eastAsia" w:ascii="宋体" w:hAnsi="宋体"/>
          <w:bCs/>
          <w:sz w:val="24"/>
        </w:rPr>
        <w:t>供应商若提供其他增值服务，可以在表中自行据实填写。</w:t>
      </w:r>
    </w:p>
    <w:p>
      <w:pPr>
        <w:snapToGrid w:val="0"/>
        <w:spacing w:line="400" w:lineRule="exact"/>
        <w:contextualSpacing/>
        <w:rPr>
          <w:rFonts w:eastAsia="方正黑体_GBK"/>
          <w:kern w:val="0"/>
          <w:sz w:val="32"/>
          <w:szCs w:val="32"/>
        </w:rPr>
        <w:sectPr>
          <w:pgSz w:w="11907" w:h="16839"/>
          <w:pgMar w:top="1440" w:right="1800" w:bottom="1440" w:left="1800" w:header="720" w:footer="720" w:gutter="0"/>
          <w:cols w:space="720" w:num="1"/>
          <w:docGrid w:linePitch="286" w:charSpace="0"/>
        </w:sectPr>
      </w:pPr>
    </w:p>
    <w:p>
      <w:pPr>
        <w:snapToGrid w:val="0"/>
        <w:spacing w:line="400" w:lineRule="exact"/>
        <w:contextualSpacing/>
        <w:rPr>
          <w:rFonts w:eastAsia="方正黑体_GBK"/>
          <w:sz w:val="32"/>
          <w:szCs w:val="32"/>
        </w:rPr>
      </w:pPr>
      <w:r>
        <w:rPr>
          <w:rFonts w:eastAsia="方正黑体_GBK"/>
          <w:sz w:val="32"/>
          <w:szCs w:val="32"/>
        </w:rPr>
        <w:t>附件</w:t>
      </w:r>
      <w:r>
        <w:rPr>
          <w:rFonts w:hint="eastAsia" w:eastAsia="方正黑体_GBK"/>
          <w:sz w:val="32"/>
          <w:szCs w:val="32"/>
        </w:rPr>
        <w:t>6</w:t>
      </w:r>
    </w:p>
    <w:p>
      <w:pPr>
        <w:widowControl/>
        <w:spacing w:before="100" w:beforeAutospacing="1" w:after="100" w:afterAutospacing="1" w:line="500" w:lineRule="atLeast"/>
        <w:jc w:val="center"/>
        <w:rPr>
          <w:rFonts w:hint="eastAsia" w:ascii="宋体" w:hAnsi="宋体" w:cs="宋体"/>
          <w:kern w:val="0"/>
          <w:sz w:val="32"/>
          <w:szCs w:val="32"/>
        </w:rPr>
      </w:pPr>
      <w:r>
        <w:rPr>
          <w:rFonts w:hint="eastAsia" w:ascii="宋体" w:hAnsi="宋体" w:cs="宋体"/>
          <w:b/>
          <w:bCs/>
          <w:kern w:val="0"/>
          <w:sz w:val="32"/>
          <w:szCs w:val="32"/>
        </w:rPr>
        <w:t>报价总表</w:t>
      </w:r>
    </w:p>
    <w:p>
      <w:pPr>
        <w:rPr>
          <w:rFonts w:hint="eastAsia" w:ascii="宋体" w:hAnsi="宋体" w:cs="宋体"/>
          <w:kern w:val="0"/>
          <w:sz w:val="28"/>
          <w:szCs w:val="28"/>
          <w:u w:val="single"/>
        </w:rPr>
      </w:pPr>
      <w:r>
        <w:rPr>
          <w:rFonts w:ascii="宋体" w:hAnsi="宋体" w:cs="宋体"/>
          <w:kern w:val="0"/>
          <w:sz w:val="28"/>
          <w:szCs w:val="28"/>
        </w:rPr>
        <w:t>供应商全称（加盖公章）：</w:t>
      </w:r>
    </w:p>
    <w:p>
      <w:pPr>
        <w:rPr>
          <w:rFonts w:hint="eastAsia" w:ascii="宋体" w:hAnsi="宋体" w:cs="宋体"/>
          <w:kern w:val="0"/>
          <w:sz w:val="28"/>
          <w:szCs w:val="28"/>
          <w:u w:val="single"/>
        </w:rPr>
      </w:pPr>
      <w:r>
        <w:rPr>
          <w:rFonts w:ascii="宋体" w:hAnsi="宋体" w:cs="宋体"/>
          <w:kern w:val="0"/>
          <w:sz w:val="28"/>
          <w:szCs w:val="28"/>
        </w:rPr>
        <w:t>项目名称：</w:t>
      </w:r>
    </w:p>
    <w:p>
      <w:pPr>
        <w:rPr>
          <w:rFonts w:hint="eastAsia" w:ascii="宋体" w:hAnsi="宋体" w:cs="宋体"/>
          <w:kern w:val="0"/>
          <w:sz w:val="28"/>
          <w:szCs w:val="28"/>
        </w:rPr>
      </w:pPr>
      <w:r>
        <w:rPr>
          <w:rFonts w:ascii="宋体" w:hAnsi="宋体" w:cs="宋体"/>
          <w:kern w:val="0"/>
          <w:sz w:val="28"/>
          <w:szCs w:val="28"/>
        </w:rPr>
        <w:t>项目编号：</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pPr>
              <w:jc w:val="center"/>
              <w:rPr>
                <w:rFonts w:hint="eastAsia" w:ascii="等线" w:hAnsi="等线"/>
                <w:szCs w:val="22"/>
              </w:rPr>
            </w:pPr>
            <w:r>
              <w:rPr>
                <w:rFonts w:hint="eastAsia" w:ascii="宋体" w:hAnsi="宋体" w:cs="宋体"/>
                <w:kern w:val="0"/>
                <w:sz w:val="28"/>
                <w:szCs w:val="28"/>
              </w:rPr>
              <w:t>磋商项目名称</w:t>
            </w:r>
          </w:p>
        </w:tc>
        <w:tc>
          <w:tcPr>
            <w:tcW w:w="4607" w:type="dxa"/>
          </w:tcPr>
          <w:p>
            <w:pPr>
              <w:jc w:val="center"/>
              <w:rPr>
                <w:rFonts w:hint="eastAsia" w:ascii="等线" w:hAnsi="等线" w:eastAsia="等线"/>
                <w:szCs w:val="22"/>
              </w:rPr>
            </w:pPr>
            <w:r>
              <w:rPr>
                <w:rFonts w:hint="eastAsia" w:ascii="宋体" w:hAnsi="宋体" w:cs="宋体"/>
                <w:kern w:val="0"/>
                <w:sz w:val="28"/>
                <w:szCs w:val="28"/>
              </w:rPr>
              <w:t>磋商</w:t>
            </w:r>
            <w:r>
              <w:rPr>
                <w:rFonts w:ascii="宋体" w:hAnsi="宋体" w:cs="宋体"/>
                <w:kern w:val="0"/>
                <w:sz w:val="28"/>
                <w:szCs w:val="28"/>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1" w:hRule="atLeast"/>
        </w:trPr>
        <w:tc>
          <w:tcPr>
            <w:tcW w:w="4148" w:type="dxa"/>
          </w:tcPr>
          <w:p>
            <w:pPr>
              <w:rPr>
                <w:rFonts w:hint="eastAsia" w:ascii="等线" w:hAnsi="等线" w:eastAsia="等线"/>
                <w:szCs w:val="22"/>
                <w:u w:val="single"/>
              </w:rPr>
            </w:pPr>
          </w:p>
          <w:p>
            <w:pPr>
              <w:rPr>
                <w:rFonts w:hint="eastAsia" w:ascii="等线" w:hAnsi="等线" w:eastAsia="等线"/>
                <w:szCs w:val="22"/>
                <w:u w:val="single"/>
              </w:rPr>
            </w:pPr>
            <w:r>
              <w:rPr>
                <w:rFonts w:hint="eastAsia" w:ascii="等线" w:hAnsi="等线" w:eastAsia="等线"/>
                <w:szCs w:val="22"/>
                <w:u w:val="single"/>
              </w:rPr>
              <w:t xml:space="preserve">                          </w:t>
            </w:r>
          </w:p>
        </w:tc>
        <w:tc>
          <w:tcPr>
            <w:tcW w:w="4607" w:type="dxa"/>
          </w:tcPr>
          <w:p>
            <w:pPr>
              <w:rPr>
                <w:rFonts w:hint="eastAsia" w:ascii="等线" w:hAnsi="等线" w:eastAsia="等线"/>
                <w:szCs w:val="22"/>
                <w:u w:val="single"/>
              </w:rPr>
            </w:pPr>
            <w:r>
              <w:rPr>
                <w:rFonts w:ascii="宋体" w:hAnsi="宋体" w:cs="宋体"/>
                <w:kern w:val="0"/>
                <w:sz w:val="28"/>
                <w:szCs w:val="28"/>
              </w:rPr>
              <w:t>大写：</w:t>
            </w:r>
            <w:r>
              <w:rPr>
                <w:rFonts w:ascii="宋体" w:hAnsi="宋体" w:cs="宋体"/>
                <w:kern w:val="0"/>
                <w:sz w:val="28"/>
                <w:szCs w:val="28"/>
                <w:u w:val="single"/>
              </w:rPr>
              <w:t xml:space="preserve">                  </w:t>
            </w:r>
            <w:r>
              <w:rPr>
                <w:rFonts w:ascii="宋体" w:hAnsi="宋体" w:cs="宋体"/>
                <w:kern w:val="0"/>
                <w:sz w:val="28"/>
                <w:szCs w:val="28"/>
              </w:rPr>
              <w:br w:type="textWrapping"/>
            </w:r>
            <w:r>
              <w:rPr>
                <w:rFonts w:ascii="宋体" w:hAnsi="宋体" w:cs="宋体"/>
                <w:kern w:val="0"/>
                <w:sz w:val="28"/>
                <w:szCs w:val="28"/>
              </w:rPr>
              <w:t>小写：</w:t>
            </w:r>
            <w:r>
              <w:rPr>
                <w:rFonts w:ascii="宋体" w:hAnsi="宋体" w:cs="宋体"/>
                <w:kern w:val="0"/>
                <w:sz w:val="28"/>
                <w:szCs w:val="28"/>
                <w:u w:val="single"/>
              </w:rPr>
              <w:t xml:space="preserve">           </w:t>
            </w:r>
            <w:r>
              <w:rPr>
                <w:rFonts w:ascii="宋体" w:hAnsi="宋体" w:cs="宋体"/>
                <w:kern w:val="0"/>
                <w:sz w:val="28"/>
                <w:szCs w:val="28"/>
              </w:rPr>
              <w:t>元（人民币）</w:t>
            </w:r>
          </w:p>
        </w:tc>
      </w:tr>
    </w:tbl>
    <w:p>
      <w:pPr>
        <w:rPr>
          <w:rFonts w:hint="eastAsia" w:ascii="宋体" w:hAnsi="宋体" w:cs="宋体"/>
          <w:kern w:val="0"/>
          <w:sz w:val="28"/>
          <w:szCs w:val="28"/>
        </w:rPr>
      </w:pPr>
      <w:r>
        <w:rPr>
          <w:rFonts w:ascii="宋体" w:hAnsi="宋体" w:cs="宋体"/>
          <w:kern w:val="0"/>
          <w:sz w:val="28"/>
          <w:szCs w:val="28"/>
        </w:rPr>
        <w:t>日期：</w:t>
      </w:r>
    </w:p>
    <w:p>
      <w:pPr>
        <w:rPr>
          <w:rFonts w:hint="eastAsia" w:ascii="宋体" w:hAnsi="宋体" w:cs="宋体"/>
          <w:kern w:val="0"/>
          <w:sz w:val="28"/>
          <w:szCs w:val="28"/>
        </w:rPr>
      </w:pPr>
      <w:r>
        <w:rPr>
          <w:rFonts w:ascii="宋体" w:hAnsi="宋体" w:cs="宋体"/>
          <w:kern w:val="0"/>
          <w:sz w:val="28"/>
          <w:szCs w:val="28"/>
        </w:rPr>
        <w:t>填写说明：</w:t>
      </w:r>
    </w:p>
    <w:p>
      <w:pPr>
        <w:rPr>
          <w:rFonts w:hint="eastAsia"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w:t>
      </w:r>
      <w:r>
        <w:rPr>
          <w:rFonts w:hint="eastAsia" w:ascii="宋体" w:hAnsi="宋体" w:cs="宋体"/>
          <w:kern w:val="0"/>
          <w:sz w:val="28"/>
          <w:szCs w:val="28"/>
        </w:rPr>
        <w:t>报价总表</w:t>
      </w:r>
      <w:r>
        <w:rPr>
          <w:rFonts w:ascii="宋体" w:hAnsi="宋体" w:cs="宋体"/>
          <w:kern w:val="0"/>
          <w:sz w:val="28"/>
          <w:szCs w:val="28"/>
        </w:rPr>
        <w:t>必须加盖</w:t>
      </w:r>
      <w:r>
        <w:rPr>
          <w:rFonts w:hint="eastAsia" w:ascii="宋体" w:hAnsi="宋体" w:cs="宋体"/>
          <w:kern w:val="0"/>
          <w:sz w:val="28"/>
          <w:szCs w:val="28"/>
        </w:rPr>
        <w:t>供应商</w:t>
      </w:r>
      <w:r>
        <w:rPr>
          <w:rFonts w:ascii="宋体" w:hAnsi="宋体" w:cs="宋体"/>
          <w:kern w:val="0"/>
          <w:sz w:val="28"/>
          <w:szCs w:val="28"/>
        </w:rPr>
        <w:t>公章（复印件无效）。</w:t>
      </w:r>
    </w:p>
    <w:p>
      <w:pPr>
        <w:snapToGrid w:val="0"/>
        <w:spacing w:line="300" w:lineRule="auto"/>
        <w:outlineLvl w:val="0"/>
        <w:rPr>
          <w:rFonts w:eastAsia="方正黑体_GBK"/>
          <w:sz w:val="32"/>
          <w:szCs w:val="32"/>
        </w:rPr>
        <w:sectPr>
          <w:pgSz w:w="11907" w:h="16839"/>
          <w:pgMar w:top="1440" w:right="1800" w:bottom="1440" w:left="1800" w:header="720" w:footer="720" w:gutter="0"/>
          <w:cols w:space="720" w:num="1"/>
          <w:docGrid w:linePitch="286" w:charSpace="0"/>
        </w:sectPr>
      </w:pPr>
    </w:p>
    <w:p>
      <w:pPr>
        <w:snapToGrid w:val="0"/>
        <w:spacing w:line="300" w:lineRule="auto"/>
        <w:outlineLvl w:val="0"/>
        <w:rPr>
          <w:rFonts w:hint="eastAsia" w:eastAsia="方正黑体_GBK"/>
          <w:sz w:val="32"/>
          <w:szCs w:val="32"/>
        </w:rPr>
      </w:pPr>
      <w:r>
        <w:rPr>
          <w:rFonts w:eastAsia="方正黑体_GBK"/>
          <w:sz w:val="32"/>
          <w:szCs w:val="32"/>
        </w:rPr>
        <w:t>附件</w:t>
      </w:r>
      <w:r>
        <w:rPr>
          <w:rFonts w:hint="eastAsia" w:eastAsia="方正黑体_GBK"/>
          <w:sz w:val="32"/>
          <w:szCs w:val="32"/>
        </w:rPr>
        <w:t>7</w:t>
      </w:r>
    </w:p>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分项报价表</w:t>
      </w:r>
    </w:p>
    <w:p>
      <w:pPr>
        <w:jc w:val="center"/>
        <w:rPr>
          <w:rFonts w:hint="eastAsia" w:ascii="宋体" w:hAnsi="宋体" w:eastAsia="宋体" w:cs="宋体"/>
          <w:b/>
          <w:color w:val="auto"/>
          <w:sz w:val="24"/>
          <w:szCs w:val="24"/>
        </w:rPr>
      </w:pPr>
    </w:p>
    <w:p>
      <w:pPr>
        <w:tabs>
          <w:tab w:val="left" w:pos="1800"/>
          <w:tab w:val="left" w:pos="5580"/>
        </w:tabs>
        <w:spacing w:line="360" w:lineRule="auto"/>
        <w:ind w:firstLine="240" w:firstLineChars="1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p>
      <w:pPr>
        <w:tabs>
          <w:tab w:val="left" w:pos="1800"/>
          <w:tab w:val="left" w:pos="5580"/>
        </w:tabs>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pPr>
        <w:tabs>
          <w:tab w:val="left" w:pos="1800"/>
          <w:tab w:val="left" w:pos="5580"/>
        </w:tabs>
        <w:spacing w:line="360" w:lineRule="auto"/>
        <w:ind w:firstLine="8400" w:firstLineChars="3500"/>
        <w:jc w:val="left"/>
        <w:rPr>
          <w:rFonts w:hint="eastAsia" w:ascii="宋体" w:hAnsi="宋体" w:eastAsia="宋体" w:cs="宋体"/>
          <w:color w:val="auto"/>
          <w:sz w:val="24"/>
          <w:szCs w:val="24"/>
        </w:rPr>
      </w:pPr>
    </w:p>
    <w:p>
      <w:pPr>
        <w:tabs>
          <w:tab w:val="left" w:pos="1800"/>
          <w:tab w:val="left" w:pos="558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报价单位：人民币元</w:t>
      </w:r>
    </w:p>
    <w:p>
      <w:pPr>
        <w:tabs>
          <w:tab w:val="left" w:pos="1800"/>
          <w:tab w:val="left" w:pos="5580"/>
        </w:tabs>
        <w:rPr>
          <w:rFonts w:hint="eastAsia" w:ascii="宋体" w:hAnsi="宋体" w:eastAsia="宋体" w:cs="宋体"/>
          <w:color w:val="auto"/>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789"/>
        <w:gridCol w:w="1789"/>
        <w:gridCol w:w="178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8" w:type="dxa"/>
            <w:noWrap w:val="0"/>
            <w:vAlign w:val="top"/>
          </w:tcPr>
          <w:p>
            <w:pPr>
              <w:tabs>
                <w:tab w:val="left" w:pos="1800"/>
                <w:tab w:val="left" w:pos="5580"/>
              </w:tabs>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89" w:type="dxa"/>
            <w:noWrap w:val="0"/>
            <w:vAlign w:val="top"/>
          </w:tcPr>
          <w:p>
            <w:pPr>
              <w:tabs>
                <w:tab w:val="left" w:pos="1800"/>
                <w:tab w:val="left" w:pos="5580"/>
              </w:tabs>
              <w:rPr>
                <w:rFonts w:hint="eastAsia" w:ascii="宋体" w:hAnsi="宋体" w:eastAsia="宋体" w:cs="宋体"/>
                <w:color w:val="auto"/>
                <w:sz w:val="24"/>
                <w:szCs w:val="24"/>
              </w:rPr>
            </w:pPr>
            <w:r>
              <w:rPr>
                <w:rFonts w:hint="eastAsia" w:ascii="宋体" w:hAnsi="宋体" w:eastAsia="宋体" w:cs="宋体"/>
                <w:color w:val="auto"/>
                <w:sz w:val="24"/>
                <w:szCs w:val="24"/>
              </w:rPr>
              <w:t>分类名称</w:t>
            </w:r>
          </w:p>
        </w:tc>
        <w:tc>
          <w:tcPr>
            <w:tcW w:w="1789" w:type="dxa"/>
            <w:noWrap w:val="0"/>
            <w:vAlign w:val="top"/>
          </w:tcPr>
          <w:p>
            <w:pPr>
              <w:tabs>
                <w:tab w:val="left" w:pos="1800"/>
                <w:tab w:val="left" w:pos="5580"/>
              </w:tabs>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789" w:type="dxa"/>
            <w:noWrap w:val="0"/>
            <w:vAlign w:val="top"/>
          </w:tcPr>
          <w:p>
            <w:pPr>
              <w:tabs>
                <w:tab w:val="left" w:pos="1800"/>
                <w:tab w:val="left" w:pos="5580"/>
              </w:tabs>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1789" w:type="dxa"/>
            <w:noWrap w:val="0"/>
            <w:vAlign w:val="top"/>
          </w:tcPr>
          <w:p>
            <w:pPr>
              <w:tabs>
                <w:tab w:val="left" w:pos="1800"/>
                <w:tab w:val="left" w:pos="5580"/>
              </w:tabs>
              <w:rPr>
                <w:rFonts w:hint="eastAsia" w:ascii="宋体" w:hAnsi="宋体" w:eastAsia="宋体" w:cs="宋体"/>
                <w:color w:val="auto"/>
                <w:sz w:val="24"/>
                <w:szCs w:val="24"/>
              </w:rPr>
            </w:pPr>
            <w:r>
              <w:rPr>
                <w:rFonts w:hint="eastAsia" w:ascii="宋体" w:hAnsi="宋体" w:eastAsia="宋体" w:cs="宋体"/>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8" w:type="dxa"/>
            <w:noWrap w:val="0"/>
            <w:vAlign w:val="top"/>
          </w:tcPr>
          <w:p>
            <w:pPr>
              <w:tabs>
                <w:tab w:val="left" w:pos="1800"/>
                <w:tab w:val="left" w:pos="5580"/>
              </w:tabs>
              <w:rPr>
                <w:rFonts w:hint="eastAsia" w:ascii="宋体" w:hAnsi="宋体" w:eastAsia="宋体" w:cs="宋体"/>
                <w:color w:val="auto"/>
                <w:sz w:val="24"/>
                <w:szCs w:val="24"/>
              </w:rPr>
            </w:pPr>
          </w:p>
        </w:tc>
        <w:tc>
          <w:tcPr>
            <w:tcW w:w="1789" w:type="dxa"/>
            <w:noWrap w:val="0"/>
            <w:vAlign w:val="top"/>
          </w:tcPr>
          <w:p>
            <w:pPr>
              <w:tabs>
                <w:tab w:val="left" w:pos="1800"/>
                <w:tab w:val="left" w:pos="5580"/>
              </w:tabs>
              <w:rPr>
                <w:rFonts w:hint="eastAsia" w:ascii="宋体" w:hAnsi="宋体" w:eastAsia="宋体" w:cs="宋体"/>
                <w:color w:val="auto"/>
                <w:sz w:val="24"/>
                <w:szCs w:val="24"/>
              </w:rPr>
            </w:pPr>
          </w:p>
        </w:tc>
        <w:tc>
          <w:tcPr>
            <w:tcW w:w="1789" w:type="dxa"/>
            <w:noWrap w:val="0"/>
            <w:vAlign w:val="top"/>
          </w:tcPr>
          <w:p>
            <w:pPr>
              <w:tabs>
                <w:tab w:val="left" w:pos="1800"/>
                <w:tab w:val="left" w:pos="5580"/>
              </w:tabs>
              <w:rPr>
                <w:rFonts w:hint="eastAsia" w:ascii="宋体" w:hAnsi="宋体" w:eastAsia="宋体" w:cs="宋体"/>
                <w:color w:val="auto"/>
                <w:sz w:val="24"/>
                <w:szCs w:val="24"/>
              </w:rPr>
            </w:pPr>
          </w:p>
        </w:tc>
        <w:tc>
          <w:tcPr>
            <w:tcW w:w="1789" w:type="dxa"/>
            <w:noWrap w:val="0"/>
            <w:vAlign w:val="top"/>
          </w:tcPr>
          <w:p>
            <w:pPr>
              <w:tabs>
                <w:tab w:val="left" w:pos="1800"/>
                <w:tab w:val="left" w:pos="5580"/>
              </w:tabs>
              <w:rPr>
                <w:rFonts w:hint="eastAsia" w:ascii="宋体" w:hAnsi="宋体" w:eastAsia="宋体" w:cs="宋体"/>
                <w:color w:val="auto"/>
                <w:sz w:val="24"/>
                <w:szCs w:val="24"/>
              </w:rPr>
            </w:pPr>
          </w:p>
        </w:tc>
        <w:tc>
          <w:tcPr>
            <w:tcW w:w="1789" w:type="dxa"/>
            <w:noWrap w:val="0"/>
            <w:vAlign w:val="top"/>
          </w:tcPr>
          <w:p>
            <w:pPr>
              <w:tabs>
                <w:tab w:val="left" w:pos="1800"/>
                <w:tab w:val="left" w:pos="5580"/>
              </w:tabs>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8" w:type="dxa"/>
            <w:noWrap w:val="0"/>
            <w:vAlign w:val="top"/>
          </w:tcPr>
          <w:p>
            <w:pPr>
              <w:tabs>
                <w:tab w:val="left" w:pos="1800"/>
                <w:tab w:val="left" w:pos="5580"/>
              </w:tabs>
              <w:rPr>
                <w:rFonts w:hint="eastAsia" w:ascii="宋体" w:hAnsi="宋体" w:eastAsia="宋体" w:cs="宋体"/>
                <w:color w:val="auto"/>
                <w:sz w:val="24"/>
                <w:szCs w:val="24"/>
              </w:rPr>
            </w:pPr>
          </w:p>
        </w:tc>
        <w:tc>
          <w:tcPr>
            <w:tcW w:w="1789" w:type="dxa"/>
            <w:noWrap w:val="0"/>
            <w:vAlign w:val="top"/>
          </w:tcPr>
          <w:p>
            <w:pPr>
              <w:tabs>
                <w:tab w:val="left" w:pos="1800"/>
                <w:tab w:val="left" w:pos="5580"/>
              </w:tabs>
              <w:rPr>
                <w:rFonts w:hint="eastAsia" w:ascii="宋体" w:hAnsi="宋体" w:eastAsia="宋体" w:cs="宋体"/>
                <w:color w:val="auto"/>
                <w:sz w:val="24"/>
                <w:szCs w:val="24"/>
              </w:rPr>
            </w:pPr>
          </w:p>
        </w:tc>
        <w:tc>
          <w:tcPr>
            <w:tcW w:w="1789" w:type="dxa"/>
            <w:noWrap w:val="0"/>
            <w:vAlign w:val="top"/>
          </w:tcPr>
          <w:p>
            <w:pPr>
              <w:tabs>
                <w:tab w:val="left" w:pos="1800"/>
                <w:tab w:val="left" w:pos="5580"/>
              </w:tabs>
              <w:rPr>
                <w:rFonts w:hint="eastAsia" w:ascii="宋体" w:hAnsi="宋体" w:eastAsia="宋体" w:cs="宋体"/>
                <w:color w:val="auto"/>
                <w:sz w:val="24"/>
                <w:szCs w:val="24"/>
              </w:rPr>
            </w:pPr>
          </w:p>
        </w:tc>
        <w:tc>
          <w:tcPr>
            <w:tcW w:w="1789" w:type="dxa"/>
            <w:noWrap w:val="0"/>
            <w:vAlign w:val="top"/>
          </w:tcPr>
          <w:p>
            <w:pPr>
              <w:tabs>
                <w:tab w:val="left" w:pos="1800"/>
                <w:tab w:val="left" w:pos="5580"/>
              </w:tabs>
              <w:rPr>
                <w:rFonts w:hint="eastAsia" w:ascii="宋体" w:hAnsi="宋体" w:eastAsia="宋体" w:cs="宋体"/>
                <w:color w:val="auto"/>
                <w:sz w:val="24"/>
                <w:szCs w:val="24"/>
              </w:rPr>
            </w:pPr>
          </w:p>
        </w:tc>
        <w:tc>
          <w:tcPr>
            <w:tcW w:w="1789" w:type="dxa"/>
            <w:noWrap w:val="0"/>
            <w:vAlign w:val="top"/>
          </w:tcPr>
          <w:p>
            <w:pPr>
              <w:tabs>
                <w:tab w:val="left" w:pos="1800"/>
                <w:tab w:val="left" w:pos="5580"/>
              </w:tabs>
              <w:rPr>
                <w:rFonts w:hint="eastAsia" w:ascii="宋体" w:hAnsi="宋体" w:eastAsia="宋体" w:cs="宋体"/>
                <w:color w:val="auto"/>
                <w:sz w:val="24"/>
                <w:szCs w:val="24"/>
              </w:rPr>
            </w:pPr>
          </w:p>
        </w:tc>
      </w:tr>
    </w:tbl>
    <w:p>
      <w:pPr>
        <w:tabs>
          <w:tab w:val="left" w:pos="1800"/>
          <w:tab w:val="left" w:pos="5580"/>
        </w:tabs>
        <w:rPr>
          <w:rFonts w:hint="eastAsia" w:ascii="宋体" w:hAnsi="宋体" w:eastAsia="宋体" w:cs="宋体"/>
          <w:color w:val="auto"/>
          <w:sz w:val="24"/>
          <w:szCs w:val="24"/>
        </w:rPr>
      </w:pPr>
    </w:p>
    <w:p>
      <w:pPr>
        <w:tabs>
          <w:tab w:val="left" w:pos="1800"/>
          <w:tab w:val="left" w:pos="5580"/>
        </w:tabs>
        <w:rPr>
          <w:rFonts w:hint="eastAsia" w:ascii="宋体" w:hAnsi="宋体" w:eastAsia="宋体" w:cs="宋体"/>
          <w:color w:val="auto"/>
          <w:sz w:val="24"/>
          <w:szCs w:val="24"/>
        </w:rPr>
      </w:pPr>
    </w:p>
    <w:p>
      <w:pPr>
        <w:tabs>
          <w:tab w:val="left" w:pos="1800"/>
          <w:tab w:val="left" w:pos="5580"/>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注：1.如果不提供分项报价将视为没有实质性响应磋商文件</w:t>
      </w:r>
    </w:p>
    <w:p>
      <w:pPr>
        <w:tabs>
          <w:tab w:val="left" w:pos="1800"/>
          <w:tab w:val="left" w:pos="5580"/>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.本表行数可以按照项目分项情况增加。</w:t>
      </w:r>
    </w:p>
    <w:p>
      <w:pPr>
        <w:tabs>
          <w:tab w:val="left" w:pos="1800"/>
          <w:tab w:val="left" w:pos="5580"/>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.上述各项的服务内容如表格中填写不下的，可以逐项另页描述。</w:t>
      </w:r>
    </w:p>
    <w:p>
      <w:pPr>
        <w:tabs>
          <w:tab w:val="left" w:pos="1800"/>
          <w:tab w:val="left" w:pos="5580"/>
        </w:tabs>
        <w:rPr>
          <w:rFonts w:hint="eastAsia" w:ascii="宋体" w:hAnsi="宋体" w:eastAsia="宋体" w:cs="宋体"/>
          <w:color w:val="auto"/>
          <w:sz w:val="24"/>
          <w:szCs w:val="24"/>
        </w:rPr>
      </w:pPr>
    </w:p>
    <w:p>
      <w:pPr>
        <w:spacing w:line="360" w:lineRule="auto"/>
        <w:ind w:firstLine="4320" w:firstLineChars="1800"/>
        <w:rPr>
          <w:rFonts w:hint="eastAsia" w:ascii="宋体" w:hAnsi="宋体" w:eastAsia="宋体" w:cs="宋体"/>
          <w:color w:val="auto"/>
          <w:sz w:val="24"/>
          <w:szCs w:val="24"/>
        </w:rPr>
      </w:pPr>
    </w:p>
    <w:p>
      <w:pPr>
        <w:tabs>
          <w:tab w:val="left" w:pos="1800"/>
          <w:tab w:val="left" w:pos="5580"/>
        </w:tabs>
        <w:rPr>
          <w:rFonts w:hint="eastAsia" w:ascii="宋体" w:hAnsi="宋体" w:eastAsia="宋体" w:cs="宋体"/>
          <w:color w:val="auto"/>
          <w:sz w:val="24"/>
          <w:szCs w:val="24"/>
        </w:rPr>
      </w:pPr>
      <w:r>
        <w:rPr>
          <w:rFonts w:hint="eastAsia" w:ascii="宋体" w:hAnsi="宋体" w:eastAsia="宋体" w:cs="宋体"/>
          <w:color w:val="auto"/>
          <w:sz w:val="24"/>
          <w:szCs w:val="24"/>
        </w:rPr>
        <w:t>供应商：（加盖公章）</w:t>
      </w:r>
    </w:p>
    <w:p>
      <w:pPr>
        <w:tabs>
          <w:tab w:val="left" w:pos="1800"/>
          <w:tab w:val="left" w:pos="5580"/>
        </w:tabs>
        <w:rPr>
          <w:rFonts w:hint="eastAsia" w:ascii="宋体" w:hAnsi="宋体" w:eastAsia="宋体" w:cs="宋体"/>
          <w:color w:val="auto"/>
          <w:sz w:val="24"/>
          <w:szCs w:val="24"/>
        </w:rPr>
      </w:pPr>
      <w:r>
        <w:rPr>
          <w:rFonts w:hint="eastAsia" w:ascii="宋体" w:hAnsi="宋体" w:eastAsia="宋体" w:cs="宋体"/>
          <w:color w:val="auto"/>
          <w:sz w:val="24"/>
          <w:szCs w:val="24"/>
        </w:rPr>
        <w:t>法定代表人（或单位负责人）签字或盖章：</w:t>
      </w:r>
    </w:p>
    <w:p>
      <w:pPr>
        <w:tabs>
          <w:tab w:val="left" w:pos="1800"/>
          <w:tab w:val="left" w:pos="5580"/>
        </w:tabs>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rPr>
          <w:rFonts w:hint="eastAsia" w:ascii="宋体" w:hAnsi="宋体" w:cs="宋体"/>
          <w:b/>
          <w:bCs/>
          <w:color w:val="auto"/>
          <w:sz w:val="28"/>
          <w:szCs w:val="28"/>
          <w:u w:val="thick" w:color="FF0000"/>
        </w:rPr>
      </w:pPr>
    </w:p>
    <w:p>
      <w:pPr>
        <w:snapToGrid/>
        <w:spacing w:line="240" w:lineRule="auto"/>
        <w:jc w:val="left"/>
        <w:outlineLvl w:val="9"/>
        <w:rPr>
          <w:rFonts w:hint="eastAsia" w:ascii="黑体" w:hAnsi="黑体" w:eastAsia="黑体" w:cs="仿宋"/>
          <w:bCs/>
          <w:sz w:val="44"/>
          <w:szCs w:val="44"/>
        </w:rPr>
      </w:pPr>
      <w:r>
        <w:rPr>
          <w:rFonts w:hint="eastAsia" w:ascii="黑体" w:hAnsi="黑体" w:eastAsia="黑体" w:cs="仿宋"/>
          <w:bCs/>
          <w:sz w:val="44"/>
          <w:szCs w:val="44"/>
        </w:rPr>
        <w:br w:type="page"/>
      </w:r>
    </w:p>
    <w:p>
      <w:pPr>
        <w:snapToGrid w:val="0"/>
        <w:spacing w:line="300" w:lineRule="auto"/>
        <w:outlineLvl w:val="0"/>
        <w:rPr>
          <w:rFonts w:hint="eastAsia" w:eastAsia="方正黑体_GBK"/>
          <w:sz w:val="32"/>
          <w:szCs w:val="32"/>
          <w:lang w:eastAsia="zh-CN"/>
        </w:rPr>
      </w:pPr>
      <w:r>
        <w:rPr>
          <w:rFonts w:eastAsia="方正黑体_GBK"/>
          <w:sz w:val="32"/>
          <w:szCs w:val="32"/>
        </w:rPr>
        <w:t>附件</w:t>
      </w:r>
      <w:r>
        <w:rPr>
          <w:rFonts w:hint="eastAsia" w:eastAsia="方正黑体_GBK"/>
          <w:sz w:val="32"/>
          <w:szCs w:val="32"/>
          <w:lang w:val="en-US" w:eastAsia="zh-CN"/>
        </w:rPr>
        <w:t>8</w:t>
      </w:r>
    </w:p>
    <w:p>
      <w:pPr>
        <w:snapToGrid w:val="0"/>
        <w:spacing w:line="300" w:lineRule="auto"/>
        <w:jc w:val="center"/>
        <w:outlineLvl w:val="0"/>
        <w:rPr>
          <w:rFonts w:hint="eastAsia" w:ascii="黑体" w:hAnsi="黑体" w:eastAsia="黑体" w:cs="仿宋"/>
          <w:bCs/>
          <w:sz w:val="44"/>
          <w:szCs w:val="44"/>
        </w:rPr>
      </w:pPr>
      <w:r>
        <w:rPr>
          <w:rFonts w:hint="eastAsia" w:ascii="黑体" w:hAnsi="黑体" w:eastAsia="黑体" w:cs="仿宋"/>
          <w:bCs/>
          <w:sz w:val="44"/>
          <w:szCs w:val="44"/>
        </w:rPr>
        <w:t>质疑函范本</w:t>
      </w:r>
    </w:p>
    <w:p>
      <w:pPr>
        <w:adjustRightInd w:val="0"/>
        <w:snapToGrid w:val="0"/>
        <w:spacing w:before="240" w:beforeLines="100" w:line="360" w:lineRule="auto"/>
        <w:rPr>
          <w:rFonts w:hint="eastAsia" w:ascii="宋体" w:hAnsi="宋体" w:cs="仿宋"/>
          <w:bCs/>
          <w:sz w:val="32"/>
          <w:szCs w:val="32"/>
        </w:rPr>
      </w:pPr>
      <w:r>
        <w:rPr>
          <w:rFonts w:hint="eastAsia" w:ascii="宋体" w:hAnsi="宋体" w:cs="仿宋"/>
          <w:bCs/>
          <w:sz w:val="32"/>
          <w:szCs w:val="32"/>
        </w:rPr>
        <w:t>一、质疑供应商基本信息</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质疑供应商：</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地址：邮编：</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联系人：联系电话：</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授权代表：</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联系电话：</w:t>
      </w:r>
    </w:p>
    <w:p>
      <w:pPr>
        <w:adjustRightInd w:val="0"/>
        <w:snapToGrid w:val="0"/>
        <w:spacing w:line="360" w:lineRule="auto"/>
        <w:rPr>
          <w:rFonts w:eastAsia="仿宋"/>
          <w:sz w:val="32"/>
          <w:szCs w:val="32"/>
        </w:rPr>
      </w:pPr>
      <w:r>
        <w:rPr>
          <w:rFonts w:hint="eastAsia" w:ascii="宋体" w:hAnsi="宋体" w:cs="仿宋"/>
          <w:sz w:val="32"/>
          <w:szCs w:val="32"/>
        </w:rPr>
        <w:t>地址：              邮编：</w:t>
      </w:r>
      <w:r>
        <w:rPr>
          <w:rFonts w:eastAsia="仿宋"/>
          <w:sz w:val="32"/>
          <w:szCs w:val="32"/>
        </w:rPr>
        <w:t xml:space="preserve"> </w:t>
      </w:r>
      <w:r>
        <w:rPr>
          <w:rFonts w:hint="eastAsia" w:eastAsia="仿宋"/>
          <w:sz w:val="32"/>
          <w:szCs w:val="32"/>
        </w:rPr>
        <w:t xml:space="preserve">    </w:t>
      </w:r>
      <w:r>
        <w:rPr>
          <w:rFonts w:eastAsia="仿宋"/>
          <w:sz w:val="32"/>
          <w:szCs w:val="32"/>
        </w:rPr>
        <w:t xml:space="preserve"> </w:t>
      </w:r>
      <w:r>
        <w:rPr>
          <w:rFonts w:hint="eastAsia" w:ascii="宋体" w:hAnsi="宋体" w:cs="仿宋"/>
          <w:sz w:val="32"/>
          <w:szCs w:val="32"/>
        </w:rPr>
        <w:t>邮箱：</w:t>
      </w:r>
    </w:p>
    <w:p>
      <w:pPr>
        <w:adjustRightInd w:val="0"/>
        <w:snapToGrid w:val="0"/>
        <w:spacing w:line="360" w:lineRule="auto"/>
        <w:rPr>
          <w:rFonts w:hint="eastAsia" w:ascii="宋体" w:hAnsi="宋体" w:cs="仿宋"/>
          <w:bCs/>
          <w:sz w:val="32"/>
          <w:szCs w:val="32"/>
        </w:rPr>
      </w:pPr>
      <w:r>
        <w:rPr>
          <w:rFonts w:hint="eastAsia" w:ascii="宋体" w:hAnsi="宋体" w:cs="仿宋"/>
          <w:bCs/>
          <w:sz w:val="32"/>
          <w:szCs w:val="32"/>
        </w:rPr>
        <w:t>二、质疑项目基本情况</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质疑项目的名称：</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质疑项目的编号：包号：</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采购人名称：</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采购文件获取日期：</w:t>
      </w:r>
    </w:p>
    <w:p>
      <w:pPr>
        <w:adjustRightInd w:val="0"/>
        <w:snapToGrid w:val="0"/>
        <w:spacing w:line="360" w:lineRule="auto"/>
        <w:rPr>
          <w:rFonts w:hint="eastAsia" w:ascii="宋体" w:hAnsi="宋体" w:cs="仿宋"/>
          <w:bCs/>
          <w:sz w:val="32"/>
          <w:szCs w:val="32"/>
        </w:rPr>
      </w:pPr>
      <w:r>
        <w:rPr>
          <w:rFonts w:hint="eastAsia" w:ascii="宋体" w:hAnsi="宋体" w:cs="仿宋"/>
          <w:bCs/>
          <w:sz w:val="32"/>
          <w:szCs w:val="32"/>
        </w:rPr>
        <w:t>三、质疑事项具体内容</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质疑事项1：</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事实依据：</w:t>
      </w:r>
    </w:p>
    <w:p>
      <w:pPr>
        <w:adjustRightInd w:val="0"/>
        <w:snapToGrid w:val="0"/>
        <w:spacing w:line="360" w:lineRule="auto"/>
        <w:rPr>
          <w:rFonts w:hint="eastAsia" w:ascii="宋体" w:hAnsi="宋体" w:cs="仿宋"/>
          <w:sz w:val="32"/>
          <w:szCs w:val="32"/>
        </w:rPr>
      </w:pP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法律依据：</w:t>
      </w:r>
    </w:p>
    <w:p>
      <w:pPr>
        <w:adjustRightInd w:val="0"/>
        <w:snapToGrid w:val="0"/>
        <w:spacing w:line="360" w:lineRule="auto"/>
        <w:rPr>
          <w:rFonts w:hint="eastAsia" w:ascii="宋体" w:hAnsi="宋体" w:cs="仿宋"/>
          <w:sz w:val="32"/>
          <w:szCs w:val="32"/>
          <w:u w:val="dotted"/>
        </w:rPr>
      </w:pP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质疑事项2</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w:t>
      </w:r>
    </w:p>
    <w:p>
      <w:pPr>
        <w:adjustRightInd w:val="0"/>
        <w:snapToGrid w:val="0"/>
        <w:spacing w:line="360" w:lineRule="auto"/>
        <w:rPr>
          <w:rFonts w:hint="eastAsia" w:ascii="宋体" w:hAnsi="宋体" w:cs="仿宋"/>
          <w:bCs/>
          <w:sz w:val="32"/>
          <w:szCs w:val="32"/>
        </w:rPr>
      </w:pPr>
      <w:r>
        <w:rPr>
          <w:rFonts w:hint="eastAsia" w:ascii="宋体" w:hAnsi="宋体" w:cs="仿宋"/>
          <w:bCs/>
          <w:sz w:val="32"/>
          <w:szCs w:val="32"/>
        </w:rPr>
        <w:t>四、与质疑事项相关的质疑请求</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请求：</w:t>
      </w:r>
    </w:p>
    <w:p>
      <w:pPr>
        <w:rPr>
          <w:rFonts w:hint="eastAsia" w:ascii="宋体" w:hAnsi="宋体"/>
          <w:sz w:val="30"/>
          <w:szCs w:val="30"/>
        </w:rPr>
      </w:pPr>
      <w:r>
        <w:rPr>
          <w:rFonts w:hint="eastAsia" w:ascii="宋体" w:hAnsi="宋体"/>
          <w:sz w:val="30"/>
          <w:szCs w:val="30"/>
        </w:rPr>
        <w:t xml:space="preserve">签字(签章)：                   公章：                      </w:t>
      </w:r>
    </w:p>
    <w:p>
      <w:pPr>
        <w:rPr>
          <w:rFonts w:hint="eastAsia" w:ascii="宋体" w:hAnsi="宋体"/>
          <w:sz w:val="30"/>
          <w:szCs w:val="30"/>
        </w:rPr>
      </w:pPr>
      <w:r>
        <w:rPr>
          <w:rFonts w:hint="eastAsia" w:ascii="宋体" w:hAnsi="宋体"/>
          <w:sz w:val="30"/>
          <w:szCs w:val="30"/>
        </w:rPr>
        <w:t xml:space="preserve">日期：    </w:t>
      </w:r>
    </w:p>
    <w:p>
      <w:pPr>
        <w:adjustRightInd w:val="0"/>
        <w:snapToGrid w:val="0"/>
        <w:spacing w:line="360" w:lineRule="auto"/>
        <w:rPr>
          <w:rFonts w:hint="eastAsia" w:ascii="宋体" w:hAnsi="宋体" w:cs="仿宋"/>
          <w:sz w:val="32"/>
          <w:szCs w:val="32"/>
        </w:rPr>
      </w:pPr>
    </w:p>
    <w:p>
      <w:pPr>
        <w:rPr>
          <w:rFonts w:hint="eastAsia" w:ascii="宋体" w:hAnsi="宋体"/>
          <w:b/>
          <w:sz w:val="32"/>
          <w:szCs w:val="32"/>
        </w:rPr>
      </w:pPr>
    </w:p>
    <w:p>
      <w:pPr>
        <w:rPr>
          <w:rFonts w:hint="eastAsia" w:ascii="宋体" w:hAnsi="宋体"/>
          <w:b/>
          <w:sz w:val="32"/>
          <w:szCs w:val="32"/>
        </w:rPr>
      </w:pPr>
      <w:r>
        <w:rPr>
          <w:rFonts w:hint="eastAsia" w:ascii="宋体" w:hAnsi="宋体"/>
          <w:b/>
          <w:sz w:val="32"/>
          <w:szCs w:val="32"/>
        </w:rPr>
        <w:t>质疑函制作说明：</w:t>
      </w:r>
    </w:p>
    <w:p>
      <w:pPr>
        <w:widowControl/>
        <w:ind w:firstLine="640" w:firstLineChars="200"/>
        <w:jc w:val="left"/>
        <w:rPr>
          <w:rFonts w:hint="eastAsia" w:ascii="宋体" w:hAnsi="宋体"/>
          <w:sz w:val="32"/>
          <w:szCs w:val="32"/>
        </w:rPr>
      </w:pPr>
      <w:r>
        <w:rPr>
          <w:rFonts w:hint="eastAsia" w:ascii="宋体" w:hAnsi="宋体"/>
          <w:sz w:val="32"/>
          <w:szCs w:val="32"/>
        </w:rPr>
        <w:t>1.供应商提出质疑时，应提交质疑函和必要的证明材料。</w:t>
      </w:r>
    </w:p>
    <w:p>
      <w:pPr>
        <w:widowControl/>
        <w:ind w:firstLine="640" w:firstLineChars="200"/>
        <w:jc w:val="left"/>
        <w:rPr>
          <w:rFonts w:hint="eastAsia" w:ascii="宋体" w:hAnsi="宋体"/>
          <w:sz w:val="32"/>
          <w:szCs w:val="32"/>
        </w:rPr>
      </w:pPr>
      <w:r>
        <w:rPr>
          <w:rFonts w:hint="eastAsia" w:ascii="宋体" w:hAnsi="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hint="eastAsia" w:ascii="宋体" w:hAnsi="宋体"/>
          <w:sz w:val="32"/>
          <w:szCs w:val="32"/>
        </w:rPr>
      </w:pPr>
      <w:r>
        <w:rPr>
          <w:rFonts w:hint="eastAsia" w:ascii="宋体" w:hAnsi="宋体"/>
          <w:sz w:val="32"/>
          <w:szCs w:val="32"/>
        </w:rPr>
        <w:t>3.质疑供应商若对项目的某一分包进行质疑，质疑函中应列明具体分包号。</w:t>
      </w:r>
    </w:p>
    <w:p>
      <w:pPr>
        <w:widowControl/>
        <w:ind w:firstLine="640" w:firstLineChars="200"/>
        <w:jc w:val="left"/>
        <w:rPr>
          <w:rFonts w:hint="eastAsia" w:ascii="宋体" w:hAnsi="宋体"/>
          <w:sz w:val="32"/>
          <w:szCs w:val="32"/>
        </w:rPr>
      </w:pPr>
      <w:r>
        <w:rPr>
          <w:rFonts w:hint="eastAsia" w:ascii="宋体" w:hAnsi="宋体"/>
          <w:sz w:val="32"/>
          <w:szCs w:val="32"/>
        </w:rPr>
        <w:t>4.质疑函的质疑事项应具体、明确，并有必要的事实依据和法律依据。</w:t>
      </w:r>
    </w:p>
    <w:p>
      <w:pPr>
        <w:widowControl/>
        <w:ind w:firstLine="640" w:firstLineChars="200"/>
        <w:jc w:val="left"/>
        <w:rPr>
          <w:rFonts w:hint="eastAsia" w:ascii="宋体" w:hAnsi="宋体"/>
          <w:sz w:val="32"/>
          <w:szCs w:val="32"/>
        </w:rPr>
      </w:pPr>
      <w:r>
        <w:rPr>
          <w:rFonts w:hint="eastAsia" w:ascii="宋体" w:hAnsi="宋体"/>
          <w:sz w:val="32"/>
          <w:szCs w:val="32"/>
        </w:rPr>
        <w:t>5.质疑函的质疑请求应与质疑事项相关。</w:t>
      </w:r>
    </w:p>
    <w:p>
      <w:pPr>
        <w:widowControl/>
        <w:ind w:firstLine="640" w:firstLineChars="200"/>
        <w:jc w:val="left"/>
        <w:rPr>
          <w:rFonts w:hint="eastAsia" w:ascii="宋体" w:hAnsi="宋体"/>
          <w:sz w:val="32"/>
          <w:szCs w:val="32"/>
        </w:rPr>
      </w:pPr>
      <w:r>
        <w:rPr>
          <w:rFonts w:hint="eastAsia" w:ascii="宋体" w:hAnsi="宋体"/>
          <w:sz w:val="32"/>
          <w:szCs w:val="32"/>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宋体" w:hAnsi="宋体" w:cs="宋体"/>
          <w:sz w:val="24"/>
        </w:rPr>
      </w:pPr>
    </w:p>
    <w:sectPr>
      <w:pgSz w:w="11907" w:h="16839"/>
      <w:pgMar w:top="1418" w:right="1588" w:bottom="1418" w:left="158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16" w:usb3="00000000" w:csb0="00040001" w:csb1="00000000"/>
  </w:font>
  <w:font w:name="仿宋_GB2312">
    <w:altName w:val="方正仿宋_GBK"/>
    <w:panose1 w:val="00000000000000000000"/>
    <w:charset w:val="00"/>
    <w:family w:val="modern"/>
    <w:pitch w:val="default"/>
    <w:sig w:usb0="00000000" w:usb1="00000000" w:usb2="00000000" w:usb3="00000000" w:csb0="00040000" w:csb1="00000000"/>
  </w:font>
  <w:font w:name="MS Mincho">
    <w:altName w:val="Hiragino Sans"/>
    <w:panose1 w:val="02020609040205080304"/>
    <w:charset w:val="80"/>
    <w:family w:val="modern"/>
    <w:pitch w:val="default"/>
    <w:sig w:usb0="00000000" w:usb1="00000000" w:usb2="08000012" w:usb3="00000000" w:csb0="0002009F" w:csb1="00000000"/>
  </w:font>
  <w:font w:name="楷体_GB2312">
    <w:altName w:val="汉仪楷体简"/>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Microsoft YaHei UI">
    <w:altName w:val="苹方-简"/>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黑体_GBK">
    <w:altName w:val="汉仪中黑KW"/>
    <w:panose1 w:val="00000000000000000000"/>
    <w:charset w:val="86"/>
    <w:family w:val="script"/>
    <w:pitch w:val="default"/>
    <w:sig w:usb0="00000000" w:usb1="00000000" w:usb2="00082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Hiragino Sans">
    <w:panose1 w:val="020B0300000000000000"/>
    <w:charset w:val="80"/>
    <w:family w:val="auto"/>
    <w:pitch w:val="default"/>
    <w:sig w:usb0="E00002FF" w:usb1="7AE7FFFF" w:usb2="00000012" w:usb3="00000000" w:csb0="0002000D" w:csb1="00000000"/>
  </w:font>
  <w:font w:name="方正书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E92FB"/>
    <w:multiLevelType w:val="singleLevel"/>
    <w:tmpl w:val="AFEE92FB"/>
    <w:lvl w:ilvl="0" w:tentative="0">
      <w:start w:val="1"/>
      <w:numFmt w:val="decimal"/>
      <w:lvlText w:val="%1)"/>
      <w:lvlJc w:val="left"/>
      <w:pPr>
        <w:ind w:left="425" w:hanging="425"/>
      </w:pPr>
      <w:rPr>
        <w:rFonts w:hint="default"/>
      </w:rPr>
    </w:lvl>
  </w:abstractNum>
  <w:abstractNum w:abstractNumId="1">
    <w:nsid w:val="CF3041E8"/>
    <w:multiLevelType w:val="singleLevel"/>
    <w:tmpl w:val="CF3041E8"/>
    <w:lvl w:ilvl="0" w:tentative="0">
      <w:start w:val="1"/>
      <w:numFmt w:val="decimal"/>
      <w:lvlText w:val="%1)"/>
      <w:lvlJc w:val="left"/>
      <w:rPr>
        <w:rFonts w:hint="default"/>
        <w:color w:val="auto"/>
      </w:rPr>
    </w:lvl>
  </w:abstractNum>
  <w:abstractNum w:abstractNumId="2">
    <w:nsid w:val="101856BF"/>
    <w:multiLevelType w:val="singleLevel"/>
    <w:tmpl w:val="101856BF"/>
    <w:lvl w:ilvl="0" w:tentative="0">
      <w:start w:val="1"/>
      <w:numFmt w:val="decimal"/>
      <w:suff w:val="nothing"/>
      <w:lvlText w:val="%1、"/>
      <w:lvlJc w:val="left"/>
    </w:lvl>
  </w:abstractNum>
  <w:abstractNum w:abstractNumId="3">
    <w:nsid w:val="1140282C"/>
    <w:multiLevelType w:val="singleLevel"/>
    <w:tmpl w:val="1140282C"/>
    <w:lvl w:ilvl="0" w:tentative="0">
      <w:start w:val="1"/>
      <w:numFmt w:val="decimal"/>
      <w:suff w:val="space"/>
      <w:lvlText w:val="%1)"/>
      <w:lvlJc w:val="left"/>
    </w:lvl>
  </w:abstractNum>
  <w:abstractNum w:abstractNumId="4">
    <w:nsid w:val="1BE43624"/>
    <w:multiLevelType w:val="singleLevel"/>
    <w:tmpl w:val="1BE43624"/>
    <w:lvl w:ilvl="0" w:tentative="0">
      <w:start w:val="1"/>
      <w:numFmt w:val="decimal"/>
      <w:suff w:val="nothing"/>
      <w:lvlText w:val="%1、"/>
      <w:lvlJc w:val="left"/>
    </w:lvl>
  </w:abstractNum>
  <w:abstractNum w:abstractNumId="5">
    <w:nsid w:val="2F000005"/>
    <w:multiLevelType w:val="multilevel"/>
    <w:tmpl w:val="2F000005"/>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lMzM2ZTAzMzlmNmY3MzA4ZGQwZjc5MGNiMzU1NGYifQ=="/>
  </w:docVars>
  <w:rsids>
    <w:rsidRoot w:val="FBBDDD7A"/>
    <w:rsid w:val="0000667E"/>
    <w:rsid w:val="002161B4"/>
    <w:rsid w:val="002D08EE"/>
    <w:rsid w:val="00302329"/>
    <w:rsid w:val="00357A75"/>
    <w:rsid w:val="003D7EEC"/>
    <w:rsid w:val="004E21BA"/>
    <w:rsid w:val="0055101C"/>
    <w:rsid w:val="005A28B3"/>
    <w:rsid w:val="00684728"/>
    <w:rsid w:val="00733266"/>
    <w:rsid w:val="00B96D62"/>
    <w:rsid w:val="00B973A3"/>
    <w:rsid w:val="00C54BC3"/>
    <w:rsid w:val="00D3216C"/>
    <w:rsid w:val="00D52AEE"/>
    <w:rsid w:val="00D97985"/>
    <w:rsid w:val="00EC7FB7"/>
    <w:rsid w:val="00FF23D7"/>
    <w:rsid w:val="0663BD22"/>
    <w:rsid w:val="16FF0578"/>
    <w:rsid w:val="27FED707"/>
    <w:rsid w:val="2E847BC9"/>
    <w:rsid w:val="3CDDAD28"/>
    <w:rsid w:val="3DBE8A33"/>
    <w:rsid w:val="3F63B470"/>
    <w:rsid w:val="3FFE542C"/>
    <w:rsid w:val="3FFFA645"/>
    <w:rsid w:val="4EB41CD5"/>
    <w:rsid w:val="5B4B62E3"/>
    <w:rsid w:val="5E7FDB28"/>
    <w:rsid w:val="5EBB1DFE"/>
    <w:rsid w:val="637CE79A"/>
    <w:rsid w:val="67DB42B0"/>
    <w:rsid w:val="6B452B0C"/>
    <w:rsid w:val="6B7F83E8"/>
    <w:rsid w:val="6D48A907"/>
    <w:rsid w:val="6DCDFDE6"/>
    <w:rsid w:val="6EF782A4"/>
    <w:rsid w:val="73FCAA9D"/>
    <w:rsid w:val="757F7B70"/>
    <w:rsid w:val="7BDDA700"/>
    <w:rsid w:val="7EF7B8BC"/>
    <w:rsid w:val="7F3CF544"/>
    <w:rsid w:val="7F478877"/>
    <w:rsid w:val="7F9A2454"/>
    <w:rsid w:val="7F9FA7A9"/>
    <w:rsid w:val="7FEFCFF2"/>
    <w:rsid w:val="7FFDEBAF"/>
    <w:rsid w:val="7FFFB4E2"/>
    <w:rsid w:val="94EBCBEE"/>
    <w:rsid w:val="B3B2E1AB"/>
    <w:rsid w:val="BCFFF28F"/>
    <w:rsid w:val="BF673279"/>
    <w:rsid w:val="BF8FBB64"/>
    <w:rsid w:val="CCFD1948"/>
    <w:rsid w:val="DC7F919B"/>
    <w:rsid w:val="DF8F73A3"/>
    <w:rsid w:val="EEEDFBBB"/>
    <w:rsid w:val="EF9FA715"/>
    <w:rsid w:val="EFCB276F"/>
    <w:rsid w:val="EFF587E4"/>
    <w:rsid w:val="EFFFD6C4"/>
    <w:rsid w:val="F1D7C56E"/>
    <w:rsid w:val="F5EECA39"/>
    <w:rsid w:val="F6FFD61B"/>
    <w:rsid w:val="F73102E3"/>
    <w:rsid w:val="F7DFD11D"/>
    <w:rsid w:val="F7ED98F4"/>
    <w:rsid w:val="F87FE14E"/>
    <w:rsid w:val="FBB512BB"/>
    <w:rsid w:val="FBBDDD7A"/>
    <w:rsid w:val="FC77946E"/>
    <w:rsid w:val="FDF727EC"/>
    <w:rsid w:val="FE9C122E"/>
    <w:rsid w:val="FEFF9FBA"/>
    <w:rsid w:val="FFB5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spacing w:before="260" w:after="260" w:line="416" w:lineRule="auto"/>
      <w:outlineLvl w:val="2"/>
    </w:pPr>
    <w:rPr>
      <w:b/>
      <w:sz w:val="32"/>
      <w:szCs w:val="32"/>
    </w:rPr>
  </w:style>
  <w:style w:type="paragraph" w:styleId="7">
    <w:name w:val="heading 4"/>
    <w:basedOn w:val="1"/>
    <w:next w:val="1"/>
    <w:qFormat/>
    <w:uiPriority w:val="9"/>
    <w:pPr>
      <w:keepNext/>
      <w:jc w:val="center"/>
      <w:outlineLvl w:val="3"/>
    </w:pPr>
    <w:rPr>
      <w:rFonts w:eastAsia="新宋体"/>
      <w:sz w:val="30"/>
      <w:szCs w:val="21"/>
    </w:rPr>
  </w:style>
  <w:style w:type="paragraph" w:styleId="8">
    <w:name w:val="heading 5"/>
    <w:basedOn w:val="1"/>
    <w:next w:val="1"/>
    <w:qFormat/>
    <w:uiPriority w:val="9"/>
    <w:pPr>
      <w:widowControl/>
      <w:spacing w:before="100" w:beforeAutospacing="1" w:after="100" w:afterAutospacing="1"/>
      <w:jc w:val="left"/>
      <w:outlineLvl w:val="4"/>
    </w:pPr>
    <w:rPr>
      <w:rFonts w:ascii="宋体" w:hAnsi="宋体"/>
      <w:b/>
      <w:kern w:val="0"/>
      <w:sz w:val="2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1"/>
    <w:rPr>
      <w:rFonts w:ascii="宋体" w:hAnsi="宋体" w:cs="宋体"/>
      <w:sz w:val="24"/>
      <w:lang w:val="zh-CN" w:bidi="zh-CN"/>
    </w:rPr>
  </w:style>
  <w:style w:type="paragraph" w:styleId="5">
    <w:name w:val="toc 8"/>
    <w:basedOn w:val="1"/>
    <w:next w:val="1"/>
    <w:qFormat/>
    <w:uiPriority w:val="39"/>
    <w:pPr>
      <w:ind w:left="1470"/>
      <w:jc w:val="left"/>
    </w:pPr>
    <w:rPr>
      <w:rFonts w:ascii="Calibri" w:hAnsi="Calibri" w:cs="宋体"/>
      <w:sz w:val="18"/>
      <w:szCs w:val="18"/>
    </w:rPr>
  </w:style>
  <w:style w:type="paragraph" w:styleId="9">
    <w:name w:val="Normal Indent"/>
    <w:basedOn w:val="1"/>
    <w:qFormat/>
    <w:uiPriority w:val="0"/>
    <w:pPr>
      <w:ind w:firstLine="420"/>
    </w:pPr>
    <w:rPr>
      <w:szCs w:val="20"/>
    </w:rPr>
  </w:style>
  <w:style w:type="paragraph" w:styleId="10">
    <w:name w:val="annotation text"/>
    <w:basedOn w:val="1"/>
    <w:link w:val="39"/>
    <w:qFormat/>
    <w:uiPriority w:val="0"/>
    <w:pPr>
      <w:jc w:val="left"/>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kern w:val="0"/>
      <w:sz w:val="20"/>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99"/>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kern w:val="0"/>
      <w:sz w:val="24"/>
    </w:rPr>
  </w:style>
  <w:style w:type="paragraph" w:styleId="17">
    <w:name w:val="Title"/>
    <w:basedOn w:val="1"/>
    <w:qFormat/>
    <w:uiPriority w:val="0"/>
    <w:pPr>
      <w:jc w:val="center"/>
    </w:pPr>
    <w:rPr>
      <w:b/>
      <w:bCs/>
      <w:sz w:val="36"/>
      <w:szCs w:val="20"/>
    </w:rPr>
  </w:style>
  <w:style w:type="paragraph" w:styleId="18">
    <w:name w:val="annotation subject"/>
    <w:basedOn w:val="10"/>
    <w:next w:val="10"/>
    <w:link w:val="40"/>
    <w:qFormat/>
    <w:uiPriority w:val="0"/>
    <w:rPr>
      <w:b/>
      <w:bCs/>
    </w:rPr>
  </w:style>
  <w:style w:type="paragraph" w:styleId="19">
    <w:name w:val="Body Text First Indent"/>
    <w:basedOn w:val="4"/>
    <w:qFormat/>
    <w:uiPriority w:val="0"/>
    <w:pPr>
      <w:tabs>
        <w:tab w:val="left" w:pos="567"/>
      </w:tabs>
      <w:ind w:firstLine="420" w:firstLineChars="100"/>
    </w:pPr>
  </w:style>
  <w:style w:type="paragraph" w:styleId="20">
    <w:name w:val="Body Text First Indent 2"/>
    <w:basedOn w:val="11"/>
    <w:next w:val="1"/>
    <w:semiHidden/>
    <w:unhideWhenUsed/>
    <w:qFormat/>
    <w:uiPriority w:val="99"/>
    <w:pPr>
      <w:ind w:firstLine="420" w:firstLineChars="200"/>
    </w:p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sz w:val="21"/>
      <w:szCs w:val="21"/>
    </w:rPr>
  </w:style>
  <w:style w:type="paragraph" w:customStyle="1" w:styleId="25">
    <w:name w:val="style4"/>
    <w:basedOn w:val="1"/>
    <w:next w:val="26"/>
    <w:qFormat/>
    <w:uiPriority w:val="0"/>
    <w:pPr>
      <w:widowControl/>
      <w:spacing w:before="280" w:after="280"/>
    </w:pPr>
    <w:rPr>
      <w:rFonts w:ascii="宋体"/>
      <w:sz w:val="18"/>
    </w:rPr>
  </w:style>
  <w:style w:type="paragraph" w:customStyle="1" w:styleId="26">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character" w:customStyle="1" w:styleId="32">
    <w:name w:val="15"/>
    <w:basedOn w:val="23"/>
    <w:qFormat/>
    <w:uiPriority w:val="0"/>
    <w:rPr>
      <w:rFonts w:hint="default" w:ascii="Times New Roman" w:hAnsi="Times New Roman" w:cs="Times New Roman"/>
    </w:rPr>
  </w:style>
  <w:style w:type="paragraph" w:customStyle="1" w:styleId="33">
    <w:name w:val="列出段落1"/>
    <w:basedOn w:val="1"/>
    <w:qFormat/>
    <w:uiPriority w:val="99"/>
    <w:pPr>
      <w:ind w:firstLine="420" w:firstLineChars="200"/>
    </w:pPr>
  </w:style>
  <w:style w:type="paragraph" w:styleId="34">
    <w:name w:val="List Paragraph"/>
    <w:basedOn w:val="1"/>
    <w:qFormat/>
    <w:uiPriority w:val="34"/>
    <w:pPr>
      <w:ind w:firstLine="420" w:firstLineChars="200"/>
    </w:pPr>
  </w:style>
  <w:style w:type="paragraph" w:customStyle="1" w:styleId="35">
    <w:name w:val="正文首行缩进 21"/>
    <w:basedOn w:val="11"/>
    <w:unhideWhenUsed/>
    <w:qFormat/>
    <w:uiPriority w:val="99"/>
    <w:pPr>
      <w:ind w:firstLine="200" w:firstLineChars="200"/>
    </w:pPr>
  </w:style>
  <w:style w:type="character" w:customStyle="1" w:styleId="36">
    <w:name w:val="apple-style-span"/>
    <w:basedOn w:val="23"/>
    <w:qFormat/>
    <w:uiPriority w:val="99"/>
    <w:rPr>
      <w:rFonts w:cs="Times New Roman"/>
    </w:rPr>
  </w:style>
  <w:style w:type="paragraph" w:customStyle="1" w:styleId="37">
    <w:name w:val="p0"/>
    <w:basedOn w:val="1"/>
    <w:qFormat/>
    <w:uiPriority w:val="0"/>
    <w:pPr>
      <w:widowControl/>
    </w:pPr>
    <w:rPr>
      <w:rFonts w:ascii="Calibri" w:hAnsi="Calibri"/>
      <w:kern w:val="0"/>
      <w:szCs w:val="20"/>
    </w:rPr>
  </w:style>
  <w:style w:type="paragraph" w:customStyle="1" w:styleId="3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9">
    <w:name w:val="批注文字 字符"/>
    <w:basedOn w:val="23"/>
    <w:link w:val="10"/>
    <w:qFormat/>
    <w:uiPriority w:val="0"/>
    <w:rPr>
      <w:kern w:val="2"/>
      <w:sz w:val="21"/>
      <w:szCs w:val="24"/>
    </w:rPr>
  </w:style>
  <w:style w:type="character" w:customStyle="1" w:styleId="40">
    <w:name w:val="批注主题 字符"/>
    <w:basedOn w:val="39"/>
    <w:link w:val="18"/>
    <w:qFormat/>
    <w:uiPriority w:val="0"/>
    <w:rPr>
      <w:b/>
      <w:bCs/>
      <w:kern w:val="2"/>
      <w:sz w:val="21"/>
      <w:szCs w:val="24"/>
    </w:rPr>
  </w:style>
  <w:style w:type="paragraph" w:customStyle="1" w:styleId="41">
    <w:name w:val="null3"/>
    <w:qFormat/>
    <w:uiPriority w:val="0"/>
    <w:rPr>
      <w:rFonts w:hint="eastAsia" w:ascii="Calibri" w:hAnsi="Calibri" w:eastAsia="宋体" w:cs="Times New Roman"/>
      <w:lang w:val="en-US" w:eastAsia="zh-Hans" w:bidi="ar-SA"/>
    </w:rPr>
  </w:style>
  <w:style w:type="paragraph" w:customStyle="1" w:styleId="42">
    <w:name w:val="表 靠左"/>
    <w:basedOn w:val="1"/>
    <w:qFormat/>
    <w:uiPriority w:val="0"/>
    <w:pPr>
      <w:jc w:val="left"/>
    </w:pPr>
    <w:rPr>
      <w:rFonts w:ascii="宋体" w:hAnsi="宋体" w:eastAsia="宋体" w:cs="Times New Roman"/>
      <w:szCs w:val="21"/>
    </w:rPr>
  </w:style>
  <w:style w:type="paragraph" w:customStyle="1" w:styleId="43">
    <w:name w:val="目录"/>
    <w:basedOn w:val="1"/>
    <w:qFormat/>
    <w:uiPriority w:val="0"/>
    <w:pPr>
      <w:spacing w:line="360" w:lineRule="auto"/>
      <w:jc w:val="left"/>
    </w:pPr>
    <w:rPr>
      <w:rFonts w:cs="Times New Roman"/>
      <w:szCs w:val="21"/>
    </w:rPr>
  </w:style>
  <w:style w:type="paragraph" w:customStyle="1" w:styleId="44">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2887</Words>
  <Characters>16457</Characters>
  <Lines>137</Lines>
  <Paragraphs>38</Paragraphs>
  <TotalTime>4</TotalTime>
  <ScaleCrop>false</ScaleCrop>
  <LinksUpToDate>false</LinksUpToDate>
  <CharactersWithSpaces>19306</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2023-12-19T01:22:00Z</dcterms:created>
  <dc:creator>玲玲</dc:creator>
  <cp:lastModifiedBy>玲玲</cp:lastModifiedBy>
  <dcterms:modified xsi:type="dcterms:W3CDTF">2024-12-10T09:55:44Z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6AADA9E754974277B6C5704684C585FC_13</vt:lpwstr>
  </property>
</Properties>
</file>