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C6330">
      <w:pPr>
        <w:snapToGrid w:val="0"/>
        <w:spacing w:line="420" w:lineRule="exact"/>
        <w:ind w:firstLine="643" w:firstLineChars="200"/>
        <w:jc w:val="center"/>
        <w:outlineLvl w:val="1"/>
        <w:rPr>
          <w:rFonts w:hint="eastAsia" w:ascii="宋体" w:hAnsi="宋体" w:eastAsia="宋体" w:cs="宋体"/>
          <w:b/>
          <w:w w:val="80"/>
          <w:sz w:val="24"/>
          <w:szCs w:val="24"/>
          <w:highlight w:val="none"/>
        </w:rPr>
      </w:pPr>
      <w:r>
        <w:rPr>
          <w:rFonts w:hint="eastAsia" w:ascii="宋体" w:hAnsi="宋体" w:eastAsia="宋体" w:cs="宋体"/>
          <w:b/>
          <w:bCs/>
          <w:sz w:val="32"/>
          <w:szCs w:val="32"/>
          <w:highlight w:val="none"/>
        </w:rPr>
        <w:t>项目需求</w:t>
      </w:r>
    </w:p>
    <w:p w14:paraId="3075E102">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供应商在制作响应文件时仔细研究项目需求说明。项目需求包括技术要求和商务要求</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技术要求是指对采购标的功能和质量要求，包括性能、材料、结构、外观、安全，或者服务内容和标准等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商务要求是指取得采购标的的时间、地点、财务和服务要求，包括交付（实施）的时间（期限）和地点（范围），付款条件（进度和方法），包装和运输，售后服务，保险等。</w:t>
      </w:r>
    </w:p>
    <w:p w14:paraId="3545E8E3">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56041A2A">
      <w:pPr>
        <w:adjustRightInd w:val="0"/>
        <w:snapToGrid w:val="0"/>
        <w:spacing w:line="4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一、采购标的需实现的功能或者目标，以及为落实采购政策需满足的要求</w:t>
      </w:r>
      <w:r>
        <w:rPr>
          <w:rFonts w:hint="eastAsia" w:ascii="宋体" w:hAnsi="宋体" w:eastAsia="宋体" w:cs="宋体"/>
          <w:b/>
          <w:bCs/>
          <w:sz w:val="24"/>
          <w:szCs w:val="24"/>
          <w:highlight w:val="none"/>
          <w:lang w:eastAsia="zh-CN"/>
        </w:rPr>
        <w:t>：</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353"/>
        <w:gridCol w:w="1823"/>
        <w:gridCol w:w="2465"/>
        <w:gridCol w:w="7573"/>
        <w:gridCol w:w="934"/>
        <w:gridCol w:w="494"/>
      </w:tblGrid>
      <w:tr w14:paraId="1754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5B14D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单间普通教室家具布置清单（共有6间）</w:t>
            </w:r>
          </w:p>
        </w:tc>
      </w:tr>
      <w:tr w14:paraId="2D71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66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30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名称</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A4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示意图片</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1C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D7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技术参数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98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单间数量</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1D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r>
      <w:tr w14:paraId="1645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83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04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教师工位（含屏风，边柜）</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5D8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bookmarkStart w:id="1" w:name="_GoBack"/>
            <w:r>
              <w:rPr>
                <w:rFonts w:hint="eastAsia" w:ascii="宋体" w:hAnsi="宋体" w:eastAsia="宋体" w:cs="宋体"/>
                <w:b/>
                <w:bCs/>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-102870</wp:posOffset>
                  </wp:positionV>
                  <wp:extent cx="1017905" cy="746760"/>
                  <wp:effectExtent l="0" t="0" r="3175" b="0"/>
                  <wp:wrapNone/>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4"/>
                          <a:stretch>
                            <a:fillRect/>
                          </a:stretch>
                        </pic:blipFill>
                        <pic:spPr>
                          <a:xfrm>
                            <a:off x="0" y="0"/>
                            <a:ext cx="1017905" cy="746760"/>
                          </a:xfrm>
                          <a:prstGeom prst="rect">
                            <a:avLst/>
                          </a:prstGeom>
                          <a:noFill/>
                          <a:ln>
                            <a:noFill/>
                          </a:ln>
                        </pic:spPr>
                      </pic:pic>
                    </a:graphicData>
                  </a:graphic>
                </wp:anchor>
              </w:drawing>
            </w:r>
            <w:bookmarkEnd w:id="1"/>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1D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1500*360/1000*600*1100mm</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83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1、基材：采用Enf级环保实木多层板基材，三聚氰胺浸纸饰面，宜清洗、 防划痕，承重力强，尺寸稳定性好，经防潮、防虫、防腐处理，强度高、刚性好、不变形。▲多层板符合GB/T 9846-2016《普通胶合板》、GB/T 39600-2021《人造板及其制品甲醛释放量分级》、GB/T 35601-2017《绿色产品评价 人造板和木质地板》、HJ 571-2010《环境标志产品技术要求 人造板及其制品》、GB 18584-2001《室内装饰装修材料 木家具中有害物质限量》、GB 8624-2012《建筑材料及制品燃烧性能分级》；甲醛释放量≤0.014mg/m³达到ENF 级；挥发性有机化合物(72h)：苯、甲苯未检出、二甲苯≤16μg/m³、总挥发性有机化合物TVOC≤71μg/m³；供货验收时提供本次产品带有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2、工艺：所有板件均双贴面、封四边，所有外部封边采用与板材颜色、纹理配套的优质激光封边条封边， 甲醛释放量未检出；封边条符合QB/T 4463-2013《家具用封边条技术要求》和 GB 28481-2012《塑料家具中有害物质限量》标准，表面应光滑，花纹应清晰、均匀，无漏印；耐开裂性达到1级；耐光色牢度大于4级；有害物质限量-塑料封边条-甲醛释放量未检出；有害物质限量-塑料封边条未检出；有害物质限量-塑料封边条-邻苯二甲酸酯的总量未检出；多溴联苯（PBB）未检出；多溴联苯醚未检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3、胶粘剂：采用优质胶粘剂；符合GB 18583-2008《室内装饰装修材料 胶粘剂中有害物质限量》；游离甲醛未检出；苯未检出；甲苯+二甲苯未检出；总挥发性有机物≤52mg/L。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桌面深度600mm，保证办公空间的充足；侧柜宽350mm，长3000mm，高度1100；，保护教师隐私，屏风高度1100mm，与侧柜齐平，宽度40mm，铝合金边框，表面应光滑，无毛刺，结实承重强；屏风采用上屏≥20cm磨砂条纹钢化玻璃，厚度≥3mm，便于教师监管班级秩序，下屏是双饰面浸渍胶膜纸饰面板，铝合金边框，边框阳角处固定柜脚防撞角，防止学生磕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5、采用连接件、紧固件、螺丝等优质五金件进行连接，五金件连接紧密，无杂音，无松动。</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1B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8B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14:paraId="59AD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9"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CE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9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教师工位椅</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C0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237490</wp:posOffset>
                  </wp:positionV>
                  <wp:extent cx="970280" cy="1601470"/>
                  <wp:effectExtent l="0" t="0" r="5080" b="1397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5"/>
                          <a:stretch>
                            <a:fillRect/>
                          </a:stretch>
                        </pic:blipFill>
                        <pic:spPr>
                          <a:xfrm>
                            <a:off x="0" y="0"/>
                            <a:ext cx="970280" cy="1601470"/>
                          </a:xfrm>
                          <a:prstGeom prst="rect">
                            <a:avLst/>
                          </a:prstGeom>
                          <a:noFill/>
                          <a:ln>
                            <a:noFill/>
                          </a:ln>
                        </pic:spPr>
                      </pic:pic>
                    </a:graphicData>
                  </a:graphic>
                </wp:anchor>
              </w:drawing>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53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【整椅尺寸：D深*W宽*H高±10mm】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D（575-615)*W（655-680）*H（1165-1255）</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0E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面料：采用优质透气网布面料，▲无异味；甲醛含量，A类未检出。pH值A类5.0，染色牢度（耐水、耐酸汗渍、耐碱汗渍、耐干摩擦、耐唾液）均≥4级；阻燃Ⅱ级。可萃取重金属六价铬未检出；可分解致癌芳香胺染料（禁用）未检出。符合GB 18401-2010《国家纺织产品基本安全技术规范》、GB/T 18885-2020《生态纺织品技术要求》、QB/T 1952.1-2012《软体家具 沙发》。供货验收时提供本次产品带有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2、海绵：座垫使用高密度定型海绵，▲符合GB/T 10802-2006《通用软质聚醚型聚氨酯泡沫塑料》、GB 17927.2-2011《软体家具 床垫和沙发 抗引燃特性的评定 第 2 部分：模拟火柴火焰》、QB/T 1952.1-2012《软体家具 沙发》、QB/T 2280-2016《办公家具 办公椅》。供货验收时提供本次产品带有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3、座板：环保实木多层板，中间有气孔，厚度 12 毫米,含水率符合要求，抗压性能无破损，无断裂，不脱胶，无异常声响。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4、底盘：根据人体重量自动调节舒适度，无需调节弹簧旋钮,采用2.5MM加厚钢板，倾仰角度135度，自负重线控4档锁定倾仰机构底盘。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5、气压棒：采用气压棒，升降自如，符合据 QB/T 2280-2016《办公家具 办公椅》和 GB/T 29525-2013 《座椅升降气弹簧 技术条件》；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6、五星脚：采用一次冲压成型钢脚。镀镍处理。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7、椅轮：优质尼龙脚轮，活动自如</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6E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61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14:paraId="7F5E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8"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6A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8A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沙发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E4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1033145</wp:posOffset>
                  </wp:positionV>
                  <wp:extent cx="974090" cy="701040"/>
                  <wp:effectExtent l="0" t="0" r="1270" b="0"/>
                  <wp:wrapNone/>
                  <wp:docPr id="9" name="图片_13"/>
                  <wp:cNvGraphicFramePr/>
                  <a:graphic xmlns:a="http://schemas.openxmlformats.org/drawingml/2006/main">
                    <a:graphicData uri="http://schemas.openxmlformats.org/drawingml/2006/picture">
                      <pic:pic xmlns:pic="http://schemas.openxmlformats.org/drawingml/2006/picture">
                        <pic:nvPicPr>
                          <pic:cNvPr id="9" name="图片_13"/>
                          <pic:cNvPicPr/>
                        </pic:nvPicPr>
                        <pic:blipFill>
                          <a:blip r:embed="rId6"/>
                          <a:stretch>
                            <a:fillRect/>
                          </a:stretch>
                        </pic:blipFill>
                        <pic:spPr>
                          <a:xfrm>
                            <a:off x="0" y="0"/>
                            <a:ext cx="974090" cy="701040"/>
                          </a:xfrm>
                          <a:prstGeom prst="rect">
                            <a:avLst/>
                          </a:prstGeom>
                          <a:noFill/>
                          <a:ln>
                            <a:noFill/>
                          </a:ln>
                        </pic:spPr>
                      </pic:pic>
                    </a:graphicData>
                  </a:graphic>
                </wp:anchor>
              </w:drawing>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F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1400*800</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79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1、采用优质超纤皮无疤痕、无结瘤，厚度一致适中，柔软手感好，不掉色和脱漆。▲符合 GB/T 16799-2018《家具用皮革》标准；摩擦色牢度（干擦、湿擦、碱性汗液）均≥4级；耐光性≥5级；涂层黏着牢度：干态≥11.4N/10mm，湿态≥10.7N/10mm；耐折牢度50000次无裂痕；耐磨性符合要求；撕裂力≥39.5N；ph≥8.2；禁用偶氮染料未检出；游离甲醛未检出；挥发性有机物≤36mg/kg。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2、缝韧和包履要求：平服饱满、无皱折，松紧均匀无松弛，工艺缝线对称均匀，嵌线圆弧处圆滑顺直。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3、海棉：座垫使用高密度定型海绵，符合GB/T 10802-2006《通用软质聚醚型聚氨酯泡沫塑料》、GB 17927.2-2011《软体家具 床垫和沙发 抗引燃特性的评定 第 2 部分：模拟火柴火焰》、QB/T 1952.1-2012《软体家具 沙发》、QB/T 2280-2016《办公家具 办公椅》。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4、框架：优质实木，必须经过干燥、防腐、防虫处理，木材含水率符合国家标准。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5、实木沙发脚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6、沙发颜色可选。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7、产品符合国家标准。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FF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94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r>
      <w:tr w14:paraId="1848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0"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92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F8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台盆（带柜）</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BC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76835</wp:posOffset>
                  </wp:positionH>
                  <wp:positionV relativeFrom="paragraph">
                    <wp:posOffset>1529080</wp:posOffset>
                  </wp:positionV>
                  <wp:extent cx="1080770" cy="709295"/>
                  <wp:effectExtent l="0" t="0" r="1270" b="6985"/>
                  <wp:wrapNone/>
                  <wp:docPr id="6" name="图片_8"/>
                  <wp:cNvGraphicFramePr/>
                  <a:graphic xmlns:a="http://schemas.openxmlformats.org/drawingml/2006/main">
                    <a:graphicData uri="http://schemas.openxmlformats.org/drawingml/2006/picture">
                      <pic:pic xmlns:pic="http://schemas.openxmlformats.org/drawingml/2006/picture">
                        <pic:nvPicPr>
                          <pic:cNvPr id="6" name="图片_8"/>
                          <pic:cNvPicPr/>
                        </pic:nvPicPr>
                        <pic:blipFill>
                          <a:blip r:embed="rId7"/>
                          <a:stretch>
                            <a:fillRect/>
                          </a:stretch>
                        </pic:blipFill>
                        <pic:spPr>
                          <a:xfrm>
                            <a:off x="0" y="0"/>
                            <a:ext cx="1080770" cy="70929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92075</wp:posOffset>
                  </wp:positionH>
                  <wp:positionV relativeFrom="paragraph">
                    <wp:posOffset>243840</wp:posOffset>
                  </wp:positionV>
                  <wp:extent cx="1065530" cy="928370"/>
                  <wp:effectExtent l="0" t="0" r="1270" b="1270"/>
                  <wp:wrapNone/>
                  <wp:docPr id="4" name="图片_11"/>
                  <wp:cNvGraphicFramePr/>
                  <a:graphic xmlns:a="http://schemas.openxmlformats.org/drawingml/2006/main">
                    <a:graphicData uri="http://schemas.openxmlformats.org/drawingml/2006/picture">
                      <pic:pic xmlns:pic="http://schemas.openxmlformats.org/drawingml/2006/picture">
                        <pic:nvPicPr>
                          <pic:cNvPr id="4" name="图片_11"/>
                          <pic:cNvPicPr/>
                        </pic:nvPicPr>
                        <pic:blipFill>
                          <a:blip r:embed="rId8"/>
                          <a:stretch>
                            <a:fillRect/>
                          </a:stretch>
                        </pic:blipFill>
                        <pic:spPr>
                          <a:xfrm>
                            <a:off x="0" y="0"/>
                            <a:ext cx="1065530" cy="92837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2419350</wp:posOffset>
                  </wp:positionV>
                  <wp:extent cx="1061720" cy="1083945"/>
                  <wp:effectExtent l="0" t="0" r="5080" b="13335"/>
                  <wp:wrapNone/>
                  <wp:docPr id="7" name="图片_7"/>
                  <wp:cNvGraphicFramePr/>
                  <a:graphic xmlns:a="http://schemas.openxmlformats.org/drawingml/2006/main">
                    <a:graphicData uri="http://schemas.openxmlformats.org/drawingml/2006/picture">
                      <pic:pic xmlns:pic="http://schemas.openxmlformats.org/drawingml/2006/picture">
                        <pic:nvPicPr>
                          <pic:cNvPr id="7" name="图片_7"/>
                          <pic:cNvPicPr/>
                        </pic:nvPicPr>
                        <pic:blipFill>
                          <a:blip r:embed="rId9"/>
                          <a:stretch>
                            <a:fillRect/>
                          </a:stretch>
                        </pic:blipFill>
                        <pic:spPr>
                          <a:xfrm>
                            <a:off x="0" y="0"/>
                            <a:ext cx="1061720" cy="1083945"/>
                          </a:xfrm>
                          <a:prstGeom prst="rect">
                            <a:avLst/>
                          </a:prstGeom>
                          <a:noFill/>
                          <a:ln>
                            <a:noFill/>
                          </a:ln>
                        </pic:spPr>
                      </pic:pic>
                    </a:graphicData>
                  </a:graphic>
                </wp:anchor>
              </w:drawing>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DE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1400*550*700</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F4C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台盆：1.优质亚克力面材一体式台盆，厚度≥150mm，极简超大盆胆，光滑易清洁,边角倒圆。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2.采用斜坡隐藏式排水设计，节省空间，不积水。台盆边缘进行精细打磨，制面平整，边角导圆弧，防止学生磕碰。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3.承重≥300kg，较高的抗压能力</w:t>
            </w:r>
            <w:r>
              <w:rPr>
                <w:rFonts w:hint="default" w:ascii="Times New Roman" w:hAnsi="Times New Roman" w:eastAsia="宋体" w:cs="Times New Roman"/>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力学性能：抗压强度：≥70MPa，能够承受日常放置洗漱用品等产生的压力，以及偶尔可能出现的外力撞击，保证洗手台水池结构完整，不会轻易破裂对使用者造成伤害。抗弯强度：≥40MPa，避免在长期使用过程中，由于受力不均等情况导致台面弯曲变形，影响正常使用和美观。冲击强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4.耐磨性符合GB/T 3810标准，达到6级及以上</w:t>
            </w:r>
            <w:r>
              <w:rPr>
                <w:rFonts w:hint="default" w:ascii="Times New Roman" w:hAnsi="Times New Roman" w:eastAsia="宋体" w:cs="Times New Roman"/>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5.接缝处密封良好，无渗漏，表面粗糙度 Ra≤0.2μm，污渍、水渍等不易附着，使用普通清洁剂和湿布就能轻松擦拭干净，减少细菌、污垢的残留，保持水池清洁卫生。。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柜体：1.采用厚度≥18mm的Enf级环保实木多层板基材，三聚氰胺浸纸饰面，宜清洗、 防划痕，承重力强，尺寸稳定性好，经防潮、防虫、防腐处理，强度高、刚性好、不变形。▲多层板符合GB/T 9846-2016《普通胶合板》、GB/T 39600-2021《人造板及其制品甲醛释放量分级》、GB/T 35601-2017《绿色产品评价 人造板和木质地板》、HJ 571-2010《环境标志产品技术要求 人造板及其制品》、GB 18584-2001《室内装饰装修材料 木家具中有害物质限量》、GB 8624-2012《建筑材料及制品燃烧性能分级》。垂直度偏差≤0.3mm/m；边缘直度偏差长度、宽度均≤0.3mm/m；含水率Ⅲ类符合要求；胶合强度符合要求；浸渍剥离符合要求；静曲强度符合要求；弹性模量符合要求；甲醛释放量≤0.014mg/m³达到ENF 级；挥发性有机化合物(72h)：苯、甲苯未检出、二甲苯≤16μg/m³、总挥发性有机化合物TVOC≤71μg/m³；。供货验收时提供本次产品带有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2、工艺：所有板件均双贴面、封四边，所有外部封边采用与板材颜色、纹理配套的优质激光封边条封边， 甲醛释放量未检出；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48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06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1179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3"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17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06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水龙头</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2C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76835</wp:posOffset>
                  </wp:positionH>
                  <wp:positionV relativeFrom="paragraph">
                    <wp:posOffset>200025</wp:posOffset>
                  </wp:positionV>
                  <wp:extent cx="889000" cy="925830"/>
                  <wp:effectExtent l="0" t="0" r="10160" b="381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0"/>
                          <a:stretch>
                            <a:fillRect/>
                          </a:stretch>
                        </pic:blipFill>
                        <pic:spPr>
                          <a:xfrm>
                            <a:off x="0" y="0"/>
                            <a:ext cx="889000" cy="925830"/>
                          </a:xfrm>
                          <a:prstGeom prst="rect">
                            <a:avLst/>
                          </a:prstGeom>
                          <a:noFill/>
                          <a:ln>
                            <a:noFill/>
                          </a:ln>
                        </pic:spPr>
                      </pic:pic>
                    </a:graphicData>
                  </a:graphic>
                </wp:anchor>
              </w:drawing>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8D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195*160*120</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9C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1.全铜，优质陶瓷阀芯，表面PVD电镀，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2.精选优质环保黄铜原材料无铅标准，远离铅毒害，保证用水安全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3.表面PVD电镀，坚硬防刮，持久耐用，特强抗性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4.手柄灵活，符合人体工程学，方便操作，高端简约格调，极简和轻奢的融合，摒除繁琐装饰，最求别具一个设计质感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4.气泡式柔和出水，流量稳定不飞溅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5.加长出水嘴，方便孩子使用，避免水溅落在面盆周围</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8F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9A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r w14:paraId="2434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9"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AB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66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书包柜（48格）</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E0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wp:posOffset>
                  </wp:positionH>
                  <wp:positionV relativeFrom="paragraph">
                    <wp:posOffset>-352425</wp:posOffset>
                  </wp:positionV>
                  <wp:extent cx="1117600" cy="989330"/>
                  <wp:effectExtent l="0" t="0" r="10160" b="127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r:embed="rId11"/>
                          <a:stretch>
                            <a:fillRect/>
                          </a:stretch>
                        </pic:blipFill>
                        <pic:spPr>
                          <a:xfrm>
                            <a:off x="0" y="0"/>
                            <a:ext cx="1117600" cy="989330"/>
                          </a:xfrm>
                          <a:prstGeom prst="rect">
                            <a:avLst/>
                          </a:prstGeom>
                          <a:noFill/>
                          <a:ln>
                            <a:noFill/>
                          </a:ln>
                        </pic:spPr>
                      </pic:pic>
                    </a:graphicData>
                  </a:graphic>
                </wp:anchor>
              </w:drawing>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85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7300*600*1200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（16格*3排）</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3E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1、基材：采用Enf级环保实木多层板基材，三聚氰胺浸纸饰面，宜清洗、 防划痕，承重力强，尺寸稳定性好，经防潮、防虫、防腐处理，强度高、刚性好、不变形。▲多层板符合GB/T 9846-2016《普通胶合板》、GB/T 39600-2021《人造板及其制品甲醛释放量分级》、GB/T 35601-2017《绿色产品评价 人造板和木质地板》、HJ 571-2010《环境标志产品技术要求 人造板及其制品》、GB 18584-2001《室内装饰装修材料 木家具中有害物质限量》、GB 8624-2012《建筑材料及制品燃烧性能分级》；甲醛释放量≤0.014mg/m³达到ENF 级；挥发性有机化合物(72h)：苯、甲苯未检出、二甲苯≤16μg/m³、总挥发性有机化合物TVOC≤71μg/m³；供货验收时提供本次产品带有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2、工艺：所有板件均双贴面、封四边，所有外部封边采用与板材颜色、纹理配套的优质激光封边条封边， 甲醛释放量未检出；封边条符合QB/T 4463-2013《家具用封边条技术要求》和 GB 28481-2012《塑料家具中有害物质限量》标准，表面应光滑，花纹应清晰、均匀，无漏印；耐开裂性达到1级；耐光色牢度大于4级；有害物质限量-塑料封边条-甲醛释放量未检出；有害物质限量-塑料封边条未检出；有害物质限量-塑料封边条-邻苯二甲酸酯的总量未检出；多溴联苯（PBB）未检出；多溴联苯醚未检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3、胶粘剂：采用优质胶粘剂；符合GB 18583-2008《室内装饰装修材料 胶粘剂中有害物质限量》；游离甲醛未检出；苯未检出；甲苯+二甲苯未检出；总挥发性有机物≤52mg/L。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4、采用连接件、紧固件、螺丝等优质五金件进行连接，五金件连接紧密，无杂音，无松动。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5、柜顶配≥15mm厚石英石（抗渗透），20mm挂边，防水防滑</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53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47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r>
      <w:tr w14:paraId="36F7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1"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5C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B3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定制造型后墙柜</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90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934720</wp:posOffset>
                  </wp:positionV>
                  <wp:extent cx="1109345" cy="671195"/>
                  <wp:effectExtent l="0" t="0" r="3175" b="14605"/>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12"/>
                          <a:stretch>
                            <a:fillRect/>
                          </a:stretch>
                        </pic:blipFill>
                        <pic:spPr>
                          <a:xfrm>
                            <a:off x="0" y="0"/>
                            <a:ext cx="1109345" cy="671195"/>
                          </a:xfrm>
                          <a:prstGeom prst="rect">
                            <a:avLst/>
                          </a:prstGeom>
                          <a:noFill/>
                          <a:ln>
                            <a:noFill/>
                          </a:ln>
                        </pic:spPr>
                      </pic:pic>
                    </a:graphicData>
                  </a:graphic>
                </wp:anchor>
              </w:drawing>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2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8600*400*3300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具体尺寸以现场为准，高度到顶</w:t>
            </w:r>
          </w:p>
        </w:tc>
        <w:tc>
          <w:tcPr>
            <w:tcW w:w="2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EE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1、基材：采用Enf级环保实木多层板基材，三聚氰胺浸纸饰面，宜清洗、 防划痕，承重力强，尺寸稳定性好，经防潮、防虫、防腐处理，强度高、刚性好、不变形。▲多层板符合GB/T 9846-2016《普通胶合板》、GB/T 39600-2021《人造板及其制品甲醛释放量分级》、GB/T 35601-2017《绿色产品评价 人造板和木质地板》、HJ 571-2010《环境标志产品技术要求 人造板及其制品》、GB 18584-2001《室内装饰装修材料 木家具中有害物质限量》、GB 8624-2012《建筑材料及制品燃烧性能分级》；甲醛释放量≤0.014mg/m³达到ENF 级；挥发性有机化合物(72h)：苯、甲苯未检出、二甲苯≤16μg/m³、总挥发性有机化合物TVOC≤71μg/m³；供货验收时提供本次产品带有 CMA 或CNAS 标识符合参数要求的检测报告。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2、工艺：所有板件均双贴面、封四边，所有外部封边采用与板材颜色、纹理配套的优质激光封边条封边， 甲醛释放量未检出；封边条符合QB/T 4463-2013《家具用封边条技术要求》和 GB 28481-2012《塑料家具中有害物质限量》标准，表面应光滑，花纹应清晰、均匀，无漏印；耐开裂性达到1级；耐光色牢度大于4级；有害物质限量-塑料封边条-甲醛释放量未检出；有害物质限量-塑料封边条未检出；有害物质限量-塑料封边条-邻苯二甲酸酯的总量未检出；多溴联苯（PBB）未检出；多溴联苯醚未检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3、胶粘剂：采用优质胶粘剂；符合GB 18583-2008《室内装饰装修材料 胶粘剂中有害物质限量》；游离甲醛未检出；苯未检出；甲苯+二甲苯未检出；总挥发性有机物≤52mg/L。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4、采用连接件、紧固件、螺丝等优质五金件进行连接，五金件连接紧密，无杂音，无松动。。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5、可配合嵌入式灯带安装，板材背面预留走线槽位，便于后期电气系统布设。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6、中标后深化设计，经业主确认后，方可生产。</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3F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A6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r>
    </w:tbl>
    <w:p w14:paraId="33B9AB46">
      <w:pPr>
        <w:adjustRightInd/>
        <w:snapToGrid w:val="0"/>
        <w:spacing w:line="360" w:lineRule="auto"/>
        <w:ind w:firstLine="0" w:firstLineChars="0"/>
        <w:jc w:val="left"/>
        <w:rPr>
          <w:rFonts w:hint="eastAsia" w:ascii="宋体" w:hAnsi="宋体" w:eastAsia="宋体" w:cs="宋体"/>
          <w:b/>
          <w:bCs/>
          <w:color w:val="auto"/>
          <w:sz w:val="24"/>
          <w:szCs w:val="24"/>
          <w:highlight w:val="none"/>
          <w:u w:val="thick" w:color="FF0000"/>
          <w:lang w:val="en-US" w:eastAsia="zh-CN"/>
        </w:rPr>
      </w:pPr>
    </w:p>
    <w:p w14:paraId="774FF684">
      <w:pPr>
        <w:adjustRightInd/>
        <w:snapToGrid w:val="0"/>
        <w:spacing w:line="360" w:lineRule="auto"/>
        <w:ind w:firstLine="0" w:firstLineChars="0"/>
        <w:jc w:val="left"/>
        <w:rPr>
          <w:rFonts w:hint="eastAsia" w:ascii="宋体" w:hAnsi="宋体" w:eastAsia="宋体" w:cs="宋体"/>
          <w:b/>
          <w:bCs/>
          <w:color w:val="auto"/>
          <w:sz w:val="24"/>
          <w:szCs w:val="24"/>
          <w:highlight w:val="none"/>
          <w:u w:val="thick" w:color="FF0000"/>
          <w:lang w:val="en-US" w:eastAsia="zh-CN"/>
        </w:rPr>
      </w:pPr>
    </w:p>
    <w:p w14:paraId="6A883189">
      <w:pPr>
        <w:adjustRightInd/>
        <w:snapToGrid w:val="0"/>
        <w:spacing w:line="360" w:lineRule="auto"/>
        <w:ind w:firstLine="0" w:firstLineChars="0"/>
        <w:jc w:val="left"/>
        <w:rPr>
          <w:rFonts w:hint="default" w:ascii="宋体" w:hAnsi="宋体" w:eastAsia="宋体" w:cs="宋体"/>
          <w:b/>
          <w:bCs/>
          <w:color w:val="auto"/>
          <w:sz w:val="24"/>
          <w:szCs w:val="24"/>
          <w:highlight w:val="none"/>
          <w:u w:val="thick" w:color="FF0000"/>
          <w:lang w:val="en-US" w:eastAsia="zh-CN"/>
        </w:rPr>
      </w:pPr>
      <w:r>
        <w:rPr>
          <w:rFonts w:hint="eastAsia" w:ascii="宋体" w:hAnsi="宋体" w:eastAsia="宋体" w:cs="宋体"/>
          <w:b/>
          <w:bCs/>
          <w:color w:val="auto"/>
          <w:sz w:val="24"/>
          <w:szCs w:val="24"/>
          <w:highlight w:val="none"/>
          <w:u w:val="thick" w:color="FF0000"/>
          <w:lang w:val="en-US" w:eastAsia="zh-CN"/>
        </w:rPr>
        <w:t>备注：</w:t>
      </w:r>
    </w:p>
    <w:p w14:paraId="5E66722A">
      <w:pPr>
        <w:numPr>
          <w:ilvl w:val="-1"/>
          <w:numId w:val="0"/>
        </w:numPr>
        <w:adjustRightInd/>
        <w:snapToGrid w:val="0"/>
        <w:spacing w:line="360" w:lineRule="auto"/>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u w:val="thick" w:color="FF0000"/>
        </w:rPr>
        <w:t>供应商承诺供货验收前提供：技术参数要求提供的佐证材料。以上材料如未按时提供、提供不全或资料不实的引起的一切后果由成交供应商承担。相关费用由成交供应商自理。商务技术文件中提供以上要求的承诺书并加盖公章（承诺书格式自拟），不提供承诺或承诺不符合要求视为无效</w:t>
      </w:r>
      <w:r>
        <w:rPr>
          <w:rFonts w:hint="eastAsia" w:ascii="宋体" w:hAnsi="宋体" w:eastAsia="宋体" w:cs="宋体"/>
          <w:b/>
          <w:bCs/>
          <w:color w:val="auto"/>
          <w:sz w:val="24"/>
          <w:szCs w:val="24"/>
          <w:highlight w:val="none"/>
          <w:u w:val="thick" w:color="FF0000"/>
          <w:lang w:val="en-US" w:eastAsia="zh-CN"/>
        </w:rPr>
        <w:t>投标</w:t>
      </w:r>
      <w:r>
        <w:rPr>
          <w:rFonts w:hint="eastAsia" w:ascii="宋体" w:hAnsi="宋体" w:eastAsia="宋体" w:cs="宋体"/>
          <w:b/>
          <w:bCs/>
          <w:color w:val="auto"/>
          <w:sz w:val="24"/>
          <w:szCs w:val="24"/>
          <w:highlight w:val="none"/>
          <w:u w:val="thick" w:color="FF0000"/>
        </w:rPr>
        <w:t>文件。</w:t>
      </w:r>
    </w:p>
    <w:p w14:paraId="103AC9FB">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353F7404">
      <w:pPr>
        <w:adjustRightInd w:val="0"/>
        <w:snapToGrid w:val="0"/>
        <w:spacing w:line="460" w:lineRule="exact"/>
        <w:ind w:firstLine="482" w:firstLineChars="200"/>
        <w:rPr>
          <w:rFonts w:hint="eastAsia" w:ascii="宋体" w:hAnsi="宋体" w:eastAsia="宋体" w:cs="宋体"/>
          <w:b/>
          <w:bCs/>
          <w:sz w:val="24"/>
          <w:szCs w:val="24"/>
          <w:highlight w:val="none"/>
        </w:rPr>
        <w:sectPr>
          <w:pgSz w:w="16838" w:h="11906" w:orient="landscape"/>
          <w:pgMar w:top="1417" w:right="1134" w:bottom="1417" w:left="850" w:header="851" w:footer="176" w:gutter="0"/>
          <w:pgBorders>
            <w:top w:val="none" w:sz="0" w:space="0"/>
            <w:left w:val="none" w:sz="0" w:space="0"/>
            <w:bottom w:val="none" w:sz="0" w:space="0"/>
            <w:right w:val="none" w:sz="0" w:space="0"/>
          </w:pgBorders>
          <w:cols w:space="0" w:num="1"/>
          <w:titlePg/>
          <w:rtlGutter w:val="0"/>
          <w:docGrid w:type="lines" w:linePitch="394" w:charSpace="0"/>
        </w:sectPr>
      </w:pPr>
    </w:p>
    <w:p w14:paraId="410133D4">
      <w:pPr>
        <w:adjustRightInd w:val="0"/>
        <w:snapToGrid w:val="0"/>
        <w:spacing w:line="4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二、采购标的需执行的国家相关标准、行业标准、地方标准或者其他标准、规范：</w:t>
      </w:r>
    </w:p>
    <w:p w14:paraId="1DBB600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响应产品的技术标准按国家标准执行，无国家标准的，按行业标准执行；无国家和行业标准的，按企业标准执行；但在招标文件中有特别要求的，按招标文件中规定的要求执行，并且符合相关法律法规规定的要求。</w:t>
      </w:r>
    </w:p>
    <w:p w14:paraId="740466A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2.项目提供的技术要求(规格)只是对产品的一些原则性要求，并不是最详尽的描述和要求，投标供应商有责任依据相关设计技术规范和有关行业国家标准执行。</w:t>
      </w:r>
    </w:p>
    <w:p w14:paraId="24851B2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3.投标供应商应保证提供的产品不得侵犯第三方专利权、商标权和设计权、版权等。否则，投标供应商应负全部责任，并承担由此引起的一切后果。</w:t>
      </w:r>
    </w:p>
    <w:p w14:paraId="141B8C79">
      <w:pPr>
        <w:numPr>
          <w:ilvl w:val="0"/>
          <w:numId w:val="1"/>
        </w:num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采购标的需满足的质量、安全、技术规格、物理特性等要求：</w:t>
      </w:r>
    </w:p>
    <w:p w14:paraId="39ABBC08">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1.质保期限：免费质保三年。</w:t>
      </w:r>
    </w:p>
    <w:p w14:paraId="0486058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2.原材料环保要求：原材料及辅材产品应符合国家规定的强制性环保指标。</w:t>
      </w:r>
    </w:p>
    <w:p w14:paraId="50F2EF40">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3.设计、制造相关问题</w:t>
      </w:r>
    </w:p>
    <w:p w14:paraId="7D4541C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3.1采购货物的数量、规格、材质及工艺要求，详见项目需求清单。</w:t>
      </w:r>
    </w:p>
    <w:p w14:paraId="4246201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3.2货物内部配件（螺丝等）必须进行防腐蚀处理。</w:t>
      </w:r>
    </w:p>
    <w:p w14:paraId="70A93DA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3.3所供产品的颜色与款式等最终由采购方确定后才可确定或生产。</w:t>
      </w:r>
    </w:p>
    <w:p w14:paraId="101418B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投标供应商报价中包括完成本项目所需的全部材料费、加工制作费、包装费、运输保险费、安装费、调试费、检测费、力支费、利润、税费、合同包含的所有风险、责任等及投标供应商认为需要的其他费用等，且该价格不因市场价格因素及政策性调整的变化而调整。投标供应商可以自行咨询、踏勘现场，充分了解现场任何影响响应报价之情况，根据现场情况考虑相应的运输、上楼搬运、分楼分层安装等工作实际，并将相关费用考虑在报价中，任何忽视、猜测或误解现场情况而导致的成本增加或工期延长等，采购方一律不予认可。</w:t>
      </w:r>
    </w:p>
    <w:p w14:paraId="3F338F52">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3.5响应报价的风险因素。供应商报价时应充分考虑所有可能影响到报价的相关因素。</w:t>
      </w:r>
    </w:p>
    <w:p w14:paraId="08919C4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本项目不接受任何有选择的报价，响应报价均以人民币为报价的币种。本项目报价为固定单价报价，成交供应商的成交单价在合同实施期间不因市场变化因素而变动。结算时固定单价不作调整，供货数量可能会根据现场实际情况增加或减少，最终按实结算，请各投标供应商报价时综合考虑。</w:t>
      </w:r>
    </w:p>
    <w:p w14:paraId="10E1F74E">
      <w:pPr>
        <w:adjustRightInd w:val="0"/>
        <w:snapToGrid w:val="0"/>
        <w:spacing w:line="360" w:lineRule="auto"/>
        <w:ind w:firstLine="494" w:firstLineChars="206"/>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3.7除非因特殊原因并经采购人和成交供应商双方协商同意，成交供应商不得再要求追加任何费用。</w:t>
      </w:r>
    </w:p>
    <w:p w14:paraId="0ABAFF57">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四、采购标的的数量、采购项目交付或者实施的时间和地点：</w:t>
      </w:r>
    </w:p>
    <w:p w14:paraId="2E11383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1.交货时间：合同签订后，各成交供应商接到采购人通知后35个日历天内完成供货、安装。</w:t>
      </w:r>
    </w:p>
    <w:p w14:paraId="2E5B70E0">
      <w:pPr>
        <w:adjustRightInd w:val="0"/>
        <w:snapToGrid w:val="0"/>
        <w:spacing w:line="360" w:lineRule="auto"/>
        <w:ind w:firstLine="494" w:firstLineChars="206"/>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lang w:val="en-US" w:eastAsia="zh-CN"/>
        </w:rPr>
        <w:t>2.交货地点：按采购人指定地点送货。</w:t>
      </w:r>
    </w:p>
    <w:p w14:paraId="34512860">
      <w:pPr>
        <w:adjustRightInd w:val="0"/>
        <w:snapToGrid w:val="0"/>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五、采购标的需满足的服务标准、期限、效率等要求：</w:t>
      </w:r>
    </w:p>
    <w:p w14:paraId="643C2A7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1.投标供应商应保证货物是全新、未使用过的原厂合格产品，并完全符合响应文件的质量、规格和参数的要求。</w:t>
      </w:r>
    </w:p>
    <w:p w14:paraId="2A191ED6">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2.投标供应商应保证其货物在正确安装、正常使用下，在其使用寿命期内应具有满意的性能。</w:t>
      </w:r>
    </w:p>
    <w:p w14:paraId="53DBBACA">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3.投标供应商应采取必要的安全措施保证货物的运输及安装的安全，并承担货物的运输及安装过程中产生的风险。</w:t>
      </w:r>
    </w:p>
    <w:p w14:paraId="20A7287C">
      <w:pPr>
        <w:adjustRightInd w:val="0"/>
        <w:snapToGrid w:val="0"/>
        <w:spacing w:line="360" w:lineRule="auto"/>
        <w:ind w:firstLine="496" w:firstLineChars="206"/>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投标供应商可以先到现场踏勘以充分了解工地位置、道路、储存空间、装卸限制及任何其它足以影响响应报价的情况，任何因忽视或误解工地情况而导致的索赔或供货期延长申请将不获批准，由此发生的任何费用由投标供应商自理。勘察联系人：鲍老师，联系电话：13862472568</w:t>
      </w:r>
    </w:p>
    <w:p w14:paraId="2101E30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5.产品必须从厂家生产完毕后在现场安装，不得在施工现场制作。</w:t>
      </w:r>
    </w:p>
    <w:p w14:paraId="3871C5E9">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提供的所有货物必须满足招标文件要求，须与分项报价明细表注明的材料品牌、规格型号、价格、数量等相符，否则成交供应商承担违约责任。货物到货后，需报采购人后方可进场，对于不合格的货物严禁使用到本项目，否则一切损失及后果由成交供应商自行承担。</w:t>
      </w:r>
    </w:p>
    <w:p w14:paraId="323E69E8">
      <w:pPr>
        <w:adjustRightInd w:val="0"/>
        <w:snapToGrid w:val="0"/>
        <w:spacing w:line="460" w:lineRule="exact"/>
        <w:ind w:right="224" w:rightChars="86"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六、采购标的的验收标准：</w:t>
      </w:r>
    </w:p>
    <w:p w14:paraId="6CC6E0C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1.成交供应商应在不低于本招标文件所提供的技术指标前提下，优化设计方案（包括原料、配件、生产、安装、验收、售后服务等），但尺寸需满足现场需求。</w:t>
      </w:r>
    </w:p>
    <w:p w14:paraId="16D2CEF5">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所供产品应按国家相关强制标准或行业标准进行设计和制造。产品及其原材料应符合国家规定的强制性环保要求，所使用的主辅材料应符合国家环保标准。成交供应商应提供材质清单、材料产地证明。须说明在生产安装过程中，所采用的主要配件的名称及生产厂家，并提供相应的技术说明书。同时，还需提供投标供应商拥有的大型生产设备清单及证明文件。证明投标供应商所提供货物与招标文件的要求相一致的文件可以是手册、图纸、图片、文字资料和数据等。</w:t>
      </w:r>
    </w:p>
    <w:p w14:paraId="274CC81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保证采购人权益，在货物生产过程中采购人有权随时监督生产情况。监督过程中成交供应商需提供以下材料：①制造商必须提供产品相应生产证明（包括但不限于原材料采购证明，生产单、下料单等相关资料）。②所有货物成品必须附带原厂证明文件（包括但不限于发货单、保修卡等相关资料）。③若所供产品生产渠道不明确、检测不合格。采购人有权拒绝收货，并根据合同及相关政策法规进行处理。</w:t>
      </w:r>
    </w:p>
    <w:p w14:paraId="4F4C1844">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提供的货物必须达到或优于招标文件“采购清单”技术需求中各项指标参数。采购人在例行送检之外将随机抽检货物原材料、成品，检验机构为通过国家计量认证的第三方检测机构。对于产品的任何技术及质量不合格，成交供应商承担检测费用，采购人有权拒收、部分拒收、退货、部分退货直至解除本合同，同时采购人有权保留使用该产品直至供应商提供合格产品替换，并要求成交供应商支付因此造成的所有损失。破拆部件由成交供应商负责补齐且采购人不支付任何补偿费用。</w:t>
      </w:r>
    </w:p>
    <w:p w14:paraId="0BF4259D">
      <w:pPr>
        <w:adjustRightInd w:val="0"/>
        <w:snapToGrid w:val="0"/>
        <w:spacing w:line="360" w:lineRule="auto"/>
        <w:ind w:firstLine="494" w:firstLineChars="206"/>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采购人有权要求成交供应商提供中标的货物送双方认可的第三方测试机构按照招标文件的技术性能指标进行测试，测试费用由成交供应商支付。检测内容包括但不限于：招标文件要求的标准参数及投标人的响应结果，不能提供或不能通过技术测试或测试结果与响应文件不符的视为虚假承诺，采购人将予以拒收，并报采购监督管理部门进行处理，导致整批货物被拒收和索赔，由此引发的所有损失由成交供应商负责。</w:t>
      </w:r>
    </w:p>
    <w:p w14:paraId="6FD8A470">
      <w:pPr>
        <w:pStyle w:val="17"/>
        <w:spacing w:line="46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七、采购标的的其他技术、服务等要求：</w:t>
      </w:r>
    </w:p>
    <w:p w14:paraId="3EAEB1C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1.成交供应商负责标的物的现场安装指导、启动、调试、监督；</w:t>
      </w:r>
    </w:p>
    <w:p w14:paraId="42A7703D">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2.成交供应商免费提供标的物组装和一般维修所必需的工具；</w:t>
      </w:r>
    </w:p>
    <w:p w14:paraId="150188F1">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3.成交供应商在合同规定的期限内对所提供的标的物实行现场维护，随时处理存在的故障，如现场不能维修解决的故障问题，须提供故障不能排除时的解决方案。</w:t>
      </w:r>
    </w:p>
    <w:p w14:paraId="6B16BB2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4.成交供应商接到使用方通知后1小时内响应，2小时内上门服务，24小时内解决好问题。</w:t>
      </w:r>
    </w:p>
    <w:p w14:paraId="4D5FF9BB">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5.成交供应商须承诺质保期满后提供终身维修服务，保证零配件供应，维修费用按照材料成本收取。</w:t>
      </w:r>
    </w:p>
    <w:p w14:paraId="7832E09E">
      <w:pPr>
        <w:adjustRightInd w:val="0"/>
        <w:snapToGrid w:val="0"/>
        <w:spacing w:line="360" w:lineRule="auto"/>
        <w:ind w:firstLine="494" w:firstLineChars="20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6.成交供应商应对采购人技术人员进行维护、维修、培训，确保使用者了解维护方法和进行简单的维修操作。</w:t>
      </w:r>
    </w:p>
    <w:p w14:paraId="48DE326F">
      <w:pPr>
        <w:adjustRightInd w:val="0"/>
        <w:snapToGrid w:val="0"/>
        <w:spacing w:line="360" w:lineRule="auto"/>
        <w:ind w:firstLine="494" w:firstLineChars="206"/>
        <w:rPr>
          <w:rFonts w:hint="eastAsia" w:ascii="宋体" w:hAnsi="宋体" w:eastAsia="宋体" w:cs="宋体"/>
          <w:b/>
          <w:bCs/>
          <w:szCs w:val="24"/>
          <w:highlight w:val="none"/>
        </w:rPr>
      </w:pPr>
      <w:r>
        <w:rPr>
          <w:rFonts w:hint="eastAsia" w:ascii="宋体" w:hAnsi="宋体" w:eastAsia="宋体" w:cs="宋体"/>
          <w:sz w:val="24"/>
          <w:szCs w:val="24"/>
          <w:highlight w:val="none"/>
          <w:lang w:val="en-US" w:eastAsia="zh-CN"/>
        </w:rPr>
        <w:t>7.成交供应商提供现场技术培训，保证采购人使用人员能够正常操作产品的各种功能。</w:t>
      </w:r>
    </w:p>
    <w:p w14:paraId="652940B7">
      <w:pPr>
        <w:numPr>
          <w:ilvl w:val="0"/>
          <w:numId w:val="2"/>
        </w:num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w:t>
      </w:r>
    </w:p>
    <w:p w14:paraId="6928F174">
      <w:pPr>
        <w:adjustRightInd w:val="0"/>
        <w:snapToGrid w:val="0"/>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按照采购人实际要求供货，货物到场、安装调试完毕，并经采购人验收合格确认签字后收到中标供应商正规发票支付至合同总价的100%。</w:t>
      </w:r>
    </w:p>
    <w:p w14:paraId="179628E0">
      <w:pPr>
        <w:adjustRightInd w:val="0"/>
        <w:snapToGrid w:val="0"/>
        <w:spacing w:line="4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九、履约保证金：</w:t>
      </w:r>
    </w:p>
    <w:p w14:paraId="5A60E12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1、本项目成交后的履约保证金为合同价的10%，以支票、汇票、本票等非现金形式缴纳。</w:t>
      </w:r>
    </w:p>
    <w:p w14:paraId="4E77173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2、成交商的履约保证金须在成交通知书发出之日起至合同签订前缴纳。</w:t>
      </w:r>
    </w:p>
    <w:p w14:paraId="1ADAF28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3、自成交通知书发出之日起30日内，中标供应商凭“成交通知书”及“履约保证金”凭证</w:t>
      </w:r>
      <w:r>
        <w:rPr>
          <w:rFonts w:hint="eastAsia" w:ascii="宋体" w:hAnsi="宋体" w:eastAsia="宋体" w:cs="宋体"/>
          <w:bCs/>
          <w:color w:val="auto"/>
          <w:sz w:val="24"/>
          <w:szCs w:val="24"/>
          <w:highlight w:val="none"/>
        </w:rPr>
        <w:t>与采购人签订合同。</w:t>
      </w:r>
      <w:r>
        <w:rPr>
          <w:rFonts w:hint="eastAsia" w:ascii="宋体" w:hAnsi="宋体" w:eastAsia="宋体" w:cs="宋体"/>
          <w:color w:val="auto"/>
          <w:sz w:val="24"/>
          <w:highlight w:val="none"/>
          <w:lang w:val="en-US" w:eastAsia="zh-CN"/>
        </w:rPr>
        <w:t>超期或未有协商，则视为自动放弃成交资格。</w:t>
      </w:r>
    </w:p>
    <w:p w14:paraId="3EFE91B9">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4、成交商在按要求保质保量的完成该项目合同并通过验收后，采购人一次性无息退还该合同项目的履约保证金。</w:t>
      </w:r>
    </w:p>
    <w:p w14:paraId="30F7509D">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5、由于成交商原因，在签订合同后出现不履行合同的情况，采购人有权不予退还履约保证金，同时采购人亦有权终止合同，成交商还须承担相应的法律赔偿责任。</w:t>
      </w:r>
    </w:p>
    <w:p w14:paraId="114E17CA">
      <w:pPr>
        <w:adjustRightInd w:val="0"/>
        <w:snapToGrid w:val="0"/>
        <w:spacing w:line="460" w:lineRule="exact"/>
        <w:ind w:firstLine="482" w:firstLineChars="200"/>
        <w:rPr>
          <w:rFonts w:hint="eastAsia" w:ascii="宋体" w:hAnsi="宋体" w:eastAsia="宋体" w:cs="宋体"/>
          <w:b/>
          <w:bCs/>
          <w:sz w:val="24"/>
          <w:szCs w:val="24"/>
          <w:highlight w:val="none"/>
          <w:lang w:val="en-US" w:eastAsia="zh-CN"/>
        </w:rPr>
      </w:pPr>
      <w:bookmarkStart w:id="0" w:name="_Toc17011"/>
      <w:r>
        <w:rPr>
          <w:rFonts w:hint="eastAsia" w:ascii="宋体" w:hAnsi="宋体" w:eastAsia="宋体" w:cs="宋体"/>
          <w:b/>
          <w:bCs/>
          <w:sz w:val="24"/>
          <w:szCs w:val="24"/>
          <w:highlight w:val="none"/>
          <w:lang w:val="en-US" w:eastAsia="zh-CN"/>
        </w:rPr>
        <w:t>十、样品要求</w:t>
      </w:r>
      <w:bookmarkEnd w:id="0"/>
    </w:p>
    <w:p w14:paraId="733621DE">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1、请供应商提供所投货物（设备）的样品如下，样品规格详见采购清单技术参数，样品的长、宽、高尺寸可偏差±5%。</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789"/>
        <w:gridCol w:w="1226"/>
        <w:gridCol w:w="940"/>
        <w:gridCol w:w="2202"/>
      </w:tblGrid>
      <w:tr w14:paraId="366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noWrap w:val="0"/>
            <w:vAlign w:val="top"/>
          </w:tcPr>
          <w:p w14:paraId="7257B82A">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序号</w:t>
            </w:r>
          </w:p>
        </w:tc>
        <w:tc>
          <w:tcPr>
            <w:tcW w:w="2789" w:type="dxa"/>
            <w:tcBorders>
              <w:top w:val="single" w:color="auto" w:sz="4" w:space="0"/>
              <w:left w:val="single" w:color="auto" w:sz="4" w:space="0"/>
              <w:bottom w:val="single" w:color="auto" w:sz="4" w:space="0"/>
              <w:right w:val="single" w:color="auto" w:sz="4" w:space="0"/>
            </w:tcBorders>
            <w:noWrap w:val="0"/>
            <w:vAlign w:val="top"/>
          </w:tcPr>
          <w:p w14:paraId="1888B204">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产品名称</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036B7091">
            <w:pPr>
              <w:pStyle w:val="18"/>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清单序号</w:t>
            </w:r>
          </w:p>
        </w:tc>
        <w:tc>
          <w:tcPr>
            <w:tcW w:w="940" w:type="dxa"/>
            <w:tcBorders>
              <w:top w:val="single" w:color="auto" w:sz="4" w:space="0"/>
              <w:left w:val="single" w:color="auto" w:sz="4" w:space="0"/>
              <w:bottom w:val="single" w:color="auto" w:sz="4" w:space="0"/>
              <w:right w:val="single" w:color="auto" w:sz="4" w:space="0"/>
            </w:tcBorders>
            <w:noWrap w:val="0"/>
            <w:vAlign w:val="top"/>
          </w:tcPr>
          <w:p w14:paraId="55F1685F">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数量</w:t>
            </w:r>
          </w:p>
        </w:tc>
        <w:tc>
          <w:tcPr>
            <w:tcW w:w="2202" w:type="dxa"/>
            <w:tcBorders>
              <w:top w:val="single" w:color="auto" w:sz="4" w:space="0"/>
              <w:left w:val="single" w:color="auto" w:sz="4" w:space="0"/>
              <w:bottom w:val="single" w:color="auto" w:sz="4" w:space="0"/>
              <w:right w:val="single" w:color="auto" w:sz="4" w:space="0"/>
            </w:tcBorders>
            <w:noWrap w:val="0"/>
            <w:vAlign w:val="top"/>
          </w:tcPr>
          <w:p w14:paraId="14363F2C">
            <w:pPr>
              <w:pStyle w:val="18"/>
              <w:spacing w:before="0" w:beforeAutospacing="0" w:after="0" w:afterAutospacing="0" w:line="500" w:lineRule="exact"/>
              <w:jc w:val="center"/>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备注</w:t>
            </w:r>
          </w:p>
        </w:tc>
      </w:tr>
      <w:tr w14:paraId="45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noWrap w:val="0"/>
            <w:vAlign w:val="center"/>
          </w:tcPr>
          <w:p w14:paraId="74C00ED9">
            <w:pPr>
              <w:pStyle w:val="18"/>
              <w:spacing w:before="0" w:beforeAutospacing="0" w:after="0" w:afterAutospacing="0" w:line="500" w:lineRule="exact"/>
              <w:ind w:firstLine="480" w:firstLineChars="200"/>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1</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01A43595">
            <w:pPr>
              <w:pStyle w:val="18"/>
              <w:spacing w:before="0" w:beforeAutospacing="0" w:after="0" w:afterAutospacing="0" w:line="500" w:lineRule="exact"/>
              <w:jc w:val="center"/>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教师工位（含屏风，边柜）</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D35D38A">
            <w:pPr>
              <w:pStyle w:val="18"/>
              <w:spacing w:before="0" w:beforeAutospacing="0" w:after="0" w:afterAutospacing="0" w:line="500" w:lineRule="exact"/>
              <w:ind w:firstLine="480" w:firstLineChars="200"/>
              <w:rPr>
                <w:rFonts w:hint="default" w:cs="宋体"/>
                <w:kern w:val="2"/>
                <w:highlight w:val="none"/>
                <w:lang w:val="en-US" w:eastAsia="zh-CN"/>
              </w:rPr>
            </w:pPr>
            <w:r>
              <w:rPr>
                <w:rFonts w:hint="eastAsia" w:cs="宋体"/>
                <w:kern w:val="2"/>
                <w:highlight w:val="none"/>
                <w:lang w:val="en-US" w:eastAsia="zh-CN"/>
              </w:rPr>
              <w:t>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BEE7836">
            <w:pPr>
              <w:pStyle w:val="18"/>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1组</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2F44F187">
            <w:pPr>
              <w:pStyle w:val="18"/>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要求详见参数</w:t>
            </w:r>
          </w:p>
        </w:tc>
      </w:tr>
      <w:tr w14:paraId="3D38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tcBorders>
              <w:top w:val="single" w:color="auto" w:sz="4" w:space="0"/>
              <w:left w:val="single" w:color="auto" w:sz="4" w:space="0"/>
              <w:bottom w:val="single" w:color="auto" w:sz="4" w:space="0"/>
              <w:right w:val="single" w:color="auto" w:sz="4" w:space="0"/>
            </w:tcBorders>
            <w:noWrap w:val="0"/>
            <w:vAlign w:val="center"/>
          </w:tcPr>
          <w:p w14:paraId="1ADCE2C7">
            <w:pPr>
              <w:pStyle w:val="18"/>
              <w:spacing w:before="0" w:beforeAutospacing="0" w:after="0" w:afterAutospacing="0" w:line="500" w:lineRule="exact"/>
              <w:ind w:firstLine="480" w:firstLineChars="200"/>
              <w:rPr>
                <w:rFonts w:hint="default" w:ascii="宋体" w:hAnsi="宋体" w:eastAsia="宋体" w:cs="宋体"/>
                <w:kern w:val="2"/>
                <w:highlight w:val="none"/>
                <w:lang w:val="en-US" w:eastAsia="zh-CN"/>
              </w:rPr>
            </w:pPr>
            <w:r>
              <w:rPr>
                <w:rFonts w:hint="eastAsia" w:cs="宋体"/>
                <w:kern w:val="2"/>
                <w:highlight w:val="none"/>
                <w:lang w:val="en-US" w:eastAsia="zh-CN"/>
              </w:rPr>
              <w:t>2</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79263EF6">
            <w:pPr>
              <w:pStyle w:val="18"/>
              <w:spacing w:before="0" w:beforeAutospacing="0" w:after="0" w:afterAutospacing="0" w:line="500" w:lineRule="exact"/>
              <w:jc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教师工位椅</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8C64F07">
            <w:pPr>
              <w:pStyle w:val="18"/>
              <w:spacing w:before="0" w:beforeAutospacing="0" w:after="0" w:afterAutospacing="0" w:line="500" w:lineRule="exact"/>
              <w:ind w:firstLine="480" w:firstLineChars="200"/>
              <w:rPr>
                <w:rFonts w:hint="default" w:cs="宋体"/>
                <w:kern w:val="2"/>
                <w:highlight w:val="none"/>
                <w:lang w:val="en-US" w:eastAsia="zh-CN"/>
              </w:rPr>
            </w:pPr>
            <w:r>
              <w:rPr>
                <w:rFonts w:hint="eastAsia" w:cs="宋体"/>
                <w:kern w:val="2"/>
                <w:highlight w:val="none"/>
                <w:lang w:val="en-US" w:eastAsia="zh-CN"/>
              </w:rPr>
              <w:t>2</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E4EE2FA">
            <w:pPr>
              <w:pStyle w:val="18"/>
              <w:spacing w:before="0" w:beforeAutospacing="0" w:after="0" w:afterAutospacing="0" w:line="500" w:lineRule="exact"/>
              <w:jc w:val="center"/>
              <w:rPr>
                <w:rFonts w:hint="default" w:ascii="宋体" w:hAnsi="宋体" w:eastAsia="宋体" w:cs="宋体"/>
                <w:kern w:val="2"/>
                <w:highlight w:val="none"/>
                <w:lang w:val="en-US" w:eastAsia="zh-CN"/>
              </w:rPr>
            </w:pPr>
            <w:r>
              <w:rPr>
                <w:rFonts w:hint="eastAsia" w:cs="宋体"/>
                <w:kern w:val="2"/>
                <w:highlight w:val="none"/>
                <w:lang w:val="en-US" w:eastAsia="zh-CN"/>
              </w:rPr>
              <w:t>1把</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19790AB7">
            <w:pPr>
              <w:pStyle w:val="18"/>
              <w:spacing w:before="0" w:beforeAutospacing="0" w:after="0" w:afterAutospacing="0" w:line="500" w:lineRule="exact"/>
              <w:jc w:val="center"/>
              <w:rPr>
                <w:rFonts w:hint="eastAsia" w:ascii="宋体" w:hAnsi="宋体" w:eastAsia="宋体" w:cs="宋体"/>
                <w:kern w:val="2"/>
                <w:sz w:val="21"/>
                <w:szCs w:val="21"/>
                <w:highlight w:val="none"/>
                <w:lang w:val="en-US" w:eastAsia="zh-CN"/>
              </w:rPr>
            </w:pPr>
            <w:r>
              <w:rPr>
                <w:rFonts w:hint="eastAsia" w:cs="宋体"/>
                <w:kern w:val="2"/>
                <w:highlight w:val="none"/>
                <w:lang w:val="en-US" w:eastAsia="zh-CN"/>
              </w:rPr>
              <w:t>要求详见参数</w:t>
            </w:r>
          </w:p>
        </w:tc>
      </w:tr>
    </w:tbl>
    <w:p w14:paraId="2F004F36">
      <w:pPr>
        <w:adjustRightInd w:val="0"/>
        <w:snapToGrid w:val="0"/>
        <w:spacing w:line="5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本项目需要提供样品，样品提交及安装完成时间：请于响应文件递交截止当天上午9:00-11:30（逾时不接受）统一送达至</w:t>
      </w:r>
      <w:r>
        <w:rPr>
          <w:rFonts w:hint="eastAsia" w:ascii="宋体" w:hAnsi="宋体" w:eastAsia="宋体" w:cs="宋体"/>
          <w:sz w:val="24"/>
          <w:szCs w:val="24"/>
          <w:highlight w:val="none"/>
          <w:lang w:eastAsia="zh-CN"/>
        </w:rPr>
        <w:t>南通市崇川区工农路358号（</w:t>
      </w:r>
      <w:r>
        <w:rPr>
          <w:rFonts w:hint="eastAsia" w:ascii="宋体" w:hAnsi="宋体" w:eastAsia="宋体" w:cs="宋体"/>
          <w:sz w:val="24"/>
          <w:szCs w:val="24"/>
          <w:highlight w:val="none"/>
          <w:lang w:val="en-US" w:eastAsia="zh-CN"/>
        </w:rPr>
        <w:t>浙商银行南通分行</w:t>
      </w:r>
      <w:r>
        <w:rPr>
          <w:rFonts w:hint="eastAsia" w:ascii="宋体" w:hAnsi="宋体" w:eastAsia="宋体" w:cs="宋体"/>
          <w:sz w:val="24"/>
          <w:szCs w:val="24"/>
          <w:highlight w:val="none"/>
          <w:lang w:eastAsia="zh-CN"/>
        </w:rPr>
        <w:t>）11层江苏大成教室</w:t>
      </w:r>
      <w:r>
        <w:rPr>
          <w:rFonts w:hint="eastAsia" w:ascii="宋体" w:hAnsi="宋体" w:eastAsia="宋体" w:cs="宋体"/>
          <w:color w:val="auto"/>
          <w:sz w:val="24"/>
          <w:highlight w:val="none"/>
          <w:lang w:val="en-US" w:eastAsia="zh-CN"/>
        </w:rPr>
        <w:t>。采购人有权对所提供的样品进行破坏性试验。投标结束后，未成交的供应商应将样品及时撤离，否则，样品发生任何损坏、损失由投标供应商自行承担，所有投标供应商自行承担相关样品制作费、运输费、破坏性试验产生的相关费用等。中标供应商的样品由采购人封存作为验收时的依据。样品上不得出现响应供应商名称、品牌标识和其他可以识别响应供应商身份的字符、徽标、人员名称以及其他特殊标记等，否则按无效投标处理。样品照片、图片及可识别样品的相关信息不得放入除价格标以外的投标材料中，否则按无效投标处理。样品逾期送达或者未在规定时间送达指定地点的，不予接收样品。联系人：范学林，联系电话：</w:t>
      </w:r>
      <w:r>
        <w:rPr>
          <w:rFonts w:hint="eastAsia" w:ascii="宋体" w:hAnsi="宋体" w:eastAsia="宋体" w:cs="宋体"/>
          <w:sz w:val="24"/>
          <w:szCs w:val="24"/>
          <w:highlight w:val="none"/>
          <w:lang w:val="en-US" w:eastAsia="zh-CN"/>
        </w:rPr>
        <w:t>17887341194</w:t>
      </w:r>
      <w:r>
        <w:rPr>
          <w:rFonts w:hint="eastAsia" w:ascii="宋体" w:hAnsi="宋体" w:eastAsia="宋体" w:cs="宋体"/>
          <w:color w:val="auto"/>
          <w:sz w:val="24"/>
          <w:highlight w:val="none"/>
          <w:lang w:val="en-US" w:eastAsia="zh-CN"/>
        </w:rPr>
        <w:t>。</w:t>
      </w:r>
    </w:p>
    <w:p w14:paraId="31687169">
      <w:r>
        <w:rPr>
          <w:rFonts w:hint="eastAsia" w:ascii="宋体" w:hAnsi="宋体" w:eastAsia="宋体" w:cs="宋体"/>
          <w:color w:val="auto"/>
          <w:sz w:val="24"/>
          <w:highlight w:val="none"/>
          <w:lang w:val="en-US" w:eastAsia="zh-CN"/>
        </w:rPr>
        <w:t>2、评审时评委对以上样品进行打分，</w:t>
      </w:r>
      <w:r>
        <w:rPr>
          <w:rFonts w:hint="eastAsia" w:ascii="宋体" w:hAnsi="宋体" w:eastAsia="宋体" w:cs="宋体"/>
          <w:b/>
          <w:bCs/>
          <w:color w:val="auto"/>
          <w:sz w:val="24"/>
          <w:highlight w:val="none"/>
          <w:lang w:val="en-US" w:eastAsia="zh-CN"/>
        </w:rPr>
        <w:t>未提供样品或样品不全，视为无效响应</w:t>
      </w:r>
      <w:r>
        <w:rPr>
          <w:rFonts w:hint="eastAsia" w:ascii="宋体" w:hAnsi="宋体" w:eastAsia="宋体" w:cs="宋体"/>
          <w:color w:val="auto"/>
          <w:sz w:val="24"/>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chineseCounting"/>
      <w:suff w:val="nothing"/>
      <w:lvlText w:val="%1、"/>
      <w:lvlJc w:val="left"/>
      <w:rPr>
        <w:rFonts w:hint="eastAsia"/>
      </w:rPr>
    </w:lvl>
  </w:abstractNum>
  <w:abstractNum w:abstractNumId="1">
    <w:nsid w:val="05106200"/>
    <w:multiLevelType w:val="singleLevel"/>
    <w:tmpl w:val="0510620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B5289"/>
    <w:rsid w:val="05564A56"/>
    <w:rsid w:val="05B10E8F"/>
    <w:rsid w:val="064D2ED2"/>
    <w:rsid w:val="0694015E"/>
    <w:rsid w:val="092143DA"/>
    <w:rsid w:val="0A457282"/>
    <w:rsid w:val="0B816F7B"/>
    <w:rsid w:val="0BDC7F2B"/>
    <w:rsid w:val="0C560DD0"/>
    <w:rsid w:val="0DF522C3"/>
    <w:rsid w:val="0E916638"/>
    <w:rsid w:val="119D67AF"/>
    <w:rsid w:val="12E30F97"/>
    <w:rsid w:val="136908FA"/>
    <w:rsid w:val="14522E64"/>
    <w:rsid w:val="15E67340"/>
    <w:rsid w:val="1627168D"/>
    <w:rsid w:val="164026BC"/>
    <w:rsid w:val="16874179"/>
    <w:rsid w:val="171C5703"/>
    <w:rsid w:val="19787070"/>
    <w:rsid w:val="1999654C"/>
    <w:rsid w:val="1AA53ED3"/>
    <w:rsid w:val="1B765C68"/>
    <w:rsid w:val="1C100746"/>
    <w:rsid w:val="1C1441B7"/>
    <w:rsid w:val="1C3D4AFB"/>
    <w:rsid w:val="1C9967DB"/>
    <w:rsid w:val="1D9045E6"/>
    <w:rsid w:val="1E216AF0"/>
    <w:rsid w:val="20451B98"/>
    <w:rsid w:val="20B37F86"/>
    <w:rsid w:val="22070DA3"/>
    <w:rsid w:val="23720768"/>
    <w:rsid w:val="27D0656E"/>
    <w:rsid w:val="28B2082A"/>
    <w:rsid w:val="28DB5289"/>
    <w:rsid w:val="29D97C25"/>
    <w:rsid w:val="2A13252E"/>
    <w:rsid w:val="2A3A2CAC"/>
    <w:rsid w:val="2B210AF8"/>
    <w:rsid w:val="2B490D7D"/>
    <w:rsid w:val="2D916FF7"/>
    <w:rsid w:val="3325161D"/>
    <w:rsid w:val="348525F6"/>
    <w:rsid w:val="362829E1"/>
    <w:rsid w:val="37AE5E4E"/>
    <w:rsid w:val="38656CFD"/>
    <w:rsid w:val="3959008C"/>
    <w:rsid w:val="3CB431C6"/>
    <w:rsid w:val="3DA119F1"/>
    <w:rsid w:val="3F1A441B"/>
    <w:rsid w:val="3F4B7B7E"/>
    <w:rsid w:val="4089436C"/>
    <w:rsid w:val="43797C14"/>
    <w:rsid w:val="45836AFD"/>
    <w:rsid w:val="4753606A"/>
    <w:rsid w:val="47B05A6C"/>
    <w:rsid w:val="48196A0B"/>
    <w:rsid w:val="482B6AD1"/>
    <w:rsid w:val="493C4900"/>
    <w:rsid w:val="4B373B92"/>
    <w:rsid w:val="4C023E09"/>
    <w:rsid w:val="4EE3189C"/>
    <w:rsid w:val="4F7B65FC"/>
    <w:rsid w:val="4F86481A"/>
    <w:rsid w:val="557F573C"/>
    <w:rsid w:val="561945BB"/>
    <w:rsid w:val="5B127FF6"/>
    <w:rsid w:val="5B697440"/>
    <w:rsid w:val="5CF53A3C"/>
    <w:rsid w:val="605C3A54"/>
    <w:rsid w:val="6154016C"/>
    <w:rsid w:val="63355931"/>
    <w:rsid w:val="661B3F05"/>
    <w:rsid w:val="664E07DE"/>
    <w:rsid w:val="67963203"/>
    <w:rsid w:val="67FB75C3"/>
    <w:rsid w:val="69027BE0"/>
    <w:rsid w:val="6A937480"/>
    <w:rsid w:val="6B3B2F4D"/>
    <w:rsid w:val="6C4A7375"/>
    <w:rsid w:val="6E026702"/>
    <w:rsid w:val="6E1C708B"/>
    <w:rsid w:val="6F85148A"/>
    <w:rsid w:val="708731C3"/>
    <w:rsid w:val="72115FF3"/>
    <w:rsid w:val="72220671"/>
    <w:rsid w:val="74FB18DA"/>
    <w:rsid w:val="750C5D66"/>
    <w:rsid w:val="7598332C"/>
    <w:rsid w:val="770E3091"/>
    <w:rsid w:val="77460847"/>
    <w:rsid w:val="77D64992"/>
    <w:rsid w:val="7ED645CD"/>
    <w:rsid w:val="7EE62A8C"/>
    <w:rsid w:val="7FE4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14"/>
    <w:qFormat/>
    <w:uiPriority w:val="0"/>
    <w:pPr>
      <w:keepNext/>
      <w:keepLines/>
      <w:spacing w:line="360" w:lineRule="auto"/>
      <w:outlineLvl w:val="0"/>
    </w:pPr>
    <w:rPr>
      <w:rFonts w:eastAsia="宋体" w:asciiTheme="minorAscii" w:hAnsiTheme="minorAscii"/>
      <w:b/>
      <w:bCs/>
      <w:kern w:val="44"/>
      <w:sz w:val="36"/>
      <w:szCs w:val="44"/>
    </w:rPr>
  </w:style>
  <w:style w:type="paragraph" w:styleId="3">
    <w:name w:val="heading 2"/>
    <w:basedOn w:val="1"/>
    <w:next w:val="1"/>
    <w:link w:val="13"/>
    <w:semiHidden/>
    <w:unhideWhenUsed/>
    <w:qFormat/>
    <w:uiPriority w:val="0"/>
    <w:pPr>
      <w:keepNext/>
      <w:keepLines/>
      <w:spacing w:line="360" w:lineRule="auto"/>
      <w:outlineLvl w:val="1"/>
    </w:pPr>
    <w:rPr>
      <w:rFonts w:ascii="Cambria" w:hAnsi="Cambria" w:cs="Times New Roman"/>
      <w:b/>
      <w:bCs/>
      <w:sz w:val="32"/>
      <w:szCs w:val="32"/>
    </w:rPr>
  </w:style>
  <w:style w:type="paragraph" w:styleId="4">
    <w:name w:val="heading 3"/>
    <w:basedOn w:val="1"/>
    <w:next w:val="1"/>
    <w:link w:val="15"/>
    <w:semiHidden/>
    <w:unhideWhenUsed/>
    <w:qFormat/>
    <w:uiPriority w:val="0"/>
    <w:pPr>
      <w:adjustRightInd w:val="0"/>
      <w:snapToGrid w:val="0"/>
      <w:spacing w:before="0" w:beforeAutospacing="0" w:after="0" w:afterAutospacing="0"/>
      <w:jc w:val="left"/>
      <w:outlineLvl w:val="2"/>
    </w:pPr>
    <w:rPr>
      <w:rFonts w:hint="eastAsia" w:ascii="宋体" w:hAnsi="宋体" w:eastAsia="宋体" w:cs="宋体"/>
      <w:b/>
      <w:bCs/>
      <w:snapToGrid w:val="0"/>
      <w:color w:val="000000"/>
      <w:kern w:val="0"/>
      <w:sz w:val="27"/>
      <w:szCs w:val="27"/>
      <w:lang w:bidi="ar"/>
    </w:rPr>
  </w:style>
  <w:style w:type="paragraph" w:styleId="5">
    <w:name w:val="heading 4"/>
    <w:basedOn w:val="1"/>
    <w:next w:val="1"/>
    <w:link w:val="16"/>
    <w:semiHidden/>
    <w:unhideWhenUsed/>
    <w:qFormat/>
    <w:uiPriority w:val="0"/>
    <w:pPr>
      <w:adjustRightInd w:val="0"/>
      <w:snapToGrid w:val="0"/>
      <w:spacing w:beforeAutospacing="0" w:after="0" w:afterAutospacing="0" w:line="240" w:lineRule="auto"/>
      <w:ind w:firstLine="643" w:firstLineChars="200"/>
      <w:jc w:val="left"/>
      <w:outlineLvl w:val="3"/>
    </w:pPr>
    <w:rPr>
      <w:rFonts w:hint="eastAsia" w:ascii="宋体" w:hAnsi="宋体" w:cs="宋体"/>
      <w:b/>
      <w:bCs/>
      <w:kern w:val="0"/>
      <w:szCs w:val="24"/>
      <w:lang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ody Text First Indent"/>
    <w:basedOn w:val="7"/>
    <w:qFormat/>
    <w:uiPriority w:val="0"/>
    <w:pPr>
      <w:ind w:firstLine="420" w:firstLineChars="100"/>
    </w:pPr>
  </w:style>
  <w:style w:type="paragraph" w:styleId="10">
    <w:name w:val="Body Text First Indent 2"/>
    <w:basedOn w:val="8"/>
    <w:qFormat/>
    <w:uiPriority w:val="0"/>
    <w:pPr>
      <w:ind w:firstLine="420" w:firstLineChars="200"/>
    </w:pPr>
  </w:style>
  <w:style w:type="character" w:customStyle="1" w:styleId="13">
    <w:name w:val="标题 2 字符"/>
    <w:link w:val="3"/>
    <w:qFormat/>
    <w:uiPriority w:val="0"/>
    <w:rPr>
      <w:rFonts w:ascii="Arial" w:hAnsi="Arial" w:eastAsia="宋体" w:cs="Times New Roman"/>
      <w:b/>
      <w:snapToGrid w:val="0"/>
      <w:color w:val="000000"/>
      <w:kern w:val="2"/>
      <w:sz w:val="24"/>
      <w:lang w:val="en-US" w:eastAsia="zh-CN" w:bidi="ar-SA"/>
    </w:rPr>
  </w:style>
  <w:style w:type="character" w:customStyle="1" w:styleId="14">
    <w:name w:val="标题 1 字符"/>
    <w:link w:val="2"/>
    <w:qFormat/>
    <w:uiPriority w:val="0"/>
    <w:rPr>
      <w:rFonts w:ascii="Times New Roman" w:hAnsi="Times New Roman" w:eastAsia="宋体" w:cs="Times New Roman"/>
      <w:b/>
      <w:bCs/>
      <w:kern w:val="44"/>
      <w:sz w:val="32"/>
      <w:szCs w:val="44"/>
    </w:rPr>
  </w:style>
  <w:style w:type="character" w:customStyle="1" w:styleId="15">
    <w:name w:val="标题 3 Char"/>
    <w:link w:val="4"/>
    <w:qFormat/>
    <w:uiPriority w:val="0"/>
    <w:rPr>
      <w:rFonts w:ascii="宋体" w:hAnsi="宋体" w:eastAsia="宋体" w:cs="Arial"/>
      <w:b/>
      <w:snapToGrid w:val="0"/>
      <w:color w:val="000000"/>
      <w:sz w:val="24"/>
      <w:szCs w:val="21"/>
    </w:rPr>
  </w:style>
  <w:style w:type="character" w:customStyle="1" w:styleId="16">
    <w:name w:val="标题 4 Char"/>
    <w:link w:val="5"/>
    <w:qFormat/>
    <w:uiPriority w:val="0"/>
    <w:rPr>
      <w:rFonts w:hint="eastAsia" w:ascii="宋体" w:hAnsi="宋体" w:eastAsia="宋体" w:cs="宋体"/>
      <w:b/>
      <w:bCs/>
      <w:kern w:val="0"/>
      <w:sz w:val="24"/>
      <w:szCs w:val="24"/>
      <w:lang w:val="en-US" w:eastAsia="zh-CN" w:bidi="ar"/>
    </w:rPr>
  </w:style>
  <w:style w:type="paragraph" w:customStyle="1" w:styleId="17">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1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2026-02-10T03:03:00Z</dcterms:created>
  <dc:creator>豁喜</dc:creator>
  <cp:lastModifiedBy>豁喜</cp:lastModifiedBy>
  <dcterms:modified xsi:type="dcterms:W3CDTF">2026-02-10T03:04:18Z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E6B901B06A404362B87E4D819088A96B_11</vt:lpwstr>
  </property>
  <property fmtid="{D5CDD505-2E9C-101B-9397-08002B2CF9AE}" pid="4" name="KSOTemplateDocerSaveRecord">
    <vt:lpwstr>eyJoZGlkIjoiYmNiNjZjNmUzOWFiNTBhNjNhOGFhMGQwMmFhOTdiN2QiLCJ1c2VySWQiOiI0NzQ3NjUzMTUifQ==</vt:lpwstr>
  </property>
</Properties>
</file>