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ABE00">
      <w:pPr>
        <w:keepNext w:val="0"/>
        <w:keepLines w:val="0"/>
        <w:pageBreakBefore w:val="0"/>
        <w:shd w:val="clear"/>
        <w:overflowPunct/>
        <w:bidi w:val="0"/>
        <w:spacing w:line="360" w:lineRule="auto"/>
        <w:ind w:left="0" w:leftChars="0" w:firstLine="883" w:firstLineChars="200"/>
        <w:jc w:val="both"/>
        <w:rPr>
          <w:rFonts w:ascii="宋体" w:hAnsi="宋体" w:cs="宋体"/>
          <w:b/>
          <w:bCs/>
          <w:color w:val="auto"/>
          <w:sz w:val="44"/>
          <w:szCs w:val="44"/>
        </w:rPr>
      </w:pPr>
    </w:p>
    <w:p w14:paraId="3F3C6D00">
      <w:pPr>
        <w:keepNext w:val="0"/>
        <w:keepLines w:val="0"/>
        <w:pageBreakBefore w:val="0"/>
        <w:widowControl w:val="0"/>
        <w:shd w:val="clear"/>
        <w:kinsoku/>
        <w:wordWrap/>
        <w:overflowPunct/>
        <w:topLinePunct w:val="0"/>
        <w:autoSpaceDE/>
        <w:autoSpaceDN/>
        <w:bidi w:val="0"/>
        <w:adjustRightInd/>
        <w:snapToGrid/>
        <w:spacing w:line="1000" w:lineRule="exact"/>
        <w:ind w:left="0" w:leftChars="0" w:firstLine="0" w:firstLineChars="0"/>
        <w:jc w:val="center"/>
        <w:textAlignment w:val="auto"/>
        <w:rPr>
          <w:rFonts w:hint="eastAsia" w:ascii="宋体" w:hAnsi="宋体" w:cs="宋体"/>
          <w:b/>
          <w:bCs/>
          <w:color w:val="auto"/>
          <w:sz w:val="48"/>
          <w:szCs w:val="48"/>
        </w:rPr>
      </w:pPr>
      <w:r>
        <w:rPr>
          <w:rFonts w:hint="eastAsia" w:ascii="宋体" w:hAnsi="宋体" w:cs="宋体"/>
          <w:b/>
          <w:bCs/>
          <w:color w:val="auto"/>
          <w:sz w:val="48"/>
          <w:szCs w:val="48"/>
        </w:rPr>
        <w:t>江苏省南通第一中学</w:t>
      </w:r>
    </w:p>
    <w:p w14:paraId="21B7DE7E">
      <w:pPr>
        <w:keepNext w:val="0"/>
        <w:keepLines w:val="0"/>
        <w:pageBreakBefore w:val="0"/>
        <w:widowControl w:val="0"/>
        <w:shd w:val="clear"/>
        <w:kinsoku/>
        <w:wordWrap/>
        <w:overflowPunct/>
        <w:topLinePunct w:val="0"/>
        <w:autoSpaceDE/>
        <w:autoSpaceDN/>
        <w:bidi w:val="0"/>
        <w:adjustRightInd/>
        <w:snapToGrid/>
        <w:spacing w:line="1000" w:lineRule="exact"/>
        <w:ind w:left="0" w:leftChars="0" w:firstLine="0" w:firstLineChars="0"/>
        <w:jc w:val="center"/>
        <w:textAlignment w:val="auto"/>
        <w:rPr>
          <w:rFonts w:ascii="宋体" w:hAnsi="宋体" w:cs="宋体"/>
          <w:b/>
          <w:bCs/>
          <w:color w:val="auto"/>
          <w:sz w:val="48"/>
          <w:szCs w:val="48"/>
        </w:rPr>
      </w:pPr>
      <w:r>
        <w:rPr>
          <w:rFonts w:hint="eastAsia" w:ascii="宋体" w:hAnsi="宋体" w:cs="宋体"/>
          <w:b/>
          <w:bCs/>
          <w:color w:val="auto"/>
          <w:sz w:val="48"/>
          <w:szCs w:val="48"/>
          <w:lang w:val="en-US" w:eastAsia="zh-CN"/>
        </w:rPr>
        <w:t>2026年学生</w:t>
      </w:r>
      <w:r>
        <w:rPr>
          <w:rFonts w:hint="eastAsia" w:ascii="宋体" w:hAnsi="宋体" w:cs="宋体"/>
          <w:b/>
          <w:bCs/>
          <w:color w:val="auto"/>
          <w:sz w:val="48"/>
          <w:szCs w:val="48"/>
        </w:rPr>
        <w:t>体检服务采购项目</w:t>
      </w:r>
    </w:p>
    <w:p w14:paraId="25DF4F1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b/>
          <w:bCs/>
          <w:color w:val="auto"/>
          <w:sz w:val="48"/>
          <w:szCs w:val="48"/>
        </w:rPr>
      </w:pPr>
    </w:p>
    <w:p w14:paraId="02EA95A8">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b/>
          <w:bCs/>
          <w:color w:val="auto"/>
          <w:sz w:val="44"/>
          <w:szCs w:val="44"/>
        </w:rPr>
      </w:pPr>
    </w:p>
    <w:p w14:paraId="7C7BEF2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b/>
          <w:bCs/>
          <w:color w:val="auto"/>
          <w:sz w:val="44"/>
          <w:szCs w:val="44"/>
        </w:rPr>
      </w:pPr>
    </w:p>
    <w:p w14:paraId="3992699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center"/>
        <w:textAlignment w:val="auto"/>
        <w:rPr>
          <w:rFonts w:ascii="宋体" w:hAnsi="宋体" w:cs="宋体"/>
          <w:b/>
          <w:bCs/>
          <w:color w:val="auto"/>
          <w:sz w:val="72"/>
          <w:szCs w:val="72"/>
        </w:rPr>
      </w:pPr>
      <w:r>
        <w:rPr>
          <w:rFonts w:hint="eastAsia" w:ascii="宋体" w:hAnsi="宋体" w:cs="宋体"/>
          <w:b/>
          <w:bCs/>
          <w:color w:val="auto"/>
          <w:sz w:val="72"/>
          <w:szCs w:val="72"/>
        </w:rPr>
        <w:t>比选文件</w:t>
      </w:r>
    </w:p>
    <w:p w14:paraId="575689C2">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36"/>
          <w:szCs w:val="36"/>
          <w:lang w:val="en-US" w:eastAsia="zh-CN"/>
        </w:rPr>
      </w:pPr>
      <w:r>
        <w:rPr>
          <w:rFonts w:hint="eastAsia" w:ascii="宋体" w:hAnsi="宋体" w:cs="宋体"/>
          <w:b/>
          <w:bCs/>
          <w:color w:val="auto"/>
          <w:sz w:val="36"/>
          <w:szCs w:val="36"/>
        </w:rPr>
        <w:t>项目编号：</w:t>
      </w:r>
    </w:p>
    <w:p w14:paraId="6046F887">
      <w:pPr>
        <w:pStyle w:val="17"/>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center"/>
        <w:textAlignment w:val="auto"/>
        <w:rPr>
          <w:rFonts w:hAnsi="宋体" w:cs="宋体"/>
          <w:color w:val="auto"/>
          <w:sz w:val="36"/>
          <w:szCs w:val="36"/>
        </w:rPr>
      </w:pPr>
      <w:r>
        <w:rPr>
          <w:rFonts w:hint="eastAsia" w:hAnsi="宋体" w:cs="宋体"/>
          <w:color w:val="auto"/>
          <w:sz w:val="36"/>
          <w:szCs w:val="36"/>
        </w:rPr>
        <w:t>（资格后审）</w:t>
      </w:r>
    </w:p>
    <w:p w14:paraId="1DB92E62">
      <w:pPr>
        <w:pStyle w:val="17"/>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p>
    <w:p w14:paraId="6435292F">
      <w:pPr>
        <w:pStyle w:val="17"/>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p>
    <w:p w14:paraId="6679EA21">
      <w:pPr>
        <w:pStyle w:val="17"/>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p>
    <w:p w14:paraId="6E17F011">
      <w:pPr>
        <w:pStyle w:val="17"/>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p>
    <w:p w14:paraId="2761B496">
      <w:pPr>
        <w:pStyle w:val="17"/>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p>
    <w:p w14:paraId="6A59B46F">
      <w:pPr>
        <w:pStyle w:val="17"/>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p>
    <w:p w14:paraId="5F5AE70D">
      <w:pPr>
        <w:pStyle w:val="17"/>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p>
    <w:p w14:paraId="5D7A864C">
      <w:pPr>
        <w:pStyle w:val="17"/>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p>
    <w:p w14:paraId="407EF2B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center"/>
        <w:textAlignment w:val="auto"/>
        <w:rPr>
          <w:rFonts w:ascii="宋体" w:hAnsi="宋体" w:cs="宋体"/>
          <w:b/>
          <w:bCs/>
          <w:color w:val="auto"/>
          <w:sz w:val="36"/>
          <w:szCs w:val="36"/>
        </w:rPr>
      </w:pPr>
      <w:r>
        <w:rPr>
          <w:rFonts w:hint="eastAsia" w:ascii="宋体" w:hAnsi="宋体" w:cs="宋体"/>
          <w:b/>
          <w:bCs/>
          <w:color w:val="auto"/>
          <w:sz w:val="36"/>
          <w:szCs w:val="36"/>
        </w:rPr>
        <w:t>采购人：江苏省南通第一中学</w:t>
      </w:r>
    </w:p>
    <w:p w14:paraId="5FCA708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center"/>
        <w:textAlignment w:val="auto"/>
        <w:rPr>
          <w:rFonts w:ascii="宋体" w:hAnsi="宋体" w:cs="宋体"/>
          <w:b/>
          <w:bCs/>
          <w:color w:val="auto"/>
          <w:sz w:val="36"/>
          <w:szCs w:val="36"/>
        </w:rPr>
      </w:pPr>
      <w:r>
        <w:rPr>
          <w:rFonts w:hint="eastAsia" w:ascii="宋体" w:hAnsi="宋体" w:cs="宋体"/>
          <w:b/>
          <w:bCs/>
          <w:color w:val="auto"/>
          <w:sz w:val="36"/>
          <w:szCs w:val="36"/>
        </w:rPr>
        <w:t>日期：2026年</w:t>
      </w:r>
      <w:r>
        <w:rPr>
          <w:rFonts w:hint="eastAsia" w:ascii="宋体" w:hAnsi="宋体" w:cs="宋体"/>
          <w:b/>
          <w:bCs/>
          <w:color w:val="auto"/>
          <w:sz w:val="36"/>
          <w:szCs w:val="36"/>
          <w:lang w:val="en-US" w:eastAsia="zh-CN"/>
        </w:rPr>
        <w:t>4</w:t>
      </w:r>
      <w:r>
        <w:rPr>
          <w:rFonts w:hint="eastAsia" w:ascii="宋体" w:hAnsi="宋体" w:cs="宋体"/>
          <w:b/>
          <w:bCs/>
          <w:color w:val="auto"/>
          <w:sz w:val="36"/>
          <w:szCs w:val="36"/>
        </w:rPr>
        <w:t>月</w:t>
      </w:r>
    </w:p>
    <w:p w14:paraId="744D1083">
      <w:pPr>
        <w:shd w:val="clear"/>
        <w:rPr>
          <w:rFonts w:ascii="宋体" w:hAnsi="宋体" w:cs="宋体"/>
          <w:color w:val="auto"/>
          <w:sz w:val="36"/>
          <w:szCs w:val="36"/>
        </w:rPr>
      </w:pPr>
      <w:r>
        <w:rPr>
          <w:rFonts w:ascii="宋体" w:hAnsi="宋体" w:cs="宋体"/>
          <w:color w:val="auto"/>
          <w:sz w:val="36"/>
          <w:szCs w:val="36"/>
        </w:rPr>
        <w:br w:type="page"/>
      </w:r>
    </w:p>
    <w:p w14:paraId="647CD1EF">
      <w:pPr>
        <w:keepNext w:val="0"/>
        <w:keepLines w:val="0"/>
        <w:pageBreakBefore w:val="0"/>
        <w:shd w:val="clear"/>
        <w:overflowPunct/>
        <w:bidi w:val="0"/>
        <w:spacing w:line="360" w:lineRule="auto"/>
        <w:ind w:left="0" w:leftChars="0" w:firstLine="720" w:firstLineChars="200"/>
        <w:jc w:val="both"/>
        <w:rPr>
          <w:rFonts w:ascii="宋体" w:hAnsi="宋体" w:cs="宋体"/>
          <w:color w:val="auto"/>
          <w:sz w:val="36"/>
          <w:szCs w:val="36"/>
        </w:rPr>
      </w:pPr>
    </w:p>
    <w:p w14:paraId="31214576">
      <w:pPr>
        <w:keepNext w:val="0"/>
        <w:keepLines w:val="0"/>
        <w:pageBreakBefore w:val="0"/>
        <w:shd w:val="clea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b/>
          <w:bCs/>
          <w:color w:val="auto"/>
          <w:sz w:val="44"/>
          <w:szCs w:val="44"/>
        </w:rPr>
      </w:pPr>
      <w:r>
        <w:rPr>
          <w:rFonts w:hint="eastAsia" w:ascii="宋体" w:hAnsi="宋体" w:cs="宋体"/>
          <w:b/>
          <w:bCs/>
          <w:color w:val="auto"/>
          <w:sz w:val="44"/>
          <w:szCs w:val="44"/>
        </w:rPr>
        <w:t>目</w:t>
      </w:r>
      <w:r>
        <w:rPr>
          <w:rFonts w:hint="eastAsia" w:ascii="宋体" w:hAnsi="宋体" w:cs="宋体"/>
          <w:b/>
          <w:bCs/>
          <w:color w:val="auto"/>
          <w:sz w:val="44"/>
          <w:szCs w:val="44"/>
          <w:lang w:val="en-US" w:eastAsia="zh-CN"/>
        </w:rPr>
        <w:t xml:space="preserve"> </w:t>
      </w:r>
      <w:r>
        <w:rPr>
          <w:rFonts w:hint="eastAsia" w:ascii="宋体" w:hAnsi="宋体" w:cs="宋体"/>
          <w:b/>
          <w:bCs/>
          <w:color w:val="auto"/>
          <w:sz w:val="44"/>
          <w:szCs w:val="44"/>
        </w:rPr>
        <w:t>录</w:t>
      </w:r>
    </w:p>
    <w:p w14:paraId="35525E23">
      <w:pPr>
        <w:pStyle w:val="50"/>
        <w:shd w:val="clear"/>
        <w:rPr>
          <w:color w:val="auto"/>
        </w:rPr>
      </w:pPr>
    </w:p>
    <w:p w14:paraId="64728087">
      <w:pPr>
        <w:pStyle w:val="31"/>
        <w:keepNext w:val="0"/>
        <w:keepLines w:val="0"/>
        <w:pageBreakBefore w:val="0"/>
        <w:shd w:val="clear"/>
        <w:tabs>
          <w:tab w:val="right" w:leader="dot" w:pos="8312"/>
        </w:tabs>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color w:val="auto"/>
          <w:sz w:val="36"/>
          <w:szCs w:val="36"/>
        </w:rPr>
      </w:pPr>
      <w:r>
        <w:rPr>
          <w:rFonts w:hint="eastAsia" w:ascii="宋体" w:hAnsi="宋体" w:cs="宋体"/>
          <w:color w:val="auto"/>
          <w:sz w:val="36"/>
          <w:szCs w:val="36"/>
        </w:rPr>
        <w:fldChar w:fldCharType="begin"/>
      </w:r>
      <w:r>
        <w:rPr>
          <w:rFonts w:hint="eastAsia" w:ascii="宋体" w:hAnsi="宋体" w:cs="宋体"/>
          <w:color w:val="auto"/>
          <w:sz w:val="36"/>
          <w:szCs w:val="36"/>
        </w:rPr>
        <w:instrText xml:space="preserve">TOC \o "1-1" \h \u </w:instrText>
      </w:r>
      <w:r>
        <w:rPr>
          <w:rFonts w:hint="eastAsia" w:ascii="宋体" w:hAnsi="宋体" w:cs="宋体"/>
          <w:color w:val="auto"/>
          <w:sz w:val="36"/>
          <w:szCs w:val="36"/>
        </w:rPr>
        <w:fldChar w:fldCharType="separate"/>
      </w:r>
      <w:r>
        <w:rPr>
          <w:color w:val="auto"/>
          <w:sz w:val="36"/>
          <w:szCs w:val="36"/>
        </w:rPr>
        <w:fldChar w:fldCharType="begin"/>
      </w:r>
      <w:r>
        <w:rPr>
          <w:color w:val="auto"/>
          <w:sz w:val="36"/>
          <w:szCs w:val="36"/>
        </w:rPr>
        <w:instrText xml:space="preserve"> HYPERLINK \l "_Toc1938" </w:instrText>
      </w:r>
      <w:r>
        <w:rPr>
          <w:color w:val="auto"/>
          <w:sz w:val="36"/>
          <w:szCs w:val="36"/>
        </w:rPr>
        <w:fldChar w:fldCharType="separate"/>
      </w:r>
      <w:r>
        <w:rPr>
          <w:rFonts w:hint="eastAsia" w:ascii="宋体" w:hAnsi="宋体" w:cs="宋体"/>
          <w:color w:val="auto"/>
          <w:sz w:val="36"/>
          <w:szCs w:val="36"/>
        </w:rPr>
        <w:t>第一章  比选公告</w:t>
      </w:r>
      <w:r>
        <w:rPr>
          <w:rFonts w:hint="eastAsia" w:ascii="宋体" w:hAnsi="宋体" w:cs="宋体"/>
          <w:color w:val="auto"/>
          <w:sz w:val="36"/>
          <w:szCs w:val="36"/>
        </w:rPr>
        <w:fldChar w:fldCharType="end"/>
      </w:r>
    </w:p>
    <w:p w14:paraId="17B9B1E2">
      <w:pPr>
        <w:pStyle w:val="31"/>
        <w:keepNext w:val="0"/>
        <w:keepLines w:val="0"/>
        <w:pageBreakBefore w:val="0"/>
        <w:shd w:val="clear"/>
        <w:tabs>
          <w:tab w:val="right" w:leader="dot" w:pos="8312"/>
        </w:tabs>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color w:val="auto"/>
          <w:sz w:val="36"/>
          <w:szCs w:val="36"/>
        </w:rPr>
      </w:pPr>
      <w:r>
        <w:rPr>
          <w:color w:val="auto"/>
          <w:sz w:val="36"/>
          <w:szCs w:val="36"/>
        </w:rPr>
        <w:fldChar w:fldCharType="begin"/>
      </w:r>
      <w:r>
        <w:rPr>
          <w:color w:val="auto"/>
          <w:sz w:val="36"/>
          <w:szCs w:val="36"/>
        </w:rPr>
        <w:instrText xml:space="preserve"> HYPERLINK \l "_Toc18907" </w:instrText>
      </w:r>
      <w:r>
        <w:rPr>
          <w:color w:val="auto"/>
          <w:sz w:val="36"/>
          <w:szCs w:val="36"/>
        </w:rPr>
        <w:fldChar w:fldCharType="separate"/>
      </w:r>
      <w:r>
        <w:rPr>
          <w:rFonts w:hint="eastAsia" w:ascii="宋体" w:hAnsi="宋体" w:cs="宋体"/>
          <w:color w:val="auto"/>
          <w:sz w:val="36"/>
          <w:szCs w:val="36"/>
        </w:rPr>
        <w:t>第二章  比选须知</w:t>
      </w:r>
      <w:r>
        <w:rPr>
          <w:rFonts w:hint="eastAsia" w:ascii="宋体" w:hAnsi="宋体" w:cs="宋体"/>
          <w:color w:val="auto"/>
          <w:sz w:val="36"/>
          <w:szCs w:val="36"/>
        </w:rPr>
        <w:fldChar w:fldCharType="end"/>
      </w:r>
    </w:p>
    <w:p w14:paraId="49E9E1B9">
      <w:pPr>
        <w:pStyle w:val="31"/>
        <w:keepNext w:val="0"/>
        <w:keepLines w:val="0"/>
        <w:pageBreakBefore w:val="0"/>
        <w:shd w:val="clear"/>
        <w:tabs>
          <w:tab w:val="right" w:leader="dot" w:pos="8312"/>
        </w:tabs>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color w:val="auto"/>
          <w:sz w:val="36"/>
          <w:szCs w:val="36"/>
        </w:rPr>
      </w:pPr>
      <w:r>
        <w:rPr>
          <w:color w:val="auto"/>
          <w:sz w:val="36"/>
          <w:szCs w:val="36"/>
        </w:rPr>
        <w:fldChar w:fldCharType="begin"/>
      </w:r>
      <w:r>
        <w:rPr>
          <w:color w:val="auto"/>
          <w:sz w:val="36"/>
          <w:szCs w:val="36"/>
        </w:rPr>
        <w:instrText xml:space="preserve"> HYPERLINK \l "_Toc5043" </w:instrText>
      </w:r>
      <w:r>
        <w:rPr>
          <w:color w:val="auto"/>
          <w:sz w:val="36"/>
          <w:szCs w:val="36"/>
        </w:rPr>
        <w:fldChar w:fldCharType="separate"/>
      </w:r>
      <w:r>
        <w:rPr>
          <w:rFonts w:hint="eastAsia" w:ascii="宋体" w:hAnsi="宋体" w:cs="宋体"/>
          <w:color w:val="auto"/>
          <w:sz w:val="36"/>
          <w:szCs w:val="36"/>
        </w:rPr>
        <w:t>第三章  项目需求</w:t>
      </w:r>
      <w:r>
        <w:rPr>
          <w:rFonts w:hint="eastAsia" w:ascii="宋体" w:hAnsi="宋体" w:cs="宋体"/>
          <w:color w:val="auto"/>
          <w:sz w:val="36"/>
          <w:szCs w:val="36"/>
        </w:rPr>
        <w:fldChar w:fldCharType="end"/>
      </w:r>
    </w:p>
    <w:p w14:paraId="2C856002">
      <w:pPr>
        <w:pStyle w:val="31"/>
        <w:keepNext w:val="0"/>
        <w:keepLines w:val="0"/>
        <w:pageBreakBefore w:val="0"/>
        <w:shd w:val="clear"/>
        <w:tabs>
          <w:tab w:val="right" w:leader="dot" w:pos="8312"/>
        </w:tabs>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color w:val="auto"/>
          <w:sz w:val="36"/>
          <w:szCs w:val="36"/>
        </w:rPr>
      </w:pPr>
      <w:r>
        <w:rPr>
          <w:color w:val="auto"/>
          <w:sz w:val="36"/>
          <w:szCs w:val="36"/>
        </w:rPr>
        <w:fldChar w:fldCharType="begin"/>
      </w:r>
      <w:r>
        <w:rPr>
          <w:color w:val="auto"/>
          <w:sz w:val="36"/>
          <w:szCs w:val="36"/>
        </w:rPr>
        <w:instrText xml:space="preserve"> HYPERLINK \l "_Toc24193" </w:instrText>
      </w:r>
      <w:r>
        <w:rPr>
          <w:color w:val="auto"/>
          <w:sz w:val="36"/>
          <w:szCs w:val="36"/>
        </w:rPr>
        <w:fldChar w:fldCharType="separate"/>
      </w:r>
      <w:r>
        <w:rPr>
          <w:rFonts w:hint="eastAsia" w:ascii="宋体" w:hAnsi="宋体" w:cs="宋体"/>
          <w:color w:val="auto"/>
          <w:sz w:val="36"/>
          <w:szCs w:val="36"/>
        </w:rPr>
        <w:t>第四章  开</w:t>
      </w:r>
      <w:r>
        <w:rPr>
          <w:rFonts w:hint="eastAsia" w:ascii="宋体" w:hAnsi="宋体" w:cs="宋体"/>
          <w:color w:val="auto"/>
          <w:sz w:val="36"/>
          <w:szCs w:val="36"/>
          <w:lang w:val="en-US" w:eastAsia="zh-CN"/>
        </w:rPr>
        <w:t>启</w:t>
      </w:r>
      <w:r>
        <w:rPr>
          <w:rFonts w:hint="eastAsia" w:ascii="宋体" w:hAnsi="宋体" w:cs="宋体"/>
          <w:color w:val="auto"/>
          <w:sz w:val="36"/>
          <w:szCs w:val="36"/>
        </w:rPr>
        <w:t>和评</w:t>
      </w:r>
      <w:r>
        <w:rPr>
          <w:rFonts w:hint="eastAsia" w:ascii="宋体" w:hAnsi="宋体" w:cs="宋体"/>
          <w:color w:val="auto"/>
          <w:sz w:val="36"/>
          <w:szCs w:val="36"/>
          <w:lang w:val="en-US" w:eastAsia="zh-CN"/>
        </w:rPr>
        <w:t>审</w:t>
      </w:r>
      <w:r>
        <w:rPr>
          <w:rFonts w:hint="eastAsia" w:ascii="宋体" w:hAnsi="宋体" w:cs="宋体"/>
          <w:color w:val="auto"/>
          <w:sz w:val="36"/>
          <w:szCs w:val="36"/>
        </w:rPr>
        <w:fldChar w:fldCharType="end"/>
      </w:r>
    </w:p>
    <w:p w14:paraId="13C0F27D">
      <w:pPr>
        <w:pStyle w:val="31"/>
        <w:keepNext w:val="0"/>
        <w:keepLines w:val="0"/>
        <w:pageBreakBefore w:val="0"/>
        <w:shd w:val="clear"/>
        <w:tabs>
          <w:tab w:val="right" w:leader="dot" w:pos="8312"/>
        </w:tabs>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color w:val="auto"/>
          <w:sz w:val="36"/>
          <w:szCs w:val="36"/>
        </w:rPr>
      </w:pPr>
      <w:r>
        <w:rPr>
          <w:color w:val="auto"/>
          <w:sz w:val="36"/>
          <w:szCs w:val="36"/>
        </w:rPr>
        <w:fldChar w:fldCharType="begin"/>
      </w:r>
      <w:r>
        <w:rPr>
          <w:color w:val="auto"/>
          <w:sz w:val="36"/>
          <w:szCs w:val="36"/>
        </w:rPr>
        <w:instrText xml:space="preserve"> HYPERLINK \l "_Toc13768" </w:instrText>
      </w:r>
      <w:r>
        <w:rPr>
          <w:color w:val="auto"/>
          <w:sz w:val="36"/>
          <w:szCs w:val="36"/>
        </w:rPr>
        <w:fldChar w:fldCharType="separate"/>
      </w:r>
      <w:r>
        <w:rPr>
          <w:rFonts w:hint="eastAsia" w:ascii="宋体" w:hAnsi="宋体" w:cs="宋体"/>
          <w:color w:val="auto"/>
          <w:sz w:val="36"/>
          <w:szCs w:val="36"/>
        </w:rPr>
        <w:t>第五章  合同签订与验收付款</w:t>
      </w:r>
      <w:r>
        <w:rPr>
          <w:rFonts w:hint="eastAsia" w:ascii="宋体" w:hAnsi="宋体" w:cs="宋体"/>
          <w:color w:val="auto"/>
          <w:sz w:val="36"/>
          <w:szCs w:val="36"/>
        </w:rPr>
        <w:fldChar w:fldCharType="end"/>
      </w:r>
    </w:p>
    <w:p w14:paraId="6C235D01">
      <w:pPr>
        <w:pStyle w:val="31"/>
        <w:keepNext w:val="0"/>
        <w:keepLines w:val="0"/>
        <w:pageBreakBefore w:val="0"/>
        <w:shd w:val="clear"/>
        <w:tabs>
          <w:tab w:val="right" w:leader="dot" w:pos="8312"/>
        </w:tabs>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color w:val="auto"/>
          <w:sz w:val="36"/>
          <w:szCs w:val="36"/>
        </w:rPr>
      </w:pPr>
      <w:r>
        <w:rPr>
          <w:color w:val="auto"/>
          <w:sz w:val="36"/>
          <w:szCs w:val="36"/>
        </w:rPr>
        <w:fldChar w:fldCharType="begin"/>
      </w:r>
      <w:r>
        <w:rPr>
          <w:color w:val="auto"/>
          <w:sz w:val="36"/>
          <w:szCs w:val="36"/>
        </w:rPr>
        <w:instrText xml:space="preserve"> HYPERLINK \l "_Toc21870" </w:instrText>
      </w:r>
      <w:r>
        <w:rPr>
          <w:color w:val="auto"/>
          <w:sz w:val="36"/>
          <w:szCs w:val="36"/>
        </w:rPr>
        <w:fldChar w:fldCharType="separate"/>
      </w:r>
      <w:r>
        <w:rPr>
          <w:rFonts w:hint="eastAsia" w:ascii="宋体" w:hAnsi="宋体" w:cs="宋体"/>
          <w:color w:val="auto"/>
          <w:sz w:val="36"/>
          <w:szCs w:val="36"/>
        </w:rPr>
        <w:t>第六章  响应文件组成</w:t>
      </w:r>
      <w:r>
        <w:rPr>
          <w:rFonts w:hint="eastAsia" w:ascii="宋体" w:hAnsi="宋体" w:cs="宋体"/>
          <w:color w:val="auto"/>
          <w:sz w:val="36"/>
          <w:szCs w:val="36"/>
        </w:rPr>
        <w:fldChar w:fldCharType="end"/>
      </w:r>
    </w:p>
    <w:p w14:paraId="23B3E707">
      <w:pPr>
        <w:pStyle w:val="17"/>
        <w:keepNext w:val="0"/>
        <w:keepLines w:val="0"/>
        <w:pageBreakBefore w:val="0"/>
        <w:shd w:val="clear"/>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r>
        <w:rPr>
          <w:rFonts w:hint="eastAsia" w:hAnsi="宋体" w:cs="宋体"/>
          <w:color w:val="auto"/>
          <w:sz w:val="36"/>
          <w:szCs w:val="36"/>
        </w:rPr>
        <w:fldChar w:fldCharType="end"/>
      </w:r>
    </w:p>
    <w:p w14:paraId="47B2AE2A">
      <w:pPr>
        <w:pStyle w:val="17"/>
        <w:keepNext w:val="0"/>
        <w:keepLines w:val="0"/>
        <w:pageBreakBefore w:val="0"/>
        <w:shd w:val="clear"/>
        <w:overflowPunct/>
        <w:bidi w:val="0"/>
        <w:spacing w:line="360" w:lineRule="auto"/>
        <w:ind w:left="0" w:leftChars="0" w:firstLine="747" w:firstLineChars="200"/>
        <w:jc w:val="both"/>
        <w:rPr>
          <w:rFonts w:hAnsi="宋体" w:cs="宋体"/>
          <w:color w:val="auto"/>
          <w:sz w:val="36"/>
          <w:szCs w:val="36"/>
        </w:rPr>
      </w:pPr>
    </w:p>
    <w:p w14:paraId="2CD06B0F">
      <w:pPr>
        <w:pStyle w:val="17"/>
        <w:keepNext w:val="0"/>
        <w:keepLines w:val="0"/>
        <w:pageBreakBefore w:val="0"/>
        <w:shd w:val="clear"/>
        <w:overflowPunct/>
        <w:bidi w:val="0"/>
        <w:spacing w:line="360" w:lineRule="auto"/>
        <w:ind w:left="0" w:leftChars="0" w:firstLine="747" w:firstLineChars="200"/>
        <w:jc w:val="both"/>
        <w:rPr>
          <w:rFonts w:hAnsi="宋体" w:cs="宋体"/>
          <w:color w:val="auto"/>
          <w:sz w:val="36"/>
          <w:szCs w:val="36"/>
        </w:rPr>
      </w:pPr>
    </w:p>
    <w:p w14:paraId="52A7E435">
      <w:pPr>
        <w:pStyle w:val="17"/>
        <w:keepNext w:val="0"/>
        <w:keepLines w:val="0"/>
        <w:pageBreakBefore w:val="0"/>
        <w:shd w:val="clear"/>
        <w:overflowPunct/>
        <w:bidi w:val="0"/>
        <w:spacing w:line="360" w:lineRule="auto"/>
        <w:ind w:left="0" w:leftChars="0" w:firstLine="747" w:firstLineChars="200"/>
        <w:jc w:val="both"/>
        <w:rPr>
          <w:rFonts w:hAnsi="宋体" w:cs="宋体"/>
          <w:color w:val="auto"/>
          <w:sz w:val="36"/>
          <w:szCs w:val="36"/>
        </w:rPr>
      </w:pPr>
    </w:p>
    <w:p w14:paraId="0DEAA338">
      <w:pPr>
        <w:pStyle w:val="17"/>
        <w:keepNext w:val="0"/>
        <w:keepLines w:val="0"/>
        <w:pageBreakBefore w:val="0"/>
        <w:shd w:val="clear"/>
        <w:overflowPunct/>
        <w:bidi w:val="0"/>
        <w:spacing w:line="360" w:lineRule="auto"/>
        <w:ind w:left="0" w:leftChars="0" w:firstLine="747" w:firstLineChars="200"/>
        <w:jc w:val="both"/>
        <w:rPr>
          <w:rFonts w:hAnsi="宋体" w:cs="宋体"/>
          <w:color w:val="auto"/>
          <w:sz w:val="36"/>
          <w:szCs w:val="36"/>
        </w:rPr>
      </w:pPr>
    </w:p>
    <w:p w14:paraId="7D844646">
      <w:pPr>
        <w:pStyle w:val="17"/>
        <w:keepNext w:val="0"/>
        <w:keepLines w:val="0"/>
        <w:pageBreakBefore w:val="0"/>
        <w:shd w:val="clear"/>
        <w:overflowPunct/>
        <w:bidi w:val="0"/>
        <w:spacing w:line="360" w:lineRule="auto"/>
        <w:ind w:left="0" w:leftChars="0" w:firstLine="747" w:firstLineChars="200"/>
        <w:jc w:val="both"/>
        <w:rPr>
          <w:rFonts w:hAnsi="宋体" w:cs="宋体"/>
          <w:color w:val="auto"/>
          <w:sz w:val="36"/>
          <w:szCs w:val="36"/>
        </w:rPr>
      </w:pPr>
    </w:p>
    <w:p w14:paraId="5688EEB4">
      <w:pPr>
        <w:pStyle w:val="17"/>
        <w:keepNext w:val="0"/>
        <w:keepLines w:val="0"/>
        <w:pageBreakBefore w:val="0"/>
        <w:shd w:val="clear"/>
        <w:overflowPunct/>
        <w:bidi w:val="0"/>
        <w:spacing w:line="360" w:lineRule="auto"/>
        <w:ind w:left="0" w:leftChars="0" w:firstLine="747" w:firstLineChars="200"/>
        <w:jc w:val="both"/>
        <w:rPr>
          <w:rFonts w:hAnsi="宋体" w:cs="宋体"/>
          <w:color w:val="auto"/>
          <w:sz w:val="36"/>
          <w:szCs w:val="36"/>
        </w:rPr>
      </w:pPr>
    </w:p>
    <w:p w14:paraId="5E3A5238">
      <w:pPr>
        <w:pStyle w:val="17"/>
        <w:keepNext w:val="0"/>
        <w:keepLines w:val="0"/>
        <w:pageBreakBefore w:val="0"/>
        <w:numPr>
          <w:ilvl w:val="0"/>
          <w:numId w:val="2"/>
        </w:numPr>
        <w:shd w:val="clear"/>
        <w:overflowPunct/>
        <w:bidi w:val="0"/>
        <w:spacing w:line="360" w:lineRule="auto"/>
        <w:ind w:left="0" w:leftChars="0" w:firstLine="506" w:firstLineChars="200"/>
        <w:jc w:val="both"/>
        <w:outlineLvl w:val="0"/>
        <w:rPr>
          <w:rFonts w:hAnsi="宋体" w:cs="宋体"/>
          <w:color w:val="auto"/>
          <w:sz w:val="24"/>
          <w:szCs w:val="24"/>
        </w:rPr>
        <w:sectPr>
          <w:footerReference r:id="rId3" w:type="default"/>
          <w:pgSz w:w="11906" w:h="16838"/>
          <w:pgMar w:top="1440" w:right="1800" w:bottom="1440" w:left="1800" w:header="851" w:footer="992" w:gutter="0"/>
          <w:cols w:space="425" w:num="1"/>
          <w:docGrid w:type="lines" w:linePitch="312" w:charSpace="0"/>
        </w:sectPr>
      </w:pPr>
    </w:p>
    <w:p w14:paraId="7E711E95">
      <w:pPr>
        <w:pStyle w:val="17"/>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0" w:firstLineChars="0"/>
        <w:jc w:val="center"/>
        <w:textAlignment w:val="auto"/>
        <w:outlineLvl w:val="0"/>
        <w:rPr>
          <w:rFonts w:hAnsi="宋体" w:cs="宋体"/>
          <w:color w:val="auto"/>
          <w:sz w:val="36"/>
          <w:szCs w:val="36"/>
        </w:rPr>
      </w:pPr>
      <w:r>
        <w:rPr>
          <w:rFonts w:hint="eastAsia" w:ascii="宋体" w:hAnsi="宋体" w:eastAsia="宋体" w:cs="宋体"/>
          <w:b/>
          <w:color w:val="auto"/>
          <w:spacing w:val="6"/>
          <w:kern w:val="2"/>
          <w:sz w:val="36"/>
          <w:szCs w:val="36"/>
          <w:lang w:val="en-US" w:eastAsia="zh-CN" w:bidi="ar-SA"/>
        </w:rPr>
        <w:t>第一章</w:t>
      </w:r>
      <w:r>
        <w:rPr>
          <w:rFonts w:hint="eastAsia" w:hAnsi="宋体" w:cs="宋体"/>
          <w:color w:val="auto"/>
          <w:sz w:val="36"/>
          <w:szCs w:val="36"/>
        </w:rPr>
        <w:t xml:space="preserve">  比选公告</w:t>
      </w:r>
    </w:p>
    <w:p w14:paraId="61ED5A28">
      <w:pPr>
        <w:keepNext w:val="0"/>
        <w:keepLines w:val="0"/>
        <w:pageBreakBefore w:val="0"/>
        <w:pBdr>
          <w:top w:val="single" w:color="auto" w:sz="4" w:space="1"/>
          <w:left w:val="single" w:color="auto" w:sz="4" w:space="4"/>
          <w:bottom w:val="single" w:color="auto" w:sz="4" w:space="1"/>
          <w:right w:val="single" w:color="auto" w:sz="4" w:space="4"/>
        </w:pBdr>
        <w:shd w:val="clear"/>
        <w:overflowPunct/>
        <w:bidi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u w:val="single"/>
        </w:rPr>
        <w:t>江苏省南通第一中学</w:t>
      </w:r>
      <w:r>
        <w:rPr>
          <w:rFonts w:hint="eastAsia" w:ascii="宋体" w:hAnsi="宋体" w:cs="宋体"/>
          <w:color w:val="auto"/>
          <w:sz w:val="24"/>
          <w:szCs w:val="24"/>
          <w:u w:val="single"/>
          <w:lang w:val="en-US" w:eastAsia="zh-CN"/>
        </w:rPr>
        <w:t>2026年学生</w:t>
      </w:r>
      <w:r>
        <w:rPr>
          <w:rFonts w:hint="eastAsia" w:ascii="宋体" w:hAnsi="宋体" w:cs="宋体"/>
          <w:color w:val="auto"/>
          <w:sz w:val="24"/>
          <w:szCs w:val="24"/>
          <w:u w:val="single"/>
        </w:rPr>
        <w:t>体检服务采购项目</w:t>
      </w:r>
      <w:r>
        <w:rPr>
          <w:rFonts w:hint="eastAsia" w:ascii="宋体" w:hAnsi="宋体" w:cs="宋体"/>
          <w:color w:val="auto"/>
          <w:sz w:val="24"/>
          <w:szCs w:val="24"/>
        </w:rPr>
        <w:t>的潜在供应商应在</w:t>
      </w:r>
      <w:r>
        <w:rPr>
          <w:rFonts w:hint="eastAsia" w:ascii="宋体" w:hAnsi="宋体" w:cs="宋体"/>
          <w:color w:val="auto"/>
          <w:sz w:val="24"/>
          <w:szCs w:val="24"/>
          <w:u w:val="single"/>
        </w:rPr>
        <w:t>南通市教育局</w:t>
      </w:r>
      <w:r>
        <w:rPr>
          <w:rFonts w:hint="eastAsia" w:ascii="宋体" w:hAnsi="宋体" w:cs="宋体"/>
          <w:color w:val="auto"/>
          <w:sz w:val="24"/>
          <w:szCs w:val="24"/>
          <w:u w:val="single"/>
          <w:lang w:eastAsia="zh-CN"/>
        </w:rPr>
        <w:t>网</w:t>
      </w:r>
      <w:r>
        <w:rPr>
          <w:rFonts w:hint="eastAsia" w:ascii="宋体" w:hAnsi="宋体" w:cs="宋体"/>
          <w:color w:val="auto"/>
          <w:sz w:val="24"/>
          <w:szCs w:val="24"/>
        </w:rPr>
        <w:t>获取比选文件，并于</w:t>
      </w:r>
      <w:r>
        <w:rPr>
          <w:rFonts w:hint="eastAsia" w:ascii="宋体" w:hAnsi="宋体" w:cs="宋体"/>
          <w:color w:val="auto"/>
          <w:sz w:val="24"/>
          <w:szCs w:val="24"/>
          <w:u w:val="single"/>
          <w:lang w:eastAsia="zh-CN"/>
        </w:rPr>
        <w:t>2026年4月</w:t>
      </w:r>
      <w:r>
        <w:rPr>
          <w:rFonts w:hint="eastAsia" w:ascii="宋体" w:hAnsi="宋体" w:cs="宋体"/>
          <w:color w:val="auto"/>
          <w:sz w:val="24"/>
          <w:szCs w:val="24"/>
          <w:u w:val="single"/>
          <w:lang w:val="en-US" w:eastAsia="zh-CN"/>
        </w:rPr>
        <w:t>27</w:t>
      </w:r>
      <w:r>
        <w:rPr>
          <w:rFonts w:hint="eastAsia" w:ascii="宋体" w:hAnsi="宋体" w:cs="宋体"/>
          <w:color w:val="auto"/>
          <w:sz w:val="24"/>
          <w:szCs w:val="24"/>
          <w:u w:val="single"/>
          <w:lang w:eastAsia="zh-CN"/>
        </w:rPr>
        <w:t>日9点30分</w:t>
      </w:r>
      <w:r>
        <w:rPr>
          <w:rFonts w:hint="eastAsia" w:ascii="宋体" w:hAnsi="宋体" w:cs="宋体"/>
          <w:bCs/>
          <w:color w:val="auto"/>
          <w:sz w:val="24"/>
          <w:szCs w:val="24"/>
        </w:rPr>
        <w:t>（北京时间）前提交响应文件</w:t>
      </w:r>
      <w:r>
        <w:rPr>
          <w:rFonts w:hint="eastAsia" w:ascii="宋体" w:hAnsi="宋体" w:cs="宋体"/>
          <w:color w:val="auto"/>
          <w:sz w:val="24"/>
          <w:szCs w:val="24"/>
        </w:rPr>
        <w:t>。</w:t>
      </w:r>
    </w:p>
    <w:p w14:paraId="69A8A90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2" w:firstLineChars="200"/>
        <w:jc w:val="both"/>
        <w:textAlignment w:val="auto"/>
        <w:rPr>
          <w:rFonts w:ascii="宋体" w:hAnsi="宋体" w:cs="宋体"/>
          <w:b/>
          <w:bCs/>
          <w:color w:val="auto"/>
          <w:sz w:val="24"/>
          <w:szCs w:val="24"/>
        </w:rPr>
      </w:pPr>
      <w:bookmarkStart w:id="0" w:name="_Toc35393629"/>
      <w:bookmarkStart w:id="1" w:name="_Toc28359089"/>
      <w:bookmarkStart w:id="2" w:name="_Toc28359012"/>
      <w:bookmarkStart w:id="3" w:name="_Toc35393798"/>
      <w:r>
        <w:rPr>
          <w:rFonts w:hint="eastAsia" w:ascii="宋体" w:hAnsi="宋体" w:cs="宋体"/>
          <w:b/>
          <w:bCs/>
          <w:color w:val="auto"/>
          <w:sz w:val="24"/>
          <w:szCs w:val="24"/>
        </w:rPr>
        <w:t>一、</w:t>
      </w:r>
      <w:bookmarkEnd w:id="0"/>
      <w:bookmarkEnd w:id="1"/>
      <w:bookmarkEnd w:id="2"/>
      <w:bookmarkEnd w:id="3"/>
      <w:r>
        <w:rPr>
          <w:rFonts w:hint="eastAsia" w:ascii="宋体" w:hAnsi="宋体" w:cs="宋体"/>
          <w:b/>
          <w:bCs/>
          <w:color w:val="auto"/>
          <w:sz w:val="24"/>
          <w:szCs w:val="24"/>
        </w:rPr>
        <w:t>项目基本信息</w:t>
      </w:r>
    </w:p>
    <w:p w14:paraId="0668DB4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cs="宋体"/>
          <w:color w:val="auto"/>
          <w:sz w:val="24"/>
          <w:szCs w:val="24"/>
        </w:rPr>
        <w:t>项目编号：</w:t>
      </w:r>
      <w:r>
        <w:rPr>
          <w:rFonts w:hint="eastAsia" w:ascii="宋体" w:hAnsi="宋体" w:cs="宋体"/>
          <w:color w:val="auto"/>
          <w:sz w:val="24"/>
          <w:szCs w:val="24"/>
          <w:lang w:val="en-US" w:eastAsia="zh-CN"/>
        </w:rPr>
        <w:t xml:space="preserve"> </w:t>
      </w:r>
    </w:p>
    <w:p w14:paraId="7FB181B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项目名称：</w:t>
      </w:r>
      <w:r>
        <w:rPr>
          <w:rFonts w:hint="eastAsia" w:ascii="宋体" w:hAnsi="宋体" w:cs="宋体"/>
          <w:color w:val="auto"/>
          <w:sz w:val="24"/>
          <w:szCs w:val="24"/>
          <w:lang w:val="en-US" w:eastAsia="zh-CN"/>
        </w:rPr>
        <w:t>江苏省南通第一中学2026年学生体检服务采购项目</w:t>
      </w:r>
    </w:p>
    <w:p w14:paraId="57CB4A6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cs="宋体"/>
          <w:color w:val="auto"/>
          <w:sz w:val="24"/>
          <w:szCs w:val="24"/>
        </w:rPr>
      </w:pPr>
      <w:bookmarkStart w:id="4" w:name="_Toc28359013"/>
      <w:bookmarkStart w:id="5" w:name="_Toc35393799"/>
      <w:bookmarkStart w:id="6" w:name="_Toc28359090"/>
      <w:bookmarkStart w:id="7" w:name="_Toc35393630"/>
      <w:r>
        <w:rPr>
          <w:rFonts w:hint="eastAsia" w:ascii="宋体" w:hAnsi="宋体" w:cs="宋体"/>
          <w:color w:val="auto"/>
          <w:sz w:val="24"/>
          <w:szCs w:val="24"/>
          <w:lang w:val="en-US" w:eastAsia="zh-CN"/>
        </w:rPr>
        <w:t>3.</w:t>
      </w:r>
      <w:r>
        <w:rPr>
          <w:rFonts w:hint="eastAsia" w:ascii="宋体" w:hAnsi="宋体" w:cs="宋体"/>
          <w:color w:val="auto"/>
          <w:sz w:val="24"/>
          <w:szCs w:val="24"/>
        </w:rPr>
        <w:t>采购方式：比选</w:t>
      </w:r>
    </w:p>
    <w:p w14:paraId="4C05AA9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预算金额：</w:t>
      </w:r>
      <w:r>
        <w:rPr>
          <w:rFonts w:hint="eastAsia" w:ascii="宋体" w:hAnsi="宋体" w:cs="宋体"/>
          <w:color w:val="auto"/>
          <w:sz w:val="24"/>
          <w:szCs w:val="24"/>
          <w:lang w:val="en-US" w:eastAsia="zh-CN"/>
        </w:rPr>
        <w:t>人民币7万</w:t>
      </w:r>
      <w:r>
        <w:rPr>
          <w:rFonts w:hint="eastAsia" w:ascii="宋体" w:hAnsi="宋体" w:cs="宋体"/>
          <w:color w:val="auto"/>
          <w:sz w:val="24"/>
          <w:szCs w:val="24"/>
        </w:rPr>
        <w:t>元</w:t>
      </w:r>
    </w:p>
    <w:p w14:paraId="45FC597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最高限价：常规体检（含第二学期视力）单价最高限价22元/人，EC皮试单价最高限价25元/人（高一新生第一学期测一次），超过最高限价作无效</w:t>
      </w:r>
      <w:r>
        <w:rPr>
          <w:rFonts w:hint="eastAsia" w:ascii="宋体" w:hAnsi="宋体" w:cs="宋体"/>
          <w:color w:val="auto"/>
          <w:sz w:val="24"/>
          <w:szCs w:val="24"/>
          <w:lang w:val="en-US" w:eastAsia="zh-CN"/>
        </w:rPr>
        <w:t>响应</w:t>
      </w:r>
      <w:r>
        <w:rPr>
          <w:rFonts w:hint="eastAsia" w:ascii="宋体" w:hAnsi="宋体" w:cs="宋体"/>
          <w:color w:val="auto"/>
          <w:sz w:val="24"/>
          <w:szCs w:val="24"/>
        </w:rPr>
        <w:t>处理。</w:t>
      </w:r>
    </w:p>
    <w:p w14:paraId="177E249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采购需求：详见</w:t>
      </w:r>
      <w:r>
        <w:rPr>
          <w:rFonts w:hint="eastAsia" w:ascii="宋体" w:hAnsi="宋体" w:cs="宋体"/>
          <w:color w:val="auto"/>
          <w:sz w:val="24"/>
          <w:szCs w:val="24"/>
          <w:lang w:val="en-US" w:eastAsia="zh-CN"/>
        </w:rPr>
        <w:t>比选文件第三章</w:t>
      </w:r>
      <w:r>
        <w:rPr>
          <w:rFonts w:hint="eastAsia" w:ascii="宋体" w:hAnsi="宋体" w:cs="宋体"/>
          <w:color w:val="auto"/>
          <w:sz w:val="24"/>
          <w:szCs w:val="24"/>
        </w:rPr>
        <w:t>，请仔细研究。</w:t>
      </w:r>
    </w:p>
    <w:p w14:paraId="5D4E6DF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rPr>
        <w:t>项目实施时间：</w:t>
      </w:r>
      <w:r>
        <w:rPr>
          <w:rFonts w:hint="eastAsia" w:ascii="宋体" w:hAnsi="宋体" w:cs="宋体"/>
          <w:color w:val="auto"/>
          <w:sz w:val="24"/>
          <w:szCs w:val="24"/>
          <w:lang w:val="en-US" w:eastAsia="zh-CN"/>
        </w:rPr>
        <w:t>分春秋两季。春季学生视力检查（裸眼视力、屈光度、戴镜视力等）；秋季常规项目体检以《江苏省中小学生健康体检表》为准。以上均含体检数据录入，具体时间以学校通知为准。</w:t>
      </w:r>
    </w:p>
    <w:p w14:paraId="2D623A5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rPr>
        <w:t>本项目（是/否）接受联合体：否。</w:t>
      </w:r>
    </w:p>
    <w:bookmarkEnd w:id="4"/>
    <w:bookmarkEnd w:id="5"/>
    <w:bookmarkEnd w:id="6"/>
    <w:bookmarkEnd w:id="7"/>
    <w:p w14:paraId="7790C7C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2" w:firstLineChars="200"/>
        <w:jc w:val="both"/>
        <w:textAlignment w:val="auto"/>
        <w:rPr>
          <w:rFonts w:ascii="宋体" w:hAnsi="宋体" w:cs="宋体"/>
          <w:b/>
          <w:bCs/>
          <w:color w:val="auto"/>
          <w:sz w:val="24"/>
          <w:szCs w:val="24"/>
        </w:rPr>
      </w:pPr>
      <w:r>
        <w:rPr>
          <w:rFonts w:hint="eastAsia" w:ascii="宋体" w:hAnsi="宋体" w:cs="宋体"/>
          <w:b/>
          <w:bCs/>
          <w:color w:val="auto"/>
          <w:sz w:val="24"/>
          <w:szCs w:val="24"/>
          <w:lang w:val="en-US" w:eastAsia="zh-CN"/>
        </w:rPr>
        <w:t>二</w:t>
      </w:r>
      <w:r>
        <w:rPr>
          <w:rFonts w:hint="eastAsia" w:ascii="宋体" w:hAnsi="宋体" w:cs="宋体"/>
          <w:b/>
          <w:bCs/>
          <w:color w:val="auto"/>
          <w:sz w:val="24"/>
          <w:szCs w:val="24"/>
        </w:rPr>
        <w:t>、供应商资格要求</w:t>
      </w:r>
    </w:p>
    <w:p w14:paraId="6641AEE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rPr>
        <w:t>1.</w:t>
      </w:r>
      <w:bookmarkStart w:id="8" w:name="_Toc28359091"/>
      <w:bookmarkStart w:id="9" w:name="_Toc35393800"/>
      <w:bookmarkStart w:id="10" w:name="_Toc28359014"/>
      <w:bookmarkStart w:id="11" w:name="_Toc35393631"/>
      <w:r>
        <w:rPr>
          <w:rFonts w:hint="eastAsia" w:ascii="宋体" w:hAnsi="宋体" w:cs="宋体"/>
          <w:color w:val="auto"/>
          <w:sz w:val="24"/>
          <w:szCs w:val="24"/>
        </w:rPr>
        <w:t>满足以下要求，并提供声明函：</w:t>
      </w:r>
    </w:p>
    <w:p w14:paraId="34B1DD8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276E262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343907E2">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3F1938C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135B558">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rPr>
        <w:t>（5）参加</w:t>
      </w:r>
      <w:r>
        <w:rPr>
          <w:rFonts w:hint="eastAsia" w:ascii="宋体" w:hAnsi="宋体" w:cs="宋体"/>
          <w:color w:val="auto"/>
          <w:sz w:val="24"/>
          <w:szCs w:val="24"/>
          <w:lang w:val="en-US" w:eastAsia="zh-CN"/>
        </w:rPr>
        <w:t>本次</w:t>
      </w:r>
      <w:r>
        <w:rPr>
          <w:rFonts w:hint="eastAsia" w:ascii="宋体" w:hAnsi="宋体" w:cs="宋体"/>
          <w:color w:val="auto"/>
          <w:sz w:val="24"/>
          <w:szCs w:val="24"/>
        </w:rPr>
        <w:t>采购活动前三年内，在经营活动中没有重大违法记录；</w:t>
      </w:r>
    </w:p>
    <w:p w14:paraId="6C35C45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78AB807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rPr>
        <w:t>2.特定资格要求：供应商须为设有独立健康管理中心的本地二级以上公立医院</w:t>
      </w:r>
      <w:r>
        <w:rPr>
          <w:rFonts w:hint="eastAsia" w:ascii="宋体" w:hAnsi="宋体" w:cs="宋体"/>
          <w:b/>
          <w:bCs/>
          <w:color w:val="auto"/>
          <w:sz w:val="24"/>
          <w:szCs w:val="24"/>
          <w:lang w:eastAsia="zh-CN"/>
        </w:rPr>
        <w:t>。</w:t>
      </w:r>
    </w:p>
    <w:p w14:paraId="59C3D2F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3.</w:t>
      </w:r>
      <w:r>
        <w:rPr>
          <w:rFonts w:hint="eastAsia" w:ascii="宋体" w:hAnsi="宋体" w:cs="宋体"/>
          <w:b w:val="0"/>
          <w:bCs w:val="0"/>
          <w:color w:val="auto"/>
          <w:sz w:val="24"/>
          <w:szCs w:val="24"/>
        </w:rPr>
        <w:t>未被“信用中国”网站列入失信被执行人、重大税收违法案件当事人名单、采购严重失信行为记录名单。</w:t>
      </w:r>
    </w:p>
    <w:p w14:paraId="1C1C848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拒绝下述供应商参加本次采购活动：</w:t>
      </w:r>
    </w:p>
    <w:p w14:paraId="30B69768">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供应商单位负责人为同一人或者存在直接控股、管理关系的不同供应商，不得参加同一合同项下的采购活动</w:t>
      </w:r>
      <w:r>
        <w:rPr>
          <w:rFonts w:hint="eastAsia" w:ascii="宋体" w:hAnsi="宋体" w:cs="宋体"/>
          <w:color w:val="auto"/>
          <w:sz w:val="24"/>
          <w:szCs w:val="24"/>
          <w:lang w:eastAsia="zh-CN"/>
        </w:rPr>
        <w:t>。</w:t>
      </w:r>
    </w:p>
    <w:p w14:paraId="3BB9266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cs="宋体"/>
          <w:color w:val="auto"/>
          <w:sz w:val="24"/>
          <w:szCs w:val="24"/>
          <w:u w:val="none" w:color="auto"/>
        </w:rPr>
      </w:pPr>
      <w:r>
        <w:rPr>
          <w:rFonts w:hint="eastAsia" w:ascii="宋体" w:hAnsi="宋体" w:cs="宋体"/>
          <w:color w:val="auto"/>
          <w:sz w:val="24"/>
          <w:szCs w:val="24"/>
          <w:u w:val="none" w:color="auto"/>
        </w:rPr>
        <w:t>其他具体资格要求详见“第六章响应文件组成”。</w:t>
      </w:r>
    </w:p>
    <w:p w14:paraId="4902276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2" w:firstLineChars="200"/>
        <w:jc w:val="both"/>
        <w:textAlignment w:val="auto"/>
        <w:rPr>
          <w:rFonts w:ascii="宋体" w:hAnsi="宋体" w:cs="宋体"/>
          <w:b/>
          <w:bCs/>
          <w:color w:val="auto"/>
          <w:sz w:val="24"/>
          <w:szCs w:val="24"/>
        </w:rPr>
      </w:pPr>
      <w:r>
        <w:rPr>
          <w:rFonts w:hint="eastAsia" w:ascii="宋体" w:hAnsi="宋体" w:cs="宋体"/>
          <w:b/>
          <w:bCs/>
          <w:color w:val="auto"/>
          <w:sz w:val="24"/>
          <w:szCs w:val="24"/>
        </w:rPr>
        <w:t>四、获取</w:t>
      </w:r>
      <w:bookmarkEnd w:id="8"/>
      <w:bookmarkEnd w:id="9"/>
      <w:bookmarkEnd w:id="10"/>
      <w:bookmarkEnd w:id="11"/>
      <w:r>
        <w:rPr>
          <w:rFonts w:hint="eastAsia" w:ascii="宋体" w:hAnsi="宋体" w:cs="宋体"/>
          <w:b/>
          <w:bCs/>
          <w:color w:val="auto"/>
          <w:sz w:val="24"/>
          <w:szCs w:val="24"/>
        </w:rPr>
        <w:t>比选文件</w:t>
      </w:r>
    </w:p>
    <w:p w14:paraId="72AECE9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lang w:eastAsia="zh-CN"/>
        </w:rPr>
      </w:pPr>
      <w:bookmarkStart w:id="12" w:name="_Toc28359015"/>
      <w:bookmarkStart w:id="13" w:name="_Toc35393801"/>
      <w:bookmarkStart w:id="14" w:name="_Toc35393632"/>
      <w:bookmarkStart w:id="15" w:name="_Toc28359092"/>
      <w:r>
        <w:rPr>
          <w:rFonts w:hint="eastAsia" w:ascii="宋体" w:hAnsi="宋体" w:cs="宋体"/>
          <w:color w:val="auto"/>
          <w:sz w:val="24"/>
          <w:szCs w:val="24"/>
        </w:rPr>
        <w:t>1.时间：自本公告发布之日起至</w:t>
      </w:r>
      <w:r>
        <w:rPr>
          <w:rFonts w:hint="eastAsia" w:ascii="宋体" w:hAnsi="宋体" w:cs="宋体"/>
          <w:color w:val="auto"/>
          <w:sz w:val="24"/>
          <w:szCs w:val="24"/>
          <w:u w:val="single"/>
          <w:lang w:eastAsia="zh-CN"/>
        </w:rPr>
        <w:t>2026年4月</w:t>
      </w:r>
      <w:r>
        <w:rPr>
          <w:rFonts w:hint="eastAsia" w:ascii="宋体" w:hAnsi="宋体" w:cs="宋体"/>
          <w:color w:val="auto"/>
          <w:sz w:val="24"/>
          <w:szCs w:val="24"/>
          <w:u w:val="single"/>
          <w:lang w:val="en-US" w:eastAsia="zh-CN"/>
        </w:rPr>
        <w:t>27</w:t>
      </w:r>
      <w:r>
        <w:rPr>
          <w:rFonts w:hint="eastAsia" w:ascii="宋体" w:hAnsi="宋体" w:cs="宋体"/>
          <w:color w:val="auto"/>
          <w:sz w:val="24"/>
          <w:szCs w:val="24"/>
          <w:u w:val="single"/>
          <w:lang w:eastAsia="zh-CN"/>
        </w:rPr>
        <w:t>日9点30分</w:t>
      </w:r>
    </w:p>
    <w:p w14:paraId="37397DA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cs="宋体"/>
          <w:color w:val="auto"/>
          <w:sz w:val="24"/>
          <w:szCs w:val="24"/>
        </w:rPr>
      </w:pPr>
      <w:r>
        <w:rPr>
          <w:rFonts w:hint="eastAsia" w:ascii="宋体" w:hAnsi="宋体" w:cs="宋体"/>
          <w:color w:val="auto"/>
          <w:sz w:val="24"/>
          <w:szCs w:val="24"/>
        </w:rPr>
        <w:t>2.地点：南通市教育局网站自行下载</w:t>
      </w:r>
    </w:p>
    <w:p w14:paraId="339766D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cs="宋体"/>
          <w:color w:val="auto"/>
          <w:sz w:val="24"/>
          <w:szCs w:val="24"/>
        </w:rPr>
      </w:pPr>
      <w:r>
        <w:rPr>
          <w:rFonts w:hint="eastAsia" w:ascii="宋体" w:hAnsi="宋体" w:cs="宋体"/>
          <w:color w:val="auto"/>
          <w:sz w:val="24"/>
          <w:szCs w:val="24"/>
        </w:rPr>
        <w:t>3.有关本次采购的事项若存在变动或修改，敬请及时关注“南通市教育局网”发布的信息更正公告，恕不另行通知，如有遗漏采购人概不负责。</w:t>
      </w:r>
    </w:p>
    <w:p w14:paraId="6EA62B2F">
      <w:pPr>
        <w:keepNext w:val="0"/>
        <w:keepLines w:val="0"/>
        <w:pageBreakBefore w:val="0"/>
        <w:shd w:val="clear"/>
        <w:overflowPunct/>
        <w:bidi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五、响应文件提交</w:t>
      </w:r>
      <w:bookmarkEnd w:id="12"/>
      <w:bookmarkEnd w:id="13"/>
      <w:bookmarkEnd w:id="14"/>
      <w:bookmarkEnd w:id="15"/>
    </w:p>
    <w:p w14:paraId="77D38AE1">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szCs w:val="24"/>
        </w:rPr>
      </w:pPr>
      <w:bookmarkStart w:id="16" w:name="_Toc28359016"/>
      <w:bookmarkStart w:id="17" w:name="_Toc35393633"/>
      <w:bookmarkStart w:id="18" w:name="_Toc28359093"/>
      <w:bookmarkStart w:id="19" w:name="_Toc35393802"/>
      <w:r>
        <w:rPr>
          <w:rFonts w:hint="eastAsia" w:ascii="宋体" w:hAnsi="宋体" w:cs="宋体"/>
          <w:color w:val="auto"/>
          <w:sz w:val="24"/>
          <w:szCs w:val="24"/>
        </w:rPr>
        <w:t>响应文件接收截止时间：</w:t>
      </w:r>
      <w:r>
        <w:rPr>
          <w:rFonts w:hint="eastAsia" w:ascii="宋体" w:hAnsi="宋体" w:cs="宋体"/>
          <w:b/>
          <w:bCs/>
          <w:color w:val="auto"/>
          <w:sz w:val="24"/>
          <w:szCs w:val="24"/>
        </w:rPr>
        <w:t>2026年4月</w:t>
      </w:r>
      <w:r>
        <w:rPr>
          <w:rFonts w:hint="eastAsia" w:ascii="宋体" w:hAnsi="宋体" w:cs="宋体"/>
          <w:b/>
          <w:bCs/>
          <w:color w:val="auto"/>
          <w:sz w:val="24"/>
          <w:szCs w:val="24"/>
          <w:lang w:val="en-US" w:eastAsia="zh-CN"/>
        </w:rPr>
        <w:t>27</w:t>
      </w:r>
      <w:r>
        <w:rPr>
          <w:rFonts w:hint="eastAsia" w:ascii="宋体" w:hAnsi="宋体" w:cs="宋体"/>
          <w:b/>
          <w:bCs/>
          <w:color w:val="auto"/>
          <w:sz w:val="24"/>
          <w:szCs w:val="24"/>
        </w:rPr>
        <w:t>日09时30分（北京时间），</w:t>
      </w:r>
      <w:r>
        <w:rPr>
          <w:rFonts w:hint="eastAsia" w:ascii="宋体" w:hAnsi="宋体" w:cs="宋体"/>
          <w:color w:val="auto"/>
          <w:sz w:val="24"/>
          <w:szCs w:val="24"/>
        </w:rPr>
        <w:t>逾时拒绝接收响应文件。</w:t>
      </w:r>
    </w:p>
    <w:p w14:paraId="0DDC92F5">
      <w:pPr>
        <w:keepNext w:val="0"/>
        <w:keepLines w:val="0"/>
        <w:pageBreakBefore w:val="0"/>
        <w:shd w:val="clear"/>
        <w:overflowPunct/>
        <w:bidi w:val="0"/>
        <w:spacing w:line="360" w:lineRule="auto"/>
        <w:ind w:left="0" w:leftChars="0" w:firstLine="480" w:firstLineChars="200"/>
        <w:jc w:val="both"/>
        <w:rPr>
          <w:rFonts w:hint="eastAsia" w:ascii="宋体" w:hAnsi="宋体" w:cs="宋体"/>
          <w:b w:val="0"/>
          <w:bCs w:val="0"/>
          <w:color w:val="auto"/>
          <w:sz w:val="24"/>
          <w:szCs w:val="24"/>
          <w:u w:val="none"/>
        </w:rPr>
      </w:pPr>
      <w:r>
        <w:rPr>
          <w:rFonts w:hint="eastAsia" w:ascii="宋体" w:hAnsi="宋体" w:cs="宋体"/>
          <w:color w:val="auto"/>
          <w:sz w:val="24"/>
          <w:szCs w:val="24"/>
        </w:rPr>
        <w:t>地点：</w:t>
      </w:r>
      <w:r>
        <w:rPr>
          <w:rFonts w:hint="eastAsia" w:ascii="宋体" w:hAnsi="宋体" w:cs="宋体"/>
          <w:b/>
          <w:bCs/>
          <w:color w:val="auto"/>
          <w:sz w:val="24"/>
          <w:szCs w:val="24"/>
          <w:lang w:val="en-US" w:eastAsia="zh-CN"/>
        </w:rPr>
        <w:t>崇川区人民西路38号江苏省南通第一中学俯仰楼122会议室</w:t>
      </w:r>
      <w:r>
        <w:rPr>
          <w:rFonts w:hint="eastAsia" w:ascii="宋体" w:hAnsi="宋体" w:cs="宋体"/>
          <w:b/>
          <w:bCs/>
          <w:color w:val="auto"/>
          <w:sz w:val="24"/>
          <w:szCs w:val="24"/>
          <w:u w:val="none"/>
        </w:rPr>
        <w:t>，如有变动另行通知。</w:t>
      </w:r>
    </w:p>
    <w:p w14:paraId="4222BDBD">
      <w:pPr>
        <w:keepNext w:val="0"/>
        <w:keepLines w:val="0"/>
        <w:pageBreakBefore w:val="0"/>
        <w:shd w:val="clear"/>
        <w:overflowPunct/>
        <w:bidi w:val="0"/>
        <w:spacing w:line="360" w:lineRule="auto"/>
        <w:ind w:left="0" w:leftChars="0" w:firstLine="480" w:firstLineChars="200"/>
        <w:jc w:val="both"/>
        <w:rPr>
          <w:rFonts w:hint="eastAsia" w:ascii="宋体" w:hAnsi="宋体" w:cs="宋体"/>
          <w:b w:val="0"/>
          <w:bCs w:val="0"/>
          <w:color w:val="auto"/>
          <w:sz w:val="24"/>
          <w:szCs w:val="24"/>
          <w:u w:val="none"/>
        </w:rPr>
      </w:pPr>
      <w:r>
        <w:rPr>
          <w:rFonts w:hint="eastAsia" w:ascii="宋体" w:hAnsi="宋体" w:cs="宋体"/>
          <w:b w:val="0"/>
          <w:bCs w:val="0"/>
          <w:color w:val="auto"/>
          <w:sz w:val="24"/>
          <w:szCs w:val="24"/>
          <w:u w:val="none"/>
        </w:rPr>
        <w:t>3.</w:t>
      </w:r>
      <w:r>
        <w:rPr>
          <w:rFonts w:hint="eastAsia" w:ascii="宋体" w:hAnsi="宋体" w:cs="宋体"/>
          <w:b w:val="0"/>
          <w:bCs w:val="0"/>
          <w:color w:val="auto"/>
          <w:sz w:val="24"/>
          <w:szCs w:val="24"/>
          <w:u w:val="none"/>
          <w:lang w:val="en-US" w:eastAsia="zh-CN"/>
        </w:rPr>
        <w:t>提</w:t>
      </w:r>
      <w:r>
        <w:rPr>
          <w:rFonts w:hint="eastAsia" w:ascii="宋体" w:hAnsi="宋体" w:cs="宋体"/>
          <w:b w:val="0"/>
          <w:bCs w:val="0"/>
          <w:color w:val="auto"/>
          <w:sz w:val="24"/>
          <w:szCs w:val="24"/>
          <w:u w:val="none"/>
        </w:rPr>
        <w:t>交方式：现场纸质</w:t>
      </w:r>
      <w:r>
        <w:rPr>
          <w:rFonts w:hint="eastAsia" w:ascii="宋体" w:hAnsi="宋体" w:cs="宋体"/>
          <w:b w:val="0"/>
          <w:bCs w:val="0"/>
          <w:color w:val="auto"/>
          <w:sz w:val="24"/>
          <w:szCs w:val="24"/>
          <w:u w:val="none"/>
          <w:lang w:val="en-US" w:eastAsia="zh-CN"/>
        </w:rPr>
        <w:t>提</w:t>
      </w:r>
      <w:r>
        <w:rPr>
          <w:rFonts w:hint="eastAsia" w:ascii="宋体" w:hAnsi="宋体" w:cs="宋体"/>
          <w:b w:val="0"/>
          <w:bCs w:val="0"/>
          <w:color w:val="auto"/>
          <w:sz w:val="24"/>
          <w:szCs w:val="24"/>
          <w:u w:val="none"/>
        </w:rPr>
        <w:t>交。</w:t>
      </w:r>
    </w:p>
    <w:p w14:paraId="20755982">
      <w:pPr>
        <w:keepNext w:val="0"/>
        <w:keepLines w:val="0"/>
        <w:pageBreakBefore w:val="0"/>
        <w:shd w:val="clear"/>
        <w:overflowPunct/>
        <w:bidi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六、</w:t>
      </w:r>
      <w:bookmarkEnd w:id="16"/>
      <w:bookmarkEnd w:id="17"/>
      <w:bookmarkEnd w:id="18"/>
      <w:bookmarkEnd w:id="19"/>
      <w:r>
        <w:rPr>
          <w:rFonts w:hint="eastAsia" w:ascii="宋体" w:hAnsi="宋体" w:cs="宋体"/>
          <w:b/>
          <w:bCs/>
          <w:color w:val="auto"/>
          <w:sz w:val="24"/>
          <w:szCs w:val="24"/>
        </w:rPr>
        <w:t>响应文件开启</w:t>
      </w:r>
    </w:p>
    <w:p w14:paraId="50F7A1E6">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szCs w:val="24"/>
        </w:rPr>
      </w:pPr>
      <w:bookmarkStart w:id="20" w:name="_Toc28359094"/>
      <w:bookmarkStart w:id="21" w:name="_Toc35393634"/>
      <w:bookmarkStart w:id="22" w:name="_Toc35393803"/>
      <w:bookmarkStart w:id="23" w:name="_Toc28359017"/>
      <w:r>
        <w:rPr>
          <w:rFonts w:hint="eastAsia" w:ascii="宋体" w:hAnsi="宋体" w:cs="宋体"/>
          <w:color w:val="auto"/>
          <w:sz w:val="24"/>
          <w:szCs w:val="24"/>
        </w:rPr>
        <w:t>截止时间：</w:t>
      </w:r>
      <w:r>
        <w:rPr>
          <w:rFonts w:hint="eastAsia" w:ascii="宋体" w:hAnsi="宋体" w:cs="宋体"/>
          <w:b/>
          <w:bCs/>
          <w:color w:val="auto"/>
          <w:sz w:val="24"/>
          <w:szCs w:val="24"/>
          <w:u w:val="none"/>
          <w:lang w:eastAsia="zh-CN"/>
        </w:rPr>
        <w:t>2026年4月</w:t>
      </w:r>
      <w:r>
        <w:rPr>
          <w:rFonts w:hint="eastAsia" w:ascii="宋体" w:hAnsi="宋体" w:cs="宋体"/>
          <w:b/>
          <w:bCs/>
          <w:color w:val="auto"/>
          <w:sz w:val="24"/>
          <w:szCs w:val="24"/>
          <w:u w:val="none"/>
          <w:lang w:val="en-US" w:eastAsia="zh-CN"/>
        </w:rPr>
        <w:t>27</w:t>
      </w:r>
      <w:r>
        <w:rPr>
          <w:rFonts w:hint="eastAsia" w:ascii="宋体" w:hAnsi="宋体" w:cs="宋体"/>
          <w:b/>
          <w:bCs/>
          <w:color w:val="auto"/>
          <w:sz w:val="24"/>
          <w:szCs w:val="24"/>
          <w:u w:val="none"/>
          <w:lang w:eastAsia="zh-CN"/>
        </w:rPr>
        <w:t>日9点30分</w:t>
      </w:r>
      <w:r>
        <w:rPr>
          <w:rFonts w:hint="eastAsia" w:ascii="宋体" w:hAnsi="宋体" w:cs="宋体"/>
          <w:b/>
          <w:bCs/>
          <w:color w:val="auto"/>
          <w:sz w:val="24"/>
          <w:szCs w:val="24"/>
        </w:rPr>
        <w:t>（北京时间）。</w:t>
      </w:r>
    </w:p>
    <w:p w14:paraId="470ACDF2">
      <w:pPr>
        <w:keepNext w:val="0"/>
        <w:keepLines w:val="0"/>
        <w:pageBreakBefore w:val="0"/>
        <w:shd w:val="clear"/>
        <w:overflowPunct/>
        <w:bidi w:val="0"/>
        <w:spacing w:line="360" w:lineRule="auto"/>
        <w:ind w:left="0" w:leftChars="0" w:firstLine="480" w:firstLineChars="200"/>
        <w:jc w:val="both"/>
        <w:rPr>
          <w:rFonts w:hint="eastAsia" w:ascii="宋体" w:hAnsi="宋体" w:cs="宋体"/>
          <w:b/>
          <w:bCs/>
          <w:color w:val="auto"/>
          <w:sz w:val="24"/>
          <w:szCs w:val="24"/>
          <w:u w:val="none"/>
        </w:rPr>
      </w:pPr>
      <w:r>
        <w:rPr>
          <w:rFonts w:hint="eastAsia" w:ascii="宋体" w:hAnsi="宋体" w:cs="宋体"/>
          <w:color w:val="auto"/>
          <w:sz w:val="24"/>
          <w:szCs w:val="24"/>
        </w:rPr>
        <w:t>地点：</w:t>
      </w:r>
      <w:r>
        <w:rPr>
          <w:rFonts w:hint="eastAsia" w:ascii="宋体" w:hAnsi="宋体" w:cs="宋体"/>
          <w:b/>
          <w:bCs/>
          <w:color w:val="auto"/>
          <w:sz w:val="24"/>
          <w:szCs w:val="24"/>
          <w:u w:val="none"/>
        </w:rPr>
        <w:t>崇川区人民西路38号江苏省南通第一中学俯仰楼122会议室，如有变动另行通知。</w:t>
      </w:r>
    </w:p>
    <w:p w14:paraId="048B8B25">
      <w:pPr>
        <w:keepNext w:val="0"/>
        <w:keepLines w:val="0"/>
        <w:pageBreakBefore w:val="0"/>
        <w:shd w:val="clear"/>
        <w:overflowPunct/>
        <w:bidi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七、比选公告期限</w:t>
      </w:r>
      <w:bookmarkEnd w:id="20"/>
      <w:bookmarkEnd w:id="21"/>
      <w:bookmarkEnd w:id="22"/>
      <w:bookmarkEnd w:id="23"/>
    </w:p>
    <w:p w14:paraId="7865AFD4">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szCs w:val="24"/>
        </w:rPr>
      </w:pPr>
      <w:bookmarkStart w:id="24" w:name="_Toc35393635"/>
      <w:bookmarkStart w:id="25" w:name="_Toc35393804"/>
      <w:r>
        <w:rPr>
          <w:rFonts w:hint="eastAsia" w:ascii="宋体" w:hAnsi="宋体" w:cs="宋体"/>
          <w:color w:val="auto"/>
          <w:sz w:val="24"/>
          <w:szCs w:val="24"/>
        </w:rPr>
        <w:t>自比选公告发布之日起3个工作日。</w:t>
      </w:r>
    </w:p>
    <w:p w14:paraId="70174A5B">
      <w:pPr>
        <w:keepNext w:val="0"/>
        <w:keepLines w:val="0"/>
        <w:pageBreakBefore w:val="0"/>
        <w:shd w:val="clear"/>
        <w:overflowPunct/>
        <w:bidi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八、</w:t>
      </w:r>
      <w:bookmarkEnd w:id="24"/>
      <w:bookmarkEnd w:id="25"/>
      <w:bookmarkStart w:id="26" w:name="_Toc35393805"/>
      <w:bookmarkStart w:id="27" w:name="_Toc28359095"/>
      <w:bookmarkStart w:id="28" w:name="_Toc28359018"/>
      <w:bookmarkStart w:id="29" w:name="_Toc35393636"/>
      <w:r>
        <w:rPr>
          <w:rFonts w:hint="eastAsia" w:ascii="宋体" w:hAnsi="宋体" w:cs="宋体"/>
          <w:b/>
          <w:bCs/>
          <w:color w:val="auto"/>
          <w:sz w:val="24"/>
          <w:szCs w:val="24"/>
        </w:rPr>
        <w:t>凡对本次采购提出询问，请按以下方式联系。</w:t>
      </w:r>
      <w:bookmarkEnd w:id="26"/>
      <w:bookmarkEnd w:id="27"/>
      <w:bookmarkEnd w:id="28"/>
      <w:bookmarkEnd w:id="29"/>
    </w:p>
    <w:p w14:paraId="4D3562E3">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bookmarkStart w:id="30" w:name="_Toc18907"/>
      <w:r>
        <w:rPr>
          <w:rFonts w:hint="eastAsia" w:ascii="宋体" w:hAnsi="宋体" w:cs="宋体"/>
          <w:color w:val="auto"/>
          <w:sz w:val="24"/>
          <w:szCs w:val="24"/>
        </w:rPr>
        <w:t>名称：江苏</w:t>
      </w:r>
      <w:bookmarkStart w:id="41" w:name="_GoBack"/>
      <w:bookmarkEnd w:id="41"/>
      <w:r>
        <w:rPr>
          <w:rFonts w:hint="eastAsia" w:ascii="宋体" w:hAnsi="宋体" w:cs="宋体"/>
          <w:color w:val="auto"/>
          <w:sz w:val="24"/>
          <w:szCs w:val="24"/>
        </w:rPr>
        <w:t>省南通第一中学</w:t>
      </w:r>
    </w:p>
    <w:p w14:paraId="542F397C">
      <w:pPr>
        <w:keepNext w:val="0"/>
        <w:keepLines w:val="0"/>
        <w:pageBreakBefore w:val="0"/>
        <w:shd w:val="clear"/>
        <w:overflowPunct/>
        <w:bidi w:val="0"/>
        <w:snapToGrid w:val="0"/>
        <w:spacing w:line="360" w:lineRule="auto"/>
        <w:ind w:left="0" w:leftChars="0" w:firstLine="480" w:firstLineChars="200"/>
        <w:jc w:val="both"/>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地址：南通市崇川区人民西路38号</w:t>
      </w:r>
    </w:p>
    <w:p w14:paraId="141F72D6">
      <w:pPr>
        <w:keepNext w:val="0"/>
        <w:keepLines w:val="0"/>
        <w:pageBreakBefore w:val="0"/>
        <w:shd w:val="clear"/>
        <w:overflowPunct/>
        <w:bidi w:val="0"/>
        <w:snapToGrid w:val="0"/>
        <w:spacing w:line="360" w:lineRule="auto"/>
        <w:ind w:left="0" w:leftChars="0" w:firstLine="480" w:firstLineChars="200"/>
        <w:jc w:val="both"/>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秦老师  黄老师</w:t>
      </w:r>
    </w:p>
    <w:p w14:paraId="15854374">
      <w:pPr>
        <w:keepNext w:val="0"/>
        <w:keepLines w:val="0"/>
        <w:pageBreakBefore w:val="0"/>
        <w:shd w:val="clear"/>
        <w:overflowPunct/>
        <w:bidi w:val="0"/>
        <w:snapToGrid w:val="0"/>
        <w:spacing w:line="360" w:lineRule="auto"/>
        <w:ind w:left="0" w:leftChars="0"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rPr>
        <w:t>联系方式：</w:t>
      </w:r>
      <w:r>
        <w:rPr>
          <w:rFonts w:hint="eastAsia" w:ascii="宋体" w:hAnsi="宋体" w:cs="宋体"/>
          <w:b w:val="0"/>
          <w:bCs w:val="0"/>
          <w:color w:val="auto"/>
          <w:sz w:val="24"/>
          <w:szCs w:val="24"/>
          <w:highlight w:val="none"/>
          <w:lang w:val="en-US" w:eastAsia="zh-CN"/>
        </w:rPr>
        <w:t>0513-85058221 85058220</w:t>
      </w:r>
    </w:p>
    <w:p w14:paraId="44405C96">
      <w:pPr>
        <w:keepNext w:val="0"/>
        <w:keepLines w:val="0"/>
        <w:pageBreakBefore w:val="0"/>
        <w:shd w:val="clear"/>
        <w:overflowPunct/>
        <w:bidi w:val="0"/>
        <w:snapToGrid w:val="0"/>
        <w:spacing w:line="360" w:lineRule="auto"/>
        <w:ind w:left="0" w:leftChars="0" w:firstLine="482" w:firstLineChars="200"/>
        <w:jc w:val="both"/>
        <w:rPr>
          <w:rFonts w:ascii="宋体" w:hAnsi="宋体" w:cs="宋体"/>
          <w:b/>
          <w:color w:val="auto"/>
          <w:sz w:val="24"/>
          <w:szCs w:val="24"/>
        </w:rPr>
      </w:pPr>
      <w:r>
        <w:rPr>
          <w:rFonts w:hint="eastAsia" w:ascii="宋体" w:hAnsi="宋体" w:cs="宋体"/>
          <w:b/>
          <w:color w:val="auto"/>
          <w:sz w:val="24"/>
          <w:szCs w:val="24"/>
        </w:rPr>
        <w:br w:type="page"/>
      </w:r>
    </w:p>
    <w:p w14:paraId="742CCE6A">
      <w:pPr>
        <w:pStyle w:val="17"/>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宋体" w:hAnsi="宋体" w:eastAsia="宋体" w:cs="宋体"/>
          <w:b/>
          <w:color w:val="auto"/>
          <w:spacing w:val="6"/>
          <w:kern w:val="2"/>
          <w:sz w:val="36"/>
          <w:szCs w:val="36"/>
          <w:lang w:val="en-US" w:eastAsia="zh-CN" w:bidi="ar-SA"/>
        </w:rPr>
      </w:pPr>
      <w:r>
        <w:rPr>
          <w:rFonts w:hint="eastAsia" w:ascii="宋体" w:hAnsi="宋体" w:eastAsia="宋体" w:cs="宋体"/>
          <w:b/>
          <w:color w:val="auto"/>
          <w:spacing w:val="6"/>
          <w:kern w:val="2"/>
          <w:sz w:val="36"/>
          <w:szCs w:val="36"/>
          <w:lang w:val="en-US" w:eastAsia="zh-CN" w:bidi="ar-SA"/>
        </w:rPr>
        <w:t>第二章  比选须知</w:t>
      </w:r>
      <w:bookmarkEnd w:id="30"/>
    </w:p>
    <w:p w14:paraId="75F7B63C">
      <w:pPr>
        <w:keepNext w:val="0"/>
        <w:keepLines w:val="0"/>
        <w:pageBreakBefore w:val="0"/>
        <w:shd w:val="clear"/>
        <w:overflowPunct/>
        <w:bidi w:val="0"/>
        <w:snapToGrid w:val="0"/>
        <w:spacing w:line="360" w:lineRule="auto"/>
        <w:ind w:left="0" w:leftChars="0" w:firstLine="482" w:firstLineChars="200"/>
        <w:jc w:val="both"/>
        <w:outlineLvl w:val="9"/>
        <w:rPr>
          <w:rFonts w:ascii="宋体" w:hAnsi="宋体" w:cs="宋体"/>
          <w:color w:val="auto"/>
          <w:sz w:val="24"/>
          <w:szCs w:val="24"/>
        </w:rPr>
      </w:pPr>
      <w:r>
        <w:rPr>
          <w:rFonts w:hint="eastAsia" w:ascii="宋体" w:hAnsi="宋体" w:cs="宋体"/>
          <w:b/>
          <w:color w:val="auto"/>
          <w:sz w:val="24"/>
          <w:szCs w:val="24"/>
        </w:rPr>
        <w:t>一、比选文件由采购人解释</w:t>
      </w:r>
      <w:r>
        <w:rPr>
          <w:rFonts w:hint="eastAsia" w:ascii="宋体" w:hAnsi="宋体" w:cs="宋体"/>
          <w:color w:val="auto"/>
          <w:sz w:val="24"/>
          <w:szCs w:val="24"/>
        </w:rPr>
        <w:t>。</w:t>
      </w:r>
    </w:p>
    <w:p w14:paraId="3B171435">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供应商下载比选文件后，应仔细检查比选文件的所有内容，如对采购项目活动事项有疑问的，应在下载比选文件开始之日起3日内以书面形式提出询问或疑问，未在规定的3日内提出询问或疑问的，视同供应商理解并接受本比选文件所有内容，由此引起的比选损失自负。</w:t>
      </w:r>
    </w:p>
    <w:p w14:paraId="7F6F0B31">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2.供应商应认真审阅比选文件中所有的事项、格式、条款和规范要求等，如果供应商没有按照比选文件要求提交响应文件，或者响应文件没有对比选文件做出实质性响应，其比选将被拒绝，供应商自行承担责任。</w:t>
      </w:r>
    </w:p>
    <w:p w14:paraId="620D641D">
      <w:pPr>
        <w:keepNext w:val="0"/>
        <w:keepLines w:val="0"/>
        <w:pageBreakBefore w:val="0"/>
        <w:shd w:val="clear"/>
        <w:overflowPunct/>
        <w:bidi w:val="0"/>
        <w:snapToGrid w:val="0"/>
        <w:spacing w:line="360" w:lineRule="auto"/>
        <w:ind w:left="0" w:leftChars="0" w:firstLine="482" w:firstLineChars="200"/>
        <w:jc w:val="both"/>
        <w:outlineLvl w:val="9"/>
        <w:rPr>
          <w:rFonts w:ascii="宋体" w:hAnsi="宋体" w:cs="宋体"/>
          <w:b/>
          <w:color w:val="auto"/>
          <w:sz w:val="24"/>
          <w:szCs w:val="24"/>
        </w:rPr>
      </w:pPr>
      <w:r>
        <w:rPr>
          <w:rFonts w:hint="eastAsia" w:ascii="宋体" w:hAnsi="宋体" w:cs="宋体"/>
          <w:b/>
          <w:color w:val="auto"/>
          <w:sz w:val="24"/>
          <w:szCs w:val="24"/>
        </w:rPr>
        <w:t>二、比选文件的澄清、修改、答疑</w:t>
      </w:r>
    </w:p>
    <w:p w14:paraId="36C69C8E">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1.采购人有权对发出的比选文件进行必要的澄清或修改。</w:t>
      </w:r>
    </w:p>
    <w:p w14:paraId="7C70BC43">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2.采购人可视情取消、延长相关时间。</w:t>
      </w:r>
    </w:p>
    <w:p w14:paraId="0BF35DE3">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3.采购人对比选文件的澄清、修改将构成比选文件的一部分，对供应商具有约束力。</w:t>
      </w:r>
    </w:p>
    <w:p w14:paraId="12659792">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4.供应商由于对比选文件的任何推论和误解以及采购人对有关问题的口头解释所造成的后果，均由供应商自负。</w:t>
      </w:r>
    </w:p>
    <w:p w14:paraId="5E74882A">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5.采购人视情组织答疑会。</w:t>
      </w:r>
    </w:p>
    <w:p w14:paraId="3798A214">
      <w:pPr>
        <w:keepNext w:val="0"/>
        <w:keepLines w:val="0"/>
        <w:pageBreakBefore w:val="0"/>
        <w:shd w:val="clear"/>
        <w:overflowPunct/>
        <w:bidi w:val="0"/>
        <w:snapToGrid w:val="0"/>
        <w:spacing w:line="360" w:lineRule="auto"/>
        <w:ind w:left="0" w:leftChars="0" w:firstLine="482" w:firstLineChars="200"/>
        <w:jc w:val="both"/>
        <w:outlineLvl w:val="9"/>
        <w:rPr>
          <w:rFonts w:ascii="宋体" w:hAnsi="宋体" w:cs="宋体"/>
          <w:b/>
          <w:color w:val="auto"/>
          <w:sz w:val="24"/>
          <w:szCs w:val="24"/>
        </w:rPr>
      </w:pPr>
      <w:r>
        <w:rPr>
          <w:rFonts w:hint="eastAsia" w:ascii="宋体" w:hAnsi="宋体" w:cs="宋体"/>
          <w:b/>
          <w:color w:val="auto"/>
          <w:sz w:val="24"/>
          <w:szCs w:val="24"/>
        </w:rPr>
        <w:t>三、</w:t>
      </w:r>
      <w:r>
        <w:rPr>
          <w:rFonts w:hint="eastAsia" w:ascii="宋体" w:hAnsi="宋体" w:cs="宋体"/>
          <w:b/>
          <w:color w:val="auto"/>
          <w:sz w:val="24"/>
          <w:szCs w:val="24"/>
          <w:lang w:val="en-US" w:eastAsia="zh-CN"/>
        </w:rPr>
        <w:t>响应</w:t>
      </w:r>
      <w:r>
        <w:rPr>
          <w:rFonts w:hint="eastAsia" w:ascii="宋体" w:hAnsi="宋体" w:cs="宋体"/>
          <w:b/>
          <w:color w:val="auto"/>
          <w:sz w:val="24"/>
          <w:szCs w:val="24"/>
        </w:rPr>
        <w:t>报价</w:t>
      </w:r>
    </w:p>
    <w:p w14:paraId="758EA58A">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b/>
          <w:bCs/>
          <w:color w:val="auto"/>
          <w:sz w:val="24"/>
          <w:szCs w:val="24"/>
        </w:rPr>
      </w:pPr>
      <w:r>
        <w:rPr>
          <w:rFonts w:hint="eastAsia" w:ascii="宋体" w:hAnsi="宋体" w:cs="宋体"/>
          <w:color w:val="auto"/>
          <w:sz w:val="24"/>
          <w:szCs w:val="24"/>
        </w:rPr>
        <w:t>一个标的只允许一个报价，不接受任何有选择性的报价。</w:t>
      </w:r>
      <w:r>
        <w:rPr>
          <w:rFonts w:hint="eastAsia" w:ascii="宋体" w:hAnsi="宋体" w:cs="宋体"/>
          <w:b/>
          <w:bCs/>
          <w:color w:val="auto"/>
          <w:sz w:val="24"/>
          <w:szCs w:val="24"/>
        </w:rPr>
        <w:t>本项目</w:t>
      </w:r>
      <w:r>
        <w:rPr>
          <w:rFonts w:hint="eastAsia" w:ascii="宋体" w:hAnsi="宋体" w:cs="宋体"/>
          <w:b/>
          <w:bCs/>
          <w:color w:val="auto"/>
          <w:sz w:val="24"/>
          <w:szCs w:val="24"/>
          <w:lang w:val="en-US" w:eastAsia="zh-CN"/>
        </w:rPr>
        <w:t>仅</w:t>
      </w:r>
      <w:r>
        <w:rPr>
          <w:rFonts w:hint="eastAsia" w:ascii="宋体" w:hAnsi="宋体" w:cs="宋体"/>
          <w:b/>
          <w:bCs/>
          <w:color w:val="auto"/>
          <w:sz w:val="24"/>
          <w:szCs w:val="24"/>
        </w:rPr>
        <w:t>一次报价。</w:t>
      </w:r>
    </w:p>
    <w:p w14:paraId="2D9174D6">
      <w:pPr>
        <w:shd w:val="clear"/>
        <w:spacing w:line="360" w:lineRule="auto"/>
        <w:ind w:firstLine="482"/>
        <w:rPr>
          <w:rFonts w:ascii="Times New Roman" w:hAnsi="Times New Roman" w:cs="宋体"/>
          <w:b/>
          <w:color w:val="auto"/>
          <w:sz w:val="24"/>
          <w:szCs w:val="24"/>
        </w:rPr>
      </w:pPr>
      <w:r>
        <w:rPr>
          <w:rFonts w:hint="eastAsia" w:ascii="Times New Roman" w:hAnsi="Times New Roman" w:cs="宋体"/>
          <w:b/>
          <w:color w:val="auto"/>
          <w:sz w:val="24"/>
          <w:szCs w:val="24"/>
        </w:rPr>
        <w:t>四、响应文件的编制及装订</w:t>
      </w:r>
    </w:p>
    <w:p w14:paraId="22319129">
      <w:pPr>
        <w:shd w:val="clear"/>
        <w:spacing w:line="360" w:lineRule="auto"/>
        <w:ind w:firstLine="485"/>
        <w:rPr>
          <w:rFonts w:ascii="Times New Roman" w:hAnsi="Times New Roman" w:cs="宋体"/>
          <w:color w:val="auto"/>
          <w:sz w:val="24"/>
          <w:szCs w:val="24"/>
        </w:rPr>
      </w:pPr>
      <w:r>
        <w:rPr>
          <w:rFonts w:hint="eastAsia" w:ascii="Times New Roman" w:hAnsi="Times New Roman" w:cs="宋体"/>
          <w:color w:val="auto"/>
          <w:sz w:val="24"/>
          <w:szCs w:val="24"/>
        </w:rPr>
        <w:t>供应商按</w:t>
      </w:r>
      <w:r>
        <w:rPr>
          <w:rFonts w:hint="eastAsia" w:ascii="Times New Roman" w:hAnsi="Times New Roman" w:cs="宋体"/>
          <w:color w:val="auto"/>
          <w:sz w:val="24"/>
          <w:szCs w:val="24"/>
          <w:lang w:val="en-US" w:eastAsia="zh-CN"/>
        </w:rPr>
        <w:t>比选</w:t>
      </w:r>
      <w:r>
        <w:rPr>
          <w:rFonts w:hint="eastAsia" w:ascii="Times New Roman" w:hAnsi="Times New Roman" w:cs="宋体"/>
          <w:color w:val="auto"/>
          <w:sz w:val="24"/>
          <w:szCs w:val="24"/>
        </w:rPr>
        <w:t>文件要求编写响应文件，并装订成册。响应文件不得行间插字、涂改、增删，如修改错漏处，须经响应文件签署人签字并加盖公章。</w:t>
      </w:r>
    </w:p>
    <w:p w14:paraId="7C719BE3">
      <w:pPr>
        <w:keepNext w:val="0"/>
        <w:keepLines w:val="0"/>
        <w:pageBreakBefore w:val="0"/>
        <w:shd w:val="clear"/>
        <w:overflowPunct/>
        <w:bidi w:val="0"/>
        <w:snapToGrid w:val="0"/>
        <w:spacing w:line="360" w:lineRule="auto"/>
        <w:ind w:left="0" w:leftChars="0" w:firstLine="482" w:firstLineChars="200"/>
        <w:jc w:val="both"/>
        <w:outlineLvl w:val="9"/>
        <w:rPr>
          <w:rFonts w:ascii="宋体" w:hAnsi="宋体" w:cs="宋体"/>
          <w:b/>
          <w:color w:val="auto"/>
          <w:sz w:val="24"/>
          <w:szCs w:val="24"/>
        </w:rPr>
      </w:pPr>
      <w:r>
        <w:rPr>
          <w:rFonts w:hint="eastAsia" w:ascii="宋体" w:hAnsi="宋体" w:cs="宋体"/>
          <w:b/>
          <w:color w:val="auto"/>
          <w:sz w:val="24"/>
          <w:szCs w:val="24"/>
          <w:lang w:val="en-US" w:eastAsia="zh-CN"/>
        </w:rPr>
        <w:t>五</w:t>
      </w:r>
      <w:r>
        <w:rPr>
          <w:rFonts w:hint="eastAsia" w:ascii="宋体" w:hAnsi="宋体" w:cs="宋体"/>
          <w:b/>
          <w:color w:val="auto"/>
          <w:sz w:val="24"/>
          <w:szCs w:val="24"/>
        </w:rPr>
        <w:t>、响应文件的份数和签署</w:t>
      </w:r>
    </w:p>
    <w:p w14:paraId="0C17B10F">
      <w:pPr>
        <w:keepNext w:val="0"/>
        <w:keepLines w:val="0"/>
        <w:pageBreakBefore w:val="0"/>
        <w:shd w:val="clear"/>
        <w:overflowPunct/>
        <w:bidi w:val="0"/>
        <w:snapToGrid w:val="0"/>
        <w:spacing w:line="360" w:lineRule="auto"/>
        <w:ind w:left="0" w:leftChars="0" w:firstLine="480" w:firstLineChars="200"/>
        <w:contextualSpacing/>
        <w:jc w:val="both"/>
        <w:rPr>
          <w:rFonts w:hint="eastAsia" w:ascii="宋体" w:hAnsi="宋体" w:cs="宋体"/>
          <w:color w:val="auto"/>
          <w:sz w:val="24"/>
          <w:szCs w:val="24"/>
        </w:rPr>
      </w:pPr>
      <w:r>
        <w:rPr>
          <w:rFonts w:hint="eastAsia" w:ascii="宋体" w:hAnsi="宋体" w:cs="宋体"/>
          <w:color w:val="auto"/>
          <w:sz w:val="24"/>
          <w:szCs w:val="24"/>
        </w:rPr>
        <w:t>1.响应文件由：①资格后审材料文件、②</w:t>
      </w:r>
      <w:r>
        <w:rPr>
          <w:rFonts w:hint="eastAsia" w:ascii="宋体" w:hAnsi="宋体" w:cs="宋体"/>
          <w:color w:val="auto"/>
          <w:sz w:val="24"/>
          <w:szCs w:val="24"/>
          <w:lang w:val="en-US" w:eastAsia="zh-CN"/>
        </w:rPr>
        <w:t>商务</w:t>
      </w:r>
      <w:r>
        <w:rPr>
          <w:rFonts w:hint="eastAsia" w:ascii="宋体" w:hAnsi="宋体" w:cs="宋体"/>
          <w:color w:val="auto"/>
          <w:sz w:val="24"/>
          <w:szCs w:val="24"/>
        </w:rPr>
        <w:t>技术</w:t>
      </w:r>
      <w:r>
        <w:rPr>
          <w:rFonts w:hint="eastAsia" w:ascii="宋体" w:hAnsi="宋体" w:cs="宋体"/>
          <w:color w:val="auto"/>
          <w:sz w:val="24"/>
          <w:szCs w:val="24"/>
          <w:lang w:val="en-US" w:eastAsia="zh-CN"/>
        </w:rPr>
        <w:t>标</w:t>
      </w:r>
      <w:r>
        <w:rPr>
          <w:rFonts w:hint="eastAsia" w:ascii="宋体" w:hAnsi="宋体" w:cs="宋体"/>
          <w:color w:val="auto"/>
          <w:sz w:val="24"/>
          <w:szCs w:val="24"/>
        </w:rPr>
        <w:t>响应文件、③价格标响应文件、④电子响应文件，共4部分组成（以下由文件序号代称）。</w:t>
      </w:r>
    </w:p>
    <w:p w14:paraId="2C32FE60">
      <w:pPr>
        <w:keepNext w:val="0"/>
        <w:keepLines w:val="0"/>
        <w:pageBreakBefore w:val="0"/>
        <w:shd w:val="clear"/>
        <w:overflowPunct/>
        <w:bidi w:val="0"/>
        <w:snapToGrid w:val="0"/>
        <w:spacing w:line="360" w:lineRule="auto"/>
        <w:ind w:left="0" w:leftChars="0" w:firstLine="480" w:firstLineChars="200"/>
        <w:contextualSpacing/>
        <w:jc w:val="both"/>
        <w:rPr>
          <w:rFonts w:ascii="宋体" w:hAnsi="宋体" w:cs="宋体"/>
          <w:color w:val="auto"/>
          <w:sz w:val="24"/>
          <w:szCs w:val="24"/>
        </w:rPr>
      </w:pPr>
      <w:r>
        <w:rPr>
          <w:rFonts w:hint="eastAsia" w:ascii="宋体" w:hAnsi="宋体" w:cs="宋体"/>
          <w:color w:val="auto"/>
          <w:sz w:val="24"/>
          <w:szCs w:val="24"/>
        </w:rPr>
        <w:t>2.纸质响应文件①、②、③均为一式三份，其中“正本”一份和“副本”两份。</w:t>
      </w:r>
    </w:p>
    <w:p w14:paraId="3B5568B7">
      <w:pPr>
        <w:keepNext w:val="0"/>
        <w:keepLines w:val="0"/>
        <w:pageBreakBefore w:val="0"/>
        <w:shd w:val="clear"/>
        <w:overflowPunct/>
        <w:bidi w:val="0"/>
        <w:snapToGrid w:val="0"/>
        <w:spacing w:line="360" w:lineRule="auto"/>
        <w:ind w:left="0" w:leftChars="0" w:firstLine="480" w:firstLineChars="200"/>
        <w:contextualSpacing/>
        <w:jc w:val="both"/>
        <w:rPr>
          <w:rFonts w:ascii="宋体" w:hAnsi="宋体" w:cs="宋体"/>
          <w:color w:val="auto"/>
          <w:sz w:val="24"/>
          <w:szCs w:val="24"/>
        </w:rPr>
      </w:pPr>
      <w:r>
        <w:rPr>
          <w:rFonts w:hint="eastAsia" w:ascii="宋体" w:hAnsi="宋体" w:cs="宋体"/>
          <w:color w:val="auto"/>
          <w:sz w:val="24"/>
          <w:szCs w:val="24"/>
        </w:rPr>
        <w:t>3.电子响应文件一份，电子响应文件的内容为“资格后审材料文件、</w:t>
      </w:r>
      <w:r>
        <w:rPr>
          <w:rFonts w:hint="eastAsia" w:ascii="宋体" w:hAnsi="宋体" w:cs="宋体"/>
          <w:color w:val="auto"/>
          <w:sz w:val="24"/>
          <w:szCs w:val="24"/>
          <w:lang w:val="en-US" w:eastAsia="zh-CN"/>
        </w:rPr>
        <w:t>商务</w:t>
      </w:r>
      <w:r>
        <w:rPr>
          <w:rFonts w:hint="eastAsia" w:ascii="宋体" w:hAnsi="宋体" w:cs="宋体"/>
          <w:color w:val="auto"/>
          <w:sz w:val="24"/>
          <w:szCs w:val="24"/>
        </w:rPr>
        <w:t>技术标响应文件、价格标响应文件”的打印盖章或电子签章后的响应文件的扫描件（资格后审材料文件、技术标响应文件、价格标响应文件需分别逐页连续扫描为三个独立的PDF文件），采取U盘方式单独密封提交。</w:t>
      </w:r>
    </w:p>
    <w:p w14:paraId="569F0507">
      <w:pPr>
        <w:keepNext w:val="0"/>
        <w:keepLines w:val="0"/>
        <w:pageBreakBefore w:val="0"/>
        <w:shd w:val="clear"/>
        <w:overflowPunct/>
        <w:bidi w:val="0"/>
        <w:snapToGrid w:val="0"/>
        <w:spacing w:line="360" w:lineRule="auto"/>
        <w:ind w:left="0" w:leftChars="0" w:firstLine="480" w:firstLineChars="200"/>
        <w:contextualSpacing/>
        <w:jc w:val="both"/>
        <w:rPr>
          <w:rFonts w:ascii="宋体" w:hAnsi="宋体" w:cs="宋体"/>
          <w:color w:val="auto"/>
          <w:sz w:val="24"/>
          <w:szCs w:val="24"/>
        </w:rPr>
      </w:pPr>
      <w:r>
        <w:rPr>
          <w:rFonts w:hint="eastAsia" w:ascii="宋体" w:hAnsi="宋体" w:cs="宋体"/>
          <w:color w:val="auto"/>
          <w:sz w:val="24"/>
          <w:szCs w:val="24"/>
        </w:rPr>
        <w:t>4.在每份响应文件上要明确标注项目名称、对应的响应文件名称、供应商的全称、日期、“正本”“副本”字样。“正本”和“副本”若有差异，概以“正本”为准。</w:t>
      </w:r>
    </w:p>
    <w:p w14:paraId="2D90C180">
      <w:pPr>
        <w:keepNext w:val="0"/>
        <w:keepLines w:val="0"/>
        <w:pageBreakBefore w:val="0"/>
        <w:shd w:val="clear"/>
        <w:overflowPunct/>
        <w:bidi w:val="0"/>
        <w:snapToGrid w:val="0"/>
        <w:spacing w:line="360" w:lineRule="auto"/>
        <w:ind w:left="0" w:leftChars="0" w:firstLine="480" w:firstLineChars="200"/>
        <w:contextualSpacing/>
        <w:jc w:val="both"/>
        <w:rPr>
          <w:rFonts w:ascii="宋体" w:hAnsi="宋体" w:cs="宋体"/>
          <w:color w:val="auto"/>
          <w:sz w:val="24"/>
          <w:szCs w:val="24"/>
        </w:rPr>
      </w:pPr>
      <w:r>
        <w:rPr>
          <w:rFonts w:hint="eastAsia" w:ascii="宋体" w:hAnsi="宋体" w:cs="宋体"/>
          <w:color w:val="auto"/>
          <w:sz w:val="24"/>
          <w:szCs w:val="24"/>
        </w:rPr>
        <w:t>5.纸质响应文件中的所有“正本”，其正文内容须按比选文件要求由供应商法定代表人或被授权人签字（或盖章）并加盖单位公章。“副本”可复印，但须加盖单位公章。</w:t>
      </w:r>
    </w:p>
    <w:p w14:paraId="255C0AD1">
      <w:pPr>
        <w:keepNext w:val="0"/>
        <w:keepLines w:val="0"/>
        <w:pageBreakBefore w:val="0"/>
        <w:shd w:val="clear"/>
        <w:overflowPunct/>
        <w:bidi w:val="0"/>
        <w:snapToGrid w:val="0"/>
        <w:spacing w:line="360" w:lineRule="auto"/>
        <w:ind w:left="0" w:leftChars="0" w:firstLine="482" w:firstLineChars="200"/>
        <w:jc w:val="both"/>
        <w:outlineLvl w:val="9"/>
        <w:rPr>
          <w:rFonts w:ascii="宋体" w:hAnsi="宋体" w:cs="宋体"/>
          <w:b/>
          <w:color w:val="auto"/>
          <w:sz w:val="24"/>
          <w:szCs w:val="24"/>
        </w:rPr>
      </w:pPr>
      <w:r>
        <w:rPr>
          <w:rFonts w:hint="eastAsia" w:ascii="宋体" w:hAnsi="宋体" w:cs="宋体"/>
          <w:b/>
          <w:color w:val="auto"/>
          <w:sz w:val="24"/>
          <w:szCs w:val="24"/>
          <w:lang w:val="en-US" w:eastAsia="zh-CN"/>
        </w:rPr>
        <w:t>六</w:t>
      </w:r>
      <w:r>
        <w:rPr>
          <w:rFonts w:hint="eastAsia" w:ascii="宋体" w:hAnsi="宋体" w:cs="宋体"/>
          <w:b/>
          <w:color w:val="auto"/>
          <w:sz w:val="24"/>
          <w:szCs w:val="24"/>
        </w:rPr>
        <w:t>、响应文件的密封及标记</w:t>
      </w:r>
    </w:p>
    <w:p w14:paraId="5717BA0F">
      <w:pPr>
        <w:keepNext w:val="0"/>
        <w:keepLines w:val="0"/>
        <w:pageBreakBefore w:val="0"/>
        <w:shd w:val="clear"/>
        <w:overflowPunct/>
        <w:bidi w:val="0"/>
        <w:snapToGrid w:val="0"/>
        <w:spacing w:line="360" w:lineRule="auto"/>
        <w:ind w:left="0" w:leftChars="0" w:firstLine="480" w:firstLineChars="200"/>
        <w:contextualSpacing/>
        <w:jc w:val="both"/>
        <w:rPr>
          <w:rFonts w:ascii="宋体" w:hAnsi="宋体" w:cs="宋体"/>
          <w:color w:val="auto"/>
          <w:sz w:val="24"/>
          <w:szCs w:val="24"/>
        </w:rPr>
      </w:pPr>
      <w:r>
        <w:rPr>
          <w:rFonts w:hint="eastAsia" w:ascii="宋体" w:hAnsi="宋体" w:cs="宋体"/>
          <w:color w:val="auto"/>
          <w:sz w:val="24"/>
          <w:szCs w:val="24"/>
        </w:rPr>
        <w:t>1.供应商须将本项目响应文件：</w:t>
      </w:r>
      <w:r>
        <w:rPr>
          <w:rFonts w:hint="eastAsia" w:ascii="宋体" w:hAnsi="宋体" w:eastAsia="宋体" w:cs="宋体"/>
          <w:color w:val="auto"/>
          <w:sz w:val="24"/>
          <w:szCs w:val="24"/>
        </w:rPr>
        <w:t>①</w:t>
      </w:r>
      <w:r>
        <w:rPr>
          <w:rFonts w:hint="eastAsia" w:ascii="宋体" w:hAnsi="宋体" w:cs="宋体"/>
          <w:color w:val="auto"/>
          <w:sz w:val="24"/>
          <w:szCs w:val="24"/>
        </w:rPr>
        <w:t>、</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 2 \* GB3 </w:instrText>
      </w:r>
      <w:r>
        <w:rPr>
          <w:rFonts w:hint="eastAsia" w:ascii="宋体" w:hAnsi="宋体" w:cs="宋体"/>
          <w:color w:val="auto"/>
          <w:sz w:val="24"/>
          <w:szCs w:val="24"/>
        </w:rPr>
        <w:fldChar w:fldCharType="separate"/>
      </w:r>
      <w:r>
        <w:rPr>
          <w:rFonts w:hint="eastAsia" w:ascii="宋体" w:hAnsi="宋体" w:cs="宋体"/>
          <w:color w:val="auto"/>
          <w:sz w:val="24"/>
          <w:szCs w:val="24"/>
        </w:rPr>
        <w:t>②</w:t>
      </w:r>
      <w:r>
        <w:rPr>
          <w:rFonts w:hint="eastAsia" w:ascii="宋体" w:hAnsi="宋体" w:cs="宋体"/>
          <w:color w:val="auto"/>
          <w:sz w:val="24"/>
          <w:szCs w:val="24"/>
        </w:rPr>
        <w:fldChar w:fldCharType="end"/>
      </w:r>
      <w:r>
        <w:rPr>
          <w:rFonts w:hint="eastAsia" w:ascii="宋体" w:hAnsi="宋体" w:cs="宋体"/>
          <w:color w:val="auto"/>
          <w:sz w:val="24"/>
          <w:szCs w:val="24"/>
        </w:rPr>
        <w:t>、③、④</w:t>
      </w:r>
      <w:r>
        <w:rPr>
          <w:rFonts w:hint="eastAsia" w:ascii="宋体" w:hAnsi="宋体" w:cs="宋体"/>
          <w:b/>
          <w:bCs/>
          <w:color w:val="auto"/>
          <w:sz w:val="24"/>
          <w:szCs w:val="24"/>
        </w:rPr>
        <w:t>单独密封。</w:t>
      </w:r>
    </w:p>
    <w:p w14:paraId="4449ABE3">
      <w:pPr>
        <w:keepNext w:val="0"/>
        <w:keepLines w:val="0"/>
        <w:pageBreakBefore w:val="0"/>
        <w:shd w:val="clear"/>
        <w:overflowPunct/>
        <w:bidi w:val="0"/>
        <w:snapToGrid w:val="0"/>
        <w:spacing w:line="360" w:lineRule="auto"/>
        <w:ind w:left="0" w:leftChars="0" w:firstLine="480" w:firstLineChars="200"/>
        <w:contextualSpacing/>
        <w:jc w:val="both"/>
        <w:rPr>
          <w:rFonts w:ascii="宋体" w:hAnsi="宋体" w:cs="宋体"/>
          <w:color w:val="auto"/>
          <w:sz w:val="24"/>
          <w:szCs w:val="24"/>
        </w:rPr>
      </w:pPr>
      <w:r>
        <w:rPr>
          <w:rFonts w:hint="eastAsia" w:ascii="宋体" w:hAnsi="宋体" w:cs="宋体"/>
          <w:color w:val="auto"/>
          <w:sz w:val="24"/>
          <w:szCs w:val="24"/>
        </w:rPr>
        <w:t>2.密封后，应在每一密封的响应文件上明确标注采购项目名称、标段号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如有</w:t>
      </w:r>
      <w:r>
        <w:rPr>
          <w:rFonts w:hint="eastAsia" w:ascii="宋体" w:hAnsi="宋体" w:cs="宋体"/>
          <w:color w:val="auto"/>
          <w:sz w:val="24"/>
          <w:szCs w:val="24"/>
          <w:lang w:eastAsia="zh-CN"/>
        </w:rPr>
        <w:t>）</w:t>
      </w:r>
      <w:r>
        <w:rPr>
          <w:rFonts w:hint="eastAsia" w:ascii="宋体" w:hAnsi="宋体" w:cs="宋体"/>
          <w:color w:val="auto"/>
          <w:sz w:val="24"/>
          <w:szCs w:val="24"/>
        </w:rPr>
        <w:t>、响应文件各自对应的名称、供应商的全称及日期。</w:t>
      </w:r>
    </w:p>
    <w:p w14:paraId="59540685">
      <w:pPr>
        <w:keepNext w:val="0"/>
        <w:keepLines w:val="0"/>
        <w:pageBreakBefore w:val="0"/>
        <w:shd w:val="clear"/>
        <w:overflowPunct/>
        <w:bidi w:val="0"/>
        <w:snapToGrid w:val="0"/>
        <w:spacing w:line="360" w:lineRule="auto"/>
        <w:ind w:left="0" w:leftChars="0" w:firstLine="480" w:firstLineChars="200"/>
        <w:contextualSpacing/>
        <w:jc w:val="both"/>
        <w:rPr>
          <w:rFonts w:ascii="宋体" w:hAnsi="宋体" w:cs="宋体"/>
          <w:color w:val="auto"/>
          <w:sz w:val="24"/>
          <w:szCs w:val="24"/>
        </w:rPr>
      </w:pPr>
      <w:r>
        <w:rPr>
          <w:rFonts w:hint="eastAsia" w:ascii="宋体" w:hAnsi="宋体" w:cs="宋体"/>
          <w:color w:val="auto"/>
          <w:sz w:val="24"/>
          <w:szCs w:val="24"/>
        </w:rPr>
        <w:t>3.在边缝处加盖供应商公章或骑缝签字。</w:t>
      </w:r>
    </w:p>
    <w:p w14:paraId="078AFB1B">
      <w:pPr>
        <w:keepNext w:val="0"/>
        <w:keepLines w:val="0"/>
        <w:pageBreakBefore w:val="0"/>
        <w:shd w:val="clear"/>
        <w:overflowPunct/>
        <w:bidi w:val="0"/>
        <w:snapToGrid w:val="0"/>
        <w:spacing w:line="360" w:lineRule="auto"/>
        <w:ind w:left="0" w:leftChars="0" w:firstLine="482" w:firstLineChars="200"/>
        <w:contextualSpacing/>
        <w:jc w:val="both"/>
        <w:rPr>
          <w:rFonts w:ascii="宋体" w:hAnsi="宋体" w:cs="宋体"/>
          <w:b/>
          <w:bCs/>
          <w:color w:val="auto"/>
          <w:sz w:val="24"/>
          <w:szCs w:val="24"/>
        </w:rPr>
      </w:pPr>
      <w:r>
        <w:rPr>
          <w:rFonts w:hint="eastAsia" w:ascii="宋体" w:hAnsi="宋体" w:cs="宋体"/>
          <w:b/>
          <w:bCs/>
          <w:color w:val="auto"/>
          <w:sz w:val="24"/>
          <w:szCs w:val="24"/>
        </w:rPr>
        <w:t>【特别提醒】响应文件中的</w:t>
      </w:r>
      <w:r>
        <w:rPr>
          <w:rFonts w:hint="eastAsia" w:ascii="宋体" w:hAnsi="宋体" w:cs="宋体"/>
          <w:b/>
          <w:bCs/>
          <w:color w:val="auto"/>
          <w:sz w:val="24"/>
          <w:szCs w:val="24"/>
        </w:rPr>
        <w:fldChar w:fldCharType="begin"/>
      </w:r>
      <w:r>
        <w:rPr>
          <w:rFonts w:hint="eastAsia" w:ascii="宋体" w:hAnsi="宋体" w:cs="宋体"/>
          <w:b/>
          <w:bCs/>
          <w:color w:val="auto"/>
          <w:sz w:val="24"/>
          <w:szCs w:val="24"/>
        </w:rPr>
        <w:instrText xml:space="preserve"> = 1 \* GB3 </w:instrText>
      </w:r>
      <w:r>
        <w:rPr>
          <w:rFonts w:hint="eastAsia" w:ascii="宋体" w:hAnsi="宋体" w:cs="宋体"/>
          <w:b/>
          <w:bCs/>
          <w:color w:val="auto"/>
          <w:sz w:val="24"/>
          <w:szCs w:val="24"/>
        </w:rPr>
        <w:fldChar w:fldCharType="separate"/>
      </w:r>
      <w:r>
        <w:rPr>
          <w:rFonts w:hint="eastAsia" w:ascii="宋体" w:hAnsi="宋体" w:cs="宋体"/>
          <w:b/>
          <w:bCs/>
          <w:color w:val="auto"/>
          <w:sz w:val="24"/>
          <w:szCs w:val="24"/>
        </w:rPr>
        <w:t>①</w:t>
      </w:r>
      <w:r>
        <w:rPr>
          <w:rFonts w:hint="eastAsia" w:ascii="宋体" w:hAnsi="宋体" w:cs="宋体"/>
          <w:b/>
          <w:bCs/>
          <w:color w:val="auto"/>
          <w:sz w:val="24"/>
          <w:szCs w:val="24"/>
        </w:rPr>
        <w:fldChar w:fldCharType="end"/>
      </w:r>
      <w:r>
        <w:rPr>
          <w:rFonts w:hint="eastAsia" w:ascii="宋体" w:hAnsi="宋体" w:cs="宋体"/>
          <w:b/>
          <w:bCs/>
          <w:color w:val="auto"/>
          <w:sz w:val="24"/>
          <w:szCs w:val="24"/>
        </w:rPr>
        <w:t>和</w:t>
      </w:r>
      <w:r>
        <w:rPr>
          <w:rFonts w:hint="eastAsia" w:ascii="宋体" w:hAnsi="宋体" w:cs="宋体"/>
          <w:b/>
          <w:bCs/>
          <w:color w:val="auto"/>
          <w:sz w:val="24"/>
          <w:szCs w:val="24"/>
        </w:rPr>
        <w:fldChar w:fldCharType="begin"/>
      </w:r>
      <w:r>
        <w:rPr>
          <w:rFonts w:hint="eastAsia" w:ascii="宋体" w:hAnsi="宋体" w:cs="宋体"/>
          <w:b/>
          <w:bCs/>
          <w:color w:val="auto"/>
          <w:sz w:val="24"/>
          <w:szCs w:val="24"/>
        </w:rPr>
        <w:instrText xml:space="preserve"> = 2 \* GB3 </w:instrText>
      </w:r>
      <w:r>
        <w:rPr>
          <w:rFonts w:hint="eastAsia" w:ascii="宋体" w:hAnsi="宋体" w:cs="宋体"/>
          <w:b/>
          <w:bCs/>
          <w:color w:val="auto"/>
          <w:sz w:val="24"/>
          <w:szCs w:val="24"/>
        </w:rPr>
        <w:fldChar w:fldCharType="separate"/>
      </w:r>
      <w:r>
        <w:rPr>
          <w:rFonts w:hint="eastAsia" w:ascii="宋体" w:hAnsi="宋体" w:cs="宋体"/>
          <w:b/>
          <w:bCs/>
          <w:color w:val="auto"/>
          <w:sz w:val="24"/>
          <w:szCs w:val="24"/>
        </w:rPr>
        <w:t>②</w:t>
      </w:r>
      <w:r>
        <w:rPr>
          <w:rFonts w:hint="eastAsia" w:ascii="宋体" w:hAnsi="宋体" w:cs="宋体"/>
          <w:b/>
          <w:bCs/>
          <w:color w:val="auto"/>
          <w:sz w:val="24"/>
          <w:szCs w:val="24"/>
        </w:rPr>
        <w:fldChar w:fldCharType="end"/>
      </w:r>
      <w:r>
        <w:rPr>
          <w:rFonts w:hint="eastAsia" w:ascii="宋体" w:hAnsi="宋体" w:cs="宋体"/>
          <w:b/>
          <w:bCs/>
          <w:color w:val="auto"/>
          <w:sz w:val="24"/>
          <w:szCs w:val="24"/>
        </w:rPr>
        <w:t>的“正本”或“副本”中，均不得含有报价响应文件中报价表（报价单）内的任何项目价格，否则作无效响应处理。</w:t>
      </w:r>
    </w:p>
    <w:p w14:paraId="44E99F5B">
      <w:pPr>
        <w:shd w:val="clear"/>
        <w:spacing w:line="360" w:lineRule="auto"/>
        <w:ind w:firstLine="482"/>
        <w:contextualSpacing/>
        <w:rPr>
          <w:rFonts w:ascii="Times New Roman" w:hAnsi="Times New Roman"/>
          <w:b/>
          <w:bCs/>
          <w:color w:val="auto"/>
          <w:sz w:val="24"/>
          <w:szCs w:val="24"/>
        </w:rPr>
      </w:pPr>
      <w:r>
        <w:rPr>
          <w:rFonts w:hint="eastAsia" w:ascii="宋体" w:hAnsi="宋体" w:cs="宋体"/>
          <w:b/>
          <w:color w:val="auto"/>
          <w:sz w:val="24"/>
          <w:szCs w:val="24"/>
          <w:lang w:val="en-US" w:eastAsia="zh-CN"/>
        </w:rPr>
        <w:t>七</w:t>
      </w:r>
      <w:r>
        <w:rPr>
          <w:rFonts w:hint="eastAsia" w:ascii="宋体" w:hAnsi="宋体" w:cs="宋体"/>
          <w:b/>
          <w:color w:val="auto"/>
          <w:sz w:val="24"/>
          <w:szCs w:val="24"/>
        </w:rPr>
        <w:t>、</w:t>
      </w:r>
      <w:r>
        <w:rPr>
          <w:rFonts w:hint="eastAsia" w:ascii="Times New Roman" w:hAnsi="Times New Roman"/>
          <w:b/>
          <w:bCs/>
          <w:color w:val="auto"/>
          <w:sz w:val="24"/>
          <w:szCs w:val="24"/>
        </w:rPr>
        <w:t>响应</w:t>
      </w:r>
      <w:r>
        <w:rPr>
          <w:rFonts w:ascii="Times New Roman" w:hAnsi="Times New Roman"/>
          <w:b/>
          <w:bCs/>
          <w:color w:val="auto"/>
          <w:sz w:val="24"/>
          <w:szCs w:val="24"/>
        </w:rPr>
        <w:t>文件的有效期</w:t>
      </w:r>
    </w:p>
    <w:p w14:paraId="52692EF5">
      <w:pPr>
        <w:shd w:val="clear"/>
        <w:spacing w:line="360" w:lineRule="auto"/>
        <w:ind w:firstLine="480"/>
        <w:contextualSpacing/>
        <w:rPr>
          <w:rFonts w:ascii="Times New Roman" w:hAnsi="Times New Roman"/>
          <w:color w:val="auto"/>
          <w:sz w:val="24"/>
          <w:szCs w:val="24"/>
        </w:rPr>
      </w:pPr>
      <w:r>
        <w:rPr>
          <w:rFonts w:ascii="Times New Roman" w:hAnsi="Times New Roman"/>
          <w:color w:val="auto"/>
          <w:sz w:val="24"/>
          <w:szCs w:val="24"/>
        </w:rPr>
        <w:t>1</w:t>
      </w:r>
      <w:r>
        <w:rPr>
          <w:rFonts w:hint="eastAsia" w:ascii="Times New Roman" w:hAnsi="Times New Roman"/>
          <w:color w:val="auto"/>
          <w:sz w:val="24"/>
          <w:szCs w:val="24"/>
          <w:lang w:val="en-US" w:eastAsia="zh-CN"/>
        </w:rPr>
        <w:t>.</w:t>
      </w:r>
      <w:r>
        <w:rPr>
          <w:rFonts w:ascii="Times New Roman" w:hAnsi="Times New Roman"/>
          <w:color w:val="auto"/>
          <w:sz w:val="24"/>
          <w:szCs w:val="24"/>
        </w:rPr>
        <w:t>从</w:t>
      </w:r>
      <w:r>
        <w:rPr>
          <w:rFonts w:hint="eastAsia" w:ascii="Times New Roman" w:hAnsi="Times New Roman"/>
          <w:color w:val="auto"/>
          <w:sz w:val="24"/>
          <w:szCs w:val="24"/>
        </w:rPr>
        <w:t>响应</w:t>
      </w:r>
      <w:r>
        <w:rPr>
          <w:rFonts w:ascii="Times New Roman" w:hAnsi="Times New Roman"/>
          <w:color w:val="auto"/>
          <w:sz w:val="24"/>
          <w:szCs w:val="24"/>
        </w:rPr>
        <w:t>文件接收截止之日起</w:t>
      </w:r>
      <w:r>
        <w:rPr>
          <w:rFonts w:hint="eastAsia" w:ascii="Times New Roman" w:hAnsi="Times New Roman"/>
          <w:color w:val="auto"/>
          <w:sz w:val="24"/>
          <w:szCs w:val="24"/>
        </w:rPr>
        <w:t>算</w:t>
      </w:r>
      <w:r>
        <w:rPr>
          <w:rFonts w:ascii="Times New Roman" w:hAnsi="Times New Roman"/>
          <w:color w:val="auto"/>
          <w:sz w:val="24"/>
          <w:szCs w:val="24"/>
        </w:rPr>
        <w:t>，</w:t>
      </w:r>
      <w:r>
        <w:rPr>
          <w:rFonts w:hint="eastAsia" w:ascii="Times New Roman" w:hAnsi="Times New Roman"/>
          <w:color w:val="auto"/>
          <w:sz w:val="24"/>
          <w:szCs w:val="24"/>
          <w:u w:val="single"/>
        </w:rPr>
        <w:t>60</w:t>
      </w:r>
      <w:r>
        <w:rPr>
          <w:rFonts w:ascii="Times New Roman" w:hAnsi="Times New Roman"/>
          <w:color w:val="auto"/>
          <w:sz w:val="24"/>
          <w:szCs w:val="24"/>
        </w:rPr>
        <w:t>个日历天内</w:t>
      </w:r>
      <w:r>
        <w:rPr>
          <w:rFonts w:hint="eastAsia" w:ascii="Times New Roman" w:hAnsi="Times New Roman"/>
          <w:color w:val="auto"/>
          <w:sz w:val="24"/>
          <w:szCs w:val="24"/>
        </w:rPr>
        <w:t>响应文件</w:t>
      </w:r>
      <w:r>
        <w:rPr>
          <w:rFonts w:ascii="Times New Roman" w:hAnsi="Times New Roman"/>
          <w:color w:val="auto"/>
          <w:sz w:val="24"/>
          <w:szCs w:val="24"/>
        </w:rPr>
        <w:t>应保持有效。</w:t>
      </w:r>
      <w:r>
        <w:rPr>
          <w:rFonts w:hint="eastAsia" w:ascii="Times New Roman" w:hAnsi="Times New Roman"/>
          <w:color w:val="auto"/>
          <w:sz w:val="24"/>
          <w:szCs w:val="24"/>
        </w:rPr>
        <w:t>响应文件中承诺的响应文件有效期应当不少于</w:t>
      </w:r>
      <w:r>
        <w:rPr>
          <w:rFonts w:hint="eastAsia" w:ascii="Times New Roman" w:hAnsi="Times New Roman"/>
          <w:color w:val="auto"/>
          <w:sz w:val="24"/>
          <w:szCs w:val="24"/>
          <w:lang w:val="en-US" w:eastAsia="zh-CN"/>
        </w:rPr>
        <w:t>比选</w:t>
      </w:r>
      <w:r>
        <w:rPr>
          <w:rFonts w:hint="eastAsia" w:ascii="Times New Roman" w:hAnsi="Times New Roman"/>
          <w:color w:val="auto"/>
          <w:sz w:val="24"/>
          <w:szCs w:val="24"/>
        </w:rPr>
        <w:t>文件中载明的响应文件有效期</w:t>
      </w:r>
      <w:r>
        <w:rPr>
          <w:rFonts w:ascii="Times New Roman" w:hAnsi="Times New Roman"/>
          <w:color w:val="auto"/>
          <w:sz w:val="24"/>
          <w:szCs w:val="24"/>
        </w:rPr>
        <w:t>。</w:t>
      </w:r>
    </w:p>
    <w:p w14:paraId="447DB3C2">
      <w:pPr>
        <w:shd w:val="clear"/>
        <w:spacing w:line="360" w:lineRule="auto"/>
        <w:ind w:firstLine="480"/>
        <w:contextualSpacing/>
        <w:rPr>
          <w:rFonts w:ascii="Times New Roman" w:hAnsi="Times New Roman"/>
          <w:color w:val="auto"/>
          <w:sz w:val="24"/>
          <w:szCs w:val="24"/>
        </w:rPr>
      </w:pPr>
      <w:r>
        <w:rPr>
          <w:rFonts w:ascii="Times New Roman" w:hAnsi="Times New Roman"/>
          <w:color w:val="auto"/>
          <w:sz w:val="24"/>
          <w:szCs w:val="24"/>
        </w:rPr>
        <w:t>2</w:t>
      </w:r>
      <w:r>
        <w:rPr>
          <w:rFonts w:hint="eastAsia" w:ascii="Times New Roman" w:hAnsi="Times New Roman"/>
          <w:color w:val="auto"/>
          <w:sz w:val="24"/>
          <w:szCs w:val="24"/>
          <w:lang w:val="en-US" w:eastAsia="zh-CN"/>
        </w:rPr>
        <w:t>.</w:t>
      </w:r>
      <w:r>
        <w:rPr>
          <w:rFonts w:ascii="Times New Roman" w:hAnsi="Times New Roman"/>
          <w:color w:val="auto"/>
          <w:sz w:val="24"/>
          <w:szCs w:val="24"/>
        </w:rPr>
        <w:t>在特殊情况下，</w:t>
      </w:r>
      <w:r>
        <w:rPr>
          <w:rFonts w:hint="eastAsia"/>
          <w:color w:val="auto"/>
          <w:sz w:val="24"/>
          <w:szCs w:val="24"/>
          <w:lang w:val="en-US" w:eastAsia="zh-CN"/>
        </w:rPr>
        <w:t>采购人</w:t>
      </w:r>
      <w:r>
        <w:rPr>
          <w:rFonts w:ascii="Times New Roman" w:hAnsi="Times New Roman"/>
          <w:color w:val="auto"/>
          <w:sz w:val="24"/>
          <w:szCs w:val="24"/>
        </w:rPr>
        <w:t>可与供应商协商延长</w:t>
      </w:r>
      <w:r>
        <w:rPr>
          <w:rFonts w:hint="eastAsia" w:ascii="Times New Roman" w:hAnsi="Times New Roman"/>
          <w:color w:val="auto"/>
          <w:sz w:val="24"/>
          <w:szCs w:val="24"/>
        </w:rPr>
        <w:t>响应文件</w:t>
      </w:r>
      <w:r>
        <w:rPr>
          <w:rFonts w:ascii="Times New Roman" w:hAnsi="Times New Roman"/>
          <w:color w:val="auto"/>
          <w:sz w:val="24"/>
          <w:szCs w:val="24"/>
        </w:rPr>
        <w:t>的有效期。这种要求和答复都应以书面、传真</w:t>
      </w:r>
      <w:r>
        <w:rPr>
          <w:rFonts w:hint="eastAsia" w:ascii="Times New Roman" w:hAnsi="Times New Roman"/>
          <w:color w:val="auto"/>
          <w:sz w:val="24"/>
          <w:szCs w:val="24"/>
          <w:lang w:eastAsia="zh-CN"/>
        </w:rPr>
        <w:t>或</w:t>
      </w:r>
      <w:r>
        <w:rPr>
          <w:rFonts w:ascii="Times New Roman" w:hAnsi="Times New Roman"/>
          <w:color w:val="auto"/>
          <w:sz w:val="24"/>
          <w:szCs w:val="24"/>
        </w:rPr>
        <w:t>电报的形式进行。</w:t>
      </w:r>
      <w:r>
        <w:rPr>
          <w:rFonts w:hint="eastAsia" w:ascii="Times New Roman" w:hAnsi="Times New Roman"/>
          <w:color w:val="auto"/>
          <w:sz w:val="24"/>
          <w:szCs w:val="24"/>
        </w:rPr>
        <w:t>同意延长响应文件有效期的供应商既不能要求也不允许修改其响应文件，同时受响应文件有效期约束的所有权利与义务均延长至新的有效期。供应商可以拒绝</w:t>
      </w:r>
      <w:r>
        <w:rPr>
          <w:rFonts w:hint="eastAsia"/>
          <w:color w:val="auto"/>
          <w:sz w:val="24"/>
          <w:szCs w:val="24"/>
          <w:lang w:val="en-US" w:eastAsia="zh-CN"/>
        </w:rPr>
        <w:t>采购人</w:t>
      </w:r>
      <w:r>
        <w:rPr>
          <w:rFonts w:hint="eastAsia" w:ascii="Times New Roman" w:hAnsi="Times New Roman"/>
          <w:color w:val="auto"/>
          <w:sz w:val="24"/>
          <w:szCs w:val="24"/>
        </w:rPr>
        <w:t>的这一要求而放弃响应。</w:t>
      </w:r>
    </w:p>
    <w:p w14:paraId="28D7F7D7">
      <w:pPr>
        <w:keepNext w:val="0"/>
        <w:keepLines w:val="0"/>
        <w:pageBreakBefore w:val="0"/>
        <w:shd w:val="clear"/>
        <w:overflowPunct/>
        <w:bidi w:val="0"/>
        <w:snapToGrid w:val="0"/>
        <w:spacing w:line="360" w:lineRule="auto"/>
        <w:ind w:left="0" w:leftChars="0" w:firstLine="482" w:firstLineChars="200"/>
        <w:jc w:val="both"/>
        <w:outlineLvl w:val="9"/>
        <w:rPr>
          <w:rFonts w:ascii="宋体" w:hAnsi="宋体" w:cs="宋体"/>
          <w:b/>
          <w:color w:val="auto"/>
          <w:sz w:val="24"/>
          <w:szCs w:val="24"/>
        </w:rPr>
      </w:pPr>
      <w:r>
        <w:rPr>
          <w:rFonts w:hint="eastAsia" w:ascii="宋体" w:hAnsi="宋体" w:cs="宋体"/>
          <w:b/>
          <w:color w:val="auto"/>
          <w:sz w:val="24"/>
          <w:szCs w:val="24"/>
          <w:lang w:val="en-US" w:eastAsia="zh-CN"/>
        </w:rPr>
        <w:t>八</w:t>
      </w:r>
      <w:r>
        <w:rPr>
          <w:rFonts w:hint="eastAsia" w:ascii="宋体" w:hAnsi="宋体" w:cs="宋体"/>
          <w:b/>
          <w:color w:val="auto"/>
          <w:sz w:val="24"/>
          <w:szCs w:val="24"/>
        </w:rPr>
        <w:t>、</w:t>
      </w:r>
      <w:r>
        <w:rPr>
          <w:rFonts w:hint="eastAsia" w:ascii="宋体" w:hAnsi="宋体" w:cs="宋体"/>
          <w:b/>
          <w:color w:val="auto"/>
          <w:sz w:val="24"/>
          <w:szCs w:val="24"/>
          <w:lang w:val="en-US" w:eastAsia="zh-CN"/>
        </w:rPr>
        <w:t>响应文件及</w:t>
      </w:r>
      <w:r>
        <w:rPr>
          <w:rFonts w:hint="eastAsia" w:ascii="宋体" w:hAnsi="宋体" w:cs="宋体"/>
          <w:b/>
          <w:color w:val="auto"/>
          <w:sz w:val="24"/>
          <w:szCs w:val="24"/>
        </w:rPr>
        <w:t>相关费用</w:t>
      </w:r>
    </w:p>
    <w:p w14:paraId="02878CD3">
      <w:pPr>
        <w:keepNext w:val="0"/>
        <w:keepLines w:val="0"/>
        <w:pageBreakBefore w:val="0"/>
        <w:shd w:val="clear"/>
        <w:overflowPunct/>
        <w:autoSpaceDE w:val="0"/>
        <w:autoSpaceDN w:val="0"/>
        <w:bidi w:val="0"/>
        <w:adjustRightInd w:val="0"/>
        <w:spacing w:line="360" w:lineRule="auto"/>
        <w:ind w:left="0" w:leftChars="0" w:firstLine="480" w:firstLineChars="200"/>
        <w:jc w:val="both"/>
        <w:rPr>
          <w:rFonts w:hint="eastAsia"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zh-CN"/>
        </w:rPr>
        <w:t>无论</w:t>
      </w:r>
      <w:r>
        <w:rPr>
          <w:rFonts w:hint="eastAsia" w:ascii="宋体" w:hAnsi="宋体" w:cs="宋体"/>
          <w:color w:val="auto"/>
          <w:kern w:val="0"/>
          <w:sz w:val="24"/>
          <w:szCs w:val="24"/>
        </w:rPr>
        <w:t>比选</w:t>
      </w:r>
      <w:r>
        <w:rPr>
          <w:rFonts w:hint="eastAsia" w:ascii="宋体" w:hAnsi="宋体" w:cs="宋体"/>
          <w:color w:val="auto"/>
          <w:kern w:val="0"/>
          <w:sz w:val="24"/>
          <w:szCs w:val="24"/>
          <w:lang w:val="zh-CN"/>
        </w:rPr>
        <w:t>过程和结果如何，参加</w:t>
      </w:r>
      <w:r>
        <w:rPr>
          <w:rFonts w:hint="eastAsia" w:ascii="宋体" w:hAnsi="宋体" w:cs="宋体"/>
          <w:color w:val="auto"/>
          <w:kern w:val="0"/>
          <w:sz w:val="24"/>
          <w:szCs w:val="24"/>
        </w:rPr>
        <w:t>比选</w:t>
      </w:r>
      <w:r>
        <w:rPr>
          <w:rFonts w:hint="eastAsia" w:ascii="宋体" w:hAnsi="宋体" w:cs="宋体"/>
          <w:color w:val="auto"/>
          <w:kern w:val="0"/>
          <w:sz w:val="24"/>
          <w:szCs w:val="24"/>
          <w:lang w:val="zh-CN"/>
        </w:rPr>
        <w:t>的响应</w:t>
      </w:r>
      <w:r>
        <w:rPr>
          <w:rFonts w:hint="eastAsia" w:ascii="宋体" w:hAnsi="宋体" w:cs="宋体"/>
          <w:color w:val="auto"/>
          <w:kern w:val="0"/>
          <w:sz w:val="24"/>
          <w:szCs w:val="24"/>
          <w:lang w:val="en-US" w:eastAsia="zh-CN"/>
        </w:rPr>
        <w:t>供应商</w:t>
      </w:r>
      <w:r>
        <w:rPr>
          <w:rFonts w:hint="eastAsia" w:ascii="宋体" w:hAnsi="宋体" w:cs="宋体"/>
          <w:color w:val="auto"/>
          <w:kern w:val="0"/>
          <w:sz w:val="24"/>
          <w:szCs w:val="24"/>
          <w:lang w:val="zh-CN"/>
        </w:rPr>
        <w:t>自行承担与本次项目有关的全部费用。</w:t>
      </w:r>
    </w:p>
    <w:p w14:paraId="51D36C8D">
      <w:pPr>
        <w:keepNext w:val="0"/>
        <w:keepLines w:val="0"/>
        <w:pageBreakBefore w:val="0"/>
        <w:shd w:val="clear"/>
        <w:overflowPunct/>
        <w:autoSpaceDE w:val="0"/>
        <w:autoSpaceDN w:val="0"/>
        <w:bidi w:val="0"/>
        <w:adjustRightInd w:val="0"/>
        <w:spacing w:line="360" w:lineRule="auto"/>
        <w:ind w:left="0" w:leftChars="0" w:firstLine="480" w:firstLineChars="200"/>
        <w:jc w:val="both"/>
        <w:rPr>
          <w:rFonts w:hint="eastAsia" w:ascii="宋体" w:hAnsi="宋体" w:cs="宋体"/>
          <w:color w:val="auto"/>
          <w:kern w:val="0"/>
          <w:sz w:val="24"/>
          <w:szCs w:val="24"/>
          <w:lang w:val="zh-CN"/>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.比选</w:t>
      </w:r>
      <w:r>
        <w:rPr>
          <w:rFonts w:hint="eastAsia" w:ascii="宋体" w:hAnsi="宋体" w:cs="宋体"/>
          <w:color w:val="auto"/>
          <w:kern w:val="0"/>
          <w:sz w:val="24"/>
          <w:szCs w:val="24"/>
          <w:lang w:val="zh-CN"/>
        </w:rPr>
        <w:t>文件未列明，而</w:t>
      </w:r>
      <w:r>
        <w:rPr>
          <w:rFonts w:hint="eastAsia" w:ascii="宋体" w:hAnsi="宋体" w:cs="宋体"/>
          <w:color w:val="auto"/>
          <w:kern w:val="0"/>
          <w:sz w:val="24"/>
          <w:szCs w:val="24"/>
        </w:rPr>
        <w:t>响应</w:t>
      </w:r>
      <w:r>
        <w:rPr>
          <w:rFonts w:hint="eastAsia" w:ascii="宋体" w:hAnsi="宋体" w:cs="宋体"/>
          <w:color w:val="auto"/>
          <w:kern w:val="0"/>
          <w:sz w:val="24"/>
          <w:szCs w:val="24"/>
          <w:lang w:val="zh-CN"/>
        </w:rPr>
        <w:t>供应商认为必需的费用也需</w:t>
      </w:r>
      <w:r>
        <w:rPr>
          <w:rFonts w:hint="eastAsia" w:ascii="宋体" w:hAnsi="宋体" w:cs="宋体"/>
          <w:color w:val="auto"/>
          <w:kern w:val="0"/>
          <w:sz w:val="24"/>
          <w:szCs w:val="24"/>
        </w:rPr>
        <w:t>考虑进</w:t>
      </w:r>
      <w:r>
        <w:rPr>
          <w:rFonts w:hint="eastAsia" w:ascii="宋体" w:hAnsi="宋体" w:cs="宋体"/>
          <w:color w:val="auto"/>
          <w:kern w:val="0"/>
          <w:sz w:val="24"/>
          <w:szCs w:val="24"/>
          <w:lang w:val="zh-CN"/>
        </w:rPr>
        <w:t>报价（</w:t>
      </w:r>
      <w:r>
        <w:rPr>
          <w:rFonts w:hint="eastAsia" w:ascii="宋体" w:hAnsi="宋体" w:cs="宋体"/>
          <w:color w:val="auto"/>
          <w:kern w:val="0"/>
          <w:sz w:val="24"/>
          <w:szCs w:val="24"/>
        </w:rPr>
        <w:t>不单列）</w:t>
      </w:r>
      <w:r>
        <w:rPr>
          <w:rFonts w:hint="eastAsia" w:ascii="宋体" w:hAnsi="宋体" w:cs="宋体"/>
          <w:color w:val="auto"/>
          <w:kern w:val="0"/>
          <w:sz w:val="24"/>
          <w:szCs w:val="24"/>
          <w:lang w:val="zh-CN"/>
        </w:rPr>
        <w:t>。</w:t>
      </w:r>
    </w:p>
    <w:p w14:paraId="0BD88FFB">
      <w:pPr>
        <w:keepNext w:val="0"/>
        <w:keepLines w:val="0"/>
        <w:pageBreakBefore w:val="0"/>
        <w:shd w:val="clear"/>
        <w:overflowPunct/>
        <w:autoSpaceDE w:val="0"/>
        <w:autoSpaceDN w:val="0"/>
        <w:bidi w:val="0"/>
        <w:adjustRightInd w:val="0"/>
        <w:spacing w:line="360" w:lineRule="auto"/>
        <w:ind w:left="0" w:leftChars="0" w:firstLine="480" w:firstLineChars="200"/>
        <w:jc w:val="both"/>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3.评审进行后所有的响应文件都将作为档案保存，不论成交与否，采购人均不退回。</w:t>
      </w:r>
    </w:p>
    <w:p w14:paraId="7B92FF80">
      <w:pPr>
        <w:pStyle w:val="21"/>
        <w:keepNext w:val="0"/>
        <w:keepLines w:val="0"/>
        <w:pageBreakBefore w:val="0"/>
        <w:numPr>
          <w:ilvl w:val="0"/>
          <w:numId w:val="3"/>
        </w:numPr>
        <w:shd w:val="clear"/>
        <w:overflowPunct/>
        <w:bidi w:val="0"/>
        <w:spacing w:after="0" w:line="360" w:lineRule="auto"/>
        <w:ind w:left="0" w:leftChars="0" w:firstLine="482" w:firstLineChars="200"/>
        <w:jc w:val="both"/>
        <w:rPr>
          <w:rFonts w:ascii="宋体" w:hAnsi="宋体" w:cs="宋体"/>
          <w:b/>
          <w:bCs/>
          <w:color w:val="auto"/>
        </w:rPr>
      </w:pPr>
      <w:bookmarkStart w:id="31" w:name="_Toc5043"/>
      <w:r>
        <w:rPr>
          <w:rFonts w:hint="eastAsia" w:ascii="宋体" w:hAnsi="宋体" w:cs="宋体"/>
          <w:b/>
          <w:bCs/>
          <w:color w:val="auto"/>
        </w:rPr>
        <w:t>履约保证金</w:t>
      </w:r>
    </w:p>
    <w:p w14:paraId="5160C2B7">
      <w:pPr>
        <w:pStyle w:val="21"/>
        <w:keepNext w:val="0"/>
        <w:keepLines w:val="0"/>
        <w:pageBreakBefore w:val="0"/>
        <w:numPr>
          <w:ilvl w:val="255"/>
          <w:numId w:val="0"/>
        </w:numPr>
        <w:shd w:val="clear"/>
        <w:overflowPunct/>
        <w:bidi w:val="0"/>
        <w:spacing w:after="0" w:line="360" w:lineRule="auto"/>
        <w:ind w:left="0" w:leftChars="0" w:firstLine="480" w:firstLineChars="200"/>
        <w:jc w:val="both"/>
        <w:rPr>
          <w:rFonts w:ascii="宋体" w:hAnsi="宋体" w:cs="宋体"/>
          <w:color w:val="auto"/>
          <w:highlight w:val="yellow"/>
        </w:rPr>
      </w:pPr>
      <w:r>
        <w:rPr>
          <w:rFonts w:hint="eastAsia" w:ascii="宋体" w:hAnsi="宋体" w:cs="宋体"/>
          <w:color w:val="auto"/>
          <w:highlight w:val="none"/>
          <w:shd w:val="clear"/>
        </w:rPr>
        <w:t>本项目</w:t>
      </w:r>
      <w:r>
        <w:rPr>
          <w:rFonts w:hint="eastAsia" w:ascii="宋体" w:hAnsi="宋体" w:cs="宋体"/>
          <w:color w:val="auto"/>
          <w:highlight w:val="none"/>
          <w:shd w:val="clear"/>
          <w:lang w:val="en-US" w:eastAsia="zh-CN"/>
        </w:rPr>
        <w:t>不</w:t>
      </w:r>
      <w:r>
        <w:rPr>
          <w:rFonts w:hint="eastAsia" w:ascii="宋体" w:hAnsi="宋体" w:cs="宋体"/>
          <w:color w:val="auto"/>
          <w:highlight w:val="none"/>
          <w:shd w:val="clear"/>
        </w:rPr>
        <w:t>收取履约保证金。</w:t>
      </w:r>
    </w:p>
    <w:p w14:paraId="6FE33B9C">
      <w:pPr>
        <w:keepNext w:val="0"/>
        <w:keepLines w:val="0"/>
        <w:pageBreakBefore w:val="0"/>
        <w:shd w:val="clear"/>
        <w:kinsoku/>
        <w:wordWrap/>
        <w:overflowPunct/>
        <w:topLinePunct w:val="0"/>
        <w:autoSpaceDE/>
        <w:autoSpaceDN/>
        <w:bidi w:val="0"/>
        <w:adjustRightInd/>
        <w:snapToGrid/>
        <w:spacing w:line="360" w:lineRule="auto"/>
        <w:ind w:left="0" w:right="0" w:firstLine="482"/>
        <w:contextualSpacing/>
        <w:textAlignment w:val="auto"/>
        <w:rPr>
          <w:rFonts w:ascii="Times New Roman" w:hAnsi="Times New Roman"/>
          <w:b/>
          <w:bCs/>
          <w:color w:val="auto"/>
          <w:sz w:val="24"/>
          <w:szCs w:val="24"/>
        </w:rPr>
      </w:pPr>
      <w:r>
        <w:rPr>
          <w:rFonts w:hint="eastAsia" w:ascii="Times New Roman" w:hAnsi="Times New Roman" w:cs="宋体"/>
          <w:b/>
          <w:color w:val="auto"/>
          <w:sz w:val="24"/>
          <w:szCs w:val="24"/>
        </w:rPr>
        <w:t>十、</w:t>
      </w:r>
      <w:r>
        <w:rPr>
          <w:rFonts w:ascii="Times New Roman" w:hAnsi="Times New Roman"/>
          <w:b/>
          <w:bCs/>
          <w:color w:val="auto"/>
          <w:sz w:val="24"/>
          <w:szCs w:val="24"/>
        </w:rPr>
        <w:t>追加、减少和添购。</w:t>
      </w:r>
    </w:p>
    <w:p w14:paraId="6B90A2CF">
      <w:pPr>
        <w:keepNext w:val="0"/>
        <w:keepLines w:val="0"/>
        <w:pageBreakBefore w:val="0"/>
        <w:shd w:val="clear"/>
        <w:kinsoku/>
        <w:wordWrap/>
        <w:overflowPunct/>
        <w:topLinePunct w:val="0"/>
        <w:autoSpaceDE/>
        <w:autoSpaceDN/>
        <w:bidi w:val="0"/>
        <w:adjustRightInd/>
        <w:snapToGrid/>
        <w:spacing w:line="360" w:lineRule="auto"/>
        <w:ind w:left="0" w:right="0" w:firstLine="480"/>
        <w:contextualSpacing/>
        <w:textAlignment w:val="auto"/>
        <w:rPr>
          <w:rFonts w:ascii="Times New Roman" w:hAnsi="Times New Roman"/>
          <w:bCs/>
          <w:color w:val="auto"/>
          <w:sz w:val="24"/>
          <w:szCs w:val="24"/>
        </w:rPr>
      </w:pPr>
      <w:r>
        <w:rPr>
          <w:rFonts w:ascii="Times New Roman" w:hAnsi="Times New Roman"/>
          <w:bCs/>
          <w:color w:val="auto"/>
          <w:sz w:val="24"/>
          <w:szCs w:val="24"/>
        </w:rPr>
        <w:t>采购合同履行中，采购人需追加与</w:t>
      </w:r>
      <w:r>
        <w:rPr>
          <w:rFonts w:hint="eastAsia" w:ascii="Times New Roman" w:hAnsi="Times New Roman"/>
          <w:bCs/>
          <w:color w:val="auto"/>
          <w:sz w:val="24"/>
          <w:szCs w:val="24"/>
        </w:rPr>
        <w:t>采购合同</w:t>
      </w:r>
      <w:r>
        <w:rPr>
          <w:rFonts w:ascii="Times New Roman" w:hAnsi="Times New Roman"/>
          <w:bCs/>
          <w:color w:val="auto"/>
          <w:sz w:val="24"/>
          <w:szCs w:val="24"/>
        </w:rPr>
        <w:t>相同</w:t>
      </w:r>
      <w:r>
        <w:rPr>
          <w:rFonts w:hint="eastAsia" w:ascii="Times New Roman" w:hAnsi="Times New Roman"/>
          <w:bCs/>
          <w:color w:val="auto"/>
          <w:sz w:val="24"/>
          <w:szCs w:val="24"/>
          <w:lang w:val="en-US" w:eastAsia="zh-CN"/>
        </w:rPr>
        <w:t>标的</w:t>
      </w:r>
      <w:r>
        <w:rPr>
          <w:rFonts w:ascii="Times New Roman" w:hAnsi="Times New Roman"/>
          <w:bCs/>
          <w:color w:val="auto"/>
          <w:sz w:val="24"/>
          <w:szCs w:val="24"/>
        </w:rPr>
        <w:t>的，在不改变合同其他条款的前提下，可以与成交供应商协商签订补充合同，但所有补充合同的采购金额不超过原合同金额10%。</w:t>
      </w:r>
    </w:p>
    <w:p w14:paraId="422081B0">
      <w:pPr>
        <w:shd w:val="clear"/>
        <w:spacing w:line="360" w:lineRule="auto"/>
        <w:ind w:firstLine="496"/>
        <w:rPr>
          <w:rFonts w:ascii="Times New Roman" w:hAnsi="Times New Roman" w:cs="宋体"/>
          <w:b/>
          <w:color w:val="auto"/>
          <w:sz w:val="24"/>
          <w:szCs w:val="24"/>
        </w:rPr>
      </w:pPr>
      <w:r>
        <w:rPr>
          <w:rFonts w:hint="eastAsia" w:ascii="Times New Roman" w:hAnsi="Times New Roman" w:cs="宋体"/>
          <w:b/>
          <w:color w:val="auto"/>
          <w:sz w:val="24"/>
          <w:szCs w:val="24"/>
        </w:rPr>
        <w:t>十</w:t>
      </w:r>
      <w:r>
        <w:rPr>
          <w:rFonts w:hint="eastAsia" w:ascii="Times New Roman" w:hAnsi="Times New Roman" w:cs="宋体"/>
          <w:b/>
          <w:color w:val="auto"/>
          <w:sz w:val="24"/>
          <w:szCs w:val="24"/>
          <w:lang w:val="en-US" w:eastAsia="zh-CN"/>
        </w:rPr>
        <w:t>一</w:t>
      </w:r>
      <w:r>
        <w:rPr>
          <w:rFonts w:hint="eastAsia" w:ascii="Times New Roman" w:hAnsi="Times New Roman" w:cs="宋体"/>
          <w:b/>
          <w:color w:val="auto"/>
          <w:sz w:val="24"/>
          <w:szCs w:val="24"/>
        </w:rPr>
        <w:t>、未尽事宜</w:t>
      </w:r>
    </w:p>
    <w:p w14:paraId="2E6ACE0B">
      <w:pPr>
        <w:shd w:val="clear"/>
        <w:spacing w:line="360" w:lineRule="auto"/>
        <w:ind w:firstLine="494"/>
        <w:rPr>
          <w:rFonts w:ascii="Times New Roman" w:hAnsi="Times New Roman" w:cs="宋体"/>
          <w:color w:val="auto"/>
          <w:sz w:val="24"/>
          <w:szCs w:val="24"/>
        </w:rPr>
      </w:pPr>
      <w:r>
        <w:rPr>
          <w:rFonts w:hint="eastAsia" w:ascii="Times New Roman" w:hAnsi="Times New Roman" w:cs="宋体"/>
          <w:color w:val="auto"/>
          <w:sz w:val="24"/>
          <w:szCs w:val="24"/>
        </w:rPr>
        <w:t>无</w:t>
      </w:r>
    </w:p>
    <w:p w14:paraId="081AD202">
      <w:pPr>
        <w:keepNext w:val="0"/>
        <w:keepLines w:val="0"/>
        <w:pageBreakBefore w:val="0"/>
        <w:shd w:val="clear"/>
        <w:overflowPunct/>
        <w:bidi w:val="0"/>
        <w:spacing w:line="360" w:lineRule="auto"/>
        <w:ind w:left="0" w:leftChars="0" w:firstLine="420" w:firstLineChars="200"/>
        <w:jc w:val="both"/>
        <w:rPr>
          <w:rFonts w:ascii="宋体" w:hAnsi="宋体" w:cs="宋体"/>
          <w:color w:val="auto"/>
        </w:rPr>
      </w:pPr>
      <w:r>
        <w:rPr>
          <w:rFonts w:ascii="宋体" w:hAnsi="宋体" w:cs="宋体"/>
          <w:color w:val="auto"/>
        </w:rPr>
        <w:br w:type="page"/>
      </w:r>
    </w:p>
    <w:p w14:paraId="07F73CF2">
      <w:pPr>
        <w:pStyle w:val="17"/>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宋体" w:hAnsi="宋体" w:eastAsia="宋体" w:cs="宋体"/>
          <w:b/>
          <w:color w:val="auto"/>
          <w:spacing w:val="6"/>
          <w:kern w:val="2"/>
          <w:sz w:val="36"/>
          <w:szCs w:val="36"/>
          <w:lang w:val="en-US" w:eastAsia="zh-CN" w:bidi="ar-SA"/>
        </w:rPr>
      </w:pPr>
      <w:r>
        <w:rPr>
          <w:rFonts w:hint="eastAsia" w:ascii="宋体" w:hAnsi="宋体" w:eastAsia="宋体" w:cs="宋体"/>
          <w:b/>
          <w:color w:val="auto"/>
          <w:spacing w:val="6"/>
          <w:kern w:val="2"/>
          <w:sz w:val="36"/>
          <w:szCs w:val="36"/>
          <w:lang w:val="en-US" w:eastAsia="zh-CN" w:bidi="ar-SA"/>
        </w:rPr>
        <w:t>第三章  项目需求</w:t>
      </w:r>
      <w:bookmarkEnd w:id="31"/>
    </w:p>
    <w:p w14:paraId="786C442E">
      <w:pPr>
        <w:keepNext w:val="0"/>
        <w:keepLines w:val="0"/>
        <w:pageBreakBefore w:val="0"/>
        <w:widowControl/>
        <w:shd w:val="clear"/>
        <w:kinsoku/>
        <w:wordWrap/>
        <w:overflowPunct/>
        <w:topLinePunct w:val="0"/>
        <w:autoSpaceDE/>
        <w:autoSpaceDN/>
        <w:bidi w:val="0"/>
        <w:snapToGrid/>
        <w:spacing w:line="360" w:lineRule="auto"/>
        <w:ind w:left="0" w:leftChars="0" w:firstLine="480" w:firstLineChars="200"/>
        <w:jc w:val="both"/>
        <w:textAlignment w:val="auto"/>
        <w:outlineLvl w:val="9"/>
        <w:rPr>
          <w:rFonts w:hint="eastAsia" w:ascii="宋体" w:hAnsi="宋体" w:eastAsia="宋体" w:cs="宋体"/>
          <w:color w:val="auto"/>
          <w:kern w:val="0"/>
          <w:sz w:val="24"/>
          <w:szCs w:val="24"/>
        </w:rPr>
      </w:pPr>
      <w:bookmarkStart w:id="32" w:name="_Toc24193"/>
      <w:r>
        <w:rPr>
          <w:rFonts w:hint="eastAsia" w:ascii="宋体" w:hAnsi="宋体" w:eastAsia="宋体" w:cs="宋体"/>
          <w:color w:val="auto"/>
          <w:kern w:val="0"/>
          <w:sz w:val="24"/>
          <w:szCs w:val="24"/>
        </w:rPr>
        <w:t>项目属性：</w:t>
      </w:r>
      <w:r>
        <w:rPr>
          <w:rFonts w:hint="eastAsia" w:ascii="宋体" w:hAnsi="宋体" w:eastAsia="宋体" w:cs="宋体"/>
          <w:color w:val="auto"/>
          <w:kern w:val="0"/>
          <w:sz w:val="24"/>
          <w:szCs w:val="24"/>
          <w:lang w:val="en-US" w:eastAsia="zh-CN"/>
        </w:rPr>
        <w:t>服务</w:t>
      </w:r>
      <w:r>
        <w:rPr>
          <w:rFonts w:hint="eastAsia" w:ascii="宋体" w:hAnsi="宋体" w:eastAsia="宋体" w:cs="宋体"/>
          <w:color w:val="auto"/>
          <w:kern w:val="0"/>
          <w:sz w:val="24"/>
          <w:szCs w:val="24"/>
        </w:rPr>
        <w:t>类</w:t>
      </w:r>
    </w:p>
    <w:p w14:paraId="1145B5F3">
      <w:pPr>
        <w:keepNext w:val="0"/>
        <w:keepLines w:val="0"/>
        <w:pageBreakBefore w:val="0"/>
        <w:widowControl/>
        <w:shd w:val="clear"/>
        <w:kinsoku/>
        <w:wordWrap/>
        <w:overflowPunct/>
        <w:topLinePunct w:val="0"/>
        <w:autoSpaceDE/>
        <w:autoSpaceDN/>
        <w:bidi w:val="0"/>
        <w:snapToGrid/>
        <w:spacing w:line="360" w:lineRule="auto"/>
        <w:ind w:left="0" w:lef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采购需求包括拟采购的标的及其需要满足的技术、商务要求。</w:t>
      </w:r>
    </w:p>
    <w:p w14:paraId="41622D20">
      <w:pPr>
        <w:keepNext w:val="0"/>
        <w:keepLines w:val="0"/>
        <w:pageBreakBefore w:val="0"/>
        <w:widowControl/>
        <w:shd w:val="clear"/>
        <w:kinsoku/>
        <w:wordWrap/>
        <w:overflowPunct/>
        <w:topLinePunct w:val="0"/>
        <w:autoSpaceDE/>
        <w:autoSpaceDN/>
        <w:bidi w:val="0"/>
        <w:snapToGrid/>
        <w:spacing w:line="360" w:lineRule="auto"/>
        <w:ind w:left="0" w:leftChars="0" w:firstLine="482" w:firstLineChars="200"/>
        <w:jc w:val="both"/>
        <w:textAlignment w:val="auto"/>
        <w:outlineLvl w:val="9"/>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本章采购需求中所有条款均为实质性响应条款，供应商不得负偏离响应，如负偏离响应认定为无效响应文件。</w:t>
      </w:r>
    </w:p>
    <w:p w14:paraId="294432DD">
      <w:pPr>
        <w:keepNext w:val="0"/>
        <w:keepLines w:val="0"/>
        <w:pageBreakBefore w:val="0"/>
        <w:widowControl/>
        <w:shd w:val="clear"/>
        <w:kinsoku/>
        <w:wordWrap/>
        <w:overflowPunct/>
        <w:topLinePunct w:val="0"/>
        <w:autoSpaceDE/>
        <w:autoSpaceDN/>
        <w:bidi w:val="0"/>
        <w:snapToGrid/>
        <w:spacing w:line="360" w:lineRule="auto"/>
        <w:ind w:left="0" w:lef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（一）技术要求是指对采购标的功能和质量要求，包括服务内容和标准等。</w:t>
      </w:r>
    </w:p>
    <w:p w14:paraId="281A4ED2">
      <w:pPr>
        <w:keepNext w:val="0"/>
        <w:keepLines w:val="0"/>
        <w:pageBreakBefore w:val="0"/>
        <w:widowControl/>
        <w:shd w:val="clear"/>
        <w:kinsoku/>
        <w:wordWrap/>
        <w:overflowPunct/>
        <w:topLinePunct w:val="0"/>
        <w:autoSpaceDE/>
        <w:autoSpaceDN/>
        <w:bidi w:val="0"/>
        <w:snapToGrid/>
        <w:spacing w:line="360" w:lineRule="auto"/>
        <w:ind w:left="0" w:lef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（二）商务要求是指取得采购标的的时间、地点、财务和服务要求，包括交付（实施）的时间（期限）和地点（范围），付款条件（进度和方法）等。</w:t>
      </w:r>
    </w:p>
    <w:p w14:paraId="24CFEB88">
      <w:pPr>
        <w:keepNext w:val="0"/>
        <w:keepLines w:val="0"/>
        <w:pageBreakBefore w:val="0"/>
        <w:widowControl/>
        <w:shd w:val="clear"/>
        <w:kinsoku/>
        <w:wordWrap/>
        <w:overflowPunct/>
        <w:topLinePunct w:val="0"/>
        <w:autoSpaceDE/>
        <w:autoSpaceDN/>
        <w:bidi w:val="0"/>
        <w:snapToGrid/>
        <w:spacing w:line="360" w:lineRule="auto"/>
        <w:ind w:left="0" w:lef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其内容包含但不限于以下内容：</w:t>
      </w:r>
    </w:p>
    <w:p w14:paraId="4AE2FD0E">
      <w:pPr>
        <w:widowControl/>
        <w:shd w:val="clear"/>
        <w:spacing w:line="480" w:lineRule="exact"/>
        <w:ind w:firstLine="482" w:firstLineChars="200"/>
        <w:outlineLvl w:val="1"/>
        <w:rPr>
          <w:rFonts w:ascii="宋体" w:hAnsi="宋体" w:cs="宋体"/>
          <w:b/>
          <w:color w:val="auto"/>
          <w:sz w:val="24"/>
          <w:szCs w:val="24"/>
          <w:highlight w:val="none"/>
        </w:rPr>
      </w:pPr>
      <w:r>
        <w:rPr>
          <w:rFonts w:hint="eastAsia" w:ascii="宋体" w:hAnsi="宋体" w:cs="宋体"/>
          <w:b/>
          <w:color w:val="auto"/>
          <w:sz w:val="24"/>
          <w:szCs w:val="24"/>
          <w:highlight w:val="none"/>
        </w:rPr>
        <w:t>一、项目概况</w:t>
      </w:r>
    </w:p>
    <w:p w14:paraId="0112DABB">
      <w:pPr>
        <w:widowControl/>
        <w:shd w:val="clear"/>
        <w:spacing w:line="48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1.服务地点：</w:t>
      </w:r>
      <w:r>
        <w:rPr>
          <w:rFonts w:hint="eastAsia" w:ascii="宋体" w:hAnsi="宋体" w:cs="宋体"/>
          <w:bCs/>
          <w:color w:val="auto"/>
          <w:sz w:val="24"/>
          <w:szCs w:val="24"/>
          <w:highlight w:val="none"/>
          <w:lang w:eastAsia="zh-CN"/>
        </w:rPr>
        <w:t>江苏省南通第一中学</w:t>
      </w:r>
    </w:p>
    <w:p w14:paraId="4B5DE6D7">
      <w:pPr>
        <w:widowControl/>
        <w:shd w:val="clear"/>
        <w:spacing w:line="480" w:lineRule="exact"/>
        <w:ind w:firstLine="480" w:firstLineChars="200"/>
        <w:rPr>
          <w:rFonts w:ascii="宋体" w:hAnsi="宋体" w:cs="宋体"/>
          <w:color w:val="auto"/>
          <w:sz w:val="24"/>
          <w:szCs w:val="24"/>
        </w:rPr>
      </w:pPr>
      <w:r>
        <w:rPr>
          <w:rFonts w:hint="eastAsia" w:ascii="宋体" w:hAnsi="宋体" w:cs="宋体"/>
          <w:bCs/>
          <w:color w:val="auto"/>
          <w:sz w:val="24"/>
          <w:szCs w:val="24"/>
          <w:highlight w:val="none"/>
        </w:rPr>
        <w:t>2.</w:t>
      </w:r>
      <w:r>
        <w:rPr>
          <w:rFonts w:hint="eastAsia" w:ascii="宋体" w:hAnsi="宋体" w:cs="宋体"/>
          <w:color w:val="auto"/>
          <w:sz w:val="24"/>
          <w:szCs w:val="24"/>
          <w:highlight w:val="none"/>
        </w:rPr>
        <w:t>本项目一次采购</w:t>
      </w:r>
      <w:r>
        <w:rPr>
          <w:rFonts w:hint="eastAsia" w:ascii="宋体" w:hAnsi="宋体" w:cs="宋体"/>
          <w:color w:val="auto"/>
          <w:sz w:val="24"/>
          <w:szCs w:val="24"/>
        </w:rPr>
        <w:t>三年有效，合同一年一签，采购单位具有对成交单位履职期间的情况进行综合考核并决定是否续签合同的权利，最多续签2次。</w:t>
      </w:r>
    </w:p>
    <w:p w14:paraId="6C6D94B4">
      <w:pPr>
        <w:widowControl/>
        <w:shd w:val="clear"/>
        <w:spacing w:line="480" w:lineRule="exact"/>
        <w:ind w:firstLine="510" w:firstLineChars="200"/>
        <w:outlineLvl w:val="1"/>
        <w:rPr>
          <w:rFonts w:ascii="宋体" w:hAnsi="宋体" w:cs="宋体"/>
          <w:b/>
          <w:color w:val="auto"/>
          <w:spacing w:val="7"/>
          <w:kern w:val="0"/>
          <w:sz w:val="24"/>
          <w:szCs w:val="24"/>
          <w:shd w:val="clear" w:color="auto" w:fill="FFFFFF"/>
        </w:rPr>
      </w:pPr>
      <w:r>
        <w:rPr>
          <w:rFonts w:hint="eastAsia" w:ascii="宋体" w:hAnsi="宋体" w:cs="宋体"/>
          <w:b/>
          <w:color w:val="auto"/>
          <w:spacing w:val="7"/>
          <w:kern w:val="0"/>
          <w:sz w:val="24"/>
          <w:szCs w:val="24"/>
          <w:shd w:val="clear" w:color="auto" w:fill="FFFFFF"/>
        </w:rPr>
        <w:t>二、具体需求</w:t>
      </w:r>
    </w:p>
    <w:p w14:paraId="42EEB773">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（一）体检项目和要求</w:t>
      </w:r>
    </w:p>
    <w:p w14:paraId="5B008C92">
      <w:pPr>
        <w:widowControl/>
        <w:shd w:val="clear"/>
        <w:spacing w:line="480" w:lineRule="exact"/>
        <w:ind w:firstLine="480" w:firstLineChars="200"/>
        <w:rPr>
          <w:rFonts w:hint="default" w:ascii="宋体" w:hAnsi="宋体" w:eastAsia="宋体" w:cs="宋体"/>
          <w:bCs/>
          <w:color w:val="auto"/>
          <w:sz w:val="24"/>
          <w:szCs w:val="24"/>
          <w:lang w:val="en-US" w:eastAsia="zh-CN"/>
        </w:rPr>
      </w:pPr>
      <w:r>
        <w:rPr>
          <w:rFonts w:hint="eastAsia" w:ascii="宋体" w:hAnsi="宋体" w:cs="宋体"/>
          <w:bCs/>
          <w:color w:val="auto"/>
          <w:sz w:val="24"/>
          <w:szCs w:val="24"/>
        </w:rPr>
        <w:t>按照《学校卫生工作条例》《国家学校体育卫生条件试行基本标准》《预防性健康检查管理办法》《中小学生健康体检管理办法》《江苏省教育厅、卫健委、财政厅、物价局关于进一步做好中小学生健康体检工作的通知》要求严格执行，常规体检必检项目不能漏检漏查。</w:t>
      </w:r>
      <w:r>
        <w:rPr>
          <w:rFonts w:hint="eastAsia" w:ascii="宋体" w:hAnsi="宋体" w:cs="宋体"/>
          <w:bCs/>
          <w:color w:val="auto"/>
          <w:sz w:val="24"/>
          <w:szCs w:val="24"/>
          <w:lang w:val="en-US" w:eastAsia="zh-CN"/>
        </w:rPr>
        <w:t>供应商至少提供：2套符合国家标准的身高计与电子体重秤，5位皮试人员，6台符合国家标准的电子血压仪，至少4位内科医生和至少2位外科医生（男、女各1）。</w:t>
      </w:r>
    </w:p>
    <w:p w14:paraId="3F1D960E">
      <w:pPr>
        <w:widowControl/>
        <w:numPr>
          <w:ilvl w:val="0"/>
          <w:numId w:val="4"/>
        </w:numPr>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服务内容</w:t>
      </w:r>
    </w:p>
    <w:p w14:paraId="5C5B1DF9">
      <w:pPr>
        <w:widowControl/>
        <w:shd w:val="clear"/>
        <w:spacing w:line="480" w:lineRule="exact"/>
        <w:ind w:firstLine="482" w:firstLineChars="200"/>
        <w:rPr>
          <w:rFonts w:ascii="宋体" w:hAnsi="宋体" w:cs="宋体"/>
          <w:b/>
          <w:color w:val="auto"/>
          <w:sz w:val="24"/>
          <w:szCs w:val="24"/>
        </w:rPr>
      </w:pPr>
      <w:r>
        <w:rPr>
          <w:rFonts w:hint="eastAsia" w:ascii="宋体" w:hAnsi="宋体" w:cs="宋体"/>
          <w:b/>
          <w:color w:val="auto"/>
          <w:sz w:val="24"/>
          <w:szCs w:val="24"/>
        </w:rPr>
        <w:t>1.秋季体检</w:t>
      </w:r>
    </w:p>
    <w:p w14:paraId="44FFF060">
      <w:pPr>
        <w:widowControl/>
        <w:shd w:val="clear"/>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（1）</w:t>
      </w:r>
      <w:r>
        <w:rPr>
          <w:rFonts w:hint="eastAsia" w:ascii="宋体" w:hAnsi="宋体" w:cs="宋体"/>
          <w:bCs/>
          <w:color w:val="auto"/>
          <w:sz w:val="24"/>
          <w:szCs w:val="24"/>
          <w:lang w:val="zh-CN"/>
        </w:rPr>
        <w:t>问诊：近期有何不适症状 ，肺结核密切接触史和肺结核可疑症状是必须问诊项目。</w:t>
      </w:r>
    </w:p>
    <w:p w14:paraId="2C790C13">
      <w:pPr>
        <w:widowControl/>
        <w:shd w:val="clear"/>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（2）</w:t>
      </w:r>
      <w:r>
        <w:rPr>
          <w:rFonts w:hint="eastAsia" w:ascii="宋体" w:hAnsi="宋体" w:cs="宋体"/>
          <w:bCs/>
          <w:color w:val="auto"/>
          <w:sz w:val="24"/>
          <w:szCs w:val="24"/>
          <w:lang w:val="zh-CN"/>
        </w:rPr>
        <w:t>内科检查：心率、心脏杂音、心律、肺部啰音、肝、脾。</w:t>
      </w:r>
    </w:p>
    <w:p w14:paraId="63F3F19C">
      <w:pPr>
        <w:widowControl/>
        <w:shd w:val="clear"/>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（3）</w:t>
      </w:r>
      <w:r>
        <w:rPr>
          <w:rFonts w:hint="eastAsia" w:ascii="宋体" w:hAnsi="宋体" w:cs="宋体"/>
          <w:bCs/>
          <w:color w:val="auto"/>
          <w:sz w:val="24"/>
          <w:szCs w:val="24"/>
          <w:lang w:val="zh-CN"/>
        </w:rPr>
        <w:t>眼科检查：视力（裸眼视力、戴镜视力（如戴眼镜需检查））、屈光度、结膜、角膜、晶体、瞳孔、眼位、眼球运动、异常视觉行为、戴镜情况、近视、远视、弱视、斜视、散光、沙眼、结膜炎。</w:t>
      </w:r>
    </w:p>
    <w:p w14:paraId="005B9A1D">
      <w:pPr>
        <w:widowControl/>
        <w:shd w:val="clear"/>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（4）</w:t>
      </w:r>
      <w:r>
        <w:rPr>
          <w:rFonts w:hint="eastAsia" w:ascii="宋体" w:hAnsi="宋体" w:cs="宋体"/>
          <w:bCs/>
          <w:color w:val="auto"/>
          <w:sz w:val="24"/>
          <w:szCs w:val="24"/>
          <w:lang w:val="zh-CN"/>
        </w:rPr>
        <w:t>口腔科检查：牙齿、牙周、有无龋齿、龋患（失、补）牙数。</w:t>
      </w:r>
    </w:p>
    <w:p w14:paraId="24BB4719">
      <w:pPr>
        <w:widowControl/>
        <w:shd w:val="clear"/>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（5）</w:t>
      </w:r>
      <w:r>
        <w:rPr>
          <w:rFonts w:hint="eastAsia" w:ascii="宋体" w:hAnsi="宋体" w:cs="宋体"/>
          <w:bCs/>
          <w:color w:val="auto"/>
          <w:sz w:val="24"/>
          <w:szCs w:val="24"/>
          <w:lang w:val="zh-CN"/>
        </w:rPr>
        <w:t>外科检查：头部、颈部、胸部、脊柱、四肢、皮肤、淋巴结。</w:t>
      </w:r>
    </w:p>
    <w:p w14:paraId="19AE1EDA">
      <w:pPr>
        <w:widowControl/>
        <w:shd w:val="clear"/>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（6）</w:t>
      </w:r>
      <w:r>
        <w:rPr>
          <w:rFonts w:hint="eastAsia" w:ascii="宋体" w:hAnsi="宋体" w:cs="宋体"/>
          <w:bCs/>
          <w:color w:val="auto"/>
          <w:sz w:val="24"/>
          <w:szCs w:val="24"/>
          <w:lang w:val="zh-CN"/>
        </w:rPr>
        <w:t>形体指标检查：身高、体重。</w:t>
      </w:r>
    </w:p>
    <w:p w14:paraId="0FF3FE0C">
      <w:pPr>
        <w:widowControl/>
        <w:shd w:val="clear"/>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（7）</w:t>
      </w:r>
      <w:r>
        <w:rPr>
          <w:rFonts w:hint="eastAsia" w:ascii="宋体" w:hAnsi="宋体" w:cs="宋体"/>
          <w:bCs/>
          <w:color w:val="auto"/>
          <w:sz w:val="24"/>
          <w:szCs w:val="24"/>
          <w:lang w:val="zh-CN"/>
        </w:rPr>
        <w:t>生理功能指标检查：血压、心率。</w:t>
      </w:r>
    </w:p>
    <w:p w14:paraId="35CD484F">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（8）包括但不限于以上内容</w:t>
      </w:r>
      <w:r>
        <w:rPr>
          <w:rFonts w:hint="eastAsia" w:ascii="宋体" w:hAnsi="宋体" w:cs="宋体"/>
          <w:bCs/>
          <w:color w:val="auto"/>
          <w:sz w:val="24"/>
          <w:szCs w:val="24"/>
          <w:lang w:val="zh-CN"/>
        </w:rPr>
        <w:t>，</w:t>
      </w:r>
      <w:r>
        <w:rPr>
          <w:rFonts w:hint="eastAsia" w:ascii="宋体" w:hAnsi="宋体" w:cs="宋体"/>
          <w:bCs/>
          <w:color w:val="auto"/>
          <w:sz w:val="24"/>
          <w:szCs w:val="24"/>
        </w:rPr>
        <w:t>按照当年体检要求执行。</w:t>
      </w:r>
    </w:p>
    <w:p w14:paraId="60F5B78D">
      <w:pPr>
        <w:widowControl/>
        <w:shd w:val="clear"/>
        <w:spacing w:line="480" w:lineRule="exact"/>
        <w:ind w:firstLine="482" w:firstLineChars="200"/>
        <w:rPr>
          <w:rFonts w:ascii="宋体" w:hAnsi="宋体" w:cs="宋体"/>
          <w:bCs/>
          <w:color w:val="auto"/>
          <w:sz w:val="24"/>
          <w:szCs w:val="24"/>
        </w:rPr>
      </w:pPr>
      <w:r>
        <w:rPr>
          <w:rFonts w:hint="eastAsia" w:ascii="宋体" w:hAnsi="宋体" w:cs="宋体"/>
          <w:b/>
          <w:color w:val="auto"/>
          <w:sz w:val="24"/>
          <w:szCs w:val="24"/>
        </w:rPr>
        <w:t>2.</w:t>
      </w:r>
      <w:r>
        <w:rPr>
          <w:rFonts w:hint="eastAsia" w:ascii="宋体" w:hAnsi="宋体" w:cs="宋体"/>
          <w:b/>
          <w:color w:val="auto"/>
          <w:sz w:val="24"/>
          <w:szCs w:val="24"/>
          <w:lang w:val="zh-CN"/>
        </w:rPr>
        <w:t>春季</w:t>
      </w:r>
      <w:r>
        <w:rPr>
          <w:rFonts w:hint="eastAsia" w:ascii="宋体" w:hAnsi="宋体" w:cs="宋体"/>
          <w:b/>
          <w:color w:val="auto"/>
          <w:sz w:val="24"/>
          <w:szCs w:val="24"/>
        </w:rPr>
        <w:t>体检：</w:t>
      </w:r>
      <w:r>
        <w:rPr>
          <w:rFonts w:hint="eastAsia" w:ascii="宋体" w:hAnsi="宋体" w:cs="宋体"/>
          <w:bCs/>
          <w:color w:val="auto"/>
          <w:sz w:val="24"/>
          <w:szCs w:val="24"/>
        </w:rPr>
        <w:t>主要内容为</w:t>
      </w:r>
      <w:r>
        <w:rPr>
          <w:rFonts w:hint="eastAsia" w:ascii="宋体" w:hAnsi="宋体" w:cs="宋体"/>
          <w:bCs/>
          <w:color w:val="auto"/>
          <w:sz w:val="24"/>
          <w:szCs w:val="24"/>
          <w:lang w:val="zh-CN"/>
        </w:rPr>
        <w:t>眼科检查，视力「裸眼视力、戴镜视力（如戴眼镜需检查）」、屈光度、结膜、角膜、晶体、瞳孔、眼位、眼球运动、异常视觉行为、戴镜情况、近视、远视、弱视、斜视、散光、沙眼、结膜炎</w:t>
      </w:r>
      <w:r>
        <w:rPr>
          <w:rFonts w:hint="eastAsia" w:ascii="宋体" w:hAnsi="宋体" w:cs="宋体"/>
          <w:bCs/>
          <w:color w:val="auto"/>
          <w:sz w:val="24"/>
          <w:szCs w:val="24"/>
        </w:rPr>
        <w:t>等。</w:t>
      </w:r>
    </w:p>
    <w:p w14:paraId="7DF1153F">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秋季常规项目体检和春季学生视力检查的基本要求：</w:t>
      </w:r>
    </w:p>
    <w:p w14:paraId="016A57E6">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①严格按教育局文件要求的体检项目体检；</w:t>
      </w:r>
    </w:p>
    <w:p w14:paraId="592CA759">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②体检设备由体检医院提供；</w:t>
      </w:r>
    </w:p>
    <w:p w14:paraId="3E34EC71">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③根据学校人数，合理安排体检工作人员，保证人员充足，</w:t>
      </w:r>
      <w:r>
        <w:rPr>
          <w:rFonts w:hint="eastAsia" w:ascii="宋体" w:hAnsi="宋体" w:cs="宋体"/>
          <w:color w:val="auto"/>
          <w:sz w:val="24"/>
          <w:szCs w:val="24"/>
        </w:rPr>
        <w:t>在2天内顺利完成全校学生常规体检（约</w:t>
      </w:r>
      <w:r>
        <w:rPr>
          <w:rFonts w:hint="eastAsia" w:ascii="宋体" w:hAnsi="宋体" w:cs="宋体"/>
          <w:color w:val="auto"/>
          <w:sz w:val="24"/>
          <w:szCs w:val="24"/>
          <w:lang w:val="en-US" w:eastAsia="zh-CN"/>
        </w:rPr>
        <w:t>2500</w:t>
      </w:r>
      <w:r>
        <w:rPr>
          <w:rFonts w:hint="eastAsia" w:ascii="宋体" w:hAnsi="宋体" w:cs="宋体"/>
          <w:color w:val="auto"/>
          <w:sz w:val="24"/>
          <w:szCs w:val="24"/>
        </w:rPr>
        <w:t>人）及新生结核病筛查皮试（目前EC皮试药剂由疾控中心提供）；</w:t>
      </w:r>
      <w:r>
        <w:rPr>
          <w:rFonts w:hint="eastAsia" w:ascii="宋体" w:hAnsi="宋体" w:cs="宋体"/>
          <w:bCs/>
          <w:color w:val="auto"/>
          <w:sz w:val="24"/>
          <w:szCs w:val="24"/>
        </w:rPr>
        <w:t>双方共同遵守商定的体检须知；医院派专人维持体检现场秩序，以保证体检时的秩序和效率；</w:t>
      </w:r>
    </w:p>
    <w:p w14:paraId="073CED81">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④由专业人员对体检结果进行科学评估，给予健康建议；负责对学校学生体检时间和体检结果做好保密工作。体检期间如有特殊病情发现，医院应及时通知学校体检负责人。</w:t>
      </w:r>
    </w:p>
    <w:p w14:paraId="29905C06">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⑤体检结束后，医院主检医师应对学校每位接受体检学生的健康情况写出体检报告以及医疗保健建议，并将体检资料录入江苏省学生健康监测系统”（进入后点击“教育体检导入入口”）下载体检数据录入模板，并将体检数据录入模板和系统登录账号、登录密码提供给体检机构完成数据上传工作。</w:t>
      </w:r>
    </w:p>
    <w:p w14:paraId="3845D18C">
      <w:pPr>
        <w:widowControl/>
        <w:shd w:val="clear"/>
        <w:spacing w:line="480" w:lineRule="exact"/>
        <w:ind w:firstLine="510" w:firstLineChars="200"/>
        <w:outlineLvl w:val="1"/>
        <w:rPr>
          <w:rFonts w:ascii="宋体" w:hAnsi="宋体" w:cs="宋体"/>
          <w:b/>
          <w:color w:val="auto"/>
          <w:spacing w:val="7"/>
          <w:kern w:val="0"/>
          <w:sz w:val="24"/>
          <w:szCs w:val="24"/>
          <w:shd w:val="clear" w:color="auto" w:fill="FFFFFF"/>
        </w:rPr>
      </w:pPr>
      <w:r>
        <w:rPr>
          <w:rFonts w:hint="eastAsia" w:ascii="宋体" w:hAnsi="宋体" w:cs="宋体"/>
          <w:b/>
          <w:color w:val="auto"/>
          <w:spacing w:val="7"/>
          <w:kern w:val="0"/>
          <w:sz w:val="24"/>
          <w:szCs w:val="24"/>
          <w:shd w:val="clear" w:color="auto" w:fill="FFFFFF"/>
        </w:rPr>
        <w:t>三、其他要求</w:t>
      </w:r>
    </w:p>
    <w:p w14:paraId="7D8C0DE9">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1.体检医生（护士）团队人员具有专业资格，体检设备符合国家标准。</w:t>
      </w:r>
    </w:p>
    <w:p w14:paraId="61A978DD">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2.使用标准身高计，国标电子体重秤。</w:t>
      </w:r>
    </w:p>
    <w:p w14:paraId="32A1605A">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3.足够数量的标准电子血压计。</w:t>
      </w:r>
    </w:p>
    <w:p w14:paraId="54AD0857">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4.口腔科，耳鼻喉科使用灭菌一次性设备。</w:t>
      </w:r>
    </w:p>
    <w:p w14:paraId="2AB70280">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5.视力检测团队人员专业、设备数量充足。</w:t>
      </w:r>
    </w:p>
    <w:p w14:paraId="528EDBA9">
      <w:pPr>
        <w:widowControl/>
        <w:shd w:val="clear"/>
        <w:spacing w:line="48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6.结核筛查皮试人员专业，试剂满足冷链要求。</w:t>
      </w:r>
    </w:p>
    <w:p w14:paraId="205BA435">
      <w:pPr>
        <w:widowControl/>
        <w:shd w:val="clear"/>
        <w:spacing w:line="480" w:lineRule="exact"/>
        <w:ind w:firstLine="510" w:firstLineChars="200"/>
        <w:outlineLvl w:val="1"/>
        <w:rPr>
          <w:rFonts w:hint="eastAsia" w:ascii="宋体" w:hAnsi="宋体" w:cs="宋体"/>
          <w:b/>
          <w:color w:val="auto"/>
          <w:spacing w:val="7"/>
          <w:kern w:val="0"/>
          <w:sz w:val="24"/>
          <w:szCs w:val="24"/>
          <w:shd w:val="clear" w:color="auto" w:fill="FFFFFF"/>
          <w:lang w:val="en-US" w:eastAsia="zh-CN"/>
        </w:rPr>
      </w:pPr>
      <w:r>
        <w:rPr>
          <w:rFonts w:hint="eastAsia" w:ascii="宋体" w:hAnsi="宋体" w:cs="宋体"/>
          <w:b/>
          <w:color w:val="auto"/>
          <w:spacing w:val="7"/>
          <w:kern w:val="0"/>
          <w:sz w:val="24"/>
          <w:szCs w:val="24"/>
          <w:shd w:val="clear" w:color="auto" w:fill="FFFFFF"/>
          <w:lang w:val="en-US" w:eastAsia="zh-CN"/>
        </w:rPr>
        <w:t>四、付款方式</w:t>
      </w:r>
    </w:p>
    <w:p w14:paraId="6A8ABC50">
      <w:pPr>
        <w:pStyle w:val="21"/>
        <w:numPr>
          <w:ilvl w:val="255"/>
          <w:numId w:val="0"/>
        </w:numPr>
        <w:shd w:val="clear"/>
        <w:spacing w:line="480" w:lineRule="exact"/>
        <w:ind w:firstLine="480" w:firstLineChars="200"/>
        <w:rPr>
          <w:rFonts w:ascii="宋体" w:hAnsi="宋体" w:cs="宋体"/>
          <w:color w:val="auto"/>
        </w:rPr>
      </w:pPr>
      <w:r>
        <w:rPr>
          <w:rFonts w:hint="eastAsia" w:ascii="宋体" w:hAnsi="宋体" w:cs="宋体"/>
          <w:color w:val="auto"/>
        </w:rPr>
        <w:t>体检结束后，医院向学校提交书面体检报告，由学校进行验收。验收合格后，学校将实际体检的人数及体检项目进行统计（以医院提供的体检报告为统计依据），经双方认可后，按参加体检的成交单价进行结算。</w:t>
      </w:r>
    </w:p>
    <w:p w14:paraId="676728BE">
      <w:pPr>
        <w:pStyle w:val="21"/>
        <w:numPr>
          <w:ilvl w:val="255"/>
          <w:numId w:val="0"/>
        </w:numPr>
        <w:shd w:val="clear"/>
        <w:spacing w:line="480" w:lineRule="exact"/>
        <w:ind w:firstLine="480" w:firstLineChars="200"/>
        <w:rPr>
          <w:rFonts w:ascii="宋体" w:hAnsi="宋体" w:cs="宋体"/>
          <w:color w:val="auto"/>
        </w:rPr>
      </w:pPr>
      <w:r>
        <w:rPr>
          <w:rFonts w:hint="eastAsia" w:ascii="宋体" w:hAnsi="宋体" w:cs="宋体"/>
          <w:color w:val="auto"/>
        </w:rPr>
        <w:t>体检完成10个工作日内，医院向学校提交书面体检报告，并按照学生体检数据标准格式录入数据库并上传至教育体检指定系统后，经学校验收合格后一次性付清。</w:t>
      </w:r>
    </w:p>
    <w:p w14:paraId="00D99BB4">
      <w:pPr>
        <w:widowControl/>
        <w:shd w:val="clear"/>
        <w:spacing w:line="480" w:lineRule="exact"/>
        <w:ind w:firstLine="480" w:firstLineChars="200"/>
        <w:rPr>
          <w:rFonts w:hint="default" w:ascii="宋体" w:hAnsi="宋体" w:cs="宋体"/>
          <w:bCs/>
          <w:color w:val="auto"/>
          <w:sz w:val="24"/>
          <w:szCs w:val="24"/>
          <w:lang w:val="en-US" w:eastAsia="zh-CN"/>
        </w:rPr>
      </w:pPr>
    </w:p>
    <w:p w14:paraId="5D6F2CC4">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ascii="宋体" w:hAnsi="宋体" w:cs="宋体"/>
          <w:b/>
          <w:color w:val="auto"/>
          <w:sz w:val="24"/>
          <w:szCs w:val="24"/>
        </w:rPr>
      </w:pPr>
      <w:r>
        <w:rPr>
          <w:rFonts w:hint="eastAsia" w:ascii="宋体" w:hAnsi="宋体" w:cs="宋体"/>
          <w:b/>
          <w:color w:val="auto"/>
          <w:sz w:val="24"/>
          <w:szCs w:val="24"/>
        </w:rPr>
        <w:br w:type="page"/>
      </w:r>
    </w:p>
    <w:p w14:paraId="0D153618">
      <w:pPr>
        <w:pStyle w:val="17"/>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default" w:ascii="宋体" w:hAnsi="宋体" w:eastAsia="宋体" w:cs="宋体"/>
          <w:b/>
          <w:color w:val="auto"/>
          <w:spacing w:val="6"/>
          <w:kern w:val="2"/>
          <w:sz w:val="36"/>
          <w:szCs w:val="36"/>
          <w:lang w:val="en-US" w:eastAsia="zh-CN" w:bidi="ar-SA"/>
        </w:rPr>
      </w:pPr>
      <w:r>
        <w:rPr>
          <w:rFonts w:hint="eastAsia" w:ascii="宋体" w:hAnsi="宋体" w:eastAsia="宋体" w:cs="宋体"/>
          <w:b/>
          <w:color w:val="auto"/>
          <w:spacing w:val="6"/>
          <w:kern w:val="2"/>
          <w:sz w:val="36"/>
          <w:szCs w:val="36"/>
          <w:lang w:val="en-US" w:eastAsia="zh-CN" w:bidi="ar-SA"/>
        </w:rPr>
        <w:t>第四章  开启和评</w:t>
      </w:r>
      <w:bookmarkEnd w:id="32"/>
      <w:r>
        <w:rPr>
          <w:rFonts w:hint="eastAsia" w:ascii="宋体" w:hAnsi="宋体" w:eastAsia="宋体" w:cs="宋体"/>
          <w:b/>
          <w:color w:val="auto"/>
          <w:spacing w:val="6"/>
          <w:kern w:val="2"/>
          <w:sz w:val="36"/>
          <w:szCs w:val="36"/>
          <w:lang w:val="en-US" w:eastAsia="zh-CN" w:bidi="ar-SA"/>
        </w:rPr>
        <w:t xml:space="preserve">审  </w:t>
      </w:r>
    </w:p>
    <w:p w14:paraId="01C8F6DD">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一、采购人组织采购</w:t>
      </w:r>
    </w:p>
    <w:p w14:paraId="15B31BFC">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1.由采购人代表和有关专家依法组成</w:t>
      </w:r>
      <w:r>
        <w:rPr>
          <w:rFonts w:hint="eastAsia" w:ascii="宋体" w:hAnsi="宋体" w:cs="宋体"/>
          <w:color w:val="auto"/>
          <w:sz w:val="24"/>
          <w:szCs w:val="24"/>
          <w:lang w:val="en-US" w:eastAsia="zh-CN"/>
        </w:rPr>
        <w:t>比选评审</w:t>
      </w:r>
      <w:r>
        <w:rPr>
          <w:rFonts w:hint="eastAsia" w:ascii="宋体" w:hAnsi="宋体" w:cs="宋体"/>
          <w:color w:val="auto"/>
          <w:sz w:val="24"/>
          <w:szCs w:val="24"/>
        </w:rPr>
        <w:t>小组。</w:t>
      </w:r>
    </w:p>
    <w:p w14:paraId="13453FA9">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2.供应商的法定代表人或被授权人须持身份证准时参加</w:t>
      </w:r>
      <w:r>
        <w:rPr>
          <w:rFonts w:hint="eastAsia" w:ascii="宋体" w:hAnsi="宋体" w:cs="宋体"/>
          <w:color w:val="auto"/>
          <w:sz w:val="24"/>
          <w:szCs w:val="24"/>
          <w:lang w:val="en-US" w:eastAsia="zh-CN"/>
        </w:rPr>
        <w:t>比选活动</w:t>
      </w:r>
      <w:r>
        <w:rPr>
          <w:rFonts w:hint="eastAsia" w:ascii="宋体" w:hAnsi="宋体" w:cs="宋体"/>
          <w:color w:val="auto"/>
          <w:sz w:val="24"/>
          <w:szCs w:val="24"/>
        </w:rPr>
        <w:t>。</w:t>
      </w:r>
    </w:p>
    <w:p w14:paraId="62A7E7D8">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二、评</w:t>
      </w:r>
      <w:r>
        <w:rPr>
          <w:rFonts w:hint="eastAsia" w:ascii="宋体" w:hAnsi="宋体" w:cs="宋体"/>
          <w:b/>
          <w:bCs/>
          <w:color w:val="auto"/>
          <w:sz w:val="24"/>
          <w:szCs w:val="24"/>
          <w:lang w:val="en-US" w:eastAsia="zh-CN"/>
        </w:rPr>
        <w:t>审</w:t>
      </w:r>
      <w:r>
        <w:rPr>
          <w:rFonts w:hint="eastAsia" w:ascii="宋体" w:hAnsi="宋体" w:cs="宋体"/>
          <w:b/>
          <w:bCs/>
          <w:color w:val="auto"/>
          <w:sz w:val="24"/>
          <w:szCs w:val="24"/>
        </w:rPr>
        <w:t>小组</w:t>
      </w:r>
    </w:p>
    <w:p w14:paraId="5E76452C">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1.评</w:t>
      </w:r>
      <w:r>
        <w:rPr>
          <w:rFonts w:hint="eastAsia" w:ascii="宋体" w:hAnsi="宋体" w:cs="宋体"/>
          <w:color w:val="auto"/>
          <w:sz w:val="24"/>
          <w:szCs w:val="24"/>
          <w:lang w:val="en-US" w:eastAsia="zh-CN"/>
        </w:rPr>
        <w:t>审</w:t>
      </w:r>
      <w:r>
        <w:rPr>
          <w:rFonts w:hint="eastAsia" w:ascii="宋体" w:hAnsi="宋体" w:cs="宋体"/>
          <w:color w:val="auto"/>
          <w:sz w:val="24"/>
          <w:szCs w:val="24"/>
        </w:rPr>
        <w:t>小组负责具体的评</w:t>
      </w:r>
      <w:r>
        <w:rPr>
          <w:rFonts w:hint="eastAsia" w:ascii="宋体" w:hAnsi="宋体" w:cs="宋体"/>
          <w:color w:val="auto"/>
          <w:sz w:val="24"/>
          <w:szCs w:val="24"/>
          <w:lang w:val="en-US" w:eastAsia="zh-CN"/>
        </w:rPr>
        <w:t>审</w:t>
      </w:r>
      <w:r>
        <w:rPr>
          <w:rFonts w:hint="eastAsia" w:ascii="宋体" w:hAnsi="宋体" w:cs="宋体"/>
          <w:color w:val="auto"/>
          <w:sz w:val="24"/>
          <w:szCs w:val="24"/>
        </w:rPr>
        <w:t>事务，并独立履行以下职责：</w:t>
      </w:r>
    </w:p>
    <w:p w14:paraId="7A48A4EA">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（1）审查响应文件是否符合比选文件的要求，并作出评价；</w:t>
      </w:r>
    </w:p>
    <w:p w14:paraId="4FEB8F7B">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（2）可以要求供应商对响应文件有关事项作出解释或澄清；</w:t>
      </w:r>
    </w:p>
    <w:p w14:paraId="1AEC3FDF">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（3）按比选文件载明的方式评审确定成交人。</w:t>
      </w:r>
    </w:p>
    <w:p w14:paraId="745B0DD9">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2.评</w:t>
      </w:r>
      <w:r>
        <w:rPr>
          <w:rFonts w:hint="eastAsia" w:ascii="宋体" w:hAnsi="宋体" w:cs="宋体"/>
          <w:color w:val="auto"/>
          <w:sz w:val="24"/>
          <w:szCs w:val="24"/>
          <w:lang w:val="en-US" w:eastAsia="zh-CN"/>
        </w:rPr>
        <w:t>审</w:t>
      </w:r>
      <w:r>
        <w:rPr>
          <w:rFonts w:hint="eastAsia" w:ascii="宋体" w:hAnsi="宋体" w:cs="宋体"/>
          <w:color w:val="auto"/>
          <w:sz w:val="24"/>
          <w:szCs w:val="24"/>
        </w:rPr>
        <w:t>小组成员应当履行下列义务：</w:t>
      </w:r>
    </w:p>
    <w:p w14:paraId="642F34BE">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（1）遵纪守法，客观、公正、廉洁地履行职责；</w:t>
      </w:r>
    </w:p>
    <w:p w14:paraId="0207410F">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（2）按照比选文件规定的评</w:t>
      </w:r>
      <w:r>
        <w:rPr>
          <w:rFonts w:hint="eastAsia" w:ascii="宋体" w:hAnsi="宋体" w:cs="宋体"/>
          <w:color w:val="auto"/>
          <w:sz w:val="24"/>
          <w:szCs w:val="24"/>
          <w:lang w:val="en-US" w:eastAsia="zh-CN"/>
        </w:rPr>
        <w:t>审</w:t>
      </w:r>
      <w:r>
        <w:rPr>
          <w:rFonts w:hint="eastAsia" w:ascii="宋体" w:hAnsi="宋体" w:cs="宋体"/>
          <w:color w:val="auto"/>
          <w:sz w:val="24"/>
          <w:szCs w:val="24"/>
        </w:rPr>
        <w:t>办法和评</w:t>
      </w:r>
      <w:r>
        <w:rPr>
          <w:rFonts w:hint="eastAsia" w:ascii="宋体" w:hAnsi="宋体" w:cs="宋体"/>
          <w:color w:val="auto"/>
          <w:sz w:val="24"/>
          <w:szCs w:val="24"/>
          <w:lang w:val="en-US" w:eastAsia="zh-CN"/>
        </w:rPr>
        <w:t>审</w:t>
      </w:r>
      <w:r>
        <w:rPr>
          <w:rFonts w:hint="eastAsia" w:ascii="宋体" w:hAnsi="宋体" w:cs="宋体"/>
          <w:color w:val="auto"/>
          <w:sz w:val="24"/>
          <w:szCs w:val="24"/>
        </w:rPr>
        <w:t>标准进行</w:t>
      </w:r>
      <w:r>
        <w:rPr>
          <w:rFonts w:hint="eastAsia" w:ascii="宋体" w:hAnsi="宋体" w:cs="宋体"/>
          <w:color w:val="auto"/>
          <w:sz w:val="24"/>
          <w:szCs w:val="24"/>
          <w:lang w:val="en-US" w:eastAsia="zh-CN"/>
        </w:rPr>
        <w:t>评审</w:t>
      </w:r>
      <w:r>
        <w:rPr>
          <w:rFonts w:hint="eastAsia" w:ascii="宋体" w:hAnsi="宋体" w:cs="宋体"/>
          <w:color w:val="auto"/>
          <w:sz w:val="24"/>
          <w:szCs w:val="24"/>
        </w:rPr>
        <w:t>，对评审意见承担个人责任；</w:t>
      </w:r>
    </w:p>
    <w:p w14:paraId="6B577C5E">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（3）对评</w:t>
      </w:r>
      <w:r>
        <w:rPr>
          <w:rFonts w:hint="eastAsia" w:ascii="宋体" w:hAnsi="宋体" w:cs="宋体"/>
          <w:color w:val="auto"/>
          <w:sz w:val="24"/>
          <w:szCs w:val="24"/>
          <w:lang w:val="en-US" w:eastAsia="zh-CN"/>
        </w:rPr>
        <w:t>审</w:t>
      </w:r>
      <w:r>
        <w:rPr>
          <w:rFonts w:hint="eastAsia" w:ascii="宋体" w:hAnsi="宋体" w:cs="宋体"/>
          <w:color w:val="auto"/>
          <w:sz w:val="24"/>
          <w:szCs w:val="24"/>
        </w:rPr>
        <w:t>过程和结果，以及供应商的商业秘密保密；</w:t>
      </w:r>
    </w:p>
    <w:p w14:paraId="164B0A87">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（4）配合相关部门的投诉处理工作；</w:t>
      </w:r>
    </w:p>
    <w:p w14:paraId="57DFA87F">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（5）配合采购人答复供应商提出的质疑。</w:t>
      </w:r>
    </w:p>
    <w:p w14:paraId="3A4FE69B">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3.项目开标后直到项目成交结果公告，发出成交通知书并授予成交人合同为止，凡属于评审、澄清、评价和比较响应的所有资料及有关授予合同等的相关信息，评</w:t>
      </w:r>
      <w:r>
        <w:rPr>
          <w:rFonts w:hint="eastAsia" w:ascii="宋体" w:hAnsi="宋体" w:cs="宋体"/>
          <w:color w:val="auto"/>
          <w:sz w:val="24"/>
          <w:szCs w:val="24"/>
          <w:lang w:val="en-US" w:eastAsia="zh-CN"/>
        </w:rPr>
        <w:t>审</w:t>
      </w:r>
      <w:r>
        <w:rPr>
          <w:rFonts w:hint="eastAsia" w:ascii="宋体" w:hAnsi="宋体" w:cs="宋体"/>
          <w:color w:val="auto"/>
          <w:sz w:val="24"/>
          <w:szCs w:val="24"/>
        </w:rPr>
        <w:t>小组成员都不应向供应商或与评</w:t>
      </w:r>
      <w:r>
        <w:rPr>
          <w:rFonts w:hint="eastAsia" w:ascii="宋体" w:hAnsi="宋体" w:cs="宋体"/>
          <w:color w:val="auto"/>
          <w:sz w:val="24"/>
          <w:szCs w:val="24"/>
          <w:lang w:val="en-US" w:eastAsia="zh-CN"/>
        </w:rPr>
        <w:t>审</w:t>
      </w:r>
      <w:r>
        <w:rPr>
          <w:rFonts w:hint="eastAsia" w:ascii="宋体" w:hAnsi="宋体" w:cs="宋体"/>
          <w:color w:val="auto"/>
          <w:sz w:val="24"/>
          <w:szCs w:val="24"/>
        </w:rPr>
        <w:t>无关的其他人泄露。</w:t>
      </w:r>
    </w:p>
    <w:p w14:paraId="264E9350">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4.在响应文件的评审、澄清、评价和比较以及授予合同的过程中，供应商对采购人和</w:t>
      </w:r>
      <w:r>
        <w:rPr>
          <w:rFonts w:hint="eastAsia" w:ascii="宋体" w:hAnsi="宋体" w:cs="宋体"/>
          <w:color w:val="auto"/>
          <w:sz w:val="24"/>
          <w:szCs w:val="24"/>
          <w:lang w:val="en-US" w:eastAsia="zh-CN"/>
        </w:rPr>
        <w:t>评审小组</w:t>
      </w:r>
      <w:r>
        <w:rPr>
          <w:rFonts w:hint="eastAsia" w:ascii="宋体" w:hAnsi="宋体" w:cs="宋体"/>
          <w:color w:val="auto"/>
          <w:sz w:val="24"/>
          <w:szCs w:val="24"/>
        </w:rPr>
        <w:t>成员有施加影响的任何行为，都将取消其成交资格。</w:t>
      </w:r>
    </w:p>
    <w:p w14:paraId="2F763716">
      <w:pPr>
        <w:keepNext w:val="0"/>
        <w:keepLines w:val="0"/>
        <w:pageBreakBefore w:val="0"/>
        <w:shd w:val="clear"/>
        <w:overflowPunct/>
        <w:bidi w:val="0"/>
        <w:snapToGrid w:val="0"/>
        <w:spacing w:line="360" w:lineRule="auto"/>
        <w:ind w:left="0" w:leftChars="0" w:firstLine="482" w:firstLineChars="200"/>
        <w:jc w:val="both"/>
        <w:rPr>
          <w:rFonts w:hint="eastAsia" w:ascii="宋体" w:hAnsi="宋体" w:cs="宋体"/>
          <w:b/>
          <w:bCs/>
          <w:color w:val="auto"/>
          <w:sz w:val="24"/>
          <w:szCs w:val="24"/>
        </w:rPr>
      </w:pPr>
      <w:r>
        <w:rPr>
          <w:rFonts w:hint="eastAsia" w:ascii="宋体" w:hAnsi="宋体" w:cs="宋体"/>
          <w:b/>
          <w:bCs/>
          <w:color w:val="auto"/>
          <w:sz w:val="24"/>
          <w:szCs w:val="24"/>
        </w:rPr>
        <w:t>三、评审原则</w:t>
      </w:r>
    </w:p>
    <w:p w14:paraId="42035A4A">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b/>
          <w:bCs/>
          <w:color w:val="auto"/>
          <w:sz w:val="24"/>
          <w:szCs w:val="24"/>
        </w:rPr>
      </w:pPr>
      <w:r>
        <w:rPr>
          <w:rFonts w:hint="eastAsia" w:ascii="宋体" w:hAnsi="宋体" w:eastAsia="宋体" w:cs="宋体"/>
          <w:color w:val="auto"/>
          <w:sz w:val="24"/>
          <w:szCs w:val="24"/>
          <w:lang w:val="en-US" w:eastAsia="zh-CN"/>
        </w:rPr>
        <w:t>1.评审</w:t>
      </w:r>
      <w:r>
        <w:rPr>
          <w:rFonts w:hint="eastAsia" w:ascii="Times New Roman" w:hAnsi="Times New Roman" w:cs="宋体"/>
          <w:color w:val="auto"/>
          <w:sz w:val="24"/>
          <w:szCs w:val="24"/>
        </w:rPr>
        <w:t>小组遵循“公开、公平、公正、择优、信用”的原则进行评审。</w:t>
      </w:r>
    </w:p>
    <w:p w14:paraId="64B00E31">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2.由评</w:t>
      </w:r>
      <w:r>
        <w:rPr>
          <w:rFonts w:hint="eastAsia" w:ascii="宋体" w:hAnsi="宋体" w:cs="宋体"/>
          <w:color w:val="auto"/>
          <w:sz w:val="24"/>
          <w:szCs w:val="24"/>
          <w:lang w:val="en-US" w:eastAsia="zh-CN"/>
        </w:rPr>
        <w:t>审</w:t>
      </w:r>
      <w:r>
        <w:rPr>
          <w:rFonts w:hint="eastAsia" w:ascii="宋体" w:hAnsi="宋体" w:cs="宋体"/>
          <w:color w:val="auto"/>
          <w:sz w:val="24"/>
          <w:szCs w:val="24"/>
        </w:rPr>
        <w:t>小组</w:t>
      </w:r>
      <w:r>
        <w:rPr>
          <w:rFonts w:hint="eastAsia" w:ascii="宋体" w:hAnsi="宋体" w:cs="宋体"/>
          <w:color w:val="auto"/>
          <w:sz w:val="24"/>
          <w:szCs w:val="24"/>
          <w:lang w:val="en-US" w:eastAsia="zh-CN"/>
        </w:rPr>
        <w:t>先</w:t>
      </w:r>
      <w:r>
        <w:rPr>
          <w:rFonts w:hint="eastAsia" w:ascii="宋体" w:hAnsi="宋体" w:cs="宋体"/>
          <w:color w:val="auto"/>
          <w:sz w:val="24"/>
          <w:szCs w:val="24"/>
        </w:rPr>
        <w:t>对每个参与</w:t>
      </w:r>
      <w:r>
        <w:rPr>
          <w:rFonts w:hint="eastAsia" w:ascii="宋体" w:hAnsi="宋体" w:cs="宋体"/>
          <w:color w:val="auto"/>
          <w:sz w:val="24"/>
          <w:szCs w:val="24"/>
          <w:lang w:val="en-US" w:eastAsia="zh-CN"/>
        </w:rPr>
        <w:t>比选</w:t>
      </w:r>
      <w:r>
        <w:rPr>
          <w:rFonts w:hint="eastAsia" w:ascii="宋体" w:hAnsi="宋体" w:cs="宋体"/>
          <w:color w:val="auto"/>
          <w:sz w:val="24"/>
          <w:szCs w:val="24"/>
        </w:rPr>
        <w:t>的供应商的响应文件进行资格审查和符合性审查</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再对</w:t>
      </w:r>
      <w:r>
        <w:rPr>
          <w:rFonts w:hint="eastAsia" w:ascii="宋体" w:hAnsi="宋体" w:cs="宋体"/>
          <w:color w:val="auto"/>
          <w:sz w:val="24"/>
          <w:szCs w:val="24"/>
        </w:rPr>
        <w:t>资格审查</w:t>
      </w:r>
      <w:r>
        <w:rPr>
          <w:rFonts w:hint="eastAsia" w:ascii="宋体" w:hAnsi="宋体" w:cs="宋体"/>
          <w:color w:val="auto"/>
          <w:sz w:val="24"/>
          <w:szCs w:val="24"/>
          <w:lang w:val="en-US" w:eastAsia="zh-CN"/>
        </w:rPr>
        <w:t>和符合性审查均</w:t>
      </w:r>
      <w:r>
        <w:rPr>
          <w:rFonts w:hint="eastAsia" w:ascii="宋体" w:hAnsi="宋体" w:cs="宋体"/>
          <w:color w:val="auto"/>
          <w:sz w:val="24"/>
          <w:szCs w:val="24"/>
        </w:rPr>
        <w:t>合格的供应商所提交的响应文件</w:t>
      </w:r>
      <w:r>
        <w:rPr>
          <w:rFonts w:hint="eastAsia" w:ascii="宋体" w:hAnsi="宋体" w:cs="宋体"/>
          <w:color w:val="auto"/>
          <w:sz w:val="24"/>
          <w:szCs w:val="24"/>
          <w:lang w:val="en-US" w:eastAsia="zh-CN"/>
        </w:rPr>
        <w:t>商务</w:t>
      </w:r>
      <w:r>
        <w:rPr>
          <w:rFonts w:hint="eastAsia" w:ascii="宋体" w:hAnsi="宋体" w:cs="宋体"/>
          <w:color w:val="auto"/>
          <w:sz w:val="24"/>
          <w:szCs w:val="24"/>
        </w:rPr>
        <w:t>技术标进行评审。</w:t>
      </w:r>
    </w:p>
    <w:p w14:paraId="511D66A9">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3.评</w:t>
      </w:r>
      <w:r>
        <w:rPr>
          <w:rFonts w:hint="eastAsia" w:ascii="宋体" w:hAnsi="宋体" w:cs="宋体"/>
          <w:color w:val="auto"/>
          <w:sz w:val="24"/>
          <w:szCs w:val="24"/>
          <w:lang w:val="en-US" w:eastAsia="zh-CN"/>
        </w:rPr>
        <w:t>审</w:t>
      </w:r>
      <w:r>
        <w:rPr>
          <w:rFonts w:hint="eastAsia" w:ascii="宋体" w:hAnsi="宋体" w:cs="宋体"/>
          <w:color w:val="auto"/>
          <w:sz w:val="24"/>
          <w:szCs w:val="24"/>
        </w:rPr>
        <w:t>小组严格按比选文件的规定要求、条件、评分标准，对供应商所提供的完整计划标的物的科学性、可行性、产品质量、服务质量的保证及承诺等实质性响应内容进行比较评价评审。</w:t>
      </w:r>
    </w:p>
    <w:p w14:paraId="6FF83AB5">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4.评</w:t>
      </w:r>
      <w:r>
        <w:rPr>
          <w:rFonts w:hint="eastAsia" w:ascii="宋体" w:hAnsi="宋体" w:cs="宋体"/>
          <w:color w:val="auto"/>
          <w:sz w:val="24"/>
          <w:szCs w:val="24"/>
          <w:lang w:val="en-US" w:eastAsia="zh-CN"/>
        </w:rPr>
        <w:t>审</w:t>
      </w:r>
      <w:r>
        <w:rPr>
          <w:rFonts w:hint="eastAsia" w:ascii="宋体" w:hAnsi="宋体" w:cs="宋体"/>
          <w:color w:val="auto"/>
          <w:sz w:val="24"/>
          <w:szCs w:val="24"/>
        </w:rPr>
        <w:t>小组对响应文件的判定，只依据响应内容本身，不依靠开标后的任何外来证明。</w:t>
      </w:r>
    </w:p>
    <w:p w14:paraId="3A1B9D24">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如果</w:t>
      </w:r>
      <w:r>
        <w:rPr>
          <w:rFonts w:hint="eastAsia" w:ascii="宋体" w:hAnsi="宋体" w:cs="宋体"/>
          <w:color w:val="auto"/>
          <w:sz w:val="24"/>
          <w:szCs w:val="24"/>
          <w:lang w:val="en-US" w:eastAsia="zh-CN"/>
        </w:rPr>
        <w:t>响应</w:t>
      </w:r>
      <w:r>
        <w:rPr>
          <w:rFonts w:hint="eastAsia" w:ascii="宋体" w:hAnsi="宋体" w:cs="宋体"/>
          <w:color w:val="auto"/>
          <w:sz w:val="24"/>
          <w:szCs w:val="24"/>
        </w:rPr>
        <w:t>文件实质上没有响应</w:t>
      </w:r>
      <w:r>
        <w:rPr>
          <w:rFonts w:hint="eastAsia" w:ascii="宋体" w:hAnsi="宋体" w:cs="宋体"/>
          <w:color w:val="auto"/>
          <w:sz w:val="24"/>
          <w:szCs w:val="24"/>
          <w:lang w:val="en-US" w:eastAsia="zh-CN"/>
        </w:rPr>
        <w:t>比选</w:t>
      </w:r>
      <w:r>
        <w:rPr>
          <w:rFonts w:hint="eastAsia" w:ascii="宋体" w:hAnsi="宋体" w:cs="宋体"/>
          <w:color w:val="auto"/>
          <w:sz w:val="24"/>
          <w:szCs w:val="24"/>
        </w:rPr>
        <w:t>文件的要求，</w:t>
      </w:r>
      <w:r>
        <w:rPr>
          <w:rFonts w:hint="eastAsia" w:ascii="宋体" w:hAnsi="宋体" w:cs="宋体"/>
          <w:color w:val="auto"/>
          <w:sz w:val="24"/>
          <w:szCs w:val="24"/>
          <w:lang w:val="en-US" w:eastAsia="zh-CN"/>
        </w:rPr>
        <w:t>评审小组</w:t>
      </w:r>
      <w:r>
        <w:rPr>
          <w:rFonts w:hint="eastAsia" w:ascii="宋体" w:hAnsi="宋体" w:cs="宋体"/>
          <w:color w:val="auto"/>
          <w:sz w:val="24"/>
          <w:szCs w:val="24"/>
        </w:rPr>
        <w:t>将予以拒绝，</w:t>
      </w:r>
      <w:r>
        <w:rPr>
          <w:rFonts w:hint="eastAsia" w:ascii="宋体" w:hAnsi="宋体" w:cs="宋体"/>
          <w:color w:val="auto"/>
          <w:sz w:val="24"/>
          <w:szCs w:val="24"/>
          <w:lang w:val="en-US" w:eastAsia="zh-CN"/>
        </w:rPr>
        <w:t>供应商</w:t>
      </w:r>
      <w:r>
        <w:rPr>
          <w:rFonts w:hint="eastAsia" w:ascii="宋体" w:hAnsi="宋体" w:cs="宋体"/>
          <w:color w:val="auto"/>
          <w:sz w:val="24"/>
          <w:szCs w:val="24"/>
        </w:rPr>
        <w:t>不得通过修改或撤销不符合要求的偏离或保留而使其</w:t>
      </w:r>
      <w:r>
        <w:rPr>
          <w:rFonts w:hint="eastAsia" w:ascii="宋体" w:hAnsi="宋体" w:cs="宋体"/>
          <w:color w:val="auto"/>
          <w:sz w:val="24"/>
          <w:szCs w:val="24"/>
          <w:lang w:val="en-US" w:eastAsia="zh-CN"/>
        </w:rPr>
        <w:t>响应</w:t>
      </w:r>
      <w:r>
        <w:rPr>
          <w:rFonts w:hint="eastAsia" w:ascii="宋体" w:hAnsi="宋体" w:cs="宋体"/>
          <w:color w:val="auto"/>
          <w:sz w:val="24"/>
          <w:szCs w:val="24"/>
        </w:rPr>
        <w:t>成为实质性响应的</w:t>
      </w:r>
      <w:r>
        <w:rPr>
          <w:rFonts w:hint="eastAsia" w:ascii="宋体" w:hAnsi="宋体" w:cs="宋体"/>
          <w:color w:val="auto"/>
          <w:sz w:val="24"/>
          <w:szCs w:val="24"/>
          <w:lang w:val="en-US" w:eastAsia="zh-CN"/>
        </w:rPr>
        <w:t>比选</w:t>
      </w:r>
      <w:r>
        <w:rPr>
          <w:rFonts w:hint="eastAsia" w:ascii="宋体" w:hAnsi="宋体" w:cs="宋体"/>
          <w:color w:val="auto"/>
          <w:sz w:val="24"/>
          <w:szCs w:val="24"/>
        </w:rPr>
        <w:t>。</w:t>
      </w:r>
    </w:p>
    <w:p w14:paraId="5990B1C9">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lang w:val="en-US" w:eastAsia="zh-CN"/>
        </w:rPr>
        <w:t>6.评审小组</w:t>
      </w:r>
      <w:r>
        <w:rPr>
          <w:rFonts w:hint="eastAsia" w:ascii="宋体" w:hAnsi="宋体" w:cs="宋体"/>
          <w:color w:val="auto"/>
          <w:sz w:val="24"/>
          <w:szCs w:val="24"/>
        </w:rPr>
        <w:t>将对确定为实质性响应的</w:t>
      </w:r>
      <w:r>
        <w:rPr>
          <w:rFonts w:hint="eastAsia" w:ascii="宋体" w:hAnsi="宋体" w:cs="宋体"/>
          <w:color w:val="auto"/>
          <w:sz w:val="24"/>
          <w:szCs w:val="24"/>
          <w:lang w:val="en-US" w:eastAsia="zh-CN"/>
        </w:rPr>
        <w:t>报价</w:t>
      </w:r>
      <w:r>
        <w:rPr>
          <w:rFonts w:hint="eastAsia" w:ascii="宋体" w:hAnsi="宋体" w:cs="宋体"/>
          <w:color w:val="auto"/>
          <w:sz w:val="24"/>
          <w:szCs w:val="24"/>
        </w:rPr>
        <w:t>进行进一步审核，看其是否有计算上或累加上的算术错误，修正错误的原则如下：</w:t>
      </w:r>
    </w:p>
    <w:p w14:paraId="4DC6C55E">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响应</w:t>
      </w:r>
      <w:r>
        <w:rPr>
          <w:rFonts w:hint="eastAsia" w:ascii="宋体" w:hAnsi="宋体" w:cs="宋体"/>
          <w:color w:val="auto"/>
          <w:sz w:val="24"/>
          <w:szCs w:val="24"/>
        </w:rPr>
        <w:t>文件中</w:t>
      </w:r>
      <w:r>
        <w:rPr>
          <w:rFonts w:hint="eastAsia" w:ascii="宋体" w:hAnsi="宋体" w:cs="宋体"/>
          <w:color w:val="auto"/>
          <w:sz w:val="24"/>
          <w:szCs w:val="24"/>
          <w:lang w:val="en-US" w:eastAsia="zh-CN"/>
        </w:rPr>
        <w:t>报价总表</w:t>
      </w:r>
      <w:r>
        <w:rPr>
          <w:rFonts w:hint="eastAsia" w:ascii="宋体" w:hAnsi="宋体" w:cs="宋体"/>
          <w:color w:val="auto"/>
          <w:sz w:val="24"/>
          <w:szCs w:val="24"/>
        </w:rPr>
        <w:t>内容与</w:t>
      </w:r>
      <w:r>
        <w:rPr>
          <w:rFonts w:hint="eastAsia" w:ascii="宋体" w:hAnsi="宋体" w:cs="宋体"/>
          <w:color w:val="auto"/>
          <w:sz w:val="24"/>
          <w:szCs w:val="24"/>
          <w:lang w:val="en-US" w:eastAsia="zh-CN"/>
        </w:rPr>
        <w:t>响应</w:t>
      </w:r>
      <w:r>
        <w:rPr>
          <w:rFonts w:hint="eastAsia" w:ascii="宋体" w:hAnsi="宋体" w:cs="宋体"/>
          <w:color w:val="auto"/>
          <w:sz w:val="24"/>
          <w:szCs w:val="24"/>
        </w:rPr>
        <w:t>文件中相应内容不一致的，以</w:t>
      </w:r>
      <w:r>
        <w:rPr>
          <w:rFonts w:hint="eastAsia" w:ascii="宋体" w:hAnsi="宋体" w:cs="宋体"/>
          <w:color w:val="auto"/>
          <w:sz w:val="24"/>
          <w:szCs w:val="24"/>
          <w:lang w:val="en-US" w:eastAsia="zh-CN"/>
        </w:rPr>
        <w:t>报价总表</w:t>
      </w:r>
      <w:r>
        <w:rPr>
          <w:rFonts w:hint="eastAsia" w:ascii="宋体" w:hAnsi="宋体" w:cs="宋体"/>
          <w:color w:val="auto"/>
          <w:sz w:val="24"/>
          <w:szCs w:val="24"/>
        </w:rPr>
        <w:t>为准。</w:t>
      </w:r>
    </w:p>
    <w:p w14:paraId="55D2BAEF">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（2）大写金额和小写金额不一致的，以大写金额为准。</w:t>
      </w:r>
    </w:p>
    <w:p w14:paraId="1F2A7C8C">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（3）单价金额小数点或者百分比有明显错位的，以</w:t>
      </w:r>
      <w:r>
        <w:rPr>
          <w:rFonts w:hint="eastAsia" w:ascii="宋体" w:hAnsi="宋体" w:cs="宋体"/>
          <w:color w:val="auto"/>
          <w:sz w:val="24"/>
          <w:szCs w:val="24"/>
          <w:lang w:val="en-US" w:eastAsia="zh-CN"/>
        </w:rPr>
        <w:t>报价总表</w:t>
      </w:r>
      <w:r>
        <w:rPr>
          <w:rFonts w:hint="eastAsia" w:ascii="宋体" w:hAnsi="宋体" w:cs="宋体"/>
          <w:color w:val="auto"/>
          <w:sz w:val="24"/>
          <w:szCs w:val="24"/>
        </w:rPr>
        <w:t>的总价为准，并修改单价。</w:t>
      </w:r>
    </w:p>
    <w:p w14:paraId="64A3C538">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（4）总价金额与按单价汇总金额不一致的，以单价金额计算结果为准。</w:t>
      </w:r>
    </w:p>
    <w:p w14:paraId="1BCA1D7D">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同时出现两种以上错误的，按照前款规定的顺序修正。</w:t>
      </w:r>
    </w:p>
    <w:p w14:paraId="190A1678">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lang w:val="en-US" w:eastAsia="zh-CN"/>
        </w:rPr>
        <w:t>7.评审小组</w:t>
      </w:r>
      <w:r>
        <w:rPr>
          <w:rFonts w:hint="eastAsia" w:ascii="宋体" w:hAnsi="宋体" w:cs="宋体"/>
          <w:color w:val="auto"/>
          <w:sz w:val="24"/>
          <w:szCs w:val="24"/>
        </w:rPr>
        <w:t>将按上述修正错误的方法调整</w:t>
      </w:r>
      <w:r>
        <w:rPr>
          <w:rFonts w:hint="eastAsia" w:ascii="宋体" w:hAnsi="宋体" w:cs="宋体"/>
          <w:color w:val="auto"/>
          <w:sz w:val="24"/>
          <w:szCs w:val="24"/>
          <w:lang w:val="en-US" w:eastAsia="zh-CN"/>
        </w:rPr>
        <w:t>响应</w:t>
      </w:r>
      <w:r>
        <w:rPr>
          <w:rFonts w:hint="eastAsia" w:ascii="宋体" w:hAnsi="宋体" w:cs="宋体"/>
          <w:color w:val="auto"/>
          <w:sz w:val="24"/>
          <w:szCs w:val="24"/>
        </w:rPr>
        <w:t>文件中的报价，并告知</w:t>
      </w:r>
      <w:r>
        <w:rPr>
          <w:rFonts w:hint="eastAsia" w:ascii="宋体" w:hAnsi="宋体" w:cs="宋体"/>
          <w:color w:val="auto"/>
          <w:sz w:val="24"/>
          <w:szCs w:val="24"/>
          <w:lang w:val="en-US" w:eastAsia="zh-CN"/>
        </w:rPr>
        <w:t>供应商</w:t>
      </w:r>
      <w:r>
        <w:rPr>
          <w:rFonts w:hint="eastAsia" w:ascii="宋体" w:hAnsi="宋体" w:cs="宋体"/>
          <w:color w:val="auto"/>
          <w:sz w:val="24"/>
          <w:szCs w:val="24"/>
        </w:rPr>
        <w:t>，调整后的价格应对</w:t>
      </w:r>
      <w:r>
        <w:rPr>
          <w:rFonts w:hint="eastAsia" w:ascii="宋体" w:hAnsi="宋体" w:cs="宋体"/>
          <w:color w:val="auto"/>
          <w:sz w:val="24"/>
          <w:szCs w:val="24"/>
          <w:lang w:val="en-US" w:eastAsia="zh-CN"/>
        </w:rPr>
        <w:t>供应商</w:t>
      </w:r>
      <w:r>
        <w:rPr>
          <w:rFonts w:hint="eastAsia" w:ascii="宋体" w:hAnsi="宋体" w:cs="宋体"/>
          <w:color w:val="auto"/>
          <w:sz w:val="24"/>
          <w:szCs w:val="24"/>
        </w:rPr>
        <w:t>具有约束力。如果</w:t>
      </w:r>
      <w:r>
        <w:rPr>
          <w:rFonts w:hint="eastAsia" w:ascii="宋体" w:hAnsi="宋体" w:cs="宋体"/>
          <w:color w:val="auto"/>
          <w:sz w:val="24"/>
          <w:szCs w:val="24"/>
          <w:lang w:val="en-US" w:eastAsia="zh-CN"/>
        </w:rPr>
        <w:t>供应商</w:t>
      </w:r>
      <w:r>
        <w:rPr>
          <w:rFonts w:hint="eastAsia" w:ascii="宋体" w:hAnsi="宋体" w:cs="宋体"/>
          <w:color w:val="auto"/>
          <w:sz w:val="24"/>
          <w:szCs w:val="24"/>
        </w:rPr>
        <w:t>不接受修正后的价格，则其</w:t>
      </w:r>
      <w:r>
        <w:rPr>
          <w:rFonts w:hint="eastAsia" w:ascii="宋体" w:hAnsi="宋体" w:cs="宋体"/>
          <w:color w:val="auto"/>
          <w:sz w:val="24"/>
          <w:szCs w:val="24"/>
          <w:lang w:val="en-US" w:eastAsia="zh-CN"/>
        </w:rPr>
        <w:t>响应</w:t>
      </w:r>
      <w:r>
        <w:rPr>
          <w:rFonts w:hint="eastAsia" w:ascii="宋体" w:hAnsi="宋体" w:cs="宋体"/>
          <w:color w:val="auto"/>
          <w:sz w:val="24"/>
          <w:szCs w:val="24"/>
        </w:rPr>
        <w:t>将被拒绝。</w:t>
      </w:r>
    </w:p>
    <w:p w14:paraId="67154FA0">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五、评审程序</w:t>
      </w:r>
    </w:p>
    <w:p w14:paraId="140E3597">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评审</w:t>
      </w:r>
      <w:r>
        <w:rPr>
          <w:rFonts w:hint="eastAsia" w:ascii="宋体" w:hAnsi="宋体" w:cs="宋体"/>
          <w:color w:val="auto"/>
          <w:sz w:val="24"/>
          <w:szCs w:val="24"/>
        </w:rPr>
        <w:t>小组依据响应文件的规定和要求，对供应商提供的资格证明材料是否齐全、是否满足响应文件的要求进行审查，合格的进入</w:t>
      </w:r>
      <w:r>
        <w:rPr>
          <w:rFonts w:hint="eastAsia" w:ascii="宋体" w:hAnsi="宋体" w:cs="宋体"/>
          <w:color w:val="auto"/>
          <w:sz w:val="24"/>
          <w:szCs w:val="24"/>
          <w:lang w:val="en-US" w:eastAsia="zh-CN"/>
        </w:rPr>
        <w:t>符合性审查</w:t>
      </w:r>
      <w:r>
        <w:rPr>
          <w:rFonts w:hint="eastAsia" w:ascii="宋体" w:hAnsi="宋体" w:cs="宋体"/>
          <w:color w:val="auto"/>
          <w:sz w:val="24"/>
          <w:szCs w:val="24"/>
        </w:rPr>
        <w:t>。</w:t>
      </w:r>
    </w:p>
    <w:p w14:paraId="75C76B13">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评审</w:t>
      </w:r>
      <w:r>
        <w:rPr>
          <w:rFonts w:hint="eastAsia" w:ascii="宋体" w:hAnsi="宋体" w:cs="宋体"/>
          <w:color w:val="auto"/>
          <w:sz w:val="24"/>
          <w:szCs w:val="24"/>
        </w:rPr>
        <w:t>小组对符合资格条件的供应商提交的响应文件进行审查。重点审查响应文件的有效性、完整性和实质性响应程度等。</w:t>
      </w:r>
    </w:p>
    <w:p w14:paraId="7F0095E1">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val="en-US" w:eastAsia="zh-CN"/>
        </w:rPr>
        <w:t>评审</w:t>
      </w:r>
      <w:r>
        <w:rPr>
          <w:rFonts w:hint="eastAsia" w:ascii="宋体" w:hAnsi="宋体" w:cs="宋体"/>
          <w:color w:val="auto"/>
          <w:sz w:val="24"/>
          <w:szCs w:val="24"/>
        </w:rPr>
        <w:t>小组如遇响应文件中含义不明确、同类问题表述不一致或者有明显文字和计算错误的内容，可向供应商质询。供应商的澄清、说明或者补正，应当采用书面形式由供应商代表签字，但不得超出比选文件的范围或者改变其实质性内容。</w:t>
      </w:r>
    </w:p>
    <w:p w14:paraId="15F966BD">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4.任何一方不得透露与</w:t>
      </w:r>
      <w:r>
        <w:rPr>
          <w:rFonts w:hint="eastAsia" w:ascii="宋体" w:hAnsi="宋体" w:cs="宋体"/>
          <w:color w:val="auto"/>
          <w:sz w:val="24"/>
          <w:szCs w:val="24"/>
          <w:lang w:val="en-US" w:eastAsia="zh-CN"/>
        </w:rPr>
        <w:t>评审</w:t>
      </w:r>
      <w:r>
        <w:rPr>
          <w:rFonts w:hint="eastAsia" w:ascii="宋体" w:hAnsi="宋体" w:cs="宋体"/>
          <w:color w:val="auto"/>
          <w:sz w:val="24"/>
          <w:szCs w:val="24"/>
        </w:rPr>
        <w:t>有关的其他供应商技术资料、报价和其他信息。</w:t>
      </w:r>
    </w:p>
    <w:p w14:paraId="16B3286E">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val="en-US" w:eastAsia="zh-CN"/>
        </w:rPr>
        <w:t>评审</w:t>
      </w:r>
      <w:r>
        <w:rPr>
          <w:rFonts w:hint="eastAsia" w:ascii="宋体" w:hAnsi="宋体" w:cs="宋体"/>
          <w:color w:val="auto"/>
          <w:sz w:val="24"/>
          <w:szCs w:val="24"/>
        </w:rPr>
        <w:t>小组按比选文件规定的评标方法和标准，对资格性检查和符合性检查合格的供应商的响应文件进行商务和技术评估，综合比较与评价确定其商务技术得分。商务技术分按算术平均值计算，分值四舍五入保留两位小数。</w:t>
      </w:r>
    </w:p>
    <w:p w14:paraId="543867FC">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lang w:val="en-US" w:eastAsia="zh-CN"/>
        </w:rPr>
      </w:pPr>
      <w:r>
        <w:rPr>
          <w:rFonts w:hint="eastAsia" w:ascii="宋体" w:hAnsi="宋体" w:cs="宋体"/>
          <w:color w:val="auto"/>
          <w:sz w:val="24"/>
          <w:szCs w:val="24"/>
        </w:rPr>
        <w:t>6.</w:t>
      </w:r>
      <w:r>
        <w:rPr>
          <w:rFonts w:hint="eastAsia" w:ascii="宋体" w:hAnsi="宋体" w:cs="宋体"/>
          <w:color w:val="auto"/>
          <w:sz w:val="24"/>
          <w:szCs w:val="24"/>
          <w:lang w:val="en-US" w:eastAsia="zh-CN"/>
        </w:rPr>
        <w:t>报价分统一采用低价优先法计算直接取得，与商务技术分相加为供应商的综合得分（四舍五入保留两位小数）。</w:t>
      </w:r>
    </w:p>
    <w:p w14:paraId="20F11F60">
      <w:pPr>
        <w:keepNext w:val="0"/>
        <w:keepLines w:val="0"/>
        <w:pageBreakBefore w:val="0"/>
        <w:shd w:val="clear"/>
        <w:overflowPunct/>
        <w:bidi w:val="0"/>
        <w:snapToGrid w:val="0"/>
        <w:spacing w:line="360" w:lineRule="auto"/>
        <w:ind w:left="0" w:leftChars="0" w:firstLine="482" w:firstLineChars="200"/>
        <w:jc w:val="both"/>
        <w:rPr>
          <w:rFonts w:hint="eastAsia" w:ascii="宋体" w:hAnsi="宋体" w:cs="宋体"/>
          <w:b/>
          <w:bCs/>
          <w:color w:val="auto"/>
          <w:sz w:val="24"/>
          <w:szCs w:val="24"/>
        </w:rPr>
      </w:pPr>
      <w:r>
        <w:rPr>
          <w:rFonts w:hint="eastAsia" w:ascii="宋体" w:hAnsi="宋体" w:cs="宋体"/>
          <w:b/>
          <w:bCs/>
          <w:color w:val="auto"/>
          <w:sz w:val="24"/>
          <w:szCs w:val="24"/>
        </w:rPr>
        <w:t>四、评审方法及评审细则</w:t>
      </w:r>
    </w:p>
    <w:p w14:paraId="6D4A5D29">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.本项目采用</w:t>
      </w:r>
      <w:r>
        <w:rPr>
          <w:rFonts w:hint="eastAsia" w:ascii="宋体" w:hAnsi="宋体" w:cs="宋体"/>
          <w:b/>
          <w:bCs/>
          <w:color w:val="auto"/>
          <w:sz w:val="24"/>
          <w:szCs w:val="24"/>
          <w:u w:val="single"/>
        </w:rPr>
        <w:t>综合评分法</w:t>
      </w:r>
      <w:r>
        <w:rPr>
          <w:rFonts w:hint="eastAsia" w:ascii="宋体" w:hAnsi="宋体" w:cs="宋体"/>
          <w:color w:val="auto"/>
          <w:sz w:val="24"/>
          <w:szCs w:val="24"/>
        </w:rPr>
        <w:t>，即指在最大限度地满足比选文件实质性要求的前提下，按照本比选文件中规定的评标办法和评分标准及其他各项因素进行综合评审后，以评</w:t>
      </w:r>
      <w:r>
        <w:rPr>
          <w:rFonts w:hint="eastAsia" w:ascii="宋体" w:hAnsi="宋体" w:cs="宋体"/>
          <w:color w:val="auto"/>
          <w:sz w:val="24"/>
          <w:szCs w:val="24"/>
          <w:lang w:val="en-US" w:eastAsia="zh-CN"/>
        </w:rPr>
        <w:t>审</w:t>
      </w:r>
      <w:r>
        <w:rPr>
          <w:rFonts w:hint="eastAsia" w:ascii="宋体" w:hAnsi="宋体" w:cs="宋体"/>
          <w:color w:val="auto"/>
          <w:sz w:val="24"/>
          <w:szCs w:val="24"/>
        </w:rPr>
        <w:t>总得分最高的供应商作为成交候选人的评标方法。</w:t>
      </w:r>
    </w:p>
    <w:p w14:paraId="7B3844CA">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.评</w:t>
      </w:r>
      <w:r>
        <w:rPr>
          <w:rFonts w:hint="eastAsia" w:ascii="宋体" w:hAnsi="宋体" w:cs="宋体"/>
          <w:color w:val="auto"/>
          <w:sz w:val="24"/>
          <w:szCs w:val="24"/>
          <w:lang w:val="en-US" w:eastAsia="zh-CN"/>
        </w:rPr>
        <w:t>审</w:t>
      </w:r>
      <w:r>
        <w:rPr>
          <w:rFonts w:hint="eastAsia" w:ascii="宋体" w:hAnsi="宋体" w:cs="宋体"/>
          <w:color w:val="auto"/>
          <w:sz w:val="24"/>
          <w:szCs w:val="24"/>
        </w:rPr>
        <w:t>小组将仅按本比选文件载明的方法与规定，为实质上响应比选文件要求的响应文件评审并进行评价和比较。</w:t>
      </w:r>
    </w:p>
    <w:p w14:paraId="7FADF238">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.本次项目的</w:t>
      </w:r>
      <w:r>
        <w:rPr>
          <w:rFonts w:hint="eastAsia" w:ascii="宋体" w:hAnsi="宋体" w:cs="宋体"/>
          <w:color w:val="auto"/>
          <w:sz w:val="24"/>
          <w:szCs w:val="24"/>
          <w:lang w:val="en-US" w:eastAsia="zh-CN"/>
        </w:rPr>
        <w:t>商务</w:t>
      </w:r>
      <w:r>
        <w:rPr>
          <w:rFonts w:hint="eastAsia" w:ascii="宋体" w:hAnsi="宋体" w:cs="宋体"/>
          <w:color w:val="auto"/>
          <w:sz w:val="24"/>
          <w:szCs w:val="24"/>
        </w:rPr>
        <w:t>技术标和价格标评审总分值为100分。两部分评审因素比重如下：</w:t>
      </w:r>
    </w:p>
    <w:p w14:paraId="4F3254FD">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商务</w:t>
      </w:r>
      <w:r>
        <w:rPr>
          <w:rFonts w:hint="eastAsia" w:ascii="宋体" w:hAnsi="宋体" w:cs="宋体"/>
          <w:color w:val="auto"/>
          <w:sz w:val="24"/>
          <w:szCs w:val="24"/>
        </w:rPr>
        <w:t>技术标分值占总分值的比重为</w:t>
      </w:r>
      <w:r>
        <w:rPr>
          <w:rFonts w:hint="eastAsia" w:ascii="宋体" w:hAnsi="宋体" w:cs="宋体"/>
          <w:b/>
          <w:bCs/>
          <w:color w:val="auto"/>
          <w:sz w:val="24"/>
          <w:szCs w:val="24"/>
          <w:u w:val="single"/>
          <w:lang w:val="en-US" w:eastAsia="zh-CN"/>
        </w:rPr>
        <w:t>65</w:t>
      </w:r>
      <w:r>
        <w:rPr>
          <w:rFonts w:hint="eastAsia" w:ascii="宋体" w:hAnsi="宋体" w:cs="宋体"/>
          <w:b/>
          <w:bCs/>
          <w:color w:val="auto"/>
          <w:sz w:val="24"/>
          <w:szCs w:val="24"/>
          <w:u w:val="single"/>
        </w:rPr>
        <w:t>%</w:t>
      </w:r>
      <w:r>
        <w:rPr>
          <w:rFonts w:hint="eastAsia" w:ascii="宋体" w:hAnsi="宋体" w:cs="宋体"/>
          <w:color w:val="auto"/>
          <w:sz w:val="24"/>
          <w:szCs w:val="24"/>
        </w:rPr>
        <w:t>（权重）（取小数点后两位）；</w:t>
      </w:r>
    </w:p>
    <w:p w14:paraId="58F3577C">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（2）价格标分值占总分值的比重为</w:t>
      </w:r>
      <w:r>
        <w:rPr>
          <w:rFonts w:hint="eastAsia" w:ascii="宋体" w:hAnsi="宋体" w:cs="宋体"/>
          <w:b/>
          <w:bCs/>
          <w:color w:val="auto"/>
          <w:sz w:val="24"/>
          <w:szCs w:val="24"/>
          <w:u w:val="single"/>
          <w:lang w:val="en-US" w:eastAsia="zh-CN"/>
        </w:rPr>
        <w:t>35</w:t>
      </w:r>
      <w:r>
        <w:rPr>
          <w:rFonts w:hint="eastAsia" w:ascii="宋体" w:hAnsi="宋体" w:cs="宋体"/>
          <w:b/>
          <w:bCs/>
          <w:color w:val="auto"/>
          <w:sz w:val="24"/>
          <w:szCs w:val="24"/>
          <w:u w:val="single"/>
        </w:rPr>
        <w:t>%</w:t>
      </w:r>
      <w:r>
        <w:rPr>
          <w:rFonts w:hint="eastAsia" w:ascii="宋体" w:hAnsi="宋体" w:cs="宋体"/>
          <w:color w:val="auto"/>
          <w:sz w:val="24"/>
          <w:szCs w:val="24"/>
        </w:rPr>
        <w:t>（权重）（取小数点后两位）。</w:t>
      </w:r>
    </w:p>
    <w:p w14:paraId="06D37FAB">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.评</w:t>
      </w:r>
      <w:r>
        <w:rPr>
          <w:rFonts w:hint="eastAsia" w:ascii="宋体" w:hAnsi="宋体" w:cs="宋体"/>
          <w:color w:val="auto"/>
          <w:sz w:val="24"/>
          <w:szCs w:val="24"/>
          <w:lang w:val="en-US" w:eastAsia="zh-CN"/>
        </w:rPr>
        <w:t>审</w:t>
      </w:r>
      <w:r>
        <w:rPr>
          <w:rFonts w:hint="eastAsia" w:ascii="宋体" w:hAnsi="宋体" w:cs="宋体"/>
          <w:color w:val="auto"/>
          <w:sz w:val="24"/>
          <w:szCs w:val="24"/>
        </w:rPr>
        <w:t>小组各成员独立对每个进入打分程序的有效供应商的</w:t>
      </w:r>
      <w:r>
        <w:rPr>
          <w:rFonts w:hint="eastAsia" w:ascii="宋体" w:hAnsi="宋体" w:cs="宋体"/>
          <w:color w:val="auto"/>
          <w:sz w:val="24"/>
          <w:szCs w:val="24"/>
          <w:lang w:val="en-US" w:eastAsia="zh-CN"/>
        </w:rPr>
        <w:t>商务</w:t>
      </w:r>
      <w:r>
        <w:rPr>
          <w:rFonts w:hint="eastAsia" w:ascii="宋体" w:hAnsi="宋体" w:cs="宋体"/>
          <w:color w:val="auto"/>
          <w:sz w:val="24"/>
          <w:szCs w:val="24"/>
        </w:rPr>
        <w:t>技术部分以打分的形式进行评审和评价（计算结果均四舍五入保留两位小数）。</w:t>
      </w:r>
    </w:p>
    <w:p w14:paraId="7AD56CEE">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计算各供应商的价格标报价得分，与</w:t>
      </w:r>
      <w:r>
        <w:rPr>
          <w:rFonts w:hint="eastAsia" w:ascii="宋体" w:hAnsi="宋体" w:cs="宋体"/>
          <w:color w:val="auto"/>
          <w:sz w:val="24"/>
          <w:szCs w:val="24"/>
          <w:lang w:val="en-US" w:eastAsia="zh-CN"/>
        </w:rPr>
        <w:t>商务</w:t>
      </w:r>
      <w:r>
        <w:rPr>
          <w:rFonts w:hint="eastAsia" w:ascii="宋体" w:hAnsi="宋体" w:cs="宋体"/>
          <w:color w:val="auto"/>
          <w:sz w:val="24"/>
          <w:szCs w:val="24"/>
        </w:rPr>
        <w:t>技术标得分相加为供应商的综合得分（计算结果均四舍五入保留两位小数）。</w:t>
      </w:r>
    </w:p>
    <w:p w14:paraId="45CDF002">
      <w:pPr>
        <w:shd w:val="clear"/>
        <w:spacing w:line="360" w:lineRule="auto"/>
        <w:ind w:firstLine="480"/>
        <w:rPr>
          <w:rFonts w:hint="eastAsia" w:ascii="Times New Roman" w:hAnsi="Times New Roman"/>
          <w:color w:val="auto"/>
          <w:sz w:val="24"/>
          <w:szCs w:val="24"/>
          <w:highlight w:val="none"/>
        </w:rPr>
      </w:pPr>
      <w:r>
        <w:rPr>
          <w:rFonts w:hint="eastAsia" w:ascii="Times New Roman" w:hAnsi="Times New Roman" w:cs="宋体"/>
          <w:color w:val="auto"/>
          <w:sz w:val="24"/>
          <w:szCs w:val="24"/>
          <w:lang w:val="en-US" w:eastAsia="zh-CN"/>
        </w:rPr>
        <w:t>6.评审</w:t>
      </w:r>
      <w:r>
        <w:rPr>
          <w:rFonts w:hint="eastAsia" w:ascii="Times New Roman" w:hAnsi="Times New Roman" w:cs="宋体"/>
          <w:color w:val="auto"/>
          <w:sz w:val="24"/>
          <w:szCs w:val="24"/>
        </w:rPr>
        <w:t>小组根据</w:t>
      </w:r>
      <w:r>
        <w:rPr>
          <w:rFonts w:hint="eastAsia" w:ascii="Times New Roman" w:hAnsi="Times New Roman" w:cs="宋体"/>
          <w:color w:val="auto"/>
          <w:sz w:val="24"/>
          <w:szCs w:val="24"/>
          <w:highlight w:val="none"/>
        </w:rPr>
        <w:t>综合</w:t>
      </w:r>
      <w:r>
        <w:rPr>
          <w:rFonts w:hint="eastAsia" w:ascii="Times New Roman" w:hAnsi="Times New Roman" w:cs="宋体"/>
          <w:color w:val="auto"/>
          <w:sz w:val="24"/>
          <w:szCs w:val="24"/>
          <w:highlight w:val="none"/>
          <w:lang w:val="en-US" w:eastAsia="zh-CN"/>
        </w:rPr>
        <w:t>得分</w:t>
      </w:r>
      <w:r>
        <w:rPr>
          <w:rFonts w:hint="eastAsia" w:ascii="Times New Roman" w:hAnsi="Times New Roman" w:cs="宋体"/>
          <w:color w:val="auto"/>
          <w:sz w:val="24"/>
          <w:szCs w:val="24"/>
          <w:highlight w:val="none"/>
        </w:rPr>
        <w:t>情况，按照评审得分由高到低顺序推荐3名成交候选供应商，</w:t>
      </w:r>
      <w:r>
        <w:rPr>
          <w:rFonts w:hint="eastAsia" w:ascii="Times New Roman" w:hAnsi="Times New Roman"/>
          <w:color w:val="auto"/>
          <w:sz w:val="24"/>
          <w:szCs w:val="24"/>
          <w:highlight w:val="none"/>
        </w:rPr>
        <w:t>并编写评审报告。</w:t>
      </w:r>
    </w:p>
    <w:p w14:paraId="3E4C36B1">
      <w:pPr>
        <w:shd w:val="clear"/>
        <w:spacing w:line="360" w:lineRule="auto"/>
        <w:ind w:firstLine="480"/>
        <w:rPr>
          <w:rFonts w:ascii="宋体" w:hAnsi="宋体" w:cs="宋体"/>
          <w:color w:val="auto"/>
          <w:sz w:val="24"/>
          <w:szCs w:val="24"/>
        </w:rPr>
      </w:pPr>
      <w:r>
        <w:rPr>
          <w:rFonts w:hint="eastAsia" w:ascii="宋体" w:hAnsi="宋体" w:cs="宋体"/>
          <w:color w:val="auto"/>
          <w:sz w:val="24"/>
          <w:szCs w:val="24"/>
        </w:rPr>
        <w:t>7.确定成交</w:t>
      </w:r>
      <w:r>
        <w:rPr>
          <w:rFonts w:hint="eastAsia" w:ascii="宋体" w:hAnsi="宋体" w:cs="宋体"/>
          <w:color w:val="auto"/>
          <w:sz w:val="24"/>
          <w:szCs w:val="24"/>
          <w:lang w:val="en-US" w:eastAsia="zh-CN"/>
        </w:rPr>
        <w:t>供应商</w:t>
      </w:r>
      <w:r>
        <w:rPr>
          <w:rFonts w:hint="eastAsia" w:ascii="宋体" w:hAnsi="宋体" w:cs="宋体"/>
          <w:color w:val="auto"/>
          <w:sz w:val="24"/>
          <w:szCs w:val="24"/>
        </w:rPr>
        <w:t>：得分最高的供应商为第一成交候选</w:t>
      </w:r>
      <w:r>
        <w:rPr>
          <w:rFonts w:hint="eastAsia" w:ascii="宋体" w:hAnsi="宋体" w:cs="宋体"/>
          <w:color w:val="auto"/>
          <w:sz w:val="24"/>
          <w:szCs w:val="24"/>
          <w:lang w:val="en-US" w:eastAsia="zh-CN"/>
        </w:rPr>
        <w:t>供应商</w:t>
      </w:r>
      <w:r>
        <w:rPr>
          <w:rFonts w:hint="eastAsia" w:ascii="宋体" w:hAnsi="宋体" w:cs="宋体"/>
          <w:color w:val="auto"/>
          <w:sz w:val="24"/>
          <w:szCs w:val="24"/>
        </w:rPr>
        <w:t>。</w:t>
      </w:r>
      <w:r>
        <w:rPr>
          <w:rFonts w:hint="eastAsia" w:ascii="Times New Roman" w:hAnsi="Times New Roman"/>
          <w:b/>
          <w:color w:val="auto"/>
          <w:sz w:val="24"/>
          <w:szCs w:val="24"/>
          <w:highlight w:val="none"/>
        </w:rPr>
        <w:t>采购人委托</w:t>
      </w:r>
      <w:r>
        <w:rPr>
          <w:rFonts w:hint="eastAsia" w:ascii="Times New Roman" w:hAnsi="Times New Roman"/>
          <w:b/>
          <w:color w:val="auto"/>
          <w:sz w:val="24"/>
          <w:szCs w:val="24"/>
          <w:highlight w:val="none"/>
          <w:lang w:val="en-US" w:eastAsia="zh-CN"/>
        </w:rPr>
        <w:t>评审</w:t>
      </w:r>
      <w:r>
        <w:rPr>
          <w:rFonts w:hint="eastAsia" w:ascii="Times New Roman" w:hAnsi="Times New Roman"/>
          <w:b/>
          <w:color w:val="auto"/>
          <w:sz w:val="24"/>
          <w:szCs w:val="24"/>
          <w:highlight w:val="none"/>
        </w:rPr>
        <w:t>小组确定成交供应商。</w:t>
      </w:r>
      <w:r>
        <w:rPr>
          <w:rFonts w:hint="eastAsia" w:ascii="宋体" w:hAnsi="宋体" w:cs="宋体"/>
          <w:color w:val="auto"/>
          <w:sz w:val="24"/>
          <w:szCs w:val="24"/>
        </w:rPr>
        <w:t>第一成交候选</w:t>
      </w:r>
      <w:r>
        <w:rPr>
          <w:rFonts w:hint="eastAsia" w:ascii="宋体" w:hAnsi="宋体" w:cs="宋体"/>
          <w:color w:val="auto"/>
          <w:sz w:val="24"/>
          <w:szCs w:val="24"/>
          <w:lang w:val="en-US" w:eastAsia="zh-CN"/>
        </w:rPr>
        <w:t>供应商</w:t>
      </w:r>
      <w:r>
        <w:rPr>
          <w:rFonts w:hint="eastAsia" w:ascii="宋体" w:hAnsi="宋体" w:cs="宋体"/>
          <w:color w:val="auto"/>
          <w:sz w:val="24"/>
          <w:szCs w:val="24"/>
        </w:rPr>
        <w:t>原则上为成交</w:t>
      </w:r>
      <w:r>
        <w:rPr>
          <w:rFonts w:hint="eastAsia" w:ascii="宋体" w:hAnsi="宋体" w:cs="宋体"/>
          <w:color w:val="auto"/>
          <w:sz w:val="24"/>
          <w:szCs w:val="24"/>
          <w:lang w:val="en-US" w:eastAsia="zh-CN"/>
        </w:rPr>
        <w:t>供应商</w:t>
      </w:r>
      <w:r>
        <w:rPr>
          <w:rFonts w:hint="eastAsia" w:ascii="宋体" w:hAnsi="宋体" w:cs="宋体"/>
          <w:color w:val="auto"/>
          <w:sz w:val="24"/>
          <w:szCs w:val="24"/>
        </w:rPr>
        <w:t>。当排名第一的成交候选</w:t>
      </w:r>
      <w:r>
        <w:rPr>
          <w:rFonts w:hint="eastAsia" w:ascii="宋体" w:hAnsi="宋体" w:cs="宋体"/>
          <w:color w:val="auto"/>
          <w:sz w:val="24"/>
          <w:szCs w:val="24"/>
          <w:lang w:val="en-US" w:eastAsia="zh-CN"/>
        </w:rPr>
        <w:t>供应商</w:t>
      </w:r>
      <w:r>
        <w:rPr>
          <w:rFonts w:hint="eastAsia" w:ascii="宋体" w:hAnsi="宋体" w:cs="宋体"/>
          <w:color w:val="auto"/>
          <w:sz w:val="24"/>
          <w:szCs w:val="24"/>
        </w:rPr>
        <w:t>放弃成交、因不可抗力不能履行合同、不按照比选文件要求提交履约保证金，或者被查实存在影响成交结果的违法行为等情形，不符合成交条件的，采购人可以按照</w:t>
      </w:r>
      <w:r>
        <w:rPr>
          <w:rFonts w:hint="eastAsia" w:ascii="宋体" w:hAnsi="宋体" w:cs="宋体"/>
          <w:color w:val="auto"/>
          <w:sz w:val="24"/>
          <w:szCs w:val="24"/>
          <w:lang w:val="en-US" w:eastAsia="zh-CN"/>
        </w:rPr>
        <w:t>评审小组</w:t>
      </w:r>
      <w:r>
        <w:rPr>
          <w:rFonts w:hint="eastAsia" w:ascii="宋体" w:hAnsi="宋体" w:cs="宋体"/>
          <w:color w:val="auto"/>
          <w:sz w:val="24"/>
          <w:szCs w:val="24"/>
        </w:rPr>
        <w:t>提出的成交候选</w:t>
      </w:r>
      <w:r>
        <w:rPr>
          <w:rFonts w:hint="eastAsia" w:ascii="宋体" w:hAnsi="宋体" w:cs="宋体"/>
          <w:color w:val="auto"/>
          <w:sz w:val="24"/>
          <w:szCs w:val="24"/>
          <w:lang w:val="en-US" w:eastAsia="zh-CN"/>
        </w:rPr>
        <w:t>供应商</w:t>
      </w:r>
      <w:r>
        <w:rPr>
          <w:rFonts w:hint="eastAsia" w:ascii="宋体" w:hAnsi="宋体" w:cs="宋体"/>
          <w:color w:val="auto"/>
          <w:sz w:val="24"/>
          <w:szCs w:val="24"/>
        </w:rPr>
        <w:t>名单排序依次确定其他成交候选</w:t>
      </w:r>
      <w:r>
        <w:rPr>
          <w:rFonts w:hint="eastAsia" w:ascii="宋体" w:hAnsi="宋体" w:cs="宋体"/>
          <w:color w:val="auto"/>
          <w:sz w:val="24"/>
          <w:szCs w:val="24"/>
          <w:lang w:val="en-US" w:eastAsia="zh-CN"/>
        </w:rPr>
        <w:t>供应商</w:t>
      </w:r>
      <w:r>
        <w:rPr>
          <w:rFonts w:hint="eastAsia" w:ascii="宋体" w:hAnsi="宋体" w:cs="宋体"/>
          <w:color w:val="auto"/>
          <w:sz w:val="24"/>
          <w:szCs w:val="24"/>
        </w:rPr>
        <w:t>为成交</w:t>
      </w:r>
      <w:r>
        <w:rPr>
          <w:rFonts w:hint="eastAsia" w:ascii="宋体" w:hAnsi="宋体" w:cs="宋体"/>
          <w:color w:val="auto"/>
          <w:sz w:val="24"/>
          <w:szCs w:val="24"/>
          <w:lang w:val="en-US" w:eastAsia="zh-CN"/>
        </w:rPr>
        <w:t>供应商</w:t>
      </w:r>
      <w:r>
        <w:rPr>
          <w:rFonts w:hint="eastAsia" w:ascii="宋体" w:hAnsi="宋体" w:cs="宋体"/>
          <w:color w:val="auto"/>
          <w:sz w:val="24"/>
          <w:szCs w:val="24"/>
        </w:rPr>
        <w:t>，也可以重新组织比选。</w:t>
      </w:r>
    </w:p>
    <w:p w14:paraId="4A939DA5">
      <w:pPr>
        <w:shd w:val="clear"/>
        <w:spacing w:line="360" w:lineRule="auto"/>
        <w:ind w:firstLine="480"/>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lang w:val="en-US" w:eastAsia="zh-CN"/>
        </w:rPr>
        <w:t>8.确定</w:t>
      </w:r>
      <w:r>
        <w:rPr>
          <w:rFonts w:hint="eastAsia" w:ascii="Times New Roman" w:hAnsi="Times New Roman" w:cs="宋体"/>
          <w:color w:val="auto"/>
          <w:sz w:val="24"/>
          <w:szCs w:val="24"/>
          <w:highlight w:val="none"/>
        </w:rPr>
        <w:t>成交候选</w:t>
      </w:r>
      <w:r>
        <w:rPr>
          <w:rFonts w:hint="eastAsia" w:ascii="Times New Roman" w:hAnsi="Times New Roman" w:cs="宋体"/>
          <w:color w:val="auto"/>
          <w:sz w:val="24"/>
          <w:szCs w:val="24"/>
          <w:highlight w:val="none"/>
          <w:lang w:val="en-US" w:eastAsia="zh-CN"/>
        </w:rPr>
        <w:t>供应商</w:t>
      </w:r>
      <w:r>
        <w:rPr>
          <w:rFonts w:hint="eastAsia" w:ascii="Times New Roman" w:hAnsi="Times New Roman" w:cs="宋体"/>
          <w:color w:val="auto"/>
          <w:sz w:val="24"/>
          <w:szCs w:val="24"/>
          <w:highlight w:val="none"/>
        </w:rPr>
        <w:t>的特殊情况处理：</w:t>
      </w:r>
    </w:p>
    <w:p w14:paraId="346D8D3D">
      <w:pPr>
        <w:shd w:val="clear"/>
        <w:spacing w:line="360" w:lineRule="auto"/>
        <w:ind w:firstLine="48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（1）若总分相同，则按报价得分高者优先</w:t>
      </w:r>
      <w:r>
        <w:rPr>
          <w:rFonts w:hint="eastAsia" w:ascii="Times New Roman" w:hAnsi="Times New Roman" w:cs="宋体"/>
          <w:color w:val="auto"/>
          <w:sz w:val="24"/>
          <w:szCs w:val="24"/>
          <w:highlight w:val="none"/>
          <w:lang w:val="en-US" w:eastAsia="zh-CN"/>
        </w:rPr>
        <w:t>成交</w:t>
      </w:r>
      <w:r>
        <w:rPr>
          <w:rFonts w:hint="eastAsia" w:ascii="Times New Roman" w:hAnsi="Times New Roman" w:cs="宋体"/>
          <w:color w:val="auto"/>
          <w:sz w:val="24"/>
          <w:szCs w:val="24"/>
          <w:highlight w:val="none"/>
        </w:rPr>
        <w:t>。</w:t>
      </w:r>
    </w:p>
    <w:p w14:paraId="475977FF">
      <w:pPr>
        <w:shd w:val="clear"/>
        <w:spacing w:line="360" w:lineRule="auto"/>
        <w:ind w:firstLine="48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（2）若总分且报价得分相同，则</w:t>
      </w:r>
      <w:r>
        <w:rPr>
          <w:rFonts w:hint="eastAsia" w:ascii="Times New Roman" w:hAnsi="Times New Roman" w:eastAsia="宋体" w:cs="宋体"/>
          <w:color w:val="auto"/>
          <w:sz w:val="24"/>
          <w:szCs w:val="24"/>
          <w:highlight w:val="none"/>
          <w:lang w:val="en-US" w:eastAsia="zh-CN"/>
        </w:rPr>
        <w:t>由评审小组</w:t>
      </w:r>
      <w:r>
        <w:rPr>
          <w:rFonts w:hint="eastAsia" w:ascii="Times New Roman" w:hAnsi="Times New Roman" w:eastAsia="宋体" w:cs="宋体"/>
          <w:color w:val="auto"/>
          <w:sz w:val="24"/>
          <w:szCs w:val="24"/>
          <w:highlight w:val="none"/>
        </w:rPr>
        <w:t>采取现场抽签的方式确定。</w:t>
      </w:r>
    </w:p>
    <w:p w14:paraId="273B81C9">
      <w:pPr>
        <w:shd w:val="clear"/>
        <w:spacing w:line="360" w:lineRule="auto"/>
        <w:ind w:firstLine="480"/>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lang w:val="en-US" w:eastAsia="zh-CN"/>
        </w:rPr>
        <w:t>五</w:t>
      </w:r>
      <w:r>
        <w:rPr>
          <w:rFonts w:hint="eastAsia" w:ascii="Times New Roman" w:hAnsi="Times New Roman" w:eastAsia="宋体" w:cs="宋体"/>
          <w:b/>
          <w:bCs/>
          <w:color w:val="auto"/>
          <w:sz w:val="24"/>
          <w:szCs w:val="24"/>
          <w:highlight w:val="none"/>
          <w:lang w:eastAsia="zh-CN"/>
        </w:rPr>
        <w:t>、综合评分评审标准</w:t>
      </w:r>
    </w:p>
    <w:p w14:paraId="68C0CDEF">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（一）</w:t>
      </w:r>
      <w:r>
        <w:rPr>
          <w:rFonts w:hint="eastAsia" w:ascii="宋体" w:hAnsi="宋体" w:cs="宋体"/>
          <w:color w:val="auto"/>
          <w:sz w:val="24"/>
          <w:szCs w:val="24"/>
          <w:lang w:val="en-US" w:eastAsia="zh-CN"/>
        </w:rPr>
        <w:t>商务</w:t>
      </w:r>
      <w:r>
        <w:rPr>
          <w:rFonts w:hint="eastAsia" w:ascii="宋体" w:hAnsi="宋体" w:cs="宋体"/>
          <w:color w:val="auto"/>
          <w:sz w:val="24"/>
          <w:szCs w:val="24"/>
        </w:rPr>
        <w:t>技术分（</w:t>
      </w:r>
      <w:r>
        <w:rPr>
          <w:rFonts w:hint="eastAsia" w:ascii="宋体" w:hAnsi="宋体" w:cs="宋体"/>
          <w:color w:val="auto"/>
          <w:sz w:val="24"/>
          <w:szCs w:val="24"/>
          <w:lang w:val="en-US" w:eastAsia="zh-CN"/>
        </w:rPr>
        <w:t>65</w:t>
      </w:r>
      <w:r>
        <w:rPr>
          <w:rFonts w:hint="eastAsia" w:ascii="宋体" w:hAnsi="宋体" w:cs="宋体"/>
          <w:color w:val="auto"/>
          <w:sz w:val="24"/>
          <w:szCs w:val="24"/>
        </w:rPr>
        <w:t>分）</w:t>
      </w:r>
    </w:p>
    <w:p w14:paraId="47A9442F">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供应商技术得分为评审小组成员评分的算术平均分，分值保留小数点后两位。</w:t>
      </w:r>
    </w:p>
    <w:tbl>
      <w:tblPr>
        <w:tblStyle w:val="24"/>
        <w:tblpPr w:leftFromText="180" w:rightFromText="180" w:vertAnchor="text" w:horzAnchor="page" w:tblpX="1434" w:tblpY="539"/>
        <w:tblOverlap w:val="never"/>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30"/>
        <w:gridCol w:w="1395"/>
        <w:gridCol w:w="5437"/>
        <w:gridCol w:w="962"/>
      </w:tblGrid>
      <w:tr w14:paraId="06E9A2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3" w:hRule="atLeast"/>
        </w:trPr>
        <w:tc>
          <w:tcPr>
            <w:tcW w:w="428" w:type="pct"/>
            <w:tcBorders>
              <w:tl2br w:val="nil"/>
              <w:tr2bl w:val="nil"/>
            </w:tcBorders>
            <w:tcMar>
              <w:top w:w="0" w:type="dxa"/>
              <w:left w:w="108" w:type="dxa"/>
              <w:bottom w:w="0" w:type="dxa"/>
              <w:right w:w="108" w:type="dxa"/>
            </w:tcMar>
            <w:vAlign w:val="center"/>
          </w:tcPr>
          <w:p w14:paraId="26D6DACD">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18" w:type="pct"/>
            <w:tcBorders>
              <w:tl2br w:val="nil"/>
              <w:tr2bl w:val="nil"/>
            </w:tcBorders>
            <w:tcMar>
              <w:top w:w="0" w:type="dxa"/>
              <w:left w:w="108" w:type="dxa"/>
              <w:bottom w:w="0" w:type="dxa"/>
              <w:right w:w="108" w:type="dxa"/>
            </w:tcMar>
            <w:vAlign w:val="center"/>
          </w:tcPr>
          <w:p w14:paraId="0556814A">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评分因素</w:t>
            </w:r>
          </w:p>
        </w:tc>
        <w:tc>
          <w:tcPr>
            <w:tcW w:w="3188" w:type="pct"/>
            <w:tcBorders>
              <w:tl2br w:val="nil"/>
              <w:tr2bl w:val="nil"/>
            </w:tcBorders>
            <w:tcMar>
              <w:top w:w="0" w:type="dxa"/>
              <w:left w:w="108" w:type="dxa"/>
              <w:bottom w:w="0" w:type="dxa"/>
              <w:right w:w="108" w:type="dxa"/>
            </w:tcMar>
            <w:vAlign w:val="center"/>
          </w:tcPr>
          <w:p w14:paraId="1C27EF4E">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评审细则</w:t>
            </w:r>
          </w:p>
        </w:tc>
        <w:tc>
          <w:tcPr>
            <w:tcW w:w="564" w:type="pct"/>
            <w:tcBorders>
              <w:tl2br w:val="nil"/>
              <w:tr2bl w:val="nil"/>
            </w:tcBorders>
            <w:tcMar>
              <w:top w:w="0" w:type="dxa"/>
              <w:left w:w="108" w:type="dxa"/>
              <w:bottom w:w="0" w:type="dxa"/>
              <w:right w:w="108" w:type="dxa"/>
            </w:tcMar>
            <w:vAlign w:val="center"/>
          </w:tcPr>
          <w:p w14:paraId="21123421">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r>
      <w:tr w14:paraId="4FA8C4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5" w:hRule="atLeast"/>
        </w:trPr>
        <w:tc>
          <w:tcPr>
            <w:tcW w:w="428" w:type="pct"/>
            <w:tcBorders>
              <w:tl2br w:val="nil"/>
              <w:tr2bl w:val="nil"/>
            </w:tcBorders>
            <w:tcMar>
              <w:top w:w="0" w:type="dxa"/>
              <w:left w:w="108" w:type="dxa"/>
              <w:bottom w:w="0" w:type="dxa"/>
              <w:right w:w="108" w:type="dxa"/>
            </w:tcMar>
            <w:vAlign w:val="center"/>
          </w:tcPr>
          <w:p w14:paraId="0CAF7733">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18" w:type="pct"/>
            <w:tcBorders>
              <w:tl2br w:val="nil"/>
              <w:tr2bl w:val="nil"/>
            </w:tcBorders>
            <w:shd w:val="clear" w:color="auto" w:fill="auto"/>
            <w:tcMar>
              <w:top w:w="0" w:type="dxa"/>
              <w:left w:w="108" w:type="dxa"/>
              <w:bottom w:w="0" w:type="dxa"/>
              <w:right w:w="108" w:type="dxa"/>
            </w:tcMar>
            <w:vAlign w:val="center"/>
          </w:tcPr>
          <w:p w14:paraId="2C5B6897">
            <w:pPr>
              <w:keepNext w:val="0"/>
              <w:keepLines w:val="0"/>
              <w:pageBreakBefore w:val="0"/>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Cs/>
                <w:color w:val="auto"/>
                <w:kern w:val="0"/>
                <w:sz w:val="24"/>
                <w:szCs w:val="24"/>
              </w:rPr>
              <w:t>业绩</w:t>
            </w:r>
          </w:p>
        </w:tc>
        <w:tc>
          <w:tcPr>
            <w:tcW w:w="3188" w:type="pct"/>
            <w:tcBorders>
              <w:tl2br w:val="nil"/>
              <w:tr2bl w:val="nil"/>
            </w:tcBorders>
            <w:shd w:val="clear" w:color="auto" w:fill="auto"/>
            <w:tcMar>
              <w:top w:w="0" w:type="dxa"/>
              <w:left w:w="108" w:type="dxa"/>
              <w:bottom w:w="0" w:type="dxa"/>
              <w:right w:w="108" w:type="dxa"/>
            </w:tcMar>
            <w:vAlign w:val="center"/>
          </w:tcPr>
          <w:p w14:paraId="545C63C1">
            <w:pPr>
              <w:keepNext w:val="0"/>
              <w:keepLines w:val="0"/>
              <w:pageBreakBefore w:val="0"/>
              <w:widowControl/>
              <w:shd w:val="clear"/>
              <w:kinsoku/>
              <w:wordWrap/>
              <w:overflowPunct/>
              <w:topLinePunct w:val="0"/>
              <w:autoSpaceDE/>
              <w:autoSpaceDN/>
              <w:bidi w:val="0"/>
              <w:adjustRightInd/>
              <w:spacing w:line="240" w:lineRule="auto"/>
              <w:ind w:firstLine="0" w:firstLineChars="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供应商提供自2023年1月1日（以合同签订时间为准）以来与本次服务类似项目业绩，每有1个业绩得2分，最多得</w:t>
            </w:r>
            <w:r>
              <w:rPr>
                <w:rFonts w:hint="eastAsia" w:ascii="宋体" w:hAnsi="宋体" w:eastAsia="宋体" w:cs="宋体"/>
                <w:bCs/>
                <w:color w:val="auto"/>
                <w:kern w:val="0"/>
                <w:sz w:val="24"/>
                <w:szCs w:val="24"/>
                <w:lang w:val="en-US" w:eastAsia="zh-CN"/>
              </w:rPr>
              <w:t>10</w:t>
            </w:r>
            <w:r>
              <w:rPr>
                <w:rFonts w:hint="eastAsia" w:ascii="宋体" w:hAnsi="宋体" w:eastAsia="宋体" w:cs="宋体"/>
                <w:bCs/>
                <w:color w:val="auto"/>
                <w:kern w:val="0"/>
                <w:sz w:val="24"/>
                <w:szCs w:val="24"/>
              </w:rPr>
              <w:t>分。</w:t>
            </w:r>
          </w:p>
          <w:p w14:paraId="5DF21FEC">
            <w:pPr>
              <w:keepNext w:val="0"/>
              <w:keepLines w:val="0"/>
              <w:pageBreakBefore w:val="0"/>
              <w:widowControl/>
              <w:numPr>
                <w:ilvl w:val="255"/>
                <w:numId w:val="0"/>
              </w:numPr>
              <w:shd w:val="clear"/>
              <w:kinsoku/>
              <w:wordWrap/>
              <w:overflowPunct/>
              <w:topLinePunct w:val="0"/>
              <w:autoSpaceDE/>
              <w:autoSpaceDN/>
              <w:bidi w:val="0"/>
              <w:adjustRightInd/>
              <w:spacing w:line="240" w:lineRule="auto"/>
              <w:ind w:firstLine="0" w:firstLineChars="0"/>
              <w:jc w:val="left"/>
              <w:textAlignment w:val="auto"/>
              <w:rPr>
                <w:rFonts w:hint="eastAsia" w:ascii="宋体" w:hAnsi="宋体" w:eastAsia="宋体" w:cs="宋体"/>
                <w:bCs/>
                <w:color w:val="auto"/>
                <w:kern w:val="0"/>
                <w:sz w:val="24"/>
                <w:szCs w:val="24"/>
              </w:rPr>
            </w:pPr>
            <w:r>
              <w:rPr>
                <w:rFonts w:hint="eastAsia" w:ascii="宋体" w:hAnsi="宋体" w:eastAsia="宋体" w:cs="宋体"/>
                <w:b/>
                <w:color w:val="auto"/>
                <w:kern w:val="0"/>
                <w:sz w:val="24"/>
                <w:szCs w:val="24"/>
              </w:rPr>
              <w:t>注：提供合同复印件（加盖公章），未提供的不得分。</w:t>
            </w:r>
          </w:p>
        </w:tc>
        <w:tc>
          <w:tcPr>
            <w:tcW w:w="564" w:type="pct"/>
            <w:tcBorders>
              <w:tl2br w:val="nil"/>
              <w:tr2bl w:val="nil"/>
            </w:tcBorders>
            <w:tcMar>
              <w:top w:w="0" w:type="dxa"/>
              <w:left w:w="108" w:type="dxa"/>
              <w:bottom w:w="0" w:type="dxa"/>
              <w:right w:w="108" w:type="dxa"/>
            </w:tcMar>
            <w:vAlign w:val="center"/>
          </w:tcPr>
          <w:p w14:paraId="224D78BE">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p>
        </w:tc>
      </w:tr>
      <w:tr w14:paraId="1952F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5" w:hRule="atLeast"/>
        </w:trPr>
        <w:tc>
          <w:tcPr>
            <w:tcW w:w="428" w:type="pct"/>
            <w:tcBorders>
              <w:tl2br w:val="nil"/>
              <w:tr2bl w:val="nil"/>
            </w:tcBorders>
            <w:tcMar>
              <w:top w:w="0" w:type="dxa"/>
              <w:left w:w="108" w:type="dxa"/>
              <w:bottom w:w="0" w:type="dxa"/>
              <w:right w:w="108" w:type="dxa"/>
            </w:tcMar>
            <w:vAlign w:val="center"/>
          </w:tcPr>
          <w:p w14:paraId="4F04FBA3">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18" w:type="pct"/>
            <w:tcBorders>
              <w:tl2br w:val="nil"/>
              <w:tr2bl w:val="nil"/>
            </w:tcBorders>
            <w:shd w:val="clear" w:color="auto" w:fill="auto"/>
            <w:tcMar>
              <w:top w:w="0" w:type="dxa"/>
              <w:left w:w="108" w:type="dxa"/>
              <w:bottom w:w="0" w:type="dxa"/>
              <w:right w:w="108" w:type="dxa"/>
            </w:tcMar>
            <w:vAlign w:val="center"/>
          </w:tcPr>
          <w:p w14:paraId="0B376503">
            <w:pPr>
              <w:keepNext w:val="0"/>
              <w:keepLines w:val="0"/>
              <w:pageBreakBefore w:val="0"/>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体检设备</w:t>
            </w:r>
          </w:p>
        </w:tc>
        <w:tc>
          <w:tcPr>
            <w:tcW w:w="3188" w:type="pct"/>
            <w:tcBorders>
              <w:tl2br w:val="nil"/>
              <w:tr2bl w:val="nil"/>
            </w:tcBorders>
            <w:shd w:val="clear" w:color="auto" w:fill="auto"/>
            <w:tcMar>
              <w:top w:w="0" w:type="dxa"/>
              <w:left w:w="108" w:type="dxa"/>
              <w:bottom w:w="0" w:type="dxa"/>
              <w:right w:w="108" w:type="dxa"/>
            </w:tcMar>
            <w:vAlign w:val="center"/>
          </w:tcPr>
          <w:p w14:paraId="19AFBF01">
            <w:pPr>
              <w:keepNext w:val="0"/>
              <w:keepLines w:val="0"/>
              <w:pageBreakBefore w:val="0"/>
              <w:widowControl/>
              <w:numPr>
                <w:ilvl w:val="255"/>
                <w:numId w:val="0"/>
              </w:numPr>
              <w:shd w:val="clear"/>
              <w:kinsoku/>
              <w:wordWrap/>
              <w:overflowPunct/>
              <w:topLinePunct w:val="0"/>
              <w:autoSpaceDE/>
              <w:autoSpaceDN/>
              <w:bidi w:val="0"/>
              <w:adjustRightInd/>
              <w:spacing w:line="240" w:lineRule="auto"/>
              <w:ind w:firstLine="0" w:firstLineChars="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1.体检时</w:t>
            </w:r>
            <w:r>
              <w:rPr>
                <w:rFonts w:hint="eastAsia" w:ascii="宋体" w:hAnsi="宋体" w:cs="宋体"/>
                <w:bCs/>
                <w:color w:val="auto"/>
                <w:kern w:val="0"/>
                <w:sz w:val="24"/>
                <w:szCs w:val="24"/>
                <w:lang w:val="en-US" w:eastAsia="zh-CN"/>
              </w:rPr>
              <w:t>至少</w:t>
            </w:r>
            <w:r>
              <w:rPr>
                <w:rFonts w:hint="eastAsia" w:ascii="宋体" w:hAnsi="宋体" w:eastAsia="宋体" w:cs="宋体"/>
                <w:bCs/>
                <w:color w:val="auto"/>
                <w:kern w:val="0"/>
                <w:sz w:val="24"/>
                <w:szCs w:val="24"/>
              </w:rPr>
              <w:t>提供2套符合国家标准的身高计与电子体重秤，在此基础上每多一套得6分，最高得分</w:t>
            </w: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分。</w:t>
            </w:r>
          </w:p>
          <w:p w14:paraId="4A629ABD">
            <w:pPr>
              <w:keepNext w:val="0"/>
              <w:keepLines w:val="0"/>
              <w:pageBreakBefore w:val="0"/>
              <w:widowControl/>
              <w:numPr>
                <w:ilvl w:val="255"/>
                <w:numId w:val="0"/>
              </w:numPr>
              <w:shd w:val="clear"/>
              <w:kinsoku/>
              <w:wordWrap/>
              <w:overflowPunct/>
              <w:topLinePunct w:val="0"/>
              <w:autoSpaceDE/>
              <w:autoSpaceDN/>
              <w:bidi w:val="0"/>
              <w:adjustRightInd/>
              <w:spacing w:line="240" w:lineRule="auto"/>
              <w:ind w:firstLine="0" w:firstLineChars="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2.体检时至少能提供6台符合国家标准的电子血压仪，在此基础上，每多一台得3分，最高得</w:t>
            </w: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分。</w:t>
            </w:r>
          </w:p>
          <w:p w14:paraId="6768214E">
            <w:pPr>
              <w:keepNext w:val="0"/>
              <w:keepLines w:val="0"/>
              <w:pageBreakBefore w:val="0"/>
              <w:widowControl/>
              <w:numPr>
                <w:ilvl w:val="255"/>
                <w:numId w:val="0"/>
              </w:numPr>
              <w:shd w:val="clear"/>
              <w:kinsoku/>
              <w:wordWrap/>
              <w:overflowPunct/>
              <w:topLinePunct w:val="0"/>
              <w:autoSpaceDE/>
              <w:autoSpaceDN/>
              <w:bidi w:val="0"/>
              <w:adjustRightInd/>
              <w:spacing w:line="240" w:lineRule="auto"/>
              <w:ind w:firstLine="0" w:firstLineChars="0"/>
              <w:jc w:val="left"/>
              <w:textAlignment w:val="auto"/>
              <w:rPr>
                <w:rFonts w:hint="default"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rPr>
              <w:t>注：提供设备清单（包含不限于设备名称、型号、数量），否则不得分。</w:t>
            </w:r>
          </w:p>
        </w:tc>
        <w:tc>
          <w:tcPr>
            <w:tcW w:w="564" w:type="pct"/>
            <w:tcBorders>
              <w:tl2br w:val="nil"/>
              <w:tr2bl w:val="nil"/>
            </w:tcBorders>
            <w:tcMar>
              <w:top w:w="0" w:type="dxa"/>
              <w:left w:w="108" w:type="dxa"/>
              <w:bottom w:w="0" w:type="dxa"/>
              <w:right w:w="108" w:type="dxa"/>
            </w:tcMar>
            <w:vAlign w:val="center"/>
          </w:tcPr>
          <w:p w14:paraId="537049B4">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p>
        </w:tc>
      </w:tr>
      <w:tr w14:paraId="0025B2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5" w:hRule="atLeast"/>
        </w:trPr>
        <w:tc>
          <w:tcPr>
            <w:tcW w:w="428" w:type="pct"/>
            <w:tcBorders>
              <w:tl2br w:val="nil"/>
              <w:tr2bl w:val="nil"/>
            </w:tcBorders>
            <w:tcMar>
              <w:top w:w="0" w:type="dxa"/>
              <w:left w:w="108" w:type="dxa"/>
              <w:bottom w:w="0" w:type="dxa"/>
              <w:right w:w="108" w:type="dxa"/>
            </w:tcMar>
            <w:vAlign w:val="center"/>
          </w:tcPr>
          <w:p w14:paraId="69DECEC1">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18" w:type="pct"/>
            <w:tcBorders>
              <w:tl2br w:val="nil"/>
              <w:tr2bl w:val="nil"/>
            </w:tcBorders>
            <w:shd w:val="clear" w:color="auto" w:fill="auto"/>
            <w:tcMar>
              <w:top w:w="0" w:type="dxa"/>
              <w:left w:w="108" w:type="dxa"/>
              <w:bottom w:w="0" w:type="dxa"/>
              <w:right w:w="108" w:type="dxa"/>
            </w:tcMar>
            <w:vAlign w:val="center"/>
          </w:tcPr>
          <w:p w14:paraId="1D51F77A">
            <w:pPr>
              <w:keepNext w:val="0"/>
              <w:keepLines w:val="0"/>
              <w:pageBreakBefore w:val="0"/>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bCs/>
                <w:color w:val="auto"/>
                <w:kern w:val="0"/>
                <w:sz w:val="24"/>
                <w:szCs w:val="24"/>
              </w:rPr>
            </w:pPr>
            <w:r>
              <w:rPr>
                <w:rFonts w:hint="eastAsia" w:ascii="宋体" w:hAnsi="宋体" w:eastAsia="宋体" w:cs="宋体"/>
                <w:color w:val="auto"/>
                <w:sz w:val="24"/>
                <w:szCs w:val="24"/>
                <w:shd w:val="clear" w:color="auto" w:fill="FFFFFF"/>
              </w:rPr>
              <w:t>服务人员</w:t>
            </w:r>
          </w:p>
        </w:tc>
        <w:tc>
          <w:tcPr>
            <w:tcW w:w="3188" w:type="pct"/>
            <w:tcBorders>
              <w:tl2br w:val="nil"/>
              <w:tr2bl w:val="nil"/>
            </w:tcBorders>
            <w:shd w:val="clear" w:color="auto" w:fill="auto"/>
            <w:tcMar>
              <w:top w:w="0" w:type="dxa"/>
              <w:left w:w="108" w:type="dxa"/>
              <w:bottom w:w="0" w:type="dxa"/>
              <w:right w:w="108" w:type="dxa"/>
            </w:tcMar>
            <w:vAlign w:val="center"/>
          </w:tcPr>
          <w:p w14:paraId="2085A262">
            <w:pPr>
              <w:keepNext w:val="0"/>
              <w:keepLines w:val="0"/>
              <w:pageBreakBefore w:val="0"/>
              <w:shd w:val="clear"/>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1.皮试人员至少配置5人，在此基础上，每多1人得2分，最高得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r>
              <w:rPr>
                <w:rFonts w:hint="eastAsia" w:ascii="宋体" w:hAnsi="宋体" w:cs="宋体"/>
                <w:color w:val="auto"/>
                <w:sz w:val="24"/>
                <w:szCs w:val="24"/>
                <w:lang w:eastAsia="zh-CN"/>
              </w:rPr>
              <w:t>。</w:t>
            </w:r>
          </w:p>
          <w:p w14:paraId="346EAE48">
            <w:pPr>
              <w:keepNext w:val="0"/>
              <w:keepLines w:val="0"/>
              <w:pageBreakBefore w:val="0"/>
              <w:shd w:val="clear"/>
              <w:kinsoku/>
              <w:wordWrap/>
              <w:overflowPunct/>
              <w:topLinePunct w:val="0"/>
              <w:autoSpaceDE/>
              <w:autoSpaceDN/>
              <w:bidi w:val="0"/>
              <w:adjustRightInd/>
              <w:spacing w:line="240" w:lineRule="auto"/>
              <w:ind w:firstLine="0" w:firstLineChars="0"/>
              <w:textAlignment w:val="auto"/>
              <w:rPr>
                <w:color w:val="auto"/>
              </w:rPr>
            </w:pPr>
            <w:r>
              <w:rPr>
                <w:rFonts w:hint="eastAsia" w:ascii="宋体" w:hAnsi="宋体" w:eastAsia="宋体" w:cs="宋体"/>
                <w:color w:val="auto"/>
                <w:sz w:val="24"/>
                <w:szCs w:val="24"/>
              </w:rPr>
              <w:t>2.本项目体检时配置的内科医生至少4人，外科医生至少2人（男、女各一），在此基础上，每多一人得2分，最高得6分。</w:t>
            </w:r>
          </w:p>
          <w:p w14:paraId="1F1C2163">
            <w:pPr>
              <w:keepNext w:val="0"/>
              <w:keepLines w:val="0"/>
              <w:pageBreakBefore w:val="0"/>
              <w:shd w:val="clear"/>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.本项目拟派人员中有副主任医师及以上职称，有1人得1分，最高得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分，提供证明材料。</w:t>
            </w:r>
          </w:p>
          <w:p w14:paraId="00A935D8">
            <w:pPr>
              <w:keepNext w:val="0"/>
              <w:keepLines w:val="0"/>
              <w:pageBreakBefore w:val="0"/>
              <w:shd w:val="clear"/>
              <w:kinsoku/>
              <w:wordWrap/>
              <w:overflowPunct/>
              <w:topLinePunct w:val="0"/>
              <w:autoSpaceDE/>
              <w:autoSpaceDN/>
              <w:bidi w:val="0"/>
              <w:adjustRightInd/>
              <w:snapToGrid w:val="0"/>
              <w:spacing w:line="240" w:lineRule="auto"/>
              <w:ind w:firstLine="0" w:firstLineChars="0"/>
              <w:jc w:val="left"/>
              <w:textAlignment w:val="auto"/>
              <w:outlineLvl w:val="1"/>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.本项目拟派人员中有主治医师，有1人得1分，最高得</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分，提供证明材料。</w:t>
            </w:r>
          </w:p>
          <w:p w14:paraId="3F7A8C59">
            <w:pPr>
              <w:keepNext w:val="0"/>
              <w:keepLines w:val="0"/>
              <w:pageBreakBefore w:val="0"/>
              <w:widowControl/>
              <w:numPr>
                <w:ilvl w:val="255"/>
                <w:numId w:val="0"/>
              </w:numPr>
              <w:shd w:val="clear"/>
              <w:kinsoku/>
              <w:wordWrap/>
              <w:overflowPunct/>
              <w:topLinePunct w:val="0"/>
              <w:autoSpaceDE/>
              <w:autoSpaceDN/>
              <w:bidi w:val="0"/>
              <w:adjustRightInd/>
              <w:spacing w:line="240" w:lineRule="auto"/>
              <w:ind w:firstLine="0" w:firstLineChars="0"/>
              <w:jc w:val="left"/>
              <w:textAlignment w:val="auto"/>
              <w:rPr>
                <w:rFonts w:hint="eastAsia" w:ascii="宋体" w:hAnsi="宋体" w:eastAsia="宋体" w:cs="宋体"/>
                <w:bCs/>
                <w:color w:val="auto"/>
                <w:kern w:val="0"/>
                <w:sz w:val="24"/>
                <w:szCs w:val="24"/>
              </w:rPr>
            </w:pPr>
            <w:r>
              <w:rPr>
                <w:rFonts w:hint="eastAsia" w:ascii="宋体" w:hAnsi="宋体" w:eastAsia="宋体" w:cs="宋体"/>
                <w:b/>
                <w:bCs/>
                <w:color w:val="auto"/>
                <w:sz w:val="24"/>
                <w:szCs w:val="24"/>
              </w:rPr>
              <w:t>注：响应文件中须附有具体人员安排表及上述</w:t>
            </w:r>
            <w:r>
              <w:rPr>
                <w:rFonts w:hint="eastAsia" w:ascii="宋体" w:hAnsi="宋体" w:cs="宋体"/>
                <w:b/>
                <w:bCs/>
                <w:color w:val="auto"/>
                <w:sz w:val="24"/>
                <w:szCs w:val="24"/>
                <w:lang w:val="en-US" w:eastAsia="zh-CN"/>
              </w:rPr>
              <w:t>人员2026年1月以来任意一个月的社保缴费</w:t>
            </w:r>
            <w:r>
              <w:rPr>
                <w:rFonts w:hint="eastAsia" w:ascii="宋体" w:hAnsi="宋体" w:eastAsia="宋体" w:cs="宋体"/>
                <w:b/>
                <w:bCs/>
                <w:color w:val="auto"/>
                <w:sz w:val="24"/>
                <w:szCs w:val="24"/>
              </w:rPr>
              <w:t>证明材料，否则不得分。</w:t>
            </w:r>
          </w:p>
        </w:tc>
        <w:tc>
          <w:tcPr>
            <w:tcW w:w="564" w:type="pct"/>
            <w:tcBorders>
              <w:tl2br w:val="nil"/>
              <w:tr2bl w:val="nil"/>
            </w:tcBorders>
            <w:tcMar>
              <w:top w:w="0" w:type="dxa"/>
              <w:left w:w="108" w:type="dxa"/>
              <w:bottom w:w="0" w:type="dxa"/>
              <w:right w:w="108" w:type="dxa"/>
            </w:tcMar>
            <w:vAlign w:val="center"/>
          </w:tcPr>
          <w:p w14:paraId="25E28BCD">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w:t>
            </w:r>
          </w:p>
        </w:tc>
      </w:tr>
      <w:tr w14:paraId="3F25C2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428" w:type="pct"/>
            <w:tcBorders>
              <w:tl2br w:val="nil"/>
              <w:tr2bl w:val="nil"/>
            </w:tcBorders>
            <w:tcMar>
              <w:top w:w="0" w:type="dxa"/>
              <w:left w:w="108" w:type="dxa"/>
              <w:bottom w:w="0" w:type="dxa"/>
              <w:right w:w="108" w:type="dxa"/>
            </w:tcMar>
            <w:vAlign w:val="center"/>
          </w:tcPr>
          <w:p w14:paraId="3230C39E">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18" w:type="pct"/>
            <w:tcBorders>
              <w:tl2br w:val="nil"/>
              <w:tr2bl w:val="nil"/>
            </w:tcBorders>
            <w:shd w:val="clear" w:color="auto" w:fill="auto"/>
            <w:tcMar>
              <w:top w:w="0" w:type="dxa"/>
              <w:left w:w="108" w:type="dxa"/>
              <w:bottom w:w="0" w:type="dxa"/>
              <w:right w:w="108" w:type="dxa"/>
            </w:tcMar>
            <w:vAlign w:val="center"/>
          </w:tcPr>
          <w:p w14:paraId="3A0BAEB6">
            <w:pPr>
              <w:keepNext w:val="0"/>
              <w:keepLines w:val="0"/>
              <w:pageBreakBefore w:val="0"/>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服务质量保障措施</w:t>
            </w:r>
          </w:p>
          <w:p w14:paraId="6E5CA2DA">
            <w:pPr>
              <w:keepNext w:val="0"/>
              <w:keepLines w:val="0"/>
              <w:pageBreakBefore w:val="0"/>
              <w:widowControl/>
              <w:shd w:val="clear"/>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0"/>
                <w:sz w:val="24"/>
                <w:szCs w:val="24"/>
              </w:rPr>
            </w:pPr>
          </w:p>
        </w:tc>
        <w:tc>
          <w:tcPr>
            <w:tcW w:w="3188" w:type="pct"/>
            <w:tcBorders>
              <w:tl2br w:val="nil"/>
              <w:tr2bl w:val="nil"/>
            </w:tcBorders>
            <w:shd w:val="clear" w:color="auto" w:fill="auto"/>
            <w:tcMar>
              <w:top w:w="0" w:type="dxa"/>
              <w:left w:w="108" w:type="dxa"/>
              <w:bottom w:w="0" w:type="dxa"/>
              <w:right w:w="108" w:type="dxa"/>
            </w:tcMar>
            <w:vAlign w:val="center"/>
          </w:tcPr>
          <w:p w14:paraId="03B1F27C">
            <w:pPr>
              <w:keepNext w:val="0"/>
              <w:keepLines w:val="0"/>
              <w:pageBreakBefore w:val="0"/>
              <w:widowControl/>
              <w:numPr>
                <w:ilvl w:val="255"/>
                <w:numId w:val="0"/>
              </w:numPr>
              <w:shd w:val="clear"/>
              <w:kinsoku/>
              <w:wordWrap/>
              <w:overflowPunct/>
              <w:topLinePunct w:val="0"/>
              <w:autoSpaceDE/>
              <w:autoSpaceDN/>
              <w:bidi w:val="0"/>
              <w:adjustRightInd/>
              <w:spacing w:line="240" w:lineRule="auto"/>
              <w:ind w:firstLine="0" w:firstLineChars="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供应商针对本项目的服务质量（包括但不限于体检流程、检查操作规范性、体检结果准确性、体检报告异常分析、疾病诊断等）保障措施内容全面完整、科学规范、切实可行，针对性强，完全满足采购人实际需求的，得</w:t>
            </w:r>
            <w:r>
              <w:rPr>
                <w:rFonts w:hint="eastAsia" w:ascii="宋体" w:hAnsi="宋体" w:eastAsia="宋体" w:cs="宋体"/>
                <w:bCs/>
                <w:color w:val="auto"/>
                <w:kern w:val="0"/>
                <w:sz w:val="24"/>
                <w:szCs w:val="24"/>
                <w:lang w:val="en-US" w:eastAsia="zh-CN"/>
              </w:rPr>
              <w:t>18</w:t>
            </w:r>
            <w:r>
              <w:rPr>
                <w:rFonts w:hint="eastAsia" w:ascii="宋体" w:hAnsi="宋体" w:eastAsia="宋体" w:cs="宋体"/>
                <w:bCs/>
                <w:color w:val="auto"/>
                <w:kern w:val="0"/>
                <w:sz w:val="24"/>
                <w:szCs w:val="24"/>
              </w:rPr>
              <w:t xml:space="preserve">分； </w:t>
            </w:r>
          </w:p>
          <w:p w14:paraId="66680D59">
            <w:pPr>
              <w:keepNext w:val="0"/>
              <w:keepLines w:val="0"/>
              <w:pageBreakBefore w:val="0"/>
              <w:widowControl/>
              <w:numPr>
                <w:ilvl w:val="255"/>
                <w:numId w:val="0"/>
              </w:numPr>
              <w:shd w:val="clear"/>
              <w:kinsoku/>
              <w:wordWrap/>
              <w:overflowPunct/>
              <w:topLinePunct w:val="0"/>
              <w:autoSpaceDE/>
              <w:autoSpaceDN/>
              <w:bidi w:val="0"/>
              <w:adjustRightInd/>
              <w:spacing w:line="240" w:lineRule="auto"/>
              <w:ind w:firstLine="0" w:firstLineChars="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供应商针对本项目的服务质量（包含但不限于体检 流程、检查操作规范性、体检结果准确性、体检报告异常分析、疾病诊断等）保障措施内容基本完整，可行性一般，针对性一般，基本满足采购人实际需求的，得</w:t>
            </w:r>
            <w:r>
              <w:rPr>
                <w:rFonts w:hint="eastAsia" w:ascii="宋体" w:hAnsi="宋体" w:eastAsia="宋体" w:cs="宋体"/>
                <w:bCs/>
                <w:color w:val="auto"/>
                <w:kern w:val="0"/>
                <w:sz w:val="24"/>
                <w:szCs w:val="24"/>
                <w:lang w:val="en-US" w:eastAsia="zh-CN"/>
              </w:rPr>
              <w:t>14</w:t>
            </w:r>
            <w:r>
              <w:rPr>
                <w:rFonts w:hint="eastAsia" w:ascii="宋体" w:hAnsi="宋体" w:eastAsia="宋体" w:cs="宋体"/>
                <w:bCs/>
                <w:color w:val="auto"/>
                <w:kern w:val="0"/>
                <w:sz w:val="24"/>
                <w:szCs w:val="24"/>
              </w:rPr>
              <w:t xml:space="preserve">分； </w:t>
            </w:r>
          </w:p>
          <w:p w14:paraId="20C02811">
            <w:pPr>
              <w:keepNext w:val="0"/>
              <w:keepLines w:val="0"/>
              <w:pageBreakBefore w:val="0"/>
              <w:widowControl/>
              <w:numPr>
                <w:ilvl w:val="255"/>
                <w:numId w:val="0"/>
              </w:numPr>
              <w:shd w:val="clear"/>
              <w:kinsoku/>
              <w:wordWrap/>
              <w:overflowPunct/>
              <w:topLinePunct w:val="0"/>
              <w:autoSpaceDE/>
              <w:autoSpaceDN/>
              <w:bidi w:val="0"/>
              <w:adjustRightInd/>
              <w:spacing w:line="240" w:lineRule="auto"/>
              <w:ind w:firstLine="0" w:firstLineChars="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供应商针对本项目的服务质量（包含但不限于体检流程、检查操作规范性、体检结果准确性、体检报告异常分析、疾病诊断等）保障措施内容有缺陷，可行性、针对性差的，得</w:t>
            </w:r>
            <w:r>
              <w:rPr>
                <w:rFonts w:hint="eastAsia" w:ascii="宋体" w:hAnsi="宋体" w:eastAsia="宋体" w:cs="宋体"/>
                <w:bCs/>
                <w:color w:val="auto"/>
                <w:kern w:val="0"/>
                <w:sz w:val="24"/>
                <w:szCs w:val="24"/>
                <w:lang w:val="en-US" w:eastAsia="zh-CN"/>
              </w:rPr>
              <w:t>10</w:t>
            </w:r>
            <w:r>
              <w:rPr>
                <w:rFonts w:hint="eastAsia" w:ascii="宋体" w:hAnsi="宋体" w:eastAsia="宋体" w:cs="宋体"/>
                <w:bCs/>
                <w:color w:val="auto"/>
                <w:kern w:val="0"/>
                <w:sz w:val="24"/>
                <w:szCs w:val="24"/>
              </w:rPr>
              <w:t xml:space="preserve">分； </w:t>
            </w:r>
          </w:p>
          <w:p w14:paraId="61B8B509">
            <w:pPr>
              <w:keepNext w:val="0"/>
              <w:keepLines w:val="0"/>
              <w:pageBreakBefore w:val="0"/>
              <w:widowControl/>
              <w:numPr>
                <w:ilvl w:val="255"/>
                <w:numId w:val="0"/>
              </w:numPr>
              <w:shd w:val="clear"/>
              <w:kinsoku/>
              <w:wordWrap/>
              <w:overflowPunct/>
              <w:topLinePunct w:val="0"/>
              <w:autoSpaceDE/>
              <w:autoSpaceDN/>
              <w:bidi w:val="0"/>
              <w:adjustRightInd/>
              <w:spacing w:line="240" w:lineRule="auto"/>
              <w:ind w:firstLine="0" w:firstLineChars="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供应商未针对本项目提出服务质量（包含但不限于体检流程、检查操作规范性、体检结果准确性、体检报告异常分析、疾病诊断等）保障措施承诺差的，得</w:t>
            </w: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分。</w:t>
            </w:r>
          </w:p>
          <w:p w14:paraId="33917488">
            <w:pPr>
              <w:keepNext w:val="0"/>
              <w:keepLines w:val="0"/>
              <w:pageBreakBefore w:val="0"/>
              <w:shd w:val="clear"/>
              <w:kinsoku/>
              <w:wordWrap/>
              <w:overflowPunct/>
              <w:topLinePunct w:val="0"/>
              <w:autoSpaceDE/>
              <w:autoSpaceDN/>
              <w:bidi w:val="0"/>
              <w:adjustRightInd/>
              <w:spacing w:line="240" w:lineRule="auto"/>
              <w:ind w:firstLine="0" w:firstLineChars="0"/>
              <w:textAlignment w:val="auto"/>
              <w:rPr>
                <w:rFonts w:hint="eastAsia" w:ascii="宋体" w:hAnsi="宋体" w:eastAsia="宋体" w:cs="宋体"/>
                <w:bCs/>
                <w:color w:val="auto"/>
                <w:kern w:val="0"/>
                <w:sz w:val="24"/>
                <w:szCs w:val="24"/>
              </w:rPr>
            </w:pPr>
            <w:r>
              <w:rPr>
                <w:rFonts w:hint="eastAsia" w:ascii="宋体" w:hAnsi="宋体" w:eastAsia="宋体" w:cs="宋体"/>
                <w:b/>
                <w:color w:val="auto"/>
                <w:kern w:val="0"/>
                <w:sz w:val="24"/>
                <w:szCs w:val="24"/>
              </w:rPr>
              <w:t>注：未提供</w:t>
            </w:r>
            <w:r>
              <w:rPr>
                <w:rFonts w:hint="eastAsia" w:ascii="宋体" w:hAnsi="宋体" w:eastAsia="宋体" w:cs="宋体"/>
                <w:b/>
                <w:color w:val="auto"/>
                <w:sz w:val="24"/>
                <w:szCs w:val="24"/>
              </w:rPr>
              <w:t>服务质量保障措施</w:t>
            </w:r>
            <w:r>
              <w:rPr>
                <w:rFonts w:hint="eastAsia" w:ascii="宋体" w:hAnsi="宋体" w:eastAsia="宋体" w:cs="宋体"/>
                <w:b/>
                <w:color w:val="auto"/>
                <w:kern w:val="0"/>
                <w:sz w:val="24"/>
                <w:szCs w:val="24"/>
              </w:rPr>
              <w:t>的不得分。</w:t>
            </w:r>
          </w:p>
        </w:tc>
        <w:tc>
          <w:tcPr>
            <w:tcW w:w="564" w:type="pct"/>
            <w:tcBorders>
              <w:tl2br w:val="nil"/>
              <w:tr2bl w:val="nil"/>
            </w:tcBorders>
            <w:tcMar>
              <w:top w:w="0" w:type="dxa"/>
              <w:left w:w="108" w:type="dxa"/>
              <w:bottom w:w="0" w:type="dxa"/>
              <w:right w:w="108" w:type="dxa"/>
            </w:tcMar>
            <w:vAlign w:val="center"/>
          </w:tcPr>
          <w:p w14:paraId="02DF7F64">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r>
      <w:tr w14:paraId="0C946C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8" w:hRule="atLeast"/>
        </w:trPr>
        <w:tc>
          <w:tcPr>
            <w:tcW w:w="428" w:type="pct"/>
            <w:tcBorders>
              <w:tl2br w:val="nil"/>
              <w:tr2bl w:val="nil"/>
            </w:tcBorders>
            <w:tcMar>
              <w:top w:w="0" w:type="dxa"/>
              <w:left w:w="108" w:type="dxa"/>
              <w:bottom w:w="0" w:type="dxa"/>
              <w:right w:w="108" w:type="dxa"/>
            </w:tcMar>
            <w:vAlign w:val="center"/>
          </w:tcPr>
          <w:p w14:paraId="16C30E40">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4006" w:type="pct"/>
            <w:gridSpan w:val="2"/>
            <w:tcBorders>
              <w:tl2br w:val="nil"/>
              <w:tr2bl w:val="nil"/>
            </w:tcBorders>
            <w:tcMar>
              <w:top w:w="0" w:type="dxa"/>
              <w:left w:w="108" w:type="dxa"/>
              <w:bottom w:w="0" w:type="dxa"/>
              <w:right w:w="108" w:type="dxa"/>
            </w:tcMar>
            <w:vAlign w:val="center"/>
          </w:tcPr>
          <w:p w14:paraId="7A7B2BD0">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564" w:type="pct"/>
            <w:tcBorders>
              <w:tl2br w:val="nil"/>
              <w:tr2bl w:val="nil"/>
            </w:tcBorders>
            <w:tcMar>
              <w:top w:w="0" w:type="dxa"/>
              <w:left w:w="108" w:type="dxa"/>
              <w:bottom w:w="0" w:type="dxa"/>
              <w:right w:w="108" w:type="dxa"/>
            </w:tcMar>
            <w:vAlign w:val="center"/>
          </w:tcPr>
          <w:p w14:paraId="37210D0A">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w:t>
            </w:r>
          </w:p>
        </w:tc>
      </w:tr>
    </w:tbl>
    <w:p w14:paraId="4BF9C7DE">
      <w:pPr>
        <w:keepNext w:val="0"/>
        <w:keepLines w:val="0"/>
        <w:pageBreakBefore w:val="0"/>
        <w:numPr>
          <w:ilvl w:val="255"/>
          <w:numId w:val="0"/>
        </w:numPr>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（二）价格分（</w:t>
      </w:r>
      <w:r>
        <w:rPr>
          <w:rFonts w:hint="eastAsia" w:ascii="宋体" w:hAnsi="宋体" w:cs="宋体"/>
          <w:color w:val="auto"/>
          <w:sz w:val="24"/>
          <w:szCs w:val="24"/>
          <w:lang w:val="en-US" w:eastAsia="zh-CN"/>
        </w:rPr>
        <w:t>35</w:t>
      </w:r>
      <w:r>
        <w:rPr>
          <w:rFonts w:hint="eastAsia" w:ascii="宋体" w:hAnsi="宋体" w:cs="宋体"/>
          <w:color w:val="auto"/>
          <w:sz w:val="24"/>
          <w:szCs w:val="24"/>
        </w:rPr>
        <w:t>分）</w:t>
      </w:r>
    </w:p>
    <w:p w14:paraId="46FE6212">
      <w:pPr>
        <w:keepNext w:val="0"/>
        <w:keepLines w:val="0"/>
        <w:pageBreakBefore w:val="0"/>
        <w:shd w:val="clear"/>
        <w:overflowPunct/>
        <w:bidi w:val="0"/>
        <w:snapToGrid w:val="0"/>
        <w:spacing w:line="360" w:lineRule="auto"/>
        <w:ind w:left="0" w:leftChars="0" w:firstLine="480" w:firstLineChars="200"/>
        <w:jc w:val="both"/>
        <w:rPr>
          <w:rFonts w:hint="eastAsia" w:cs="宋体"/>
          <w:b/>
          <w:bCs/>
          <w:color w:val="auto"/>
          <w:sz w:val="24"/>
          <w:szCs w:val="24"/>
          <w:highlight w:val="none"/>
        </w:rPr>
      </w:pPr>
      <w:r>
        <w:rPr>
          <w:rFonts w:hint="eastAsia" w:cs="宋体"/>
          <w:color w:val="auto"/>
          <w:sz w:val="24"/>
          <w:szCs w:val="24"/>
        </w:rPr>
        <w:t>1.</w:t>
      </w:r>
      <w:r>
        <w:rPr>
          <w:rFonts w:hint="eastAsia" w:cs="宋体"/>
          <w:b/>
          <w:bCs/>
          <w:color w:val="auto"/>
          <w:sz w:val="24"/>
          <w:szCs w:val="24"/>
        </w:rPr>
        <w:t>本项目单价最高限价：常规体检（含第二学期视力）22元/人，EC皮试25元/人。</w:t>
      </w:r>
    </w:p>
    <w:p w14:paraId="5B3473E4">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2.确定有效报价：响应报价小于等于最高限价的为有效报价</w:t>
      </w:r>
      <w:r>
        <w:rPr>
          <w:rFonts w:hint="eastAsia" w:ascii="宋体" w:hAnsi="宋体" w:cs="宋体"/>
          <w:color w:val="auto"/>
          <w:sz w:val="24"/>
          <w:szCs w:val="24"/>
          <w:lang w:eastAsia="zh-CN"/>
        </w:rPr>
        <w:t>，</w:t>
      </w:r>
      <w:r>
        <w:rPr>
          <w:rFonts w:hint="eastAsia" w:ascii="宋体" w:hAnsi="宋体" w:cs="宋体"/>
          <w:color w:val="auto"/>
          <w:sz w:val="24"/>
          <w:szCs w:val="24"/>
        </w:rPr>
        <w:t>响应报价大于最高限价的作</w:t>
      </w:r>
      <w:r>
        <w:rPr>
          <w:rFonts w:hint="eastAsia" w:ascii="宋体" w:hAnsi="宋体" w:cs="宋体"/>
          <w:color w:val="auto"/>
          <w:sz w:val="24"/>
          <w:szCs w:val="24"/>
          <w:lang w:val="en-US" w:eastAsia="zh-CN"/>
        </w:rPr>
        <w:t>无效响应</w:t>
      </w:r>
      <w:r>
        <w:rPr>
          <w:rFonts w:hint="eastAsia" w:ascii="宋体" w:hAnsi="宋体" w:cs="宋体"/>
          <w:color w:val="auto"/>
          <w:sz w:val="24"/>
          <w:szCs w:val="24"/>
        </w:rPr>
        <w:t>处理。</w:t>
      </w:r>
    </w:p>
    <w:p w14:paraId="4EF4F195">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评</w:t>
      </w:r>
      <w:r>
        <w:rPr>
          <w:rFonts w:hint="eastAsia" w:ascii="宋体" w:hAnsi="宋体" w:cs="宋体"/>
          <w:color w:val="auto"/>
          <w:sz w:val="24"/>
          <w:szCs w:val="24"/>
          <w:lang w:val="en-US" w:eastAsia="zh-CN"/>
        </w:rPr>
        <w:t>审</w:t>
      </w:r>
      <w:r>
        <w:rPr>
          <w:rFonts w:hint="eastAsia" w:ascii="宋体" w:hAnsi="宋体" w:cs="宋体"/>
          <w:color w:val="auto"/>
          <w:sz w:val="24"/>
          <w:szCs w:val="24"/>
        </w:rPr>
        <w:t>结束后，除确认存在计算错误外，评标基准价不因采购活动当事人质疑、投诉、复议以及其他任何情形而改变。</w:t>
      </w:r>
    </w:p>
    <w:p w14:paraId="25E4C10A">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.计算报价得分</w:t>
      </w:r>
    </w:p>
    <w:p w14:paraId="53CE634A">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（1）只有通过资格审查及商务技术标评审，且价格标满足本项目比选文件要求后方可参加后续价格标的评审。</w:t>
      </w:r>
    </w:p>
    <w:p w14:paraId="2FC3F2BD">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（2）价格分采用低价优先法计算，即满足比选文件要求且响应报价最低的为评</w:t>
      </w:r>
      <w:r>
        <w:rPr>
          <w:rFonts w:hint="eastAsia" w:ascii="宋体" w:hAnsi="宋体" w:cs="宋体"/>
          <w:color w:val="auto"/>
          <w:sz w:val="24"/>
          <w:szCs w:val="24"/>
          <w:lang w:val="en-US" w:eastAsia="zh-CN"/>
        </w:rPr>
        <w:t>审</w:t>
      </w:r>
      <w:r>
        <w:rPr>
          <w:rFonts w:hint="eastAsia" w:ascii="宋体" w:hAnsi="宋体" w:cs="宋体"/>
          <w:color w:val="auto"/>
          <w:sz w:val="24"/>
          <w:szCs w:val="24"/>
        </w:rPr>
        <w:t>基准价，其对应价格分为满分。其他供应商的价格分统一按照下列公式计算：</w:t>
      </w:r>
    </w:p>
    <w:p w14:paraId="53360B97">
      <w:pPr>
        <w:keepNext w:val="0"/>
        <w:keepLines w:val="0"/>
        <w:pageBreakBefore w:val="0"/>
        <w:shd w:val="clear"/>
        <w:overflowPunct/>
        <w:bidi w:val="0"/>
        <w:snapToGrid w:val="0"/>
        <w:spacing w:line="360" w:lineRule="auto"/>
        <w:ind w:left="0" w:leftChars="0" w:firstLine="482" w:firstLineChars="20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常规体检（含第二学期视力）报价得分=（评</w:t>
      </w:r>
      <w:r>
        <w:rPr>
          <w:rFonts w:hint="eastAsia" w:ascii="宋体" w:hAnsi="宋体" w:cs="宋体"/>
          <w:b/>
          <w:bCs/>
          <w:color w:val="auto"/>
          <w:sz w:val="24"/>
          <w:szCs w:val="24"/>
          <w:lang w:val="en-US" w:eastAsia="zh-CN"/>
        </w:rPr>
        <w:t>审</w:t>
      </w:r>
      <w:r>
        <w:rPr>
          <w:rFonts w:hint="eastAsia" w:ascii="宋体" w:hAnsi="宋体" w:eastAsia="宋体" w:cs="宋体"/>
          <w:b/>
          <w:bCs/>
          <w:color w:val="auto"/>
          <w:sz w:val="24"/>
          <w:szCs w:val="24"/>
          <w:lang w:val="en-US" w:eastAsia="zh-CN"/>
        </w:rPr>
        <w:t>基准价/响应报价）×25</w:t>
      </w:r>
    </w:p>
    <w:p w14:paraId="1CA2A809">
      <w:pPr>
        <w:keepNext w:val="0"/>
        <w:keepLines w:val="0"/>
        <w:pageBreakBefore w:val="0"/>
        <w:shd w:val="clear"/>
        <w:overflowPunct/>
        <w:bidi w:val="0"/>
        <w:snapToGrid w:val="0"/>
        <w:spacing w:line="360" w:lineRule="auto"/>
        <w:ind w:left="0" w:leftChars="0" w:firstLine="482" w:firstLineChars="20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EC皮试报价得分=（评</w:t>
      </w:r>
      <w:r>
        <w:rPr>
          <w:rFonts w:hint="eastAsia" w:ascii="宋体" w:hAnsi="宋体" w:cs="宋体"/>
          <w:b/>
          <w:bCs/>
          <w:color w:val="auto"/>
          <w:sz w:val="24"/>
          <w:szCs w:val="24"/>
          <w:lang w:val="en-US" w:eastAsia="zh-CN"/>
        </w:rPr>
        <w:t>审</w:t>
      </w:r>
      <w:r>
        <w:rPr>
          <w:rFonts w:hint="eastAsia" w:ascii="宋体" w:hAnsi="宋体" w:eastAsia="宋体" w:cs="宋体"/>
          <w:b/>
          <w:bCs/>
          <w:color w:val="auto"/>
          <w:sz w:val="24"/>
          <w:szCs w:val="24"/>
          <w:lang w:val="en-US" w:eastAsia="zh-CN"/>
        </w:rPr>
        <w:t>基准价/响应报价）×10</w:t>
      </w:r>
    </w:p>
    <w:p w14:paraId="7F5BC284">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三</w:t>
      </w:r>
      <w:r>
        <w:rPr>
          <w:rFonts w:hint="eastAsia" w:ascii="宋体" w:hAnsi="宋体" w:cs="宋体"/>
          <w:color w:val="auto"/>
          <w:sz w:val="24"/>
          <w:szCs w:val="24"/>
        </w:rPr>
        <w:t>）供应商</w:t>
      </w:r>
      <w:r>
        <w:rPr>
          <w:rFonts w:hint="eastAsia" w:ascii="宋体" w:hAnsi="宋体" w:cs="宋体"/>
          <w:color w:val="auto"/>
          <w:sz w:val="24"/>
          <w:szCs w:val="24"/>
          <w:lang w:val="en-US" w:eastAsia="zh-CN"/>
        </w:rPr>
        <w:t>综合</w:t>
      </w:r>
      <w:r>
        <w:rPr>
          <w:rFonts w:hint="eastAsia" w:ascii="宋体" w:hAnsi="宋体" w:cs="宋体"/>
          <w:color w:val="auto"/>
          <w:sz w:val="24"/>
          <w:szCs w:val="24"/>
        </w:rPr>
        <w:t>得分</w:t>
      </w:r>
    </w:p>
    <w:p w14:paraId="5D1EAC74">
      <w:pPr>
        <w:keepNext w:val="0"/>
        <w:keepLines w:val="0"/>
        <w:pageBreakBefore w:val="0"/>
        <w:widowControl w:val="0"/>
        <w:shd w:val="clear"/>
        <w:kinsoku/>
        <w:wordWrap/>
        <w:overflowPunct/>
        <w:topLinePunct w:val="0"/>
        <w:autoSpaceDE/>
        <w:autoSpaceDN/>
        <w:bidi w:val="0"/>
        <w:adjustRightInd/>
        <w:snapToGrid w:val="0"/>
        <w:spacing w:line="360" w:lineRule="auto"/>
        <w:ind w:firstLine="482" w:firstLineChars="200"/>
        <w:textAlignment w:val="auto"/>
        <w:outlineLvl w:val="9"/>
        <w:rPr>
          <w:rFonts w:hint="default" w:ascii="宋体" w:hAnsi="宋体" w:eastAsia="宋体" w:cs="Times New Roman"/>
          <w:b/>
          <w:color w:val="auto"/>
          <w:sz w:val="24"/>
          <w:szCs w:val="24"/>
          <w:highlight w:val="none"/>
          <w:lang w:val="en-US" w:eastAsia="zh-CN"/>
        </w:rPr>
      </w:pPr>
      <w:r>
        <w:rPr>
          <w:rFonts w:hint="eastAsia" w:ascii="宋体" w:hAnsi="宋体" w:cs="Times New Roman"/>
          <w:b/>
          <w:color w:val="auto"/>
          <w:sz w:val="24"/>
          <w:szCs w:val="24"/>
          <w:highlight w:val="none"/>
          <w:lang w:val="en-US" w:eastAsia="zh-CN"/>
        </w:rPr>
        <w:t>供应商综合得分=商务技术分+价格分</w:t>
      </w:r>
    </w:p>
    <w:p w14:paraId="3D259DB5">
      <w:pPr>
        <w:keepNext w:val="0"/>
        <w:keepLines w:val="0"/>
        <w:pageBreakBefore w:val="0"/>
        <w:widowControl w:val="0"/>
        <w:shd w:val="clear"/>
        <w:kinsoku/>
        <w:wordWrap/>
        <w:overflowPunct/>
        <w:topLinePunct w:val="0"/>
        <w:autoSpaceDE/>
        <w:autoSpaceDN/>
        <w:bidi w:val="0"/>
        <w:adjustRightInd/>
        <w:snapToGrid w:val="0"/>
        <w:spacing w:line="360" w:lineRule="auto"/>
        <w:ind w:firstLine="482" w:firstLineChars="200"/>
        <w:textAlignment w:val="auto"/>
        <w:outlineLvl w:val="9"/>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lang w:val="en-US" w:eastAsia="zh-CN"/>
        </w:rPr>
        <w:t>六、</w:t>
      </w:r>
      <w:r>
        <w:rPr>
          <w:rFonts w:hint="eastAsia" w:ascii="宋体" w:hAnsi="宋体" w:eastAsia="宋体" w:cs="Times New Roman"/>
          <w:b/>
          <w:color w:val="auto"/>
          <w:sz w:val="24"/>
          <w:szCs w:val="24"/>
          <w:highlight w:val="none"/>
        </w:rPr>
        <w:t>出现下列情形之一的，</w:t>
      </w:r>
      <w:r>
        <w:rPr>
          <w:rFonts w:hint="eastAsia" w:ascii="宋体" w:hAnsi="宋体" w:cs="Times New Roman"/>
          <w:b/>
          <w:color w:val="auto"/>
          <w:sz w:val="24"/>
          <w:szCs w:val="24"/>
          <w:highlight w:val="none"/>
          <w:lang w:val="en-US" w:eastAsia="zh-CN"/>
        </w:rPr>
        <w:t>评审小组</w:t>
      </w:r>
      <w:r>
        <w:rPr>
          <w:rFonts w:hint="eastAsia" w:ascii="宋体" w:hAnsi="宋体" w:eastAsia="宋体" w:cs="Times New Roman"/>
          <w:b/>
          <w:color w:val="auto"/>
          <w:sz w:val="24"/>
          <w:szCs w:val="24"/>
          <w:highlight w:val="none"/>
        </w:rPr>
        <w:t>应当启动异常低价</w:t>
      </w:r>
      <w:r>
        <w:rPr>
          <w:rFonts w:hint="eastAsia" w:ascii="宋体" w:hAnsi="宋体" w:cs="Times New Roman"/>
          <w:b/>
          <w:color w:val="auto"/>
          <w:sz w:val="24"/>
          <w:szCs w:val="24"/>
          <w:highlight w:val="none"/>
          <w:lang w:val="en-US" w:eastAsia="zh-CN"/>
        </w:rPr>
        <w:t>响应</w:t>
      </w:r>
      <w:r>
        <w:rPr>
          <w:rFonts w:hint="eastAsia" w:ascii="宋体" w:hAnsi="宋体" w:eastAsia="宋体" w:cs="Times New Roman"/>
          <w:b/>
          <w:color w:val="auto"/>
          <w:sz w:val="24"/>
          <w:szCs w:val="24"/>
          <w:highlight w:val="none"/>
        </w:rPr>
        <w:t>审查程序：</w:t>
      </w:r>
    </w:p>
    <w:p w14:paraId="3CB6D8D3">
      <w:pPr>
        <w:pStyle w:val="19"/>
        <w:widowControl/>
        <w:shd w:val="clear" w:color="auto"/>
        <w:spacing w:before="0" w:beforeAutospacing="0" w:after="0" w:afterAutospacing="0" w:line="360" w:lineRule="auto"/>
        <w:ind w:firstLine="482"/>
        <w:jc w:val="both"/>
        <w:rPr>
          <w:rFonts w:hint="eastAsia" w:ascii="宋体" w:hAnsi="宋体" w:cs="宋体"/>
          <w:color w:val="auto"/>
          <w:szCs w:val="24"/>
          <w:lang w:eastAsia="zh-CN"/>
        </w:rPr>
      </w:pPr>
      <w:r>
        <w:rPr>
          <w:rFonts w:hint="eastAsia" w:ascii="宋体" w:hAnsi="宋体" w:cs="宋体"/>
          <w:color w:val="auto"/>
          <w:szCs w:val="24"/>
          <w:lang w:eastAsia="zh-CN"/>
        </w:rPr>
        <w:t>1</w:t>
      </w:r>
      <w:r>
        <w:rPr>
          <w:rFonts w:hint="eastAsia" w:ascii="宋体" w:hAnsi="宋体" w:cs="宋体"/>
          <w:color w:val="auto"/>
          <w:szCs w:val="24"/>
          <w:lang w:val="en-US" w:eastAsia="zh-CN"/>
        </w:rPr>
        <w:t>.</w:t>
      </w:r>
      <w:r>
        <w:rPr>
          <w:rFonts w:hint="eastAsia" w:ascii="宋体" w:hAnsi="宋体" w:cs="宋体"/>
          <w:color w:val="auto"/>
          <w:szCs w:val="24"/>
          <w:lang w:eastAsia="zh-CN"/>
        </w:rPr>
        <w:t>响应报价低于全部通过符合性审查供应商响应报价平均值50%的，即响应报价&lt;全部通过符合性审查供应商响应报价平均值×50%；</w:t>
      </w:r>
    </w:p>
    <w:p w14:paraId="709B5F31">
      <w:pPr>
        <w:pStyle w:val="19"/>
        <w:widowControl/>
        <w:shd w:val="clear" w:color="auto"/>
        <w:spacing w:before="0" w:beforeAutospacing="0" w:after="0" w:afterAutospacing="0" w:line="360" w:lineRule="auto"/>
        <w:ind w:firstLine="482"/>
        <w:jc w:val="both"/>
        <w:rPr>
          <w:rFonts w:hint="eastAsia" w:ascii="宋体" w:hAnsi="宋体" w:cs="宋体"/>
          <w:color w:val="auto"/>
          <w:szCs w:val="24"/>
          <w:lang w:eastAsia="zh-CN"/>
        </w:rPr>
      </w:pPr>
      <w:r>
        <w:rPr>
          <w:rFonts w:hint="eastAsia" w:ascii="宋体" w:hAnsi="宋体" w:cs="宋体"/>
          <w:color w:val="auto"/>
          <w:szCs w:val="24"/>
          <w:lang w:eastAsia="zh-CN"/>
        </w:rPr>
        <w:t>2</w:t>
      </w:r>
      <w:r>
        <w:rPr>
          <w:rFonts w:hint="eastAsia" w:ascii="宋体" w:hAnsi="宋体" w:cs="宋体"/>
          <w:color w:val="auto"/>
          <w:szCs w:val="24"/>
          <w:lang w:val="en-US" w:eastAsia="zh-CN"/>
        </w:rPr>
        <w:t>.</w:t>
      </w:r>
      <w:r>
        <w:rPr>
          <w:rFonts w:hint="eastAsia" w:ascii="宋体" w:hAnsi="宋体" w:cs="宋体"/>
          <w:color w:val="auto"/>
          <w:szCs w:val="24"/>
          <w:lang w:eastAsia="zh-CN"/>
        </w:rPr>
        <w:t>响应报价低于通过符合性审查的次低报价供应商响应报价50%的，即响应报价&lt;通过符合性审查的次低报价供应商响应报价×50%；</w:t>
      </w:r>
    </w:p>
    <w:p w14:paraId="391CEC87">
      <w:pPr>
        <w:pStyle w:val="19"/>
        <w:widowControl/>
        <w:shd w:val="clear" w:color="auto"/>
        <w:spacing w:before="0" w:beforeAutospacing="0" w:after="0" w:afterAutospacing="0" w:line="360" w:lineRule="auto"/>
        <w:ind w:firstLine="482"/>
        <w:jc w:val="both"/>
        <w:rPr>
          <w:rFonts w:hint="eastAsia" w:ascii="宋体" w:hAnsi="宋体" w:cs="宋体"/>
          <w:color w:val="auto"/>
          <w:szCs w:val="24"/>
          <w:lang w:eastAsia="zh-CN"/>
        </w:rPr>
      </w:pPr>
      <w:r>
        <w:rPr>
          <w:rFonts w:hint="eastAsia" w:ascii="宋体" w:hAnsi="宋体" w:cs="宋体"/>
          <w:color w:val="auto"/>
          <w:szCs w:val="24"/>
          <w:lang w:eastAsia="zh-CN"/>
        </w:rPr>
        <w:t>3</w:t>
      </w:r>
      <w:r>
        <w:rPr>
          <w:rFonts w:hint="eastAsia" w:ascii="宋体" w:hAnsi="宋体" w:cs="宋体"/>
          <w:color w:val="auto"/>
          <w:szCs w:val="24"/>
          <w:lang w:val="en-US" w:eastAsia="zh-CN"/>
        </w:rPr>
        <w:t>.</w:t>
      </w:r>
      <w:r>
        <w:rPr>
          <w:rFonts w:hint="eastAsia" w:ascii="宋体" w:hAnsi="宋体" w:cs="宋体"/>
          <w:color w:val="auto"/>
          <w:szCs w:val="24"/>
          <w:lang w:eastAsia="zh-CN"/>
        </w:rPr>
        <w:t>响应报价低于采购项目最高限价45%的，即响应报价&lt;采购项目最高限价×45%；</w:t>
      </w:r>
    </w:p>
    <w:p w14:paraId="0CF0712F">
      <w:pPr>
        <w:pStyle w:val="19"/>
        <w:widowControl/>
        <w:shd w:val="clear" w:color="auto"/>
        <w:spacing w:before="0" w:beforeAutospacing="0" w:after="0" w:afterAutospacing="0" w:line="360" w:lineRule="auto"/>
        <w:ind w:firstLine="482"/>
        <w:jc w:val="both"/>
        <w:rPr>
          <w:rFonts w:hint="eastAsia" w:ascii="宋体" w:hAnsi="宋体" w:cs="宋体"/>
          <w:color w:val="auto"/>
          <w:szCs w:val="24"/>
          <w:lang w:eastAsia="zh-CN"/>
        </w:rPr>
      </w:pPr>
      <w:r>
        <w:rPr>
          <w:rFonts w:hint="eastAsia" w:ascii="宋体" w:hAnsi="宋体" w:cs="宋体"/>
          <w:color w:val="auto"/>
          <w:szCs w:val="24"/>
          <w:lang w:eastAsia="zh-CN"/>
        </w:rPr>
        <w:t>4</w:t>
      </w:r>
      <w:r>
        <w:rPr>
          <w:rFonts w:hint="eastAsia" w:ascii="宋体" w:hAnsi="宋体" w:cs="宋体"/>
          <w:color w:val="auto"/>
          <w:szCs w:val="24"/>
          <w:lang w:val="en-US" w:eastAsia="zh-CN"/>
        </w:rPr>
        <w:t>.评审</w:t>
      </w:r>
      <w:r>
        <w:rPr>
          <w:rFonts w:hint="eastAsia" w:ascii="宋体" w:hAnsi="宋体" w:cs="宋体"/>
          <w:color w:val="auto"/>
          <w:szCs w:val="24"/>
          <w:lang w:eastAsia="zh-CN"/>
        </w:rPr>
        <w:t>小组基于专业判断，认为供应商报价过低，有可能影响产品质量或者不能诚信履约的其他情形。</w:t>
      </w:r>
    </w:p>
    <w:p w14:paraId="587E095C">
      <w:pPr>
        <w:pStyle w:val="19"/>
        <w:widowControl/>
        <w:shd w:val="clear" w:color="auto"/>
        <w:spacing w:before="0" w:beforeAutospacing="0" w:after="0" w:afterAutospacing="0" w:line="360" w:lineRule="auto"/>
        <w:ind w:firstLine="482"/>
        <w:jc w:val="both"/>
        <w:rPr>
          <w:rFonts w:hint="eastAsia" w:ascii="宋体" w:hAnsi="宋体" w:cs="宋体"/>
          <w:color w:val="auto"/>
          <w:szCs w:val="24"/>
          <w:lang w:eastAsia="zh-CN"/>
        </w:rPr>
      </w:pPr>
      <w:r>
        <w:rPr>
          <w:rFonts w:hint="eastAsia" w:ascii="宋体" w:hAnsi="宋体" w:cs="宋体"/>
          <w:color w:val="auto"/>
          <w:szCs w:val="24"/>
          <w:lang w:val="en-US" w:eastAsia="zh-CN"/>
        </w:rPr>
        <w:t>评审</w:t>
      </w:r>
      <w:r>
        <w:rPr>
          <w:rFonts w:hint="eastAsia" w:ascii="宋体" w:hAnsi="宋体" w:cs="宋体"/>
          <w:color w:val="auto"/>
          <w:szCs w:val="24"/>
          <w:lang w:eastAsia="zh-CN"/>
        </w:rPr>
        <w:t>小组应当要求相关供应商在评审现场不少于30分钟时间内对响应价格作出解释，并提供项目具体成本测算等与报价合理性相关的书面说明及必要的证明材料。</w:t>
      </w:r>
    </w:p>
    <w:p w14:paraId="1F10964F">
      <w:pPr>
        <w:pStyle w:val="19"/>
        <w:widowControl/>
        <w:shd w:val="clear" w:color="auto"/>
        <w:spacing w:before="0" w:beforeAutospacing="0" w:after="0" w:afterAutospacing="0" w:line="360" w:lineRule="auto"/>
        <w:ind w:firstLine="482"/>
        <w:jc w:val="both"/>
        <w:rPr>
          <w:rFonts w:hint="eastAsia" w:ascii="宋体" w:hAnsi="宋体" w:cs="宋体"/>
          <w:color w:val="auto"/>
          <w:szCs w:val="24"/>
          <w:lang w:eastAsia="zh-CN"/>
        </w:rPr>
      </w:pPr>
      <w:r>
        <w:rPr>
          <w:rFonts w:hint="eastAsia" w:ascii="宋体" w:hAnsi="宋体" w:cs="宋体"/>
          <w:color w:val="auto"/>
          <w:szCs w:val="24"/>
          <w:lang w:val="en-US" w:eastAsia="zh-CN"/>
        </w:rPr>
        <w:t>评审</w:t>
      </w:r>
      <w:r>
        <w:rPr>
          <w:rFonts w:hint="eastAsia" w:ascii="宋体" w:hAnsi="宋体" w:cs="宋体"/>
          <w:color w:val="auto"/>
          <w:szCs w:val="24"/>
          <w:lang w:eastAsia="zh-CN"/>
        </w:rPr>
        <w:t>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w:t>
      </w:r>
      <w:r>
        <w:rPr>
          <w:rFonts w:hint="eastAsia" w:ascii="宋体" w:hAnsi="宋体" w:cs="宋体"/>
          <w:color w:val="auto"/>
          <w:szCs w:val="24"/>
          <w:lang w:val="en-US" w:eastAsia="zh-CN"/>
        </w:rPr>
        <w:t>评审</w:t>
      </w:r>
      <w:r>
        <w:rPr>
          <w:rFonts w:hint="eastAsia" w:ascii="宋体" w:hAnsi="宋体" w:cs="宋体"/>
          <w:color w:val="auto"/>
          <w:szCs w:val="24"/>
          <w:lang w:eastAsia="zh-CN"/>
        </w:rPr>
        <w:t>小组应当将其作为无效响应处理。</w:t>
      </w:r>
    </w:p>
    <w:p w14:paraId="7E425017">
      <w:pPr>
        <w:keepNext w:val="0"/>
        <w:keepLines w:val="0"/>
        <w:pageBreakBefore w:val="0"/>
        <w:shd w:val="clear"/>
        <w:overflowPunct/>
        <w:bidi w:val="0"/>
        <w:snapToGrid w:val="0"/>
        <w:spacing w:line="360" w:lineRule="auto"/>
        <w:ind w:left="0" w:leftChars="0" w:firstLine="482" w:firstLineChars="20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七、评审争议</w:t>
      </w:r>
    </w:p>
    <w:p w14:paraId="51077239">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评</w:t>
      </w:r>
      <w:r>
        <w:rPr>
          <w:rFonts w:hint="eastAsia" w:ascii="宋体" w:hAnsi="宋体" w:cs="宋体"/>
          <w:color w:val="auto"/>
          <w:sz w:val="24"/>
          <w:szCs w:val="24"/>
          <w:lang w:val="en-US" w:eastAsia="zh-CN"/>
        </w:rPr>
        <w:t>审</w:t>
      </w:r>
      <w:r>
        <w:rPr>
          <w:rFonts w:hint="eastAsia" w:ascii="宋体" w:hAnsi="宋体" w:cs="宋体"/>
          <w:color w:val="auto"/>
          <w:sz w:val="24"/>
          <w:szCs w:val="24"/>
        </w:rPr>
        <w:t>时评</w:t>
      </w:r>
      <w:r>
        <w:rPr>
          <w:rFonts w:hint="eastAsia" w:ascii="宋体" w:hAnsi="宋体" w:cs="宋体"/>
          <w:color w:val="auto"/>
          <w:sz w:val="24"/>
          <w:szCs w:val="24"/>
          <w:lang w:val="en-US" w:eastAsia="zh-CN"/>
        </w:rPr>
        <w:t>审成员</w:t>
      </w:r>
      <w:r>
        <w:rPr>
          <w:rFonts w:hint="eastAsia" w:ascii="宋体" w:hAnsi="宋体" w:cs="宋体"/>
          <w:color w:val="auto"/>
          <w:sz w:val="24"/>
          <w:szCs w:val="24"/>
        </w:rPr>
        <w:t>对评</w:t>
      </w:r>
      <w:r>
        <w:rPr>
          <w:rFonts w:hint="eastAsia" w:ascii="宋体" w:hAnsi="宋体" w:cs="宋体"/>
          <w:color w:val="auto"/>
          <w:sz w:val="24"/>
          <w:szCs w:val="24"/>
          <w:lang w:val="en-US" w:eastAsia="zh-CN"/>
        </w:rPr>
        <w:t>审</w:t>
      </w:r>
      <w:r>
        <w:rPr>
          <w:rFonts w:hint="eastAsia" w:ascii="宋体" w:hAnsi="宋体" w:cs="宋体"/>
          <w:color w:val="auto"/>
          <w:sz w:val="24"/>
          <w:szCs w:val="24"/>
        </w:rPr>
        <w:t>的细则若有争议，由评</w:t>
      </w:r>
      <w:r>
        <w:rPr>
          <w:rFonts w:hint="eastAsia" w:ascii="宋体" w:hAnsi="宋体" w:cs="宋体"/>
          <w:color w:val="auto"/>
          <w:sz w:val="24"/>
          <w:szCs w:val="24"/>
          <w:lang w:val="en-US" w:eastAsia="zh-CN"/>
        </w:rPr>
        <w:t>审</w:t>
      </w:r>
      <w:r>
        <w:rPr>
          <w:rFonts w:hint="eastAsia" w:ascii="宋体" w:hAnsi="宋体" w:cs="宋体"/>
          <w:color w:val="auto"/>
          <w:sz w:val="24"/>
          <w:szCs w:val="24"/>
        </w:rPr>
        <w:t>小组各</w:t>
      </w:r>
      <w:r>
        <w:rPr>
          <w:rFonts w:hint="eastAsia" w:ascii="宋体" w:hAnsi="宋体" w:cs="宋体"/>
          <w:color w:val="auto"/>
          <w:sz w:val="24"/>
          <w:szCs w:val="24"/>
          <w:lang w:val="en-US" w:eastAsia="zh-CN"/>
        </w:rPr>
        <w:t>成员</w:t>
      </w:r>
      <w:r>
        <w:rPr>
          <w:rFonts w:hint="eastAsia" w:ascii="宋体" w:hAnsi="宋体" w:cs="宋体"/>
          <w:color w:val="auto"/>
          <w:sz w:val="24"/>
          <w:szCs w:val="24"/>
        </w:rPr>
        <w:t>集体讨论确定，并对未尽情况有最终解释权。</w:t>
      </w:r>
    </w:p>
    <w:p w14:paraId="25B5D5E4">
      <w:pPr>
        <w:keepNext w:val="0"/>
        <w:keepLines w:val="0"/>
        <w:pageBreakBefore w:val="0"/>
        <w:shd w:val="clear"/>
        <w:overflowPunct/>
        <w:bidi w:val="0"/>
        <w:snapToGrid w:val="0"/>
        <w:spacing w:line="360" w:lineRule="auto"/>
        <w:ind w:left="0" w:leftChars="0"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八、</w:t>
      </w:r>
      <w:r>
        <w:rPr>
          <w:rFonts w:hint="eastAsia" w:ascii="宋体" w:hAnsi="宋体" w:eastAsia="宋体" w:cs="宋体"/>
          <w:b/>
          <w:bCs/>
          <w:color w:val="auto"/>
          <w:sz w:val="24"/>
          <w:szCs w:val="24"/>
        </w:rPr>
        <w:t>评审结果解释</w:t>
      </w:r>
    </w:p>
    <w:p w14:paraId="4BDB55DB">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对落标的供应商不</w:t>
      </w:r>
      <w:r>
        <w:rPr>
          <w:rFonts w:hint="eastAsia" w:ascii="宋体" w:hAnsi="宋体" w:cs="宋体"/>
          <w:color w:val="auto"/>
          <w:sz w:val="24"/>
          <w:szCs w:val="24"/>
          <w:lang w:val="en-US" w:eastAsia="zh-CN"/>
        </w:rPr>
        <w:t>做</w:t>
      </w:r>
      <w:r>
        <w:rPr>
          <w:rFonts w:hint="eastAsia" w:ascii="宋体" w:hAnsi="宋体" w:cs="宋体"/>
          <w:color w:val="auto"/>
          <w:sz w:val="24"/>
          <w:szCs w:val="24"/>
        </w:rPr>
        <w:t>落标原因的解释。</w:t>
      </w:r>
    </w:p>
    <w:p w14:paraId="69849DD3">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lang w:val="en-US" w:eastAsia="zh-CN"/>
        </w:rPr>
        <w:t>九</w:t>
      </w:r>
      <w:r>
        <w:rPr>
          <w:rFonts w:hint="eastAsia" w:ascii="宋体" w:hAnsi="宋体" w:cs="宋体"/>
          <w:b/>
          <w:bCs/>
          <w:color w:val="auto"/>
          <w:sz w:val="24"/>
          <w:szCs w:val="24"/>
        </w:rPr>
        <w:t>、出现下列情形之一的，作无效响应处理</w:t>
      </w:r>
    </w:p>
    <w:p w14:paraId="1FA7A370">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1.响应文件未按规定要求装订、密封、签署、盖章及主要资料不齐全的；</w:t>
      </w:r>
    </w:p>
    <w:p w14:paraId="7D35B5DB">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2.响应文件的资料有虚报或者谎报的；</w:t>
      </w:r>
    </w:p>
    <w:p w14:paraId="108E9F47">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3.响应文件技术部分出现响应价格的内容；</w:t>
      </w:r>
    </w:p>
    <w:p w14:paraId="4A811F10">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4.不具备比选文件规定的资格要求的；</w:t>
      </w:r>
    </w:p>
    <w:p w14:paraId="56919276">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5.响应文件有重大漏项或重大不合理的；</w:t>
      </w:r>
    </w:p>
    <w:p w14:paraId="29AC970E">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6.项目技术、方案不满足用户需求中的要求，有重大偏离或保留的；</w:t>
      </w:r>
    </w:p>
    <w:p w14:paraId="5D2BB3EC">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7.响应报价超出项目预算的；</w:t>
      </w:r>
    </w:p>
    <w:p w14:paraId="70A25BA5">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8.被认定为低于成本报价竞标的；</w:t>
      </w:r>
    </w:p>
    <w:p w14:paraId="1FA2ACE6">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9.供应商的技术标得分畸低，被认定为未实质性响应的；</w:t>
      </w:r>
    </w:p>
    <w:p w14:paraId="3ECFB305">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10.不符合法律法规和比选文件中规定的其他实质性响应要求的；</w:t>
      </w:r>
    </w:p>
    <w:p w14:paraId="41139AE3">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11.评审小组可以认定为其他可构成未实质性响应比选文件要求的。</w:t>
      </w:r>
    </w:p>
    <w:p w14:paraId="2829C8AA">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lang w:val="en-US" w:eastAsia="zh-CN"/>
        </w:rPr>
        <w:t>十</w:t>
      </w:r>
      <w:r>
        <w:rPr>
          <w:rFonts w:hint="eastAsia" w:ascii="宋体" w:hAnsi="宋体" w:cs="宋体"/>
          <w:b/>
          <w:bCs/>
          <w:color w:val="auto"/>
          <w:sz w:val="24"/>
          <w:szCs w:val="24"/>
        </w:rPr>
        <w:t>、出现下列情形之一的，作废标处理</w:t>
      </w:r>
    </w:p>
    <w:p w14:paraId="6603DF32">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1.符合资格条件或者对比选文件作实质响应的供应商不足3家的；</w:t>
      </w:r>
    </w:p>
    <w:p w14:paraId="3D967F45">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2.出现影响采购公正的违法违规行为的；</w:t>
      </w:r>
    </w:p>
    <w:p w14:paraId="519D4871">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3.所有供应商报价超出采购预算价的；</w:t>
      </w:r>
    </w:p>
    <w:p w14:paraId="19F0F0BE">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4.因重大变故，采购任务被取消的；</w:t>
      </w:r>
    </w:p>
    <w:p w14:paraId="4B506CC2">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5.评标小组依据法律法规可以认定为废标的其他情况。</w:t>
      </w:r>
    </w:p>
    <w:p w14:paraId="6769301B">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lang w:val="en-US" w:eastAsia="zh-CN"/>
        </w:rPr>
        <w:t>十一</w:t>
      </w:r>
      <w:r>
        <w:rPr>
          <w:rFonts w:hint="eastAsia" w:ascii="宋体" w:hAnsi="宋体" w:cs="宋体"/>
          <w:b/>
          <w:bCs/>
          <w:color w:val="auto"/>
          <w:sz w:val="24"/>
          <w:szCs w:val="24"/>
        </w:rPr>
        <w:t>、成交通知</w:t>
      </w:r>
    </w:p>
    <w:p w14:paraId="49676FA6">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评审</w:t>
      </w:r>
      <w:r>
        <w:rPr>
          <w:rFonts w:hint="eastAsia" w:ascii="宋体" w:hAnsi="宋体" w:cs="宋体"/>
          <w:color w:val="auto"/>
          <w:sz w:val="24"/>
          <w:szCs w:val="24"/>
        </w:rPr>
        <w:t>结束后，采购人将成交结果在南通市教育局网公告1个工作日，同时向成交</w:t>
      </w:r>
      <w:r>
        <w:rPr>
          <w:rFonts w:hint="eastAsia" w:ascii="宋体" w:hAnsi="宋体" w:cs="宋体"/>
          <w:color w:val="auto"/>
          <w:sz w:val="24"/>
          <w:szCs w:val="24"/>
          <w:lang w:val="en-US" w:eastAsia="zh-CN"/>
        </w:rPr>
        <w:t>供应商</w:t>
      </w:r>
      <w:r>
        <w:rPr>
          <w:rFonts w:hint="eastAsia" w:ascii="宋体" w:hAnsi="宋体" w:cs="宋体"/>
          <w:color w:val="auto"/>
          <w:sz w:val="24"/>
          <w:szCs w:val="24"/>
        </w:rPr>
        <w:t>发出《成交通知书》。</w:t>
      </w:r>
    </w:p>
    <w:p w14:paraId="2033061A">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2.《成交通知书》一经发出，即具有法律效力。采购人、成交</w:t>
      </w:r>
      <w:r>
        <w:rPr>
          <w:rFonts w:hint="eastAsia" w:ascii="宋体" w:hAnsi="宋体" w:cs="宋体"/>
          <w:color w:val="auto"/>
          <w:sz w:val="24"/>
          <w:szCs w:val="24"/>
          <w:lang w:val="en-US" w:eastAsia="zh-CN"/>
        </w:rPr>
        <w:t>供应商</w:t>
      </w:r>
      <w:r>
        <w:rPr>
          <w:rFonts w:hint="eastAsia" w:ascii="宋体" w:hAnsi="宋体" w:cs="宋体"/>
          <w:color w:val="auto"/>
          <w:sz w:val="24"/>
          <w:szCs w:val="24"/>
        </w:rPr>
        <w:t>依法承担法律责任。</w:t>
      </w:r>
    </w:p>
    <w:p w14:paraId="607DE245">
      <w:pPr>
        <w:keepNext w:val="0"/>
        <w:keepLines w:val="0"/>
        <w:pageBreakBefore w:val="0"/>
        <w:shd w:val="clear"/>
        <w:overflowPunct/>
        <w:bidi w:val="0"/>
        <w:snapToGrid w:val="0"/>
        <w:spacing w:line="360" w:lineRule="auto"/>
        <w:ind w:left="0" w:leftChars="0" w:firstLine="482" w:firstLineChars="200"/>
        <w:jc w:val="center"/>
        <w:outlineLvl w:val="0"/>
        <w:rPr>
          <w:rFonts w:ascii="宋体" w:hAnsi="宋体" w:cs="宋体"/>
          <w:color w:val="auto"/>
          <w:sz w:val="24"/>
          <w:szCs w:val="24"/>
        </w:rPr>
      </w:pPr>
      <w:bookmarkStart w:id="33" w:name="_Toc13768"/>
      <w:r>
        <w:rPr>
          <w:rFonts w:hint="eastAsia" w:ascii="宋体" w:hAnsi="宋体" w:cs="宋体"/>
          <w:b/>
          <w:color w:val="auto"/>
          <w:sz w:val="24"/>
          <w:szCs w:val="24"/>
        </w:rPr>
        <w:br w:type="page"/>
      </w:r>
      <w:r>
        <w:rPr>
          <w:rFonts w:hint="eastAsia" w:ascii="宋体" w:hAnsi="宋体" w:eastAsia="宋体" w:cs="宋体"/>
          <w:b/>
          <w:color w:val="auto"/>
          <w:spacing w:val="6"/>
          <w:kern w:val="2"/>
          <w:sz w:val="36"/>
          <w:szCs w:val="36"/>
          <w:lang w:val="en-US" w:eastAsia="zh-CN" w:bidi="ar-SA"/>
        </w:rPr>
        <w:t>第五章  合同签订与验收付款</w:t>
      </w:r>
      <w:bookmarkEnd w:id="33"/>
    </w:p>
    <w:p w14:paraId="585E4E33">
      <w:pPr>
        <w:pStyle w:val="32"/>
        <w:keepNext w:val="0"/>
        <w:keepLines w:val="0"/>
        <w:pageBreakBefore w:val="0"/>
        <w:shd w:val="clear"/>
        <w:tabs>
          <w:tab w:val="right" w:leader="dot" w:pos="9214"/>
        </w:tabs>
        <w:overflowPunct/>
        <w:bidi w:val="0"/>
        <w:snapToGrid w:val="0"/>
        <w:spacing w:line="360" w:lineRule="auto"/>
        <w:ind w:left="0" w:leftChars="0" w:right="443" w:rightChars="211" w:firstLine="480" w:firstLineChars="200"/>
        <w:contextualSpacing/>
        <w:jc w:val="both"/>
        <w:rPr>
          <w:rFonts w:ascii="宋体" w:eastAsia="宋体" w:cs="宋体"/>
          <w:color w:val="auto"/>
          <w:sz w:val="24"/>
          <w:szCs w:val="24"/>
        </w:rPr>
      </w:pPr>
      <w:r>
        <w:rPr>
          <w:rFonts w:hint="eastAsia" w:ascii="宋体" w:eastAsia="宋体" w:cs="宋体"/>
          <w:color w:val="auto"/>
          <w:sz w:val="24"/>
          <w:szCs w:val="24"/>
        </w:rPr>
        <w:t>一、成交</w:t>
      </w:r>
      <w:r>
        <w:rPr>
          <w:rFonts w:hint="eastAsia" w:ascii="宋体" w:eastAsia="宋体" w:cs="宋体"/>
          <w:color w:val="auto"/>
          <w:sz w:val="24"/>
          <w:szCs w:val="24"/>
          <w:lang w:val="en-US" w:eastAsia="zh-CN"/>
        </w:rPr>
        <w:t>供应商</w:t>
      </w:r>
      <w:r>
        <w:rPr>
          <w:rFonts w:hint="eastAsia" w:ascii="宋体" w:eastAsia="宋体" w:cs="宋体"/>
          <w:color w:val="auto"/>
          <w:sz w:val="24"/>
          <w:szCs w:val="24"/>
        </w:rPr>
        <w:t>在接到《成交通知书》后30个日历天内按照比选文件确定的事项和采购人签订采购合同。</w:t>
      </w:r>
      <w:r>
        <w:rPr>
          <w:rFonts w:hint="eastAsia" w:ascii="宋体" w:eastAsia="宋体" w:cs="宋体"/>
          <w:color w:val="auto"/>
          <w:sz w:val="24"/>
          <w:szCs w:val="24"/>
          <w:lang w:val="zh-CN"/>
        </w:rPr>
        <w:t>所签合同不得对</w:t>
      </w:r>
      <w:r>
        <w:rPr>
          <w:rFonts w:hint="eastAsia" w:ascii="宋体" w:eastAsia="宋体" w:cs="宋体"/>
          <w:color w:val="auto"/>
          <w:sz w:val="24"/>
          <w:szCs w:val="24"/>
        </w:rPr>
        <w:t>比选文件</w:t>
      </w:r>
      <w:r>
        <w:rPr>
          <w:rFonts w:hint="eastAsia" w:ascii="宋体" w:eastAsia="宋体" w:cs="宋体"/>
          <w:color w:val="auto"/>
          <w:sz w:val="24"/>
          <w:szCs w:val="24"/>
          <w:lang w:val="zh-CN"/>
        </w:rPr>
        <w:t>作实质性修改</w:t>
      </w:r>
      <w:r>
        <w:rPr>
          <w:rFonts w:hint="eastAsia" w:ascii="宋体" w:eastAsia="宋体" w:cs="宋体"/>
          <w:color w:val="auto"/>
          <w:sz w:val="24"/>
          <w:szCs w:val="24"/>
        </w:rPr>
        <w:t>。采购人不得向成交</w:t>
      </w:r>
      <w:r>
        <w:rPr>
          <w:rFonts w:hint="eastAsia" w:ascii="宋体" w:eastAsia="宋体" w:cs="宋体"/>
          <w:color w:val="auto"/>
          <w:sz w:val="24"/>
          <w:szCs w:val="24"/>
          <w:lang w:val="en-US" w:eastAsia="zh-CN"/>
        </w:rPr>
        <w:t>供应商</w:t>
      </w:r>
      <w:r>
        <w:rPr>
          <w:rFonts w:hint="eastAsia" w:ascii="宋体" w:eastAsia="宋体" w:cs="宋体"/>
          <w:color w:val="auto"/>
          <w:sz w:val="24"/>
          <w:szCs w:val="24"/>
        </w:rPr>
        <w:t>提出不合理的要求作为签订合同的条件，不得与成交</w:t>
      </w:r>
      <w:r>
        <w:rPr>
          <w:rFonts w:hint="eastAsia" w:ascii="宋体" w:eastAsia="宋体" w:cs="宋体"/>
          <w:color w:val="auto"/>
          <w:sz w:val="24"/>
          <w:szCs w:val="24"/>
          <w:lang w:val="en-US" w:eastAsia="zh-CN"/>
        </w:rPr>
        <w:t>供应商</w:t>
      </w:r>
      <w:r>
        <w:rPr>
          <w:rFonts w:hint="eastAsia" w:ascii="宋体" w:eastAsia="宋体" w:cs="宋体"/>
          <w:color w:val="auto"/>
          <w:sz w:val="24"/>
          <w:szCs w:val="24"/>
        </w:rPr>
        <w:t>私下订立背离比选文件实质性内容的协议。</w:t>
      </w:r>
      <w:bookmarkStart w:id="34" w:name="_Toc363573858"/>
      <w:bookmarkStart w:id="35" w:name="_Toc94585343"/>
    </w:p>
    <w:p w14:paraId="34EAF244">
      <w:pPr>
        <w:keepNext w:val="0"/>
        <w:keepLines w:val="0"/>
        <w:pageBreakBefore w:val="0"/>
        <w:shd w:val="clear"/>
        <w:tabs>
          <w:tab w:val="right" w:leader="dot" w:pos="9214"/>
        </w:tabs>
        <w:overflowPunct/>
        <w:bidi w:val="0"/>
        <w:spacing w:line="360" w:lineRule="auto"/>
        <w:ind w:left="0" w:leftChars="0" w:right="443" w:rightChars="211" w:firstLine="480" w:firstLineChars="200"/>
        <w:jc w:val="both"/>
        <w:rPr>
          <w:rFonts w:ascii="宋体" w:hAnsi="宋体" w:cs="宋体"/>
          <w:color w:val="auto"/>
          <w:sz w:val="24"/>
          <w:szCs w:val="24"/>
        </w:rPr>
      </w:pPr>
      <w:r>
        <w:rPr>
          <w:rFonts w:hint="eastAsia" w:ascii="宋体" w:hAnsi="宋体" w:cs="宋体"/>
          <w:color w:val="auto"/>
          <w:sz w:val="24"/>
          <w:szCs w:val="24"/>
        </w:rPr>
        <w:t>二、比选文件、成交</w:t>
      </w:r>
      <w:r>
        <w:rPr>
          <w:rFonts w:hint="eastAsia" w:ascii="宋体" w:eastAsia="宋体" w:cs="宋体"/>
          <w:color w:val="auto"/>
          <w:sz w:val="24"/>
          <w:szCs w:val="24"/>
          <w:lang w:val="en-US" w:eastAsia="zh-CN"/>
        </w:rPr>
        <w:t>供应商</w:t>
      </w:r>
      <w:r>
        <w:rPr>
          <w:rFonts w:hint="eastAsia" w:ascii="宋体" w:hAnsi="宋体" w:cs="宋体"/>
          <w:color w:val="auto"/>
          <w:sz w:val="24"/>
          <w:szCs w:val="24"/>
        </w:rPr>
        <w:t>的响应文件及评审过程中有关书面澄清、承诺等均应作为合同附件，具有同等的法律效力。</w:t>
      </w:r>
    </w:p>
    <w:p w14:paraId="345CD838">
      <w:pPr>
        <w:keepNext w:val="0"/>
        <w:keepLines w:val="0"/>
        <w:pageBreakBefore w:val="0"/>
        <w:shd w:val="clear"/>
        <w:tabs>
          <w:tab w:val="right" w:leader="dot" w:pos="9214"/>
        </w:tabs>
        <w:overflowPunct/>
        <w:bidi w:val="0"/>
        <w:spacing w:line="360" w:lineRule="auto"/>
        <w:ind w:left="0" w:leftChars="0" w:right="443" w:rightChars="211" w:firstLine="480" w:firstLineChars="200"/>
        <w:jc w:val="both"/>
        <w:rPr>
          <w:rFonts w:ascii="宋体" w:hAnsi="宋体" w:cs="宋体"/>
          <w:color w:val="auto"/>
          <w:sz w:val="24"/>
          <w:szCs w:val="24"/>
        </w:rPr>
      </w:pPr>
      <w:r>
        <w:rPr>
          <w:rFonts w:hint="eastAsia" w:ascii="宋体" w:hAnsi="宋体" w:cs="宋体"/>
          <w:color w:val="auto"/>
          <w:sz w:val="24"/>
          <w:szCs w:val="24"/>
        </w:rPr>
        <w:t>三、成交</w:t>
      </w:r>
      <w:r>
        <w:rPr>
          <w:rFonts w:hint="eastAsia" w:ascii="宋体" w:eastAsia="宋体" w:cs="宋体"/>
          <w:color w:val="auto"/>
          <w:sz w:val="24"/>
          <w:szCs w:val="24"/>
          <w:lang w:val="en-US" w:eastAsia="zh-CN"/>
        </w:rPr>
        <w:t>供应商</w:t>
      </w:r>
      <w:r>
        <w:rPr>
          <w:rFonts w:hint="eastAsia" w:ascii="宋体" w:hAnsi="宋体" w:cs="宋体"/>
          <w:color w:val="auto"/>
          <w:sz w:val="24"/>
          <w:szCs w:val="24"/>
        </w:rPr>
        <w:t>不得采用转包、分包的形式履行合同，否则，采购人有权终止合同，造成采购人损失的，成交</w:t>
      </w:r>
      <w:r>
        <w:rPr>
          <w:rFonts w:hint="eastAsia" w:ascii="宋体" w:eastAsia="宋体" w:cs="宋体"/>
          <w:color w:val="auto"/>
          <w:sz w:val="24"/>
          <w:szCs w:val="24"/>
          <w:lang w:val="en-US" w:eastAsia="zh-CN"/>
        </w:rPr>
        <w:t>供应商</w:t>
      </w:r>
      <w:r>
        <w:rPr>
          <w:rFonts w:hint="eastAsia" w:ascii="宋体" w:hAnsi="宋体" w:cs="宋体"/>
          <w:color w:val="auto"/>
          <w:sz w:val="24"/>
          <w:szCs w:val="24"/>
        </w:rPr>
        <w:t>应承担相应赔偿责任。</w:t>
      </w:r>
    </w:p>
    <w:bookmarkEnd w:id="34"/>
    <w:bookmarkEnd w:id="35"/>
    <w:p w14:paraId="68DFBB0D">
      <w:pPr>
        <w:keepNext w:val="0"/>
        <w:keepLines w:val="0"/>
        <w:pageBreakBefore w:val="0"/>
        <w:shd w:val="clear"/>
        <w:tabs>
          <w:tab w:val="right" w:leader="dot" w:pos="9214"/>
        </w:tabs>
        <w:overflowPunct/>
        <w:bidi w:val="0"/>
        <w:spacing w:line="360" w:lineRule="auto"/>
        <w:ind w:left="0" w:leftChars="0" w:right="443" w:rightChars="211" w:firstLine="480" w:firstLineChars="200"/>
        <w:jc w:val="both"/>
        <w:rPr>
          <w:rFonts w:ascii="宋体" w:hAnsi="宋体" w:cs="宋体"/>
          <w:color w:val="auto"/>
          <w:sz w:val="24"/>
          <w:szCs w:val="24"/>
        </w:rPr>
      </w:pPr>
      <w:r>
        <w:rPr>
          <w:rFonts w:hint="eastAsia" w:ascii="宋体" w:hAnsi="宋体" w:cs="宋体"/>
          <w:color w:val="auto"/>
          <w:sz w:val="24"/>
          <w:szCs w:val="24"/>
        </w:rPr>
        <w:t>四、采购人和成交</w:t>
      </w:r>
      <w:r>
        <w:rPr>
          <w:rFonts w:hint="eastAsia" w:ascii="宋体" w:eastAsia="宋体" w:cs="宋体"/>
          <w:color w:val="auto"/>
          <w:sz w:val="24"/>
          <w:szCs w:val="24"/>
          <w:lang w:val="en-US" w:eastAsia="zh-CN"/>
        </w:rPr>
        <w:t>供应商</w:t>
      </w:r>
      <w:r>
        <w:rPr>
          <w:rFonts w:hint="eastAsia" w:ascii="宋体" w:hAnsi="宋体" w:cs="宋体"/>
          <w:color w:val="auto"/>
          <w:sz w:val="24"/>
          <w:szCs w:val="24"/>
        </w:rPr>
        <w:t>应相互配合，按采购合同约定积极组织本项目的实施，确保项目按时完成。</w:t>
      </w:r>
    </w:p>
    <w:p w14:paraId="6A17D256">
      <w:pPr>
        <w:keepNext w:val="0"/>
        <w:keepLines w:val="0"/>
        <w:pageBreakBefore w:val="0"/>
        <w:shd w:val="clear"/>
        <w:tabs>
          <w:tab w:val="right" w:leader="dot" w:pos="9214"/>
        </w:tabs>
        <w:overflowPunct/>
        <w:bidi w:val="0"/>
        <w:spacing w:line="360" w:lineRule="auto"/>
        <w:ind w:left="0" w:leftChars="0" w:right="443" w:rightChars="211" w:firstLine="480" w:firstLineChars="200"/>
        <w:jc w:val="both"/>
        <w:rPr>
          <w:rFonts w:ascii="宋体" w:hAnsi="宋体" w:cs="宋体"/>
          <w:color w:val="auto"/>
          <w:sz w:val="24"/>
          <w:szCs w:val="24"/>
        </w:rPr>
      </w:pPr>
      <w:r>
        <w:rPr>
          <w:rFonts w:hint="eastAsia" w:ascii="宋体" w:hAnsi="宋体" w:cs="宋体"/>
          <w:color w:val="auto"/>
          <w:sz w:val="24"/>
          <w:szCs w:val="24"/>
        </w:rPr>
        <w:t>五、成交</w:t>
      </w:r>
      <w:r>
        <w:rPr>
          <w:rFonts w:hint="eastAsia" w:ascii="宋体" w:eastAsia="宋体" w:cs="宋体"/>
          <w:color w:val="auto"/>
          <w:sz w:val="24"/>
          <w:szCs w:val="24"/>
          <w:lang w:val="en-US" w:eastAsia="zh-CN"/>
        </w:rPr>
        <w:t>供应商</w:t>
      </w:r>
      <w:r>
        <w:rPr>
          <w:rFonts w:hint="eastAsia" w:ascii="宋体" w:hAnsi="宋体" w:cs="宋体"/>
          <w:color w:val="auto"/>
          <w:sz w:val="24"/>
          <w:szCs w:val="24"/>
        </w:rPr>
        <w:t>履约到位后，应以书面形式向采购人提出验收申请。采购人接到申请后应及时组织验收。</w:t>
      </w:r>
    </w:p>
    <w:p w14:paraId="2EED2DAC">
      <w:pPr>
        <w:keepNext w:val="0"/>
        <w:keepLines w:val="0"/>
        <w:pageBreakBefore w:val="0"/>
        <w:shd w:val="clear"/>
        <w:tabs>
          <w:tab w:val="right" w:leader="dot" w:pos="9214"/>
        </w:tabs>
        <w:overflowPunct/>
        <w:bidi w:val="0"/>
        <w:spacing w:line="360" w:lineRule="auto"/>
        <w:ind w:left="0" w:leftChars="0" w:right="443" w:rightChars="211" w:firstLine="480" w:firstLineChars="200"/>
        <w:jc w:val="both"/>
        <w:rPr>
          <w:rFonts w:ascii="宋体" w:hAnsi="宋体" w:cs="宋体"/>
          <w:color w:val="auto"/>
          <w:sz w:val="24"/>
          <w:szCs w:val="24"/>
        </w:rPr>
      </w:pPr>
      <w:r>
        <w:rPr>
          <w:rFonts w:hint="eastAsia" w:ascii="宋体" w:hAnsi="宋体" w:cs="宋体"/>
          <w:color w:val="auto"/>
          <w:sz w:val="24"/>
          <w:szCs w:val="24"/>
        </w:rPr>
        <w:t>六、采购人、成交</w:t>
      </w:r>
      <w:r>
        <w:rPr>
          <w:rFonts w:hint="eastAsia" w:ascii="宋体" w:eastAsia="宋体" w:cs="宋体"/>
          <w:color w:val="auto"/>
          <w:sz w:val="24"/>
          <w:szCs w:val="24"/>
          <w:lang w:val="en-US" w:eastAsia="zh-CN"/>
        </w:rPr>
        <w:t>供应商</w:t>
      </w:r>
      <w:r>
        <w:rPr>
          <w:rFonts w:hint="eastAsia" w:ascii="宋体" w:hAnsi="宋体" w:cs="宋体"/>
          <w:color w:val="auto"/>
          <w:sz w:val="24"/>
          <w:szCs w:val="24"/>
        </w:rPr>
        <w:t>不按采购合同规定履约，出现违约情形，应当及时纠正或补偿，造成损失的，按合同约定追究违约责任；在履约中发现有假冒、伪劣、走私产品、商业贿赂等违法情形的，应由采购人移交工商、质监、公安等行政执法部门依法查处。</w:t>
      </w:r>
    </w:p>
    <w:p w14:paraId="5BFDDFB2">
      <w:pPr>
        <w:pStyle w:val="9"/>
        <w:keepNext w:val="0"/>
        <w:keepLines w:val="0"/>
        <w:pageBreakBefore w:val="0"/>
        <w:shd w:val="clear"/>
        <w:tabs>
          <w:tab w:val="right" w:leader="dot" w:pos="9214"/>
        </w:tabs>
        <w:overflowPunct/>
        <w:bidi w:val="0"/>
        <w:spacing w:line="360" w:lineRule="auto"/>
        <w:ind w:left="0" w:leftChars="0" w:right="443" w:rightChars="211" w:firstLine="480" w:firstLineChars="200"/>
        <w:jc w:val="both"/>
        <w:rPr>
          <w:rFonts w:ascii="宋体" w:hAnsi="宋体" w:eastAsia="宋体" w:cs="宋体"/>
          <w:color w:val="auto"/>
          <w:kern w:val="2"/>
          <w:szCs w:val="24"/>
        </w:rPr>
      </w:pPr>
      <w:r>
        <w:rPr>
          <w:rFonts w:hint="eastAsia" w:ascii="宋体" w:hAnsi="宋体" w:eastAsia="宋体" w:cs="宋体"/>
          <w:color w:val="auto"/>
          <w:kern w:val="2"/>
          <w:szCs w:val="24"/>
        </w:rPr>
        <w:t>七、按采购合同约定支付的项目合同价款。</w:t>
      </w:r>
    </w:p>
    <w:p w14:paraId="357BA30E">
      <w:pPr>
        <w:keepNext w:val="0"/>
        <w:keepLines w:val="0"/>
        <w:pageBreakBefore w:val="0"/>
        <w:shd w:val="clear"/>
        <w:overflowPunct/>
        <w:bidi w:val="0"/>
        <w:spacing w:line="360" w:lineRule="auto"/>
        <w:ind w:left="0" w:leftChars="0" w:firstLine="482" w:firstLineChars="200"/>
        <w:jc w:val="both"/>
        <w:rPr>
          <w:rFonts w:ascii="宋体" w:hAnsi="宋体" w:cs="宋体"/>
          <w:b/>
          <w:color w:val="auto"/>
          <w:sz w:val="24"/>
          <w:szCs w:val="24"/>
        </w:rPr>
      </w:pPr>
      <w:bookmarkStart w:id="36" w:name="_Toc14026"/>
      <w:r>
        <w:rPr>
          <w:rFonts w:hint="eastAsia" w:ascii="宋体" w:hAnsi="宋体" w:cs="宋体"/>
          <w:b/>
          <w:color w:val="auto"/>
          <w:sz w:val="24"/>
          <w:szCs w:val="24"/>
        </w:rPr>
        <w:br w:type="page"/>
      </w:r>
    </w:p>
    <w:p w14:paraId="632B1F6F">
      <w:pPr>
        <w:keepNext w:val="0"/>
        <w:keepLines w:val="0"/>
        <w:pageBreakBefore w:val="0"/>
        <w:shd w:val="clear"/>
        <w:overflowPunct/>
        <w:bidi w:val="0"/>
        <w:snapToGrid w:val="0"/>
        <w:spacing w:line="360" w:lineRule="auto"/>
        <w:ind w:left="0" w:leftChars="0" w:firstLine="747" w:firstLineChars="200"/>
        <w:jc w:val="center"/>
        <w:outlineLvl w:val="0"/>
        <w:rPr>
          <w:rFonts w:hint="eastAsia" w:ascii="宋体" w:hAnsi="宋体" w:eastAsia="宋体" w:cs="宋体"/>
          <w:b/>
          <w:color w:val="auto"/>
          <w:spacing w:val="6"/>
          <w:kern w:val="2"/>
          <w:sz w:val="36"/>
          <w:szCs w:val="36"/>
          <w:lang w:val="en-US" w:eastAsia="zh-CN" w:bidi="ar-SA"/>
        </w:rPr>
      </w:pPr>
      <w:r>
        <w:rPr>
          <w:rFonts w:hint="eastAsia" w:ascii="宋体" w:hAnsi="宋体" w:eastAsia="宋体" w:cs="宋体"/>
          <w:b/>
          <w:color w:val="auto"/>
          <w:spacing w:val="6"/>
          <w:kern w:val="2"/>
          <w:sz w:val="36"/>
          <w:szCs w:val="36"/>
          <w:lang w:val="en-US" w:eastAsia="zh-CN" w:bidi="ar-SA"/>
        </w:rPr>
        <w:t>第六章</w:t>
      </w:r>
      <w:bookmarkEnd w:id="36"/>
      <w:bookmarkStart w:id="37" w:name="_Toc21870"/>
      <w:r>
        <w:rPr>
          <w:rFonts w:hint="eastAsia" w:ascii="宋体" w:hAnsi="宋体" w:eastAsia="宋体" w:cs="宋体"/>
          <w:b/>
          <w:color w:val="auto"/>
          <w:spacing w:val="6"/>
          <w:kern w:val="2"/>
          <w:sz w:val="36"/>
          <w:szCs w:val="36"/>
          <w:lang w:val="en-US" w:eastAsia="zh-CN" w:bidi="ar-SA"/>
        </w:rPr>
        <w:t xml:space="preserve">   响应文件组成</w:t>
      </w:r>
      <w:bookmarkEnd w:id="37"/>
    </w:p>
    <w:p w14:paraId="0861CCE1">
      <w:pPr>
        <w:keepNext w:val="0"/>
        <w:keepLines w:val="0"/>
        <w:pageBreakBefore w:val="0"/>
        <w:shd w:val="clear"/>
        <w:overflowPunct/>
        <w:bidi w:val="0"/>
        <w:snapToGrid w:val="0"/>
        <w:spacing w:line="360" w:lineRule="auto"/>
        <w:ind w:left="0" w:leftChars="0" w:firstLine="482" w:firstLineChars="200"/>
        <w:jc w:val="both"/>
        <w:rPr>
          <w:rFonts w:hint="eastAsia" w:ascii="宋体" w:hAnsi="宋体" w:eastAsia="宋体" w:cs="宋体"/>
          <w:b/>
          <w:color w:val="auto"/>
          <w:sz w:val="24"/>
          <w:szCs w:val="24"/>
          <w:lang w:eastAsia="zh-CN"/>
        </w:rPr>
      </w:pPr>
      <w:r>
        <w:rPr>
          <w:rFonts w:hint="eastAsia" w:ascii="宋体" w:hAnsi="宋体" w:cs="宋体"/>
          <w:b/>
          <w:color w:val="auto"/>
          <w:sz w:val="24"/>
          <w:szCs w:val="24"/>
        </w:rPr>
        <w:t>响应文件由①资格后审材料文件、②</w:t>
      </w:r>
      <w:r>
        <w:rPr>
          <w:rFonts w:hint="eastAsia" w:ascii="宋体" w:hAnsi="宋体" w:cs="宋体"/>
          <w:b/>
          <w:color w:val="auto"/>
          <w:sz w:val="24"/>
          <w:szCs w:val="24"/>
          <w:lang w:val="en-US" w:eastAsia="zh-CN"/>
        </w:rPr>
        <w:t>商务</w:t>
      </w:r>
      <w:r>
        <w:rPr>
          <w:rFonts w:hint="eastAsia" w:ascii="宋体" w:hAnsi="宋体" w:cs="宋体"/>
          <w:b/>
          <w:color w:val="auto"/>
          <w:sz w:val="24"/>
          <w:szCs w:val="24"/>
        </w:rPr>
        <w:t>技术标响应文件、③价格标响应文件、④电子响应文件共四部分组成。</w:t>
      </w:r>
    </w:p>
    <w:p w14:paraId="2AFD8844">
      <w:pPr>
        <w:pStyle w:val="33"/>
        <w:keepNext w:val="0"/>
        <w:keepLines w:val="0"/>
        <w:pageBreakBefore w:val="0"/>
        <w:shd w:val="clear"/>
        <w:overflowPunct/>
        <w:bidi w:val="0"/>
        <w:snapToGrid w:val="0"/>
        <w:spacing w:before="0" w:beforeAutospacing="0" w:after="0" w:afterAutospacing="0" w:line="360" w:lineRule="auto"/>
        <w:ind w:left="0" w:leftChars="0" w:firstLine="482" w:firstLineChars="200"/>
        <w:contextualSpacing/>
        <w:jc w:val="both"/>
        <w:rPr>
          <w:b/>
          <w:color w:val="auto"/>
          <w:szCs w:val="24"/>
        </w:rPr>
      </w:pPr>
      <w:r>
        <w:rPr>
          <w:rFonts w:hint="eastAsia"/>
          <w:b/>
          <w:color w:val="auto"/>
          <w:szCs w:val="24"/>
        </w:rPr>
        <w:t>一、资格后审材料文件（一正两副，单独密封并牢固装订）：</w:t>
      </w:r>
    </w:p>
    <w:p w14:paraId="5B6158D7">
      <w:pPr>
        <w:keepNext w:val="0"/>
        <w:keepLines w:val="0"/>
        <w:pageBreakBefore w:val="0"/>
        <w:widowControl/>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供应商具有独立承担民事责任的能力；具有良好的商业信誉和健全的财务会计制度；具有履行合同所必需的设备和专业技术能力；具有依法缴纳税收和社会保障资金的良好记录；参加本次采购活动前三年内，在经营活动中没有重大违法记录；法律、行政法规规定的其他条件。须提供：符合条件的声明函（格式见附件）；</w:t>
      </w:r>
    </w:p>
    <w:p w14:paraId="409A1C87">
      <w:pPr>
        <w:keepNext w:val="0"/>
        <w:keepLines w:val="0"/>
        <w:pageBreakBefore w:val="0"/>
        <w:widowControl/>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2.法定代表人参加响应的，必须提供法定代表人身份证明；非法定代表人参加响应的，必须提供</w:t>
      </w:r>
      <w:r>
        <w:rPr>
          <w:rFonts w:hint="eastAsia" w:ascii="宋体" w:hAnsi="宋体" w:cs="宋体"/>
          <w:b/>
          <w:bCs/>
          <w:color w:val="auto"/>
          <w:sz w:val="24"/>
          <w:szCs w:val="24"/>
        </w:rPr>
        <w:t>法定代表人身份证明及法定代表人委托书</w:t>
      </w:r>
      <w:r>
        <w:rPr>
          <w:rFonts w:hint="eastAsia" w:ascii="宋体" w:hAnsi="宋体" w:cs="宋体"/>
          <w:color w:val="auto"/>
          <w:sz w:val="24"/>
          <w:szCs w:val="24"/>
        </w:rPr>
        <w:t>（格式参见附件）；</w:t>
      </w:r>
    </w:p>
    <w:p w14:paraId="73453A83">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szCs w:val="24"/>
          <w:lang w:val="zh-CN"/>
        </w:rPr>
      </w:pPr>
      <w:r>
        <w:rPr>
          <w:rFonts w:hint="eastAsia" w:ascii="宋体" w:hAnsi="宋体" w:cs="宋体"/>
          <w:color w:val="auto"/>
          <w:sz w:val="24"/>
          <w:szCs w:val="24"/>
        </w:rPr>
        <w:t>3.提供法人或者其他组织的营业执照等证明文件</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复印件加盖公章</w:t>
      </w:r>
      <w:r>
        <w:rPr>
          <w:rFonts w:hint="eastAsia" w:ascii="宋体" w:hAnsi="宋体" w:cs="宋体"/>
          <w:color w:val="auto"/>
          <w:sz w:val="24"/>
          <w:szCs w:val="24"/>
          <w:lang w:eastAsia="zh-CN"/>
        </w:rPr>
        <w:t>）</w:t>
      </w:r>
      <w:r>
        <w:rPr>
          <w:rFonts w:hint="eastAsia" w:ascii="宋体" w:hAnsi="宋体" w:cs="宋体"/>
          <w:color w:val="auto"/>
          <w:sz w:val="24"/>
          <w:szCs w:val="24"/>
          <w:lang w:val="zh-CN"/>
        </w:rPr>
        <w:t>；</w:t>
      </w:r>
    </w:p>
    <w:p w14:paraId="41E29AC4">
      <w:pPr>
        <w:keepNext w:val="0"/>
        <w:keepLines w:val="0"/>
        <w:pageBreakBefore w:val="0"/>
        <w:widowControl/>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val="en-US" w:eastAsia="zh-CN"/>
        </w:rPr>
        <w:t>供</w:t>
      </w:r>
      <w:r>
        <w:rPr>
          <w:rFonts w:hint="eastAsia" w:ascii="宋体" w:hAnsi="宋体" w:cs="宋体"/>
          <w:color w:val="auto"/>
          <w:sz w:val="24"/>
          <w:szCs w:val="24"/>
        </w:rPr>
        <w:t>应商须为设有独立健康管理中心的本地二级以上公立医院</w:t>
      </w:r>
      <w:r>
        <w:rPr>
          <w:rFonts w:hint="eastAsia" w:ascii="宋体" w:hAnsi="宋体" w:cs="宋体"/>
          <w:color w:val="auto"/>
          <w:sz w:val="24"/>
          <w:szCs w:val="24"/>
          <w:lang w:eastAsia="zh-CN"/>
        </w:rPr>
        <w:t>（</w:t>
      </w:r>
      <w:r>
        <w:rPr>
          <w:rFonts w:hint="eastAsia" w:ascii="宋体" w:hAnsi="宋体" w:cs="宋体"/>
          <w:color w:val="auto"/>
          <w:sz w:val="24"/>
          <w:szCs w:val="24"/>
        </w:rPr>
        <w:t>提供证明材料</w:t>
      </w:r>
      <w:r>
        <w:rPr>
          <w:rFonts w:hint="eastAsia" w:ascii="宋体" w:hAnsi="宋体" w:cs="宋体"/>
          <w:color w:val="auto"/>
          <w:sz w:val="24"/>
          <w:szCs w:val="24"/>
          <w:lang w:val="en-US" w:eastAsia="zh-CN"/>
        </w:rPr>
        <w:t>加盖公章</w:t>
      </w:r>
      <w:r>
        <w:rPr>
          <w:rFonts w:hint="eastAsia" w:ascii="宋体" w:hAnsi="宋体" w:cs="宋体"/>
          <w:color w:val="auto"/>
          <w:sz w:val="24"/>
          <w:szCs w:val="24"/>
          <w:lang w:eastAsia="zh-CN"/>
        </w:rPr>
        <w:t>）</w:t>
      </w:r>
      <w:r>
        <w:rPr>
          <w:rFonts w:hint="eastAsia" w:ascii="宋体" w:hAnsi="宋体" w:cs="宋体"/>
          <w:color w:val="auto"/>
          <w:sz w:val="24"/>
          <w:szCs w:val="24"/>
        </w:rPr>
        <w:t>；</w:t>
      </w:r>
    </w:p>
    <w:p w14:paraId="7CE4846F">
      <w:pPr>
        <w:keepNext w:val="0"/>
        <w:keepLines w:val="0"/>
        <w:pageBreakBefore w:val="0"/>
        <w:widowControl/>
        <w:shd w:val="clear"/>
        <w:overflowPunct/>
        <w:bidi w:val="0"/>
        <w:snapToGrid w:val="0"/>
        <w:spacing w:line="360" w:lineRule="auto"/>
        <w:ind w:left="0" w:leftChars="0" w:firstLine="480" w:firstLineChars="200"/>
        <w:jc w:val="both"/>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5.供应商未被“信用中国”网站列入失信被执行人、重大税收违法案件当事人名单、采购严重失信行为记录名单，提供无失信记录声明函（格式见附件）。</w:t>
      </w:r>
    </w:p>
    <w:p w14:paraId="2B2A4EA7">
      <w:pPr>
        <w:keepNext w:val="0"/>
        <w:keepLines w:val="0"/>
        <w:pageBreakBefore w:val="0"/>
        <w:widowControl/>
        <w:shd w:val="clear"/>
        <w:overflowPunct/>
        <w:bidi w:val="0"/>
        <w:snapToGrid w:val="0"/>
        <w:spacing w:line="360" w:lineRule="auto"/>
        <w:ind w:left="0" w:leftChars="0" w:firstLine="482" w:firstLineChars="200"/>
        <w:jc w:val="both"/>
        <w:rPr>
          <w:rFonts w:ascii="宋体" w:hAnsi="宋体" w:cs="宋体"/>
          <w:b/>
          <w:color w:val="auto"/>
          <w:sz w:val="24"/>
          <w:szCs w:val="24"/>
        </w:rPr>
      </w:pPr>
      <w:r>
        <w:rPr>
          <w:rFonts w:hint="eastAsia" w:ascii="宋体" w:hAnsi="宋体" w:cs="宋体"/>
          <w:b/>
          <w:color w:val="auto"/>
          <w:sz w:val="24"/>
          <w:szCs w:val="24"/>
        </w:rPr>
        <w:t>二、</w:t>
      </w:r>
      <w:r>
        <w:rPr>
          <w:rFonts w:hint="eastAsia" w:ascii="宋体" w:hAnsi="宋体" w:cs="宋体"/>
          <w:b/>
          <w:color w:val="auto"/>
          <w:sz w:val="24"/>
          <w:szCs w:val="24"/>
          <w:lang w:val="en-US" w:eastAsia="zh-CN"/>
        </w:rPr>
        <w:t>商务</w:t>
      </w:r>
      <w:r>
        <w:rPr>
          <w:rFonts w:hint="eastAsia" w:ascii="宋体" w:hAnsi="宋体" w:cs="宋体"/>
          <w:b/>
          <w:color w:val="auto"/>
          <w:sz w:val="24"/>
          <w:szCs w:val="24"/>
        </w:rPr>
        <w:t>技术标响应文件（一正两副，单独密封并牢固装订）：</w:t>
      </w:r>
    </w:p>
    <w:p w14:paraId="11181CBC">
      <w:pPr>
        <w:keepNext w:val="0"/>
        <w:keepLines w:val="0"/>
        <w:pageBreakBefore w:val="0"/>
        <w:widowControl/>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1.商务部分正负偏离表（格式参见附件）；</w:t>
      </w:r>
    </w:p>
    <w:p w14:paraId="65131762">
      <w:pPr>
        <w:keepNext w:val="0"/>
        <w:keepLines w:val="0"/>
        <w:pageBreakBefore w:val="0"/>
        <w:widowControl/>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2.技术部分正负偏离表（格式参见附件）；</w:t>
      </w:r>
    </w:p>
    <w:p w14:paraId="31C7D8E5">
      <w:pPr>
        <w:shd w:val="clear"/>
        <w:adjustRightInd w:val="0"/>
        <w:snapToGrid w:val="0"/>
        <w:spacing w:line="360" w:lineRule="auto"/>
        <w:ind w:firstLine="480" w:firstLineChars="200"/>
        <w:rPr>
          <w:rFonts w:hint="eastAsia" w:ascii="宋体" w:hAnsi="宋体"/>
          <w:bCs/>
          <w:color w:val="auto"/>
          <w:sz w:val="24"/>
          <w:szCs w:val="24"/>
          <w:lang w:val="zh-CN"/>
        </w:rPr>
      </w:pPr>
      <w:r>
        <w:rPr>
          <w:rFonts w:hint="eastAsia" w:ascii="宋体" w:hAnsi="宋体"/>
          <w:bCs/>
          <w:color w:val="auto"/>
          <w:sz w:val="24"/>
          <w:szCs w:val="24"/>
          <w:lang w:val="en-US" w:eastAsia="zh-CN"/>
        </w:rPr>
        <w:t>3.</w:t>
      </w:r>
      <w:r>
        <w:rPr>
          <w:rFonts w:ascii="宋体" w:hAnsi="宋体"/>
          <w:bCs/>
          <w:color w:val="auto"/>
          <w:sz w:val="24"/>
          <w:szCs w:val="24"/>
          <w:lang w:val="zh-CN"/>
        </w:rPr>
        <w:t>商务技术评分标准中</w:t>
      </w:r>
      <w:r>
        <w:rPr>
          <w:rFonts w:hint="eastAsia" w:ascii="宋体" w:hAnsi="宋体"/>
          <w:bCs/>
          <w:color w:val="auto"/>
          <w:sz w:val="24"/>
          <w:szCs w:val="24"/>
          <w:lang w:val="zh-CN"/>
        </w:rPr>
        <w:t>需</w:t>
      </w:r>
      <w:r>
        <w:rPr>
          <w:rFonts w:ascii="宋体" w:hAnsi="宋体"/>
          <w:bCs/>
          <w:color w:val="auto"/>
          <w:sz w:val="24"/>
          <w:szCs w:val="24"/>
          <w:lang w:val="zh-CN"/>
        </w:rPr>
        <w:t>提供的相关得分佐证材料；</w:t>
      </w:r>
    </w:p>
    <w:p w14:paraId="4983EBCE">
      <w:pPr>
        <w:shd w:val="clear"/>
        <w:adjustRightInd w:val="0"/>
        <w:snapToGrid w:val="0"/>
        <w:spacing w:line="360" w:lineRule="auto"/>
        <w:ind w:firstLine="480" w:firstLineChars="200"/>
        <w:rPr>
          <w:rFonts w:hint="eastAsia" w:ascii="宋体" w:hAnsi="宋体"/>
          <w:bCs/>
          <w:color w:val="auto"/>
          <w:sz w:val="24"/>
          <w:szCs w:val="24"/>
          <w:lang w:val="zh-CN"/>
        </w:rPr>
      </w:pPr>
      <w:r>
        <w:rPr>
          <w:rFonts w:hint="eastAsia" w:ascii="宋体" w:hAnsi="宋体"/>
          <w:bCs/>
          <w:color w:val="auto"/>
          <w:sz w:val="24"/>
          <w:szCs w:val="24"/>
          <w:lang w:val="en-US" w:eastAsia="zh-CN"/>
        </w:rPr>
        <w:t>4.</w:t>
      </w:r>
      <w:r>
        <w:rPr>
          <w:rFonts w:ascii="宋体" w:hAnsi="宋体"/>
          <w:bCs/>
          <w:color w:val="auto"/>
          <w:sz w:val="24"/>
          <w:szCs w:val="24"/>
          <w:lang w:val="zh-CN"/>
        </w:rPr>
        <w:t>供应商认为需要提交的其他商务技术材料。</w:t>
      </w:r>
    </w:p>
    <w:p w14:paraId="2CD61664">
      <w:pPr>
        <w:keepNext w:val="0"/>
        <w:keepLines w:val="0"/>
        <w:pageBreakBefore w:val="0"/>
        <w:widowControl/>
        <w:shd w:val="clear"/>
        <w:overflowPunct/>
        <w:bidi w:val="0"/>
        <w:snapToGrid w:val="0"/>
        <w:spacing w:line="360" w:lineRule="auto"/>
        <w:ind w:left="0" w:leftChars="0" w:firstLine="482" w:firstLineChars="200"/>
        <w:jc w:val="both"/>
        <w:rPr>
          <w:rFonts w:ascii="宋体" w:hAnsi="宋体" w:cs="宋体"/>
          <w:color w:val="auto"/>
          <w:sz w:val="24"/>
          <w:szCs w:val="24"/>
        </w:rPr>
      </w:pPr>
      <w:r>
        <w:rPr>
          <w:rFonts w:hint="eastAsia" w:ascii="宋体" w:hAnsi="宋体" w:cs="宋体"/>
          <w:b/>
          <w:color w:val="auto"/>
          <w:sz w:val="24"/>
          <w:szCs w:val="24"/>
        </w:rPr>
        <w:t>三、价格标响应文件（一正两副，单独密封并牢固装订）：</w:t>
      </w:r>
    </w:p>
    <w:p w14:paraId="2C25B5E6">
      <w:pPr>
        <w:keepNext w:val="0"/>
        <w:keepLines w:val="0"/>
        <w:pageBreakBefore w:val="0"/>
        <w:shd w:val="clear"/>
        <w:tabs>
          <w:tab w:val="left" w:pos="1260"/>
        </w:tabs>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1.报价总表（格式参见附件）。</w:t>
      </w:r>
    </w:p>
    <w:p w14:paraId="3DBFFB8B">
      <w:pPr>
        <w:keepNext w:val="0"/>
        <w:keepLines w:val="0"/>
        <w:pageBreakBefore w:val="0"/>
        <w:shd w:val="clear"/>
        <w:tabs>
          <w:tab w:val="left" w:pos="1260"/>
        </w:tabs>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四、电子响应文件</w:t>
      </w:r>
      <w:r>
        <w:rPr>
          <w:rFonts w:hint="eastAsia" w:ascii="宋体" w:hAnsi="宋体" w:cs="宋体"/>
          <w:b/>
          <w:bCs/>
          <w:color w:val="auto"/>
          <w:sz w:val="24"/>
          <w:szCs w:val="24"/>
          <w:lang w:val="zh-CN"/>
        </w:rPr>
        <w:t>（</w:t>
      </w:r>
      <w:r>
        <w:rPr>
          <w:rFonts w:hint="eastAsia" w:ascii="宋体" w:hAnsi="宋体" w:cs="宋体"/>
          <w:b/>
          <w:bCs/>
          <w:color w:val="auto"/>
          <w:sz w:val="24"/>
          <w:szCs w:val="24"/>
        </w:rPr>
        <w:t>一份，单独密封</w:t>
      </w:r>
      <w:r>
        <w:rPr>
          <w:rFonts w:hint="eastAsia" w:ascii="宋体" w:hAnsi="宋体" w:cs="宋体"/>
          <w:b/>
          <w:bCs/>
          <w:color w:val="auto"/>
          <w:sz w:val="24"/>
          <w:szCs w:val="24"/>
          <w:lang w:val="zh-CN"/>
        </w:rPr>
        <w:t>）</w:t>
      </w:r>
    </w:p>
    <w:p w14:paraId="0921C5D0">
      <w:pPr>
        <w:keepNext w:val="0"/>
        <w:keepLines w:val="0"/>
        <w:pageBreakBefore w:val="0"/>
        <w:shd w:val="clear"/>
        <w:tabs>
          <w:tab w:val="left" w:pos="1260"/>
        </w:tabs>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电子响应文件的内容为“资格后审材料文件、</w:t>
      </w:r>
      <w:r>
        <w:rPr>
          <w:rFonts w:hint="eastAsia" w:ascii="宋体" w:hAnsi="宋体" w:cs="宋体"/>
          <w:color w:val="auto"/>
          <w:sz w:val="24"/>
          <w:szCs w:val="24"/>
          <w:lang w:val="en-US" w:eastAsia="zh-CN"/>
        </w:rPr>
        <w:t>商务</w:t>
      </w:r>
      <w:r>
        <w:rPr>
          <w:rFonts w:hint="eastAsia" w:ascii="宋体" w:hAnsi="宋体" w:cs="宋体"/>
          <w:color w:val="auto"/>
          <w:sz w:val="24"/>
          <w:szCs w:val="24"/>
        </w:rPr>
        <w:t>技术标响应文件、价格标响应文件”的打印盖章或电子签章后的响应文件的扫描件（资格后审材料文件、</w:t>
      </w:r>
      <w:r>
        <w:rPr>
          <w:rFonts w:hint="eastAsia" w:ascii="宋体" w:hAnsi="宋体" w:cs="宋体"/>
          <w:color w:val="auto"/>
          <w:sz w:val="24"/>
          <w:szCs w:val="24"/>
          <w:lang w:val="en-US" w:eastAsia="zh-CN"/>
        </w:rPr>
        <w:t>商务</w:t>
      </w:r>
      <w:r>
        <w:rPr>
          <w:rFonts w:hint="eastAsia" w:ascii="宋体" w:hAnsi="宋体" w:cs="宋体"/>
          <w:color w:val="auto"/>
          <w:sz w:val="24"/>
          <w:szCs w:val="24"/>
        </w:rPr>
        <w:t>技术标响应文件、价格标响应文件需分别逐页连续扫描为三个独立的PDF文件），采取U盘方式单独密封提交。</w:t>
      </w:r>
      <w:r>
        <w:rPr>
          <w:rFonts w:hint="eastAsia" w:ascii="宋体" w:hAnsi="宋体" w:cs="宋体"/>
          <w:color w:val="auto"/>
          <w:sz w:val="24"/>
          <w:szCs w:val="24"/>
        </w:rPr>
        <w:br w:type="page"/>
      </w:r>
    </w:p>
    <w:p w14:paraId="6FAE6685">
      <w:pPr>
        <w:keepNext w:val="0"/>
        <w:keepLines w:val="0"/>
        <w:pageBreakBefore w:val="0"/>
        <w:shd w:val="clear"/>
        <w:overflowPunct/>
        <w:bidi w:val="0"/>
        <w:spacing w:line="360" w:lineRule="auto"/>
        <w:ind w:left="0" w:leftChars="0" w:firstLine="482" w:firstLineChars="200"/>
        <w:jc w:val="both"/>
        <w:rPr>
          <w:rFonts w:ascii="宋体" w:hAnsi="宋体" w:cs="宋体"/>
          <w:b/>
          <w:color w:val="auto"/>
          <w:sz w:val="24"/>
          <w:szCs w:val="24"/>
        </w:rPr>
      </w:pPr>
      <w:r>
        <w:rPr>
          <w:rFonts w:hint="eastAsia" w:ascii="宋体" w:hAnsi="宋体" w:cs="宋体"/>
          <w:b/>
          <w:color w:val="auto"/>
          <w:sz w:val="24"/>
          <w:szCs w:val="24"/>
        </w:rPr>
        <w:t>附件</w:t>
      </w:r>
    </w:p>
    <w:p w14:paraId="6D0ABF66">
      <w:pPr>
        <w:shd w:val="clear"/>
        <w:adjustRightInd w:val="0"/>
        <w:snapToGrid w:val="0"/>
        <w:spacing w:line="420" w:lineRule="exact"/>
        <w:jc w:val="center"/>
        <w:outlineLvl w:val="9"/>
        <w:rPr>
          <w:rFonts w:ascii="Times New Roman" w:hAnsi="Times New Roman"/>
          <w:b/>
          <w:bCs/>
          <w:color w:val="auto"/>
          <w:kern w:val="2"/>
          <w:sz w:val="28"/>
          <w:szCs w:val="28"/>
        </w:rPr>
      </w:pPr>
      <w:r>
        <w:rPr>
          <w:rFonts w:hint="eastAsia" w:ascii="Times New Roman" w:hAnsi="Times New Roman" w:cs="宋体"/>
          <w:b/>
          <w:bCs/>
          <w:color w:val="auto"/>
          <w:kern w:val="2"/>
          <w:sz w:val="28"/>
          <w:szCs w:val="28"/>
        </w:rPr>
        <w:t>（封面）</w:t>
      </w:r>
    </w:p>
    <w:p w14:paraId="3CFD4A4D">
      <w:pPr>
        <w:keepNext w:val="0"/>
        <w:keepLines w:val="0"/>
        <w:pageBreakBefore w:val="0"/>
        <w:shd w:val="clear"/>
        <w:overflowPunct/>
        <w:bidi w:val="0"/>
        <w:spacing w:line="360" w:lineRule="auto"/>
        <w:ind w:left="0" w:leftChars="0" w:firstLine="883" w:firstLineChars="200"/>
        <w:jc w:val="center"/>
        <w:rPr>
          <w:rFonts w:hint="eastAsia" w:ascii="宋体" w:hAnsi="宋体" w:cs="宋体"/>
          <w:b/>
          <w:color w:val="auto"/>
          <w:sz w:val="44"/>
          <w:szCs w:val="44"/>
          <w:u w:val="none"/>
        </w:rPr>
      </w:pPr>
    </w:p>
    <w:p w14:paraId="3EC23A12">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b/>
          <w:color w:val="auto"/>
          <w:sz w:val="44"/>
          <w:szCs w:val="44"/>
          <w:u w:val="none"/>
        </w:rPr>
      </w:pPr>
      <w:r>
        <w:rPr>
          <w:rFonts w:hint="eastAsia" w:ascii="宋体" w:hAnsi="宋体" w:cs="宋体"/>
          <w:b/>
          <w:color w:val="auto"/>
          <w:sz w:val="44"/>
          <w:szCs w:val="44"/>
          <w:u w:val="none"/>
        </w:rPr>
        <w:t>江苏省南通第一中学</w:t>
      </w:r>
      <w:r>
        <w:rPr>
          <w:rFonts w:hint="eastAsia" w:ascii="宋体" w:hAnsi="宋体" w:cs="宋体"/>
          <w:b/>
          <w:color w:val="auto"/>
          <w:sz w:val="44"/>
          <w:szCs w:val="44"/>
          <w:u w:val="none"/>
          <w:lang w:val="en-US" w:eastAsia="zh-CN"/>
        </w:rPr>
        <w:t>2026年学生</w:t>
      </w:r>
      <w:r>
        <w:rPr>
          <w:rFonts w:hint="eastAsia" w:ascii="宋体" w:hAnsi="宋体" w:cs="宋体"/>
          <w:b/>
          <w:color w:val="auto"/>
          <w:sz w:val="44"/>
          <w:szCs w:val="44"/>
          <w:u w:val="none"/>
        </w:rPr>
        <w:t>体检服务采购项目</w:t>
      </w:r>
    </w:p>
    <w:p w14:paraId="63095EA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center"/>
        <w:textAlignment w:val="auto"/>
        <w:rPr>
          <w:rFonts w:ascii="宋体" w:hAnsi="宋体" w:cs="宋体"/>
          <w:b/>
          <w:bCs/>
          <w:color w:val="auto"/>
          <w:sz w:val="32"/>
          <w:szCs w:val="32"/>
        </w:rPr>
      </w:pPr>
      <w:r>
        <w:rPr>
          <w:rFonts w:hint="eastAsia" w:ascii="宋体" w:hAnsi="宋体" w:cs="宋体"/>
          <w:b/>
          <w:bCs/>
          <w:color w:val="auto"/>
          <w:sz w:val="32"/>
          <w:szCs w:val="32"/>
        </w:rPr>
        <w:t>项目编号：</w:t>
      </w:r>
    </w:p>
    <w:p w14:paraId="69B09300">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rPr>
      </w:pPr>
    </w:p>
    <w:p w14:paraId="178D5EE5">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rPr>
      </w:pPr>
    </w:p>
    <w:p w14:paraId="257E256D">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rPr>
      </w:pPr>
    </w:p>
    <w:p w14:paraId="736E7CD8">
      <w:pPr>
        <w:keepNext w:val="0"/>
        <w:keepLines w:val="0"/>
        <w:pageBreakBefore w:val="0"/>
        <w:shd w:val="clear"/>
        <w:overflowPunct/>
        <w:bidi w:val="0"/>
        <w:spacing w:line="360" w:lineRule="auto"/>
        <w:ind w:left="0" w:leftChars="0" w:firstLine="643" w:firstLineChars="200"/>
        <w:jc w:val="center"/>
        <w:rPr>
          <w:rFonts w:ascii="宋体" w:hAnsi="宋体" w:cs="宋体"/>
          <w:b/>
          <w:bCs/>
          <w:color w:val="auto"/>
          <w:sz w:val="32"/>
          <w:szCs w:val="32"/>
        </w:rPr>
      </w:pPr>
      <w:r>
        <w:rPr>
          <w:rFonts w:hint="eastAsia" w:ascii="宋体" w:hAnsi="宋体" w:cs="宋体"/>
          <w:b/>
          <w:bCs/>
          <w:color w:val="auto"/>
          <w:sz w:val="32"/>
          <w:szCs w:val="32"/>
        </w:rPr>
        <w:t>响应文件</w:t>
      </w:r>
    </w:p>
    <w:p w14:paraId="6B0CBAD2">
      <w:pPr>
        <w:keepNext w:val="0"/>
        <w:keepLines w:val="0"/>
        <w:pageBreakBefore w:val="0"/>
        <w:shd w:val="clear"/>
        <w:overflowPunct/>
        <w:bidi w:val="0"/>
        <w:spacing w:line="360" w:lineRule="auto"/>
        <w:ind w:left="0" w:leftChars="0" w:firstLine="480" w:firstLineChars="200"/>
        <w:jc w:val="center"/>
        <w:rPr>
          <w:rFonts w:ascii="宋体" w:hAnsi="宋体" w:cs="宋体"/>
          <w:color w:val="auto"/>
          <w:sz w:val="24"/>
        </w:rPr>
      </w:pPr>
      <w:r>
        <w:rPr>
          <w:rFonts w:hint="eastAsia" w:ascii="宋体" w:hAnsi="宋体" w:cs="宋体"/>
          <w:color w:val="auto"/>
          <w:sz w:val="24"/>
        </w:rPr>
        <w:t>对应响应文件填写：资格后审材料文件</w:t>
      </w:r>
    </w:p>
    <w:p w14:paraId="6267ED6B">
      <w:pPr>
        <w:keepNext w:val="0"/>
        <w:keepLines w:val="0"/>
        <w:pageBreakBefore w:val="0"/>
        <w:shd w:val="clear"/>
        <w:overflowPunct/>
        <w:bidi w:val="0"/>
        <w:spacing w:line="360" w:lineRule="auto"/>
        <w:ind w:left="0" w:leftChars="0" w:firstLine="480" w:firstLineChars="200"/>
        <w:jc w:val="center"/>
        <w:rPr>
          <w:rFonts w:hint="eastAsia" w:ascii="宋体" w:hAnsi="宋体" w:cs="宋体"/>
          <w:color w:val="auto"/>
          <w:sz w:val="24"/>
        </w:rPr>
      </w:pPr>
      <w:r>
        <w:rPr>
          <w:rFonts w:hint="eastAsia" w:ascii="宋体" w:hAnsi="宋体" w:cs="宋体"/>
          <w:color w:val="auto"/>
          <w:sz w:val="24"/>
        </w:rPr>
        <w:t>对应响应文件填写：</w:t>
      </w:r>
      <w:r>
        <w:rPr>
          <w:rFonts w:hint="eastAsia" w:ascii="宋体" w:hAnsi="宋体" w:cs="宋体"/>
          <w:color w:val="auto"/>
          <w:sz w:val="24"/>
          <w:lang w:val="en-US" w:eastAsia="zh-CN"/>
        </w:rPr>
        <w:t>商务</w:t>
      </w:r>
      <w:r>
        <w:rPr>
          <w:rFonts w:hint="eastAsia" w:ascii="宋体" w:hAnsi="宋体" w:cs="宋体"/>
          <w:color w:val="auto"/>
          <w:sz w:val="24"/>
        </w:rPr>
        <w:t>技术标响应文件</w:t>
      </w:r>
    </w:p>
    <w:p w14:paraId="3406D964">
      <w:pPr>
        <w:keepNext w:val="0"/>
        <w:keepLines w:val="0"/>
        <w:pageBreakBefore w:val="0"/>
        <w:shd w:val="clear"/>
        <w:overflowPunct/>
        <w:bidi w:val="0"/>
        <w:spacing w:line="360" w:lineRule="auto"/>
        <w:ind w:left="0" w:leftChars="0" w:firstLine="480" w:firstLineChars="200"/>
        <w:jc w:val="center"/>
        <w:rPr>
          <w:rFonts w:hint="eastAsia" w:ascii="宋体" w:hAnsi="宋体" w:cs="宋体"/>
          <w:color w:val="auto"/>
          <w:sz w:val="24"/>
        </w:rPr>
      </w:pPr>
      <w:r>
        <w:rPr>
          <w:rFonts w:hint="eastAsia" w:ascii="宋体" w:hAnsi="宋体" w:cs="宋体"/>
          <w:color w:val="auto"/>
          <w:sz w:val="24"/>
        </w:rPr>
        <w:t>对应响应文件填写：价格标响应文件</w:t>
      </w:r>
    </w:p>
    <w:p w14:paraId="1090321A">
      <w:pPr>
        <w:keepNext w:val="0"/>
        <w:keepLines w:val="0"/>
        <w:pageBreakBefore w:val="0"/>
        <w:shd w:val="clear"/>
        <w:overflowPunct/>
        <w:bidi w:val="0"/>
        <w:spacing w:line="360" w:lineRule="auto"/>
        <w:ind w:left="0" w:leftChars="0" w:firstLine="480" w:firstLineChars="200"/>
        <w:jc w:val="center"/>
        <w:rPr>
          <w:rFonts w:ascii="宋体" w:hAnsi="宋体" w:cs="宋体"/>
          <w:color w:val="auto"/>
          <w:sz w:val="24"/>
        </w:rPr>
      </w:pPr>
      <w:r>
        <w:rPr>
          <w:rFonts w:hint="eastAsia" w:ascii="宋体" w:hAnsi="宋体" w:cs="宋体"/>
          <w:color w:val="auto"/>
          <w:sz w:val="24"/>
        </w:rPr>
        <w:t>对应响应文件填写：电子响应文件</w:t>
      </w:r>
    </w:p>
    <w:p w14:paraId="06DEBB48">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rPr>
      </w:pPr>
    </w:p>
    <w:p w14:paraId="4AA9A353">
      <w:pPr>
        <w:keepNext w:val="0"/>
        <w:keepLines w:val="0"/>
        <w:pageBreakBefore w:val="0"/>
        <w:shd w:val="clear"/>
        <w:overflowPunct/>
        <w:bidi w:val="0"/>
        <w:spacing w:line="360" w:lineRule="auto"/>
        <w:ind w:left="0" w:leftChars="0" w:firstLine="482" w:firstLineChars="200"/>
        <w:jc w:val="both"/>
        <w:rPr>
          <w:rFonts w:ascii="宋体" w:hAnsi="宋体" w:cs="宋体"/>
          <w:b/>
          <w:color w:val="auto"/>
          <w:sz w:val="24"/>
        </w:rPr>
      </w:pPr>
    </w:p>
    <w:p w14:paraId="68EB7586">
      <w:pPr>
        <w:keepNext w:val="0"/>
        <w:keepLines w:val="0"/>
        <w:pageBreakBefore w:val="0"/>
        <w:shd w:val="clear"/>
        <w:overflowPunct/>
        <w:bidi w:val="0"/>
        <w:snapToGrid w:val="0"/>
        <w:spacing w:line="360" w:lineRule="auto"/>
        <w:ind w:left="0" w:leftChars="0" w:firstLine="482" w:firstLineChars="200"/>
        <w:jc w:val="both"/>
        <w:rPr>
          <w:rFonts w:ascii="宋体" w:hAnsi="宋体" w:cs="宋体"/>
          <w:b/>
          <w:color w:val="auto"/>
          <w:sz w:val="24"/>
        </w:rPr>
      </w:pPr>
    </w:p>
    <w:p w14:paraId="2C0895BC">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rPr>
      </w:pPr>
    </w:p>
    <w:p w14:paraId="60651108">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rPr>
      </w:pPr>
    </w:p>
    <w:p w14:paraId="204B418A">
      <w:pPr>
        <w:keepNext w:val="0"/>
        <w:keepLines w:val="0"/>
        <w:pageBreakBefore w:val="0"/>
        <w:shd w:val="clear"/>
        <w:overflowPunct/>
        <w:bidi w:val="0"/>
        <w:spacing w:line="360" w:lineRule="auto"/>
        <w:ind w:left="0" w:leftChars="0" w:firstLine="480" w:firstLineChars="200"/>
        <w:jc w:val="center"/>
        <w:rPr>
          <w:rFonts w:ascii="宋体" w:hAnsi="宋体" w:cs="宋体"/>
          <w:color w:val="auto"/>
          <w:sz w:val="24"/>
        </w:rPr>
      </w:pPr>
    </w:p>
    <w:p w14:paraId="021E189D">
      <w:pPr>
        <w:keepNext w:val="0"/>
        <w:keepLines w:val="0"/>
        <w:pageBreakBefore w:val="0"/>
        <w:shd w:val="clear"/>
        <w:overflowPunct/>
        <w:bidi w:val="0"/>
        <w:spacing w:line="360" w:lineRule="auto"/>
        <w:ind w:left="0" w:leftChars="0" w:firstLine="560" w:firstLineChars="200"/>
        <w:jc w:val="center"/>
        <w:rPr>
          <w:rFonts w:ascii="宋体" w:hAnsi="宋体" w:cs="宋体"/>
          <w:color w:val="auto"/>
          <w:sz w:val="28"/>
          <w:szCs w:val="28"/>
        </w:rPr>
      </w:pPr>
      <w:r>
        <w:rPr>
          <w:rFonts w:hint="eastAsia" w:ascii="宋体" w:hAnsi="宋体" w:cs="宋体"/>
          <w:color w:val="auto"/>
          <w:sz w:val="28"/>
          <w:szCs w:val="28"/>
        </w:rPr>
        <w:t>供应商：</w:t>
      </w:r>
      <w:r>
        <w:rPr>
          <w:rFonts w:hint="eastAsia" w:ascii="宋体" w:hAnsi="宋体" w:cs="宋体"/>
          <w:color w:val="auto"/>
          <w:sz w:val="28"/>
          <w:szCs w:val="28"/>
          <w:u w:val="single"/>
        </w:rPr>
        <w:t>参加供应商全称</w:t>
      </w:r>
      <w:r>
        <w:rPr>
          <w:rFonts w:hint="eastAsia" w:ascii="宋体" w:hAnsi="宋体" w:cs="宋体"/>
          <w:color w:val="auto"/>
          <w:sz w:val="28"/>
          <w:szCs w:val="28"/>
        </w:rPr>
        <w:t>（公章）</w:t>
      </w:r>
    </w:p>
    <w:p w14:paraId="57A2EB77">
      <w:pPr>
        <w:keepNext w:val="0"/>
        <w:keepLines w:val="0"/>
        <w:pageBreakBefore w:val="0"/>
        <w:shd w:val="clear"/>
        <w:overflowPunct/>
        <w:bidi w:val="0"/>
        <w:spacing w:line="360" w:lineRule="auto"/>
        <w:ind w:left="0" w:leftChars="0" w:firstLine="560" w:firstLineChars="200"/>
        <w:jc w:val="center"/>
        <w:rPr>
          <w:rFonts w:ascii="宋体" w:hAnsi="宋体" w:cs="宋体"/>
          <w:color w:val="auto"/>
          <w:sz w:val="28"/>
          <w:szCs w:val="28"/>
        </w:rPr>
      </w:pPr>
      <w:r>
        <w:rPr>
          <w:rFonts w:hint="eastAsia" w:ascii="宋体" w:hAnsi="宋体" w:cs="宋体"/>
          <w:color w:val="auto"/>
          <w:sz w:val="28"/>
          <w:szCs w:val="28"/>
        </w:rPr>
        <w:t>日  期：      年  月  日</w:t>
      </w:r>
    </w:p>
    <w:p w14:paraId="2030296C">
      <w:pPr>
        <w:keepNext w:val="0"/>
        <w:keepLines w:val="0"/>
        <w:pageBreakBefore w:val="0"/>
        <w:shd w:val="clear"/>
        <w:overflowPunct/>
        <w:bidi w:val="0"/>
        <w:spacing w:line="360" w:lineRule="auto"/>
        <w:ind w:left="0" w:leftChars="0" w:firstLine="482" w:firstLineChars="200"/>
        <w:jc w:val="center"/>
        <w:rPr>
          <w:rFonts w:ascii="宋体" w:hAnsi="宋体" w:cs="宋体"/>
          <w:b/>
          <w:color w:val="auto"/>
          <w:sz w:val="24"/>
          <w:szCs w:val="24"/>
        </w:rPr>
      </w:pPr>
      <w:r>
        <w:rPr>
          <w:rFonts w:hint="eastAsia" w:ascii="宋体" w:hAnsi="宋体" w:cs="宋体"/>
          <w:b/>
          <w:color w:val="auto"/>
          <w:sz w:val="24"/>
          <w:szCs w:val="24"/>
        </w:rPr>
        <w:br w:type="page"/>
      </w:r>
    </w:p>
    <w:p w14:paraId="71F21B71">
      <w:pPr>
        <w:shd w:val="clear"/>
        <w:jc w:val="center"/>
        <w:rPr>
          <w:rFonts w:hint="eastAsia" w:ascii="宋体" w:hAnsi="宋体"/>
          <w:b/>
          <w:color w:val="auto"/>
          <w:kern w:val="2"/>
          <w:sz w:val="30"/>
          <w:szCs w:val="30"/>
        </w:rPr>
      </w:pPr>
      <w:r>
        <w:rPr>
          <w:rFonts w:hint="eastAsia" w:ascii="宋体" w:hAnsi="宋体"/>
          <w:b/>
          <w:color w:val="auto"/>
          <w:kern w:val="2"/>
          <w:sz w:val="30"/>
          <w:szCs w:val="30"/>
          <w:lang w:val="en-US" w:eastAsia="zh-CN"/>
        </w:rPr>
        <w:t>供应商</w:t>
      </w:r>
      <w:r>
        <w:rPr>
          <w:rFonts w:hint="eastAsia" w:ascii="宋体" w:hAnsi="宋体"/>
          <w:b/>
          <w:color w:val="auto"/>
          <w:kern w:val="2"/>
          <w:sz w:val="30"/>
          <w:szCs w:val="30"/>
        </w:rPr>
        <w:t>符合</w:t>
      </w:r>
      <w:r>
        <w:rPr>
          <w:rFonts w:hint="eastAsia" w:ascii="宋体" w:hAnsi="宋体"/>
          <w:b/>
          <w:color w:val="auto"/>
          <w:kern w:val="2"/>
          <w:sz w:val="30"/>
          <w:szCs w:val="30"/>
          <w:lang w:val="en-US" w:eastAsia="zh-CN"/>
        </w:rPr>
        <w:t>条件的</w:t>
      </w:r>
      <w:r>
        <w:rPr>
          <w:rFonts w:hint="eastAsia" w:ascii="宋体" w:hAnsi="宋体"/>
          <w:b/>
          <w:color w:val="auto"/>
          <w:kern w:val="2"/>
          <w:sz w:val="30"/>
          <w:szCs w:val="30"/>
        </w:rPr>
        <w:t>声明函</w:t>
      </w:r>
    </w:p>
    <w:p w14:paraId="589A5641">
      <w:pPr>
        <w:shd w:val="clear"/>
        <w:spacing w:line="460" w:lineRule="exact"/>
        <w:rPr>
          <w:rFonts w:hint="eastAsia" w:ascii="宋体" w:hAnsi="宋体"/>
          <w:b/>
          <w:bCs/>
          <w:color w:val="auto"/>
          <w:kern w:val="2"/>
          <w:sz w:val="44"/>
          <w:szCs w:val="44"/>
        </w:rPr>
      </w:pPr>
    </w:p>
    <w:p w14:paraId="288AC5A7">
      <w:pPr>
        <w:shd w:val="clear"/>
        <w:spacing w:line="520" w:lineRule="exact"/>
        <w:ind w:firstLine="480" w:firstLineChars="200"/>
        <w:rPr>
          <w:rFonts w:hint="eastAsia" w:ascii="宋体" w:hAnsi="宋体"/>
          <w:b/>
          <w:bCs/>
          <w:color w:val="auto"/>
          <w:kern w:val="2"/>
          <w:sz w:val="24"/>
          <w:szCs w:val="24"/>
        </w:rPr>
      </w:pPr>
      <w:r>
        <w:rPr>
          <w:rFonts w:hint="eastAsia" w:ascii="宋体" w:hAnsi="宋体"/>
          <w:bCs/>
          <w:color w:val="auto"/>
          <w:kern w:val="2"/>
          <w:sz w:val="24"/>
          <w:szCs w:val="24"/>
        </w:rPr>
        <w:t>我单位参加</w:t>
      </w:r>
      <w:r>
        <w:rPr>
          <w:rFonts w:hint="eastAsia" w:ascii="宋体" w:hAnsi="宋体"/>
          <w:bCs/>
          <w:color w:val="auto"/>
          <w:kern w:val="2"/>
          <w:sz w:val="24"/>
          <w:szCs w:val="21"/>
          <w:u w:val="single"/>
        </w:rPr>
        <w:t>_       （项目名称）_【项目编号：</w:t>
      </w:r>
      <w:r>
        <w:rPr>
          <w:rFonts w:hint="eastAsia" w:ascii="宋体" w:hAnsi="宋体"/>
          <w:bCs/>
          <w:color w:val="auto"/>
          <w:kern w:val="2"/>
          <w:sz w:val="24"/>
          <w:szCs w:val="21"/>
          <w:u w:val="single"/>
          <w:lang w:val="en-US" w:eastAsia="zh-CN"/>
        </w:rPr>
        <w:t xml:space="preserve">   </w:t>
      </w:r>
      <w:r>
        <w:rPr>
          <w:rFonts w:hint="eastAsia" w:ascii="宋体" w:hAnsi="宋体"/>
          <w:bCs/>
          <w:color w:val="auto"/>
          <w:kern w:val="2"/>
          <w:sz w:val="24"/>
          <w:szCs w:val="21"/>
          <w:u w:val="single"/>
        </w:rPr>
        <w:t>】</w:t>
      </w:r>
      <w:r>
        <w:rPr>
          <w:rFonts w:hint="eastAsia" w:ascii="宋体" w:hAnsi="宋体"/>
          <w:bCs/>
          <w:color w:val="auto"/>
          <w:kern w:val="2"/>
          <w:sz w:val="24"/>
          <w:szCs w:val="21"/>
        </w:rPr>
        <w:t>的</w:t>
      </w:r>
      <w:r>
        <w:rPr>
          <w:rFonts w:hint="eastAsia" w:ascii="宋体" w:hAnsi="宋体"/>
          <w:bCs/>
          <w:color w:val="auto"/>
          <w:kern w:val="2"/>
          <w:sz w:val="24"/>
          <w:szCs w:val="21"/>
          <w:lang w:val="en-US" w:eastAsia="zh-CN"/>
        </w:rPr>
        <w:t>比选</w:t>
      </w:r>
      <w:r>
        <w:rPr>
          <w:rFonts w:hint="eastAsia" w:ascii="宋体" w:hAnsi="宋体"/>
          <w:bCs/>
          <w:color w:val="auto"/>
          <w:kern w:val="2"/>
          <w:sz w:val="24"/>
          <w:szCs w:val="21"/>
        </w:rPr>
        <w:t>活动。现做出如下声明：</w:t>
      </w:r>
    </w:p>
    <w:p w14:paraId="7E008905">
      <w:pPr>
        <w:shd w:val="clear"/>
        <w:spacing w:line="520" w:lineRule="exact"/>
        <w:ind w:firstLine="482"/>
        <w:rPr>
          <w:rFonts w:hint="eastAsia" w:ascii="宋体" w:hAnsi="宋体"/>
          <w:color w:val="auto"/>
          <w:kern w:val="2"/>
          <w:sz w:val="24"/>
          <w:szCs w:val="24"/>
        </w:rPr>
      </w:pPr>
      <w:r>
        <w:rPr>
          <w:rFonts w:hint="eastAsia" w:ascii="宋体" w:hAnsi="宋体"/>
          <w:bCs/>
          <w:color w:val="auto"/>
          <w:kern w:val="2"/>
          <w:sz w:val="24"/>
          <w:szCs w:val="21"/>
        </w:rPr>
        <w:t>1.我单位具有独立承担民事责任的能力；</w:t>
      </w:r>
    </w:p>
    <w:p w14:paraId="17BABEEB">
      <w:pPr>
        <w:shd w:val="clear"/>
        <w:spacing w:line="520" w:lineRule="exact"/>
        <w:ind w:firstLine="482"/>
        <w:rPr>
          <w:rFonts w:hint="eastAsia" w:ascii="宋体" w:hAnsi="宋体"/>
          <w:color w:val="auto"/>
          <w:kern w:val="2"/>
          <w:sz w:val="24"/>
          <w:szCs w:val="24"/>
        </w:rPr>
      </w:pPr>
      <w:r>
        <w:rPr>
          <w:rFonts w:hint="eastAsia" w:ascii="宋体" w:hAnsi="宋体"/>
          <w:color w:val="auto"/>
          <w:kern w:val="2"/>
          <w:sz w:val="24"/>
          <w:szCs w:val="24"/>
        </w:rPr>
        <w:t>2.我单位具有良好的商业信誉和健全的财务会计制度；</w:t>
      </w:r>
    </w:p>
    <w:p w14:paraId="08249651">
      <w:pPr>
        <w:shd w:val="clear"/>
        <w:spacing w:line="520" w:lineRule="exact"/>
        <w:ind w:firstLine="482"/>
        <w:rPr>
          <w:rFonts w:hint="eastAsia" w:ascii="宋体" w:hAnsi="宋体"/>
          <w:color w:val="auto"/>
          <w:kern w:val="2"/>
          <w:sz w:val="24"/>
          <w:szCs w:val="24"/>
        </w:rPr>
      </w:pPr>
      <w:r>
        <w:rPr>
          <w:rFonts w:hint="eastAsia" w:ascii="宋体" w:hAnsi="宋体"/>
          <w:color w:val="auto"/>
          <w:kern w:val="2"/>
          <w:sz w:val="24"/>
          <w:szCs w:val="24"/>
        </w:rPr>
        <w:t>3.我单位具有履行合同所必需的设备和专业技术能力；</w:t>
      </w:r>
    </w:p>
    <w:p w14:paraId="46DEA6A1">
      <w:pPr>
        <w:shd w:val="clear"/>
        <w:spacing w:line="520" w:lineRule="exact"/>
        <w:ind w:firstLine="482"/>
        <w:rPr>
          <w:rFonts w:hint="eastAsia" w:ascii="宋体" w:hAnsi="宋体"/>
          <w:color w:val="auto"/>
          <w:kern w:val="2"/>
          <w:sz w:val="24"/>
          <w:szCs w:val="24"/>
        </w:rPr>
      </w:pPr>
      <w:r>
        <w:rPr>
          <w:rFonts w:hint="eastAsia" w:ascii="宋体" w:hAnsi="宋体"/>
          <w:color w:val="auto"/>
          <w:kern w:val="2"/>
          <w:sz w:val="24"/>
          <w:szCs w:val="24"/>
        </w:rPr>
        <w:t>4.我单位有依法缴纳税收和社会保障资金的良好记录；</w:t>
      </w:r>
    </w:p>
    <w:p w14:paraId="7EF9E2D3">
      <w:pPr>
        <w:shd w:val="clear"/>
        <w:spacing w:line="520" w:lineRule="exact"/>
        <w:ind w:firstLine="482"/>
        <w:rPr>
          <w:rFonts w:hint="eastAsia" w:ascii="宋体" w:hAnsi="宋体"/>
          <w:color w:val="auto"/>
          <w:kern w:val="2"/>
          <w:sz w:val="24"/>
          <w:szCs w:val="24"/>
        </w:rPr>
      </w:pPr>
      <w:r>
        <w:rPr>
          <w:rFonts w:hint="eastAsia" w:ascii="宋体" w:hAnsi="宋体"/>
          <w:color w:val="auto"/>
          <w:kern w:val="2"/>
          <w:sz w:val="24"/>
          <w:szCs w:val="24"/>
        </w:rPr>
        <w:t>5.我单位参加本次采购活动前三年内，在经营活动中没有重大违法记录；</w:t>
      </w:r>
    </w:p>
    <w:p w14:paraId="24A0A108">
      <w:pPr>
        <w:shd w:val="clear"/>
        <w:spacing w:line="520" w:lineRule="exact"/>
        <w:ind w:firstLine="482"/>
        <w:rPr>
          <w:rFonts w:hint="eastAsia" w:ascii="宋体" w:hAnsi="宋体"/>
          <w:color w:val="auto"/>
          <w:kern w:val="2"/>
          <w:sz w:val="24"/>
          <w:szCs w:val="24"/>
        </w:rPr>
      </w:pPr>
      <w:r>
        <w:rPr>
          <w:rFonts w:hint="eastAsia" w:ascii="宋体" w:hAnsi="宋体"/>
          <w:color w:val="auto"/>
          <w:kern w:val="2"/>
          <w:sz w:val="24"/>
          <w:szCs w:val="24"/>
        </w:rPr>
        <w:t>6.我单位满足法律、行政法规规定的其他条件。</w:t>
      </w:r>
    </w:p>
    <w:p w14:paraId="23D797B0">
      <w:pPr>
        <w:shd w:val="clear"/>
        <w:spacing w:line="500" w:lineRule="exact"/>
        <w:ind w:firstLine="482"/>
        <w:rPr>
          <w:rFonts w:hint="eastAsia" w:ascii="宋体" w:hAnsi="宋体"/>
          <w:color w:val="auto"/>
          <w:kern w:val="2"/>
          <w:sz w:val="24"/>
          <w:szCs w:val="24"/>
        </w:rPr>
      </w:pPr>
    </w:p>
    <w:p w14:paraId="62D759B4">
      <w:pPr>
        <w:shd w:val="clear"/>
        <w:spacing w:line="500" w:lineRule="exact"/>
        <w:rPr>
          <w:rFonts w:hint="eastAsia" w:ascii="宋体" w:hAnsi="宋体"/>
          <w:color w:val="auto"/>
          <w:kern w:val="2"/>
          <w:sz w:val="24"/>
          <w:szCs w:val="24"/>
        </w:rPr>
      </w:pPr>
    </w:p>
    <w:p w14:paraId="71F90750">
      <w:pPr>
        <w:shd w:val="clear"/>
        <w:spacing w:line="500" w:lineRule="exact"/>
        <w:rPr>
          <w:rFonts w:hint="eastAsia" w:ascii="宋体" w:hAnsi="宋体"/>
          <w:bCs/>
          <w:color w:val="auto"/>
          <w:kern w:val="2"/>
          <w:sz w:val="24"/>
          <w:szCs w:val="21"/>
        </w:rPr>
      </w:pPr>
    </w:p>
    <w:p w14:paraId="38AD86E5">
      <w:pPr>
        <w:shd w:val="clear"/>
        <w:spacing w:line="500" w:lineRule="exact"/>
        <w:rPr>
          <w:rFonts w:hint="eastAsia" w:ascii="宋体" w:hAnsi="宋体"/>
          <w:bCs/>
          <w:color w:val="auto"/>
          <w:kern w:val="2"/>
          <w:sz w:val="24"/>
          <w:szCs w:val="21"/>
        </w:rPr>
      </w:pPr>
    </w:p>
    <w:p w14:paraId="2B71DCEE">
      <w:pPr>
        <w:shd w:val="clear"/>
        <w:spacing w:line="500" w:lineRule="exact"/>
        <w:rPr>
          <w:rFonts w:hint="eastAsia" w:ascii="宋体" w:hAnsi="宋体"/>
          <w:bCs/>
          <w:color w:val="auto"/>
          <w:kern w:val="2"/>
          <w:sz w:val="24"/>
          <w:szCs w:val="21"/>
        </w:rPr>
      </w:pPr>
    </w:p>
    <w:p w14:paraId="4C9803BB">
      <w:pPr>
        <w:shd w:val="clear"/>
        <w:spacing w:line="460" w:lineRule="exact"/>
        <w:jc w:val="right"/>
        <w:rPr>
          <w:rFonts w:hint="eastAsia" w:ascii="宋体" w:hAnsi="宋体"/>
          <w:bCs/>
          <w:color w:val="auto"/>
          <w:kern w:val="2"/>
          <w:sz w:val="24"/>
          <w:szCs w:val="21"/>
        </w:rPr>
      </w:pPr>
      <w:r>
        <w:rPr>
          <w:rFonts w:hint="eastAsia" w:ascii="宋体" w:hAnsi="宋体"/>
          <w:bCs/>
          <w:color w:val="auto"/>
          <w:kern w:val="2"/>
          <w:sz w:val="24"/>
          <w:szCs w:val="21"/>
        </w:rPr>
        <w:t xml:space="preserve">                              声明人名称：</w:t>
      </w:r>
      <w:r>
        <w:rPr>
          <w:rFonts w:hint="eastAsia" w:ascii="宋体" w:hAnsi="宋体"/>
          <w:bCs/>
          <w:color w:val="auto"/>
          <w:kern w:val="2"/>
          <w:sz w:val="24"/>
          <w:szCs w:val="21"/>
          <w:u w:val="single"/>
        </w:rPr>
        <w:t>________</w:t>
      </w:r>
      <w:r>
        <w:rPr>
          <w:rFonts w:hint="eastAsia" w:ascii="宋体" w:hAnsi="宋体"/>
          <w:bCs/>
          <w:color w:val="auto"/>
          <w:kern w:val="2"/>
          <w:sz w:val="24"/>
          <w:szCs w:val="21"/>
        </w:rPr>
        <w:t>（公章）</w:t>
      </w:r>
    </w:p>
    <w:p w14:paraId="174E9BFA">
      <w:pPr>
        <w:shd w:val="clear"/>
        <w:spacing w:line="460" w:lineRule="exact"/>
        <w:jc w:val="right"/>
        <w:rPr>
          <w:rFonts w:hint="eastAsia" w:ascii="宋体" w:hAnsi="宋体"/>
          <w:bCs/>
          <w:color w:val="auto"/>
          <w:kern w:val="2"/>
          <w:sz w:val="24"/>
          <w:szCs w:val="21"/>
        </w:rPr>
      </w:pPr>
    </w:p>
    <w:p w14:paraId="55B7A6F1">
      <w:pPr>
        <w:shd w:val="clear"/>
        <w:spacing w:line="460" w:lineRule="exact"/>
        <w:jc w:val="right"/>
        <w:rPr>
          <w:rFonts w:hint="eastAsia" w:ascii="宋体" w:hAnsi="宋体"/>
          <w:bCs/>
          <w:color w:val="auto"/>
          <w:kern w:val="2"/>
          <w:sz w:val="24"/>
          <w:szCs w:val="21"/>
        </w:rPr>
      </w:pPr>
      <w:r>
        <w:rPr>
          <w:rFonts w:hint="eastAsia" w:ascii="宋体" w:hAnsi="宋体"/>
          <w:bCs/>
          <w:color w:val="auto"/>
          <w:kern w:val="2"/>
          <w:sz w:val="24"/>
          <w:szCs w:val="21"/>
        </w:rPr>
        <w:t xml:space="preserve">                                 日期：</w:t>
      </w:r>
      <w:r>
        <w:rPr>
          <w:rFonts w:hint="eastAsia" w:ascii="宋体" w:hAnsi="宋体"/>
          <w:bCs/>
          <w:color w:val="auto"/>
          <w:kern w:val="2"/>
          <w:sz w:val="24"/>
          <w:szCs w:val="21"/>
          <w:lang w:val="en-US" w:eastAsia="zh-CN"/>
        </w:rPr>
        <w:t xml:space="preserve"> </w:t>
      </w:r>
      <w:r>
        <w:rPr>
          <w:rFonts w:hint="eastAsia" w:ascii="宋体" w:hAnsi="宋体"/>
          <w:bCs/>
          <w:color w:val="auto"/>
          <w:kern w:val="2"/>
          <w:sz w:val="24"/>
          <w:szCs w:val="21"/>
        </w:rPr>
        <w:t>年</w:t>
      </w:r>
      <w:r>
        <w:rPr>
          <w:rFonts w:hint="eastAsia" w:ascii="宋体" w:hAnsi="宋体"/>
          <w:bCs/>
          <w:color w:val="auto"/>
          <w:kern w:val="2"/>
          <w:sz w:val="24"/>
          <w:szCs w:val="21"/>
          <w:lang w:val="en-US" w:eastAsia="zh-CN"/>
        </w:rPr>
        <w:t xml:space="preserve"> </w:t>
      </w:r>
      <w:r>
        <w:rPr>
          <w:rFonts w:hint="eastAsia" w:ascii="宋体" w:hAnsi="宋体"/>
          <w:bCs/>
          <w:color w:val="auto"/>
          <w:kern w:val="2"/>
          <w:sz w:val="24"/>
          <w:szCs w:val="21"/>
        </w:rPr>
        <w:t>月</w:t>
      </w:r>
      <w:r>
        <w:rPr>
          <w:rFonts w:hint="eastAsia" w:ascii="宋体" w:hAnsi="宋体"/>
          <w:bCs/>
          <w:color w:val="auto"/>
          <w:kern w:val="2"/>
          <w:sz w:val="24"/>
          <w:szCs w:val="21"/>
          <w:lang w:val="en-US" w:eastAsia="zh-CN"/>
        </w:rPr>
        <w:t xml:space="preserve"> </w:t>
      </w:r>
      <w:r>
        <w:rPr>
          <w:rFonts w:hint="eastAsia" w:ascii="宋体" w:hAnsi="宋体"/>
          <w:bCs/>
          <w:color w:val="auto"/>
          <w:kern w:val="2"/>
          <w:sz w:val="24"/>
          <w:szCs w:val="21"/>
        </w:rPr>
        <w:t>日</w:t>
      </w:r>
    </w:p>
    <w:p w14:paraId="62E00261">
      <w:pPr>
        <w:shd w:val="clear"/>
        <w:snapToGrid w:val="0"/>
        <w:spacing w:line="400" w:lineRule="exact"/>
        <w:ind w:firstLine="540" w:firstLineChars="192"/>
        <w:contextualSpacing/>
        <w:rPr>
          <w:rFonts w:hint="eastAsia" w:ascii="宋体" w:hAnsi="宋体" w:cs="宋体"/>
          <w:b/>
          <w:color w:val="auto"/>
          <w:sz w:val="28"/>
          <w:szCs w:val="28"/>
        </w:rPr>
      </w:pPr>
    </w:p>
    <w:p w14:paraId="1975B425">
      <w:pPr>
        <w:keepNext w:val="0"/>
        <w:keepLines w:val="0"/>
        <w:pageBreakBefore w:val="0"/>
        <w:shd w:val="clear"/>
        <w:overflowPunct/>
        <w:bidi w:val="0"/>
        <w:spacing w:line="360" w:lineRule="auto"/>
        <w:ind w:left="0" w:leftChars="0" w:firstLine="482" w:firstLineChars="200"/>
        <w:jc w:val="both"/>
        <w:rPr>
          <w:rFonts w:ascii="宋体" w:hAnsi="宋体" w:cs="宋体"/>
          <w:b/>
          <w:color w:val="auto"/>
          <w:sz w:val="24"/>
          <w:szCs w:val="24"/>
        </w:rPr>
      </w:pPr>
    </w:p>
    <w:p w14:paraId="27DC82EA">
      <w:pPr>
        <w:keepNext w:val="0"/>
        <w:keepLines w:val="0"/>
        <w:pageBreakBefore w:val="0"/>
        <w:shd w:val="clear"/>
        <w:overflowPunct/>
        <w:bidi w:val="0"/>
        <w:spacing w:line="360" w:lineRule="auto"/>
        <w:ind w:left="0" w:leftChars="0" w:firstLine="482" w:firstLineChars="200"/>
        <w:jc w:val="both"/>
        <w:rPr>
          <w:rFonts w:ascii="宋体" w:hAnsi="宋体" w:cs="宋体"/>
          <w:b/>
          <w:color w:val="auto"/>
          <w:sz w:val="24"/>
          <w:szCs w:val="24"/>
        </w:rPr>
      </w:pPr>
    </w:p>
    <w:p w14:paraId="519712DD">
      <w:pPr>
        <w:keepNext w:val="0"/>
        <w:keepLines w:val="0"/>
        <w:pageBreakBefore w:val="0"/>
        <w:shd w:val="clear"/>
        <w:overflowPunct/>
        <w:bidi w:val="0"/>
        <w:spacing w:line="360" w:lineRule="auto"/>
        <w:ind w:left="0" w:leftChars="0" w:firstLine="482" w:firstLineChars="200"/>
        <w:jc w:val="both"/>
        <w:rPr>
          <w:rFonts w:ascii="宋体" w:hAnsi="宋体" w:cs="宋体"/>
          <w:b/>
          <w:color w:val="auto"/>
          <w:sz w:val="24"/>
          <w:szCs w:val="24"/>
        </w:rPr>
      </w:pPr>
      <w:r>
        <w:rPr>
          <w:rFonts w:hint="eastAsia" w:ascii="宋体" w:hAnsi="宋体" w:cs="宋体"/>
          <w:b/>
          <w:color w:val="auto"/>
          <w:sz w:val="24"/>
          <w:szCs w:val="24"/>
        </w:rPr>
        <w:br w:type="page"/>
      </w:r>
    </w:p>
    <w:p w14:paraId="2BBB898B">
      <w:pPr>
        <w:shd w:val="clear"/>
        <w:jc w:val="center"/>
        <w:rPr>
          <w:rFonts w:hint="eastAsia" w:ascii="宋体" w:hAnsi="宋体" w:eastAsia="宋体" w:cs="Times New Roman"/>
          <w:b/>
          <w:color w:val="auto"/>
          <w:kern w:val="2"/>
          <w:sz w:val="30"/>
          <w:szCs w:val="30"/>
          <w:lang w:val="en-US" w:eastAsia="zh-CN"/>
        </w:rPr>
      </w:pPr>
      <w:r>
        <w:rPr>
          <w:rFonts w:hint="eastAsia" w:ascii="宋体" w:hAnsi="宋体" w:eastAsia="宋体" w:cs="Times New Roman"/>
          <w:b/>
          <w:color w:val="auto"/>
          <w:kern w:val="2"/>
          <w:sz w:val="30"/>
          <w:szCs w:val="30"/>
          <w:lang w:val="en-US" w:eastAsia="zh-CN"/>
        </w:rPr>
        <w:t>法定代表人身份证明</w:t>
      </w:r>
    </w:p>
    <w:p w14:paraId="54986A7E">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szCs w:val="24"/>
        </w:rPr>
      </w:pPr>
    </w:p>
    <w:p w14:paraId="763A4B2C">
      <w:pPr>
        <w:pStyle w:val="10"/>
        <w:keepNext w:val="0"/>
        <w:keepLines w:val="0"/>
        <w:pageBreakBefore w:val="0"/>
        <w:shd w:val="clear"/>
        <w:overflowPunct/>
        <w:bidi w:val="0"/>
        <w:spacing w:after="0" w:line="360" w:lineRule="auto"/>
        <w:ind w:left="0" w:leftChars="0" w:firstLine="480" w:firstLineChars="200"/>
        <w:jc w:val="both"/>
        <w:rPr>
          <w:rFonts w:ascii="宋体" w:hAnsi="宋体" w:cs="宋体"/>
          <w:color w:val="auto"/>
          <w:sz w:val="24"/>
          <w:szCs w:val="24"/>
        </w:rPr>
      </w:pPr>
    </w:p>
    <w:p w14:paraId="3562CA4D">
      <w:pPr>
        <w:keepNext w:val="0"/>
        <w:keepLines w:val="0"/>
        <w:pageBreakBefore w:val="0"/>
        <w:widowControl/>
        <w:shd w:val="clear"/>
        <w:wordWrap w:val="0"/>
        <w:overflowPunct/>
        <w:bidi w:val="0"/>
        <w:snapToGrid w:val="0"/>
        <w:spacing w:line="360" w:lineRule="auto"/>
        <w:ind w:left="0" w:leftChars="0" w:firstLine="480" w:firstLineChars="200"/>
        <w:jc w:val="both"/>
        <w:rPr>
          <w:rFonts w:ascii="宋体" w:hAnsi="宋体" w:cs="宋体"/>
          <w:color w:val="auto"/>
          <w:kern w:val="0"/>
          <w:sz w:val="24"/>
          <w:szCs w:val="24"/>
        </w:rPr>
      </w:pPr>
      <w:bookmarkStart w:id="38" w:name="_Hlk96628486"/>
      <w:r>
        <w:rPr>
          <w:rFonts w:hint="eastAsia" w:ascii="宋体" w:hAnsi="宋体" w:cs="宋体"/>
          <w:color w:val="auto"/>
          <w:kern w:val="0"/>
          <w:sz w:val="24"/>
          <w:szCs w:val="24"/>
        </w:rPr>
        <w:t>姓名：</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性别：</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身份证号码：</w:t>
      </w:r>
      <w:r>
        <w:rPr>
          <w:rFonts w:hint="eastAsia" w:ascii="宋体" w:hAnsi="宋体" w:cs="宋体"/>
          <w:color w:val="auto"/>
          <w:kern w:val="0"/>
          <w:sz w:val="24"/>
          <w:szCs w:val="24"/>
          <w:u w:val="single"/>
        </w:rPr>
        <w:t xml:space="preserve">                       </w:t>
      </w:r>
      <w:r>
        <w:rPr>
          <w:rFonts w:hint="eastAsia" w:ascii="宋体" w:hAnsi="宋体" w:cs="宋体"/>
          <w:color w:val="auto"/>
          <w:sz w:val="24"/>
          <w:szCs w:val="24"/>
        </w:rPr>
        <w:t>系我单位的法</w:t>
      </w:r>
      <w:r>
        <w:rPr>
          <w:rFonts w:hint="eastAsia" w:ascii="宋体" w:hAnsi="宋体" w:cs="宋体"/>
          <w:color w:val="auto"/>
          <w:kern w:val="0"/>
          <w:sz w:val="24"/>
          <w:szCs w:val="24"/>
        </w:rPr>
        <w:t>定代表人。</w:t>
      </w:r>
    </w:p>
    <w:p w14:paraId="29F7B46E">
      <w:pPr>
        <w:keepNext w:val="0"/>
        <w:keepLines w:val="0"/>
        <w:pageBreakBefore w:val="0"/>
        <w:widowControl/>
        <w:shd w:val="clear"/>
        <w:wordWrap w:val="0"/>
        <w:overflowPunct/>
        <w:bidi w:val="0"/>
        <w:snapToGrid w:val="0"/>
        <w:spacing w:line="360" w:lineRule="auto"/>
        <w:ind w:left="0" w:leftChars="0"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特此证明。</w:t>
      </w:r>
    </w:p>
    <w:bookmarkEnd w:id="38"/>
    <w:p w14:paraId="1ED1AC3E">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szCs w:val="24"/>
        </w:rPr>
      </w:pPr>
    </w:p>
    <w:p w14:paraId="6CC9768D">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szCs w:val="24"/>
        </w:rPr>
      </w:pPr>
    </w:p>
    <w:p w14:paraId="07D5E9A0">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u w:val="single"/>
        </w:rPr>
        <w:t>（盖章）</w:t>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u w:val="single"/>
        </w:rPr>
        <w:tab/>
      </w:r>
    </w:p>
    <w:p w14:paraId="34704FE8">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szCs w:val="24"/>
        </w:rPr>
      </w:pPr>
    </w:p>
    <w:p w14:paraId="53B63446">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日    期：</w:t>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rPr>
        <w:t>年</w:t>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rPr>
        <w:t>月</w:t>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rPr>
        <w:t>日</w:t>
      </w:r>
    </w:p>
    <w:tbl>
      <w:tblPr>
        <w:tblStyle w:val="23"/>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222C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100035BA">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p>
          <w:p w14:paraId="7319E14E">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法定代表人身份证（正、反面）复印件</w:t>
            </w:r>
            <w:r>
              <w:rPr>
                <w:rFonts w:hint="eastAsia" w:ascii="宋体" w:hAnsi="宋体" w:cs="宋体"/>
                <w:b/>
                <w:bCs/>
                <w:color w:val="auto"/>
                <w:sz w:val="24"/>
                <w:szCs w:val="24"/>
                <w:u w:val="single"/>
              </w:rPr>
              <w:t>（粘贴此处）</w:t>
            </w:r>
          </w:p>
          <w:p w14:paraId="42E56B24">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p>
          <w:p w14:paraId="764C1D04">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p>
          <w:p w14:paraId="61021398">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p>
          <w:p w14:paraId="27B692D9">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p>
        </w:tc>
      </w:tr>
    </w:tbl>
    <w:p w14:paraId="1C6503E9">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p>
    <w:p w14:paraId="6A53B917">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p>
    <w:p w14:paraId="28F09115">
      <w:pPr>
        <w:shd w:val="clear"/>
        <w:jc w:val="center"/>
        <w:rPr>
          <w:rFonts w:ascii="宋体" w:hAnsi="宋体" w:cs="宋体"/>
          <w:b/>
          <w:color w:val="auto"/>
          <w:sz w:val="24"/>
          <w:szCs w:val="24"/>
        </w:rPr>
      </w:pPr>
      <w:r>
        <w:rPr>
          <w:rFonts w:hint="eastAsia" w:ascii="宋体" w:hAnsi="宋体" w:cs="宋体"/>
          <w:b/>
          <w:bCs/>
          <w:color w:val="auto"/>
          <w:sz w:val="24"/>
          <w:szCs w:val="24"/>
        </w:rPr>
        <w:br w:type="page"/>
      </w:r>
      <w:r>
        <w:rPr>
          <w:rFonts w:hint="eastAsia" w:ascii="宋体" w:hAnsi="宋体" w:eastAsia="宋体" w:cs="Times New Roman"/>
          <w:b/>
          <w:color w:val="auto"/>
          <w:kern w:val="2"/>
          <w:sz w:val="30"/>
          <w:szCs w:val="30"/>
          <w:lang w:val="en-US" w:eastAsia="zh-CN"/>
        </w:rPr>
        <w:t>法定代表人委托书</w:t>
      </w:r>
    </w:p>
    <w:p w14:paraId="2FFA916C">
      <w:pPr>
        <w:keepNext w:val="0"/>
        <w:keepLines w:val="0"/>
        <w:pageBreakBefore w:val="0"/>
        <w:shd w:val="clear"/>
        <w:overflowPunct/>
        <w:bidi w:val="0"/>
        <w:snapToGrid w:val="0"/>
        <w:spacing w:line="360" w:lineRule="auto"/>
        <w:ind w:left="0" w:leftChars="0" w:firstLine="480" w:firstLineChars="200"/>
        <w:jc w:val="both"/>
        <w:rPr>
          <w:rFonts w:ascii="宋体" w:hAnsi="宋体" w:cs="宋体"/>
          <w:bCs/>
          <w:color w:val="auto"/>
          <w:sz w:val="24"/>
          <w:szCs w:val="24"/>
        </w:rPr>
      </w:pPr>
    </w:p>
    <w:p w14:paraId="3AA997F4">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0" w:firstLineChars="0"/>
        <w:jc w:val="left"/>
        <w:textAlignment w:val="auto"/>
        <w:rPr>
          <w:rFonts w:ascii="宋体" w:hAnsi="宋体" w:cs="宋体"/>
          <w:b/>
          <w:bCs w:val="0"/>
          <w:color w:val="auto"/>
          <w:sz w:val="24"/>
          <w:szCs w:val="24"/>
        </w:rPr>
      </w:pPr>
      <w:r>
        <w:rPr>
          <w:rFonts w:hint="eastAsia" w:ascii="宋体" w:hAnsi="宋体" w:cs="宋体"/>
          <w:b/>
          <w:bCs w:val="0"/>
          <w:color w:val="auto"/>
          <w:sz w:val="24"/>
          <w:szCs w:val="24"/>
        </w:rPr>
        <w:t>江苏省南通第一中学：</w:t>
      </w:r>
    </w:p>
    <w:p w14:paraId="17373C91">
      <w:pPr>
        <w:keepNext w:val="0"/>
        <w:keepLines w:val="0"/>
        <w:pageBreakBefore w:val="0"/>
        <w:widowControl/>
        <w:shd w:val="clear"/>
        <w:wordWrap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本委托书声明：我</w:t>
      </w:r>
      <w:r>
        <w:rPr>
          <w:rFonts w:hint="eastAsia" w:ascii="宋体" w:hAnsi="宋体" w:cs="宋体"/>
          <w:color w:val="auto"/>
          <w:sz w:val="24"/>
          <w:szCs w:val="24"/>
          <w:u w:val="single"/>
        </w:rPr>
        <w:t>（法定代表人姓名）</w:t>
      </w:r>
      <w:r>
        <w:rPr>
          <w:rFonts w:hint="eastAsia" w:ascii="宋体" w:hAnsi="宋体" w:cs="宋体"/>
          <w:color w:val="auto"/>
          <w:sz w:val="24"/>
          <w:szCs w:val="24"/>
        </w:rPr>
        <w:t>系</w:t>
      </w:r>
      <w:r>
        <w:rPr>
          <w:rFonts w:hint="eastAsia" w:ascii="宋体" w:hAnsi="宋体" w:cs="宋体"/>
          <w:color w:val="auto"/>
          <w:kern w:val="0"/>
          <w:sz w:val="24"/>
          <w:szCs w:val="24"/>
          <w:u w:val="single"/>
        </w:rPr>
        <w:t xml:space="preserve"> （单位名称） </w:t>
      </w:r>
      <w:r>
        <w:rPr>
          <w:rFonts w:hint="eastAsia" w:ascii="宋体" w:hAnsi="宋体" w:cs="宋体"/>
          <w:color w:val="auto"/>
          <w:kern w:val="0"/>
          <w:sz w:val="24"/>
          <w:szCs w:val="24"/>
        </w:rPr>
        <w:t>的法定代表人，现</w:t>
      </w:r>
      <w:r>
        <w:rPr>
          <w:rFonts w:hint="eastAsia" w:ascii="宋体" w:hAnsi="宋体" w:cs="宋体"/>
          <w:color w:val="auto"/>
          <w:sz w:val="24"/>
          <w:szCs w:val="24"/>
        </w:rPr>
        <w:t>代表本单位授权</w:t>
      </w:r>
      <w:r>
        <w:rPr>
          <w:rFonts w:hint="eastAsia" w:ascii="宋体" w:hAnsi="宋体" w:cs="宋体"/>
          <w:color w:val="auto"/>
          <w:sz w:val="24"/>
          <w:szCs w:val="24"/>
          <w:u w:val="single"/>
        </w:rPr>
        <w:t>（单位名称）</w:t>
      </w:r>
      <w:r>
        <w:rPr>
          <w:rFonts w:hint="eastAsia" w:ascii="宋体" w:hAnsi="宋体" w:cs="宋体"/>
          <w:color w:val="auto"/>
          <w:sz w:val="24"/>
          <w:szCs w:val="24"/>
        </w:rPr>
        <w:t xml:space="preserve"> 的 </w:t>
      </w:r>
      <w:r>
        <w:rPr>
          <w:rFonts w:hint="eastAsia" w:ascii="宋体" w:hAnsi="宋体" w:cs="宋体"/>
          <w:color w:val="auto"/>
          <w:sz w:val="24"/>
          <w:szCs w:val="24"/>
          <w:u w:val="single"/>
        </w:rPr>
        <w:t>（被授权人的姓名）</w:t>
      </w:r>
      <w:r>
        <w:rPr>
          <w:rFonts w:hint="eastAsia" w:ascii="宋体" w:hAnsi="宋体" w:cs="宋体"/>
          <w:color w:val="auto"/>
          <w:sz w:val="24"/>
          <w:szCs w:val="24"/>
        </w:rPr>
        <w:t xml:space="preserve"> </w:t>
      </w:r>
      <w:r>
        <w:rPr>
          <w:rFonts w:hint="eastAsia" w:ascii="宋体" w:hAnsi="宋体" w:cs="宋体"/>
          <w:color w:val="auto"/>
          <w:kern w:val="0"/>
          <w:sz w:val="24"/>
          <w:szCs w:val="24"/>
        </w:rPr>
        <w:t>身份证号码：</w:t>
      </w:r>
      <w:r>
        <w:rPr>
          <w:rFonts w:hint="eastAsia" w:ascii="宋体" w:hAnsi="宋体" w:cs="宋体"/>
          <w:color w:val="auto"/>
          <w:kern w:val="0"/>
          <w:sz w:val="24"/>
          <w:szCs w:val="24"/>
          <w:u w:val="single"/>
        </w:rPr>
        <w:t xml:space="preserve">                 </w:t>
      </w:r>
      <w:r>
        <w:rPr>
          <w:rFonts w:hint="eastAsia" w:ascii="宋体" w:hAnsi="宋体" w:cs="宋体"/>
          <w:color w:val="auto"/>
          <w:sz w:val="24"/>
          <w:szCs w:val="24"/>
        </w:rPr>
        <w:t>为本单位的合法代理人，参加江苏省南通第一中学</w:t>
      </w:r>
      <w:r>
        <w:rPr>
          <w:rFonts w:hint="eastAsia" w:ascii="宋体" w:hAnsi="宋体" w:cs="宋体"/>
          <w:color w:val="auto"/>
          <w:sz w:val="24"/>
          <w:szCs w:val="24"/>
          <w:u w:val="single"/>
        </w:rPr>
        <w:t>（项目名称及编号）</w:t>
      </w:r>
      <w:r>
        <w:rPr>
          <w:rFonts w:hint="eastAsia" w:ascii="宋体" w:hAnsi="宋体" w:cs="宋体"/>
          <w:color w:val="auto"/>
          <w:sz w:val="24"/>
          <w:szCs w:val="24"/>
        </w:rPr>
        <w:t>的响应，可</w:t>
      </w:r>
      <w:r>
        <w:rPr>
          <w:rFonts w:hint="eastAsia" w:ascii="宋体" w:hAnsi="宋体" w:cs="宋体"/>
          <w:color w:val="auto"/>
          <w:kern w:val="0"/>
          <w:sz w:val="24"/>
          <w:szCs w:val="24"/>
        </w:rPr>
        <w:t>代表本公司签署响应文件</w:t>
      </w:r>
      <w:r>
        <w:rPr>
          <w:rFonts w:hint="eastAsia" w:ascii="宋体" w:hAnsi="宋体" w:cs="宋体"/>
          <w:color w:val="auto"/>
          <w:sz w:val="24"/>
          <w:szCs w:val="24"/>
        </w:rPr>
        <w:t>、签订合同和处理与之有关的一切事务。</w:t>
      </w:r>
    </w:p>
    <w:p w14:paraId="3D1B40BF">
      <w:pPr>
        <w:keepNext w:val="0"/>
        <w:keepLines w:val="0"/>
        <w:pageBreakBefore w:val="0"/>
        <w:widowControl/>
        <w:shd w:val="clear"/>
        <w:wordWrap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本委托书于_______年____月____日签字生效。</w:t>
      </w:r>
    </w:p>
    <w:p w14:paraId="598FB075">
      <w:pPr>
        <w:keepNext w:val="0"/>
        <w:keepLines w:val="0"/>
        <w:pageBreakBefore w:val="0"/>
        <w:widowControl/>
        <w:shd w:val="clear"/>
        <w:wordWrap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法定代表人签字或签章：__________________</w:t>
      </w:r>
    </w:p>
    <w:p w14:paraId="787166DF">
      <w:pPr>
        <w:keepNext w:val="0"/>
        <w:keepLines w:val="0"/>
        <w:pageBreakBefore w:val="0"/>
        <w:widowControl/>
        <w:shd w:val="clear"/>
        <w:wordWrap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被授权人签字或签章：____________________</w:t>
      </w:r>
    </w:p>
    <w:p w14:paraId="31846835">
      <w:pPr>
        <w:keepNext w:val="0"/>
        <w:keepLines w:val="0"/>
        <w:pageBreakBefore w:val="0"/>
        <w:widowControl/>
        <w:shd w:val="clear"/>
        <w:wordWrap w:val="0"/>
        <w:overflowPunct/>
        <w:bidi w:val="0"/>
        <w:snapToGrid w:val="0"/>
        <w:spacing w:line="360" w:lineRule="auto"/>
        <w:ind w:left="0" w:leftChars="0"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供应商：</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（公章）</w:t>
      </w:r>
    </w:p>
    <w:p w14:paraId="3F9E8202">
      <w:pPr>
        <w:keepNext w:val="0"/>
        <w:keepLines w:val="0"/>
        <w:pageBreakBefore w:val="0"/>
        <w:widowControl/>
        <w:shd w:val="clear"/>
        <w:wordWrap w:val="0"/>
        <w:overflowPunct/>
        <w:bidi w:val="0"/>
        <w:snapToGrid w:val="0"/>
        <w:spacing w:line="360" w:lineRule="auto"/>
        <w:ind w:left="0" w:leftChars="0"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日期：</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年</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月</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日</w:t>
      </w:r>
    </w:p>
    <w:tbl>
      <w:tblPr>
        <w:tblStyle w:val="23"/>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0B60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3EEE6EE1">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p>
          <w:p w14:paraId="5C2073A5">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被授权人身份证（正、反面）复印件</w:t>
            </w:r>
            <w:r>
              <w:rPr>
                <w:rFonts w:hint="eastAsia" w:ascii="宋体" w:hAnsi="宋体" w:cs="宋体"/>
                <w:b/>
                <w:bCs/>
                <w:color w:val="auto"/>
                <w:sz w:val="24"/>
                <w:szCs w:val="24"/>
                <w:u w:val="single"/>
              </w:rPr>
              <w:t>（粘贴此处）</w:t>
            </w:r>
          </w:p>
          <w:p w14:paraId="64016CD6">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p>
          <w:p w14:paraId="25B93D2A">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p>
          <w:p w14:paraId="4E6C2B8E">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p>
          <w:p w14:paraId="26CFC260">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p>
        </w:tc>
      </w:tr>
    </w:tbl>
    <w:p w14:paraId="157CDC9E">
      <w:pPr>
        <w:keepNext w:val="0"/>
        <w:keepLines w:val="0"/>
        <w:pageBreakBefore w:val="0"/>
        <w:shd w:val="clear"/>
        <w:overflowPunct/>
        <w:bidi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br w:type="page"/>
      </w:r>
    </w:p>
    <w:p w14:paraId="72284B00">
      <w:pPr>
        <w:shd w:val="clear"/>
        <w:jc w:val="center"/>
        <w:rPr>
          <w:rFonts w:hint="eastAsia" w:ascii="宋体" w:hAnsi="宋体" w:eastAsia="宋体" w:cs="Times New Roman"/>
          <w:b/>
          <w:color w:val="auto"/>
          <w:kern w:val="2"/>
          <w:sz w:val="30"/>
          <w:szCs w:val="30"/>
          <w:lang w:val="en-US" w:eastAsia="zh-CN"/>
        </w:rPr>
      </w:pPr>
      <w:bookmarkStart w:id="39" w:name="_Hlk89675716"/>
      <w:r>
        <w:rPr>
          <w:rFonts w:hint="eastAsia" w:ascii="宋体" w:hAnsi="宋体" w:eastAsia="宋体" w:cs="Times New Roman"/>
          <w:b/>
          <w:color w:val="auto"/>
          <w:kern w:val="2"/>
          <w:sz w:val="30"/>
          <w:szCs w:val="30"/>
          <w:lang w:val="en-US" w:eastAsia="zh-CN"/>
        </w:rPr>
        <w:t>无失信记录声明</w:t>
      </w:r>
    </w:p>
    <w:p w14:paraId="0ED22249">
      <w:pPr>
        <w:shd w:val="clear"/>
        <w:snapToGrid w:val="0"/>
        <w:spacing w:line="480" w:lineRule="exact"/>
        <w:rPr>
          <w:rFonts w:ascii="宋体" w:hAnsi="宋体" w:cs="宋体"/>
          <w:bCs/>
          <w:color w:val="auto"/>
          <w:sz w:val="24"/>
          <w:szCs w:val="24"/>
        </w:rPr>
      </w:pPr>
      <w:r>
        <w:rPr>
          <w:rFonts w:hint="eastAsia" w:ascii="宋体" w:hAnsi="宋体" w:cs="宋体"/>
          <w:bCs/>
          <w:color w:val="auto"/>
          <w:sz w:val="24"/>
          <w:szCs w:val="24"/>
          <w:lang w:eastAsia="zh-CN"/>
        </w:rPr>
        <w:t>江苏省南通第一中学</w:t>
      </w:r>
      <w:r>
        <w:rPr>
          <w:rFonts w:hint="eastAsia" w:ascii="宋体" w:hAnsi="宋体" w:cs="宋体"/>
          <w:bCs/>
          <w:color w:val="auto"/>
          <w:sz w:val="24"/>
          <w:szCs w:val="24"/>
        </w:rPr>
        <w:t>：</w:t>
      </w:r>
    </w:p>
    <w:p w14:paraId="1734C6C8">
      <w:pPr>
        <w:shd w:val="clea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我公司郑重声明：在</w:t>
      </w:r>
      <w:r>
        <w:rPr>
          <w:rFonts w:hint="eastAsia" w:ascii="宋体" w:hAnsi="宋体" w:cs="宋体"/>
          <w:color w:val="auto"/>
          <w:sz w:val="24"/>
          <w:szCs w:val="24"/>
          <w:lang w:val="en-US" w:eastAsia="zh-CN"/>
        </w:rPr>
        <w:t>参选本项目响应</w:t>
      </w:r>
      <w:r>
        <w:rPr>
          <w:rFonts w:hint="eastAsia" w:ascii="宋体" w:hAnsi="宋体" w:cs="宋体"/>
          <w:color w:val="auto"/>
          <w:sz w:val="24"/>
          <w:szCs w:val="24"/>
        </w:rPr>
        <w:t>截止时间节点，没有被“信用中国”网站列入失信被执行人、重大税收违法案件当事人名单、采购严重违法失信行为记录名单。</w:t>
      </w:r>
    </w:p>
    <w:p w14:paraId="5EBA933D">
      <w:pPr>
        <w:shd w:val="clear"/>
        <w:snapToGrid w:val="0"/>
        <w:spacing w:line="480" w:lineRule="exact"/>
        <w:ind w:firstLine="200"/>
        <w:rPr>
          <w:rFonts w:ascii="宋体" w:hAnsi="宋体" w:cs="宋体"/>
          <w:color w:val="auto"/>
          <w:sz w:val="24"/>
          <w:szCs w:val="24"/>
        </w:rPr>
      </w:pPr>
    </w:p>
    <w:p w14:paraId="36AF67EC">
      <w:pPr>
        <w:shd w:val="clear"/>
        <w:snapToGrid w:val="0"/>
        <w:spacing w:line="480" w:lineRule="exact"/>
        <w:ind w:right="720" w:firstLine="480" w:firstLineChars="200"/>
        <w:contextualSpacing/>
        <w:jc w:val="right"/>
        <w:rPr>
          <w:rFonts w:ascii="宋体" w:hAnsi="宋体" w:cs="宋体"/>
          <w:color w:val="auto"/>
          <w:sz w:val="24"/>
          <w:szCs w:val="24"/>
        </w:rPr>
      </w:pPr>
      <w:r>
        <w:rPr>
          <w:rFonts w:hint="eastAsia" w:ascii="宋体" w:hAnsi="宋体" w:cs="宋体"/>
          <w:color w:val="auto"/>
          <w:sz w:val="24"/>
          <w:szCs w:val="24"/>
        </w:rPr>
        <w:t>法定代表人或授权委托人（签字或盖章）：</w:t>
      </w:r>
    </w:p>
    <w:p w14:paraId="02329DA2">
      <w:pPr>
        <w:shd w:val="clear"/>
        <w:snapToGrid w:val="0"/>
        <w:spacing w:line="480" w:lineRule="exact"/>
        <w:ind w:right="720" w:firstLine="480" w:firstLineChars="200"/>
        <w:contextualSpacing/>
        <w:jc w:val="right"/>
        <w:rPr>
          <w:rFonts w:ascii="宋体" w:hAnsi="宋体" w:cs="宋体"/>
          <w:color w:val="auto"/>
          <w:sz w:val="24"/>
          <w:szCs w:val="24"/>
        </w:rPr>
      </w:pPr>
      <w:r>
        <w:rPr>
          <w:rFonts w:hint="eastAsia" w:ascii="宋体" w:hAnsi="宋体" w:cs="宋体"/>
          <w:color w:val="auto"/>
          <w:sz w:val="24"/>
          <w:szCs w:val="24"/>
        </w:rPr>
        <w:t>供应商名称（盖章）：</w:t>
      </w:r>
    </w:p>
    <w:p w14:paraId="6AD5FB9B">
      <w:pPr>
        <w:shd w:val="clear"/>
        <w:snapToGrid w:val="0"/>
        <w:spacing w:line="480" w:lineRule="exact"/>
        <w:ind w:firstLine="480" w:firstLineChars="200"/>
        <w:jc w:val="center"/>
        <w:rPr>
          <w:rFonts w:ascii="宋体" w:hAnsi="宋体" w:cs="宋体"/>
          <w:color w:val="auto"/>
          <w:sz w:val="24"/>
          <w:szCs w:val="24"/>
        </w:rPr>
      </w:pPr>
      <w:bookmarkStart w:id="40" w:name="_Toc12794"/>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日期：</w:t>
      </w:r>
      <w:bookmarkEnd w:id="40"/>
    </w:p>
    <w:p w14:paraId="27638691">
      <w:pPr>
        <w:shd w:val="clear"/>
        <w:rPr>
          <w:rFonts w:hint="eastAsia" w:ascii="宋体" w:hAnsi="宋体"/>
          <w:b/>
          <w:color w:val="auto"/>
          <w:kern w:val="2"/>
          <w:sz w:val="32"/>
          <w:szCs w:val="32"/>
        </w:rPr>
      </w:pPr>
      <w:r>
        <w:rPr>
          <w:rFonts w:hint="eastAsia" w:ascii="宋体" w:hAnsi="宋体"/>
          <w:b/>
          <w:color w:val="auto"/>
          <w:kern w:val="2"/>
          <w:sz w:val="32"/>
          <w:szCs w:val="32"/>
        </w:rPr>
        <w:br w:type="page"/>
      </w:r>
    </w:p>
    <w:p w14:paraId="0DB28073">
      <w:pPr>
        <w:shd w:val="clear"/>
        <w:snapToGrid w:val="0"/>
        <w:spacing w:line="300" w:lineRule="auto"/>
        <w:contextualSpacing/>
        <w:jc w:val="center"/>
        <w:rPr>
          <w:rFonts w:hint="eastAsia" w:ascii="宋体" w:hAnsi="宋体"/>
          <w:b/>
          <w:color w:val="auto"/>
          <w:kern w:val="2"/>
          <w:sz w:val="32"/>
          <w:szCs w:val="32"/>
        </w:rPr>
      </w:pPr>
      <w:r>
        <w:rPr>
          <w:rFonts w:hint="eastAsia" w:ascii="宋体" w:hAnsi="宋体"/>
          <w:b/>
          <w:color w:val="auto"/>
          <w:kern w:val="2"/>
          <w:sz w:val="32"/>
          <w:szCs w:val="32"/>
        </w:rPr>
        <w:t>商务部分正负偏离表</w:t>
      </w:r>
    </w:p>
    <w:p w14:paraId="29F9F5E1">
      <w:pPr>
        <w:shd w:val="clear"/>
        <w:ind w:firstLine="560" w:firstLineChars="200"/>
        <w:jc w:val="center"/>
        <w:rPr>
          <w:rFonts w:hint="eastAsia" w:ascii="宋体" w:hAnsi="宋体"/>
          <w:color w:val="auto"/>
          <w:kern w:val="2"/>
          <w:sz w:val="28"/>
          <w:szCs w:val="28"/>
        </w:rPr>
      </w:pPr>
      <w:r>
        <w:rPr>
          <w:rFonts w:hint="eastAsia" w:ascii="宋体" w:hAnsi="宋体"/>
          <w:color w:val="auto"/>
          <w:kern w:val="2"/>
          <w:sz w:val="28"/>
          <w:szCs w:val="28"/>
        </w:rPr>
        <w:t>（由供应商据实填写）</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039"/>
        <w:gridCol w:w="3270"/>
        <w:gridCol w:w="2170"/>
        <w:gridCol w:w="1326"/>
      </w:tblGrid>
      <w:tr w14:paraId="5524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23" w:type="pct"/>
            <w:vAlign w:val="center"/>
          </w:tcPr>
          <w:p w14:paraId="36FD765F">
            <w:pPr>
              <w:keepNext w:val="0"/>
              <w:keepLines w:val="0"/>
              <w:pageBreakBefore w:val="0"/>
              <w:widowControl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序号</w:t>
            </w:r>
          </w:p>
        </w:tc>
        <w:tc>
          <w:tcPr>
            <w:tcW w:w="609" w:type="pct"/>
            <w:vAlign w:val="center"/>
          </w:tcPr>
          <w:p w14:paraId="03BF66D3">
            <w:pPr>
              <w:keepNext w:val="0"/>
              <w:keepLines w:val="0"/>
              <w:pageBreakBefore w:val="0"/>
              <w:widowControl w:val="0"/>
              <w:shd w:val="clear"/>
              <w:kinsoku/>
              <w:wordWrap/>
              <w:overflowPunct/>
              <w:topLinePunct w:val="0"/>
              <w:autoSpaceDE/>
              <w:autoSpaceDN/>
              <w:bidi w:val="0"/>
              <w:spacing w:line="240" w:lineRule="auto"/>
              <w:ind w:left="0" w:firstLine="0" w:firstLineChars="0"/>
              <w:jc w:val="center"/>
              <w:textAlignment w:val="auto"/>
              <w:rPr>
                <w:rFonts w:hint="default" w:ascii="宋体" w:hAnsi="宋体" w:eastAsia="宋体" w:cs="宋体"/>
                <w:color w:val="auto"/>
                <w:kern w:val="2"/>
                <w:sz w:val="24"/>
                <w:szCs w:val="24"/>
                <w:lang w:val="en-US" w:eastAsia="zh-CN"/>
              </w:rPr>
            </w:pPr>
            <w:r>
              <w:rPr>
                <w:rFonts w:hint="eastAsia" w:ascii="宋体" w:hAnsi="宋体" w:cs="宋体"/>
                <w:color w:val="auto"/>
                <w:kern w:val="2"/>
                <w:sz w:val="24"/>
                <w:szCs w:val="24"/>
                <w:lang w:val="en-US" w:eastAsia="zh-CN"/>
              </w:rPr>
              <w:t>条款</w:t>
            </w:r>
          </w:p>
        </w:tc>
        <w:tc>
          <w:tcPr>
            <w:tcW w:w="1917" w:type="pct"/>
            <w:vAlign w:val="center"/>
          </w:tcPr>
          <w:p w14:paraId="30C8C646">
            <w:pPr>
              <w:keepNext w:val="0"/>
              <w:keepLines w:val="0"/>
              <w:pageBreakBefore w:val="0"/>
              <w:widowControl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比选</w:t>
            </w:r>
            <w:r>
              <w:rPr>
                <w:rFonts w:hint="eastAsia" w:ascii="宋体" w:hAnsi="宋体" w:eastAsia="宋体" w:cs="宋体"/>
                <w:color w:val="auto"/>
                <w:kern w:val="2"/>
                <w:sz w:val="24"/>
                <w:szCs w:val="24"/>
              </w:rPr>
              <w:t>文件要求的商务条款</w:t>
            </w:r>
          </w:p>
        </w:tc>
        <w:tc>
          <w:tcPr>
            <w:tcW w:w="1272" w:type="pct"/>
            <w:vAlign w:val="center"/>
          </w:tcPr>
          <w:p w14:paraId="46E3C688">
            <w:pPr>
              <w:keepNext w:val="0"/>
              <w:keepLines w:val="0"/>
              <w:pageBreakBefore w:val="0"/>
              <w:widowControl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响应文件响应情况</w:t>
            </w:r>
          </w:p>
        </w:tc>
        <w:tc>
          <w:tcPr>
            <w:tcW w:w="777" w:type="pct"/>
          </w:tcPr>
          <w:p w14:paraId="1F2EEEC4">
            <w:pPr>
              <w:keepNext w:val="0"/>
              <w:keepLines w:val="0"/>
              <w:pageBreakBefore w:val="0"/>
              <w:widowControl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p>
          <w:p w14:paraId="537CC116">
            <w:pPr>
              <w:keepNext w:val="0"/>
              <w:keepLines w:val="0"/>
              <w:pageBreakBefore w:val="0"/>
              <w:widowControl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偏离说明</w:t>
            </w:r>
          </w:p>
        </w:tc>
      </w:tr>
      <w:tr w14:paraId="1071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3" w:type="pct"/>
            <w:vAlign w:val="center"/>
          </w:tcPr>
          <w:p w14:paraId="588E7238">
            <w:pPr>
              <w:keepNext w:val="0"/>
              <w:keepLines w:val="0"/>
              <w:pageBreakBefore w:val="0"/>
              <w:widowControl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609" w:type="pct"/>
            <w:vAlign w:val="center"/>
          </w:tcPr>
          <w:p w14:paraId="78611873">
            <w:pPr>
              <w:pStyle w:val="44"/>
              <w:keepNext w:val="0"/>
              <w:keepLines w:val="0"/>
              <w:pageBreakBefore w:val="0"/>
              <w:widowControl w:val="0"/>
              <w:numPr>
                <w:ilvl w:val="0"/>
                <w:numId w:val="0"/>
              </w:numPr>
              <w:shd w:val="clear"/>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917" w:type="pct"/>
            <w:vAlign w:val="center"/>
          </w:tcPr>
          <w:p w14:paraId="4BA2FC60">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kern w:val="2"/>
                <w:sz w:val="21"/>
                <w:szCs w:val="21"/>
              </w:rPr>
            </w:pPr>
          </w:p>
        </w:tc>
        <w:tc>
          <w:tcPr>
            <w:tcW w:w="1272" w:type="pct"/>
            <w:vAlign w:val="center"/>
          </w:tcPr>
          <w:p w14:paraId="24AF624F">
            <w:pPr>
              <w:keepNext w:val="0"/>
              <w:keepLines w:val="0"/>
              <w:pageBreakBefore w:val="0"/>
              <w:widowControl w:val="0"/>
              <w:shd w:val="clear"/>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c>
          <w:tcPr>
            <w:tcW w:w="777" w:type="pct"/>
          </w:tcPr>
          <w:p w14:paraId="13041C17">
            <w:pPr>
              <w:keepNext w:val="0"/>
              <w:keepLines w:val="0"/>
              <w:pageBreakBefore w:val="0"/>
              <w:widowControl w:val="0"/>
              <w:shd w:val="clear"/>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r>
      <w:tr w14:paraId="55A3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23" w:type="pct"/>
            <w:vAlign w:val="center"/>
          </w:tcPr>
          <w:p w14:paraId="2FFAD7CC">
            <w:pPr>
              <w:keepNext w:val="0"/>
              <w:keepLines w:val="0"/>
              <w:pageBreakBefore w:val="0"/>
              <w:widowControl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609" w:type="pct"/>
            <w:vAlign w:val="center"/>
          </w:tcPr>
          <w:p w14:paraId="77B70241">
            <w:pPr>
              <w:pStyle w:val="44"/>
              <w:keepNext w:val="0"/>
              <w:keepLines w:val="0"/>
              <w:pageBreakBefore w:val="0"/>
              <w:widowControl w:val="0"/>
              <w:numPr>
                <w:ilvl w:val="0"/>
                <w:numId w:val="0"/>
              </w:numPr>
              <w:shd w:val="clear"/>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917" w:type="pct"/>
            <w:vAlign w:val="center"/>
          </w:tcPr>
          <w:p w14:paraId="76A5142F">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kern w:val="2"/>
                <w:sz w:val="21"/>
                <w:szCs w:val="21"/>
              </w:rPr>
            </w:pPr>
          </w:p>
        </w:tc>
        <w:tc>
          <w:tcPr>
            <w:tcW w:w="1272" w:type="pct"/>
            <w:vAlign w:val="center"/>
          </w:tcPr>
          <w:p w14:paraId="74E55742">
            <w:pPr>
              <w:keepNext w:val="0"/>
              <w:keepLines w:val="0"/>
              <w:pageBreakBefore w:val="0"/>
              <w:widowControl w:val="0"/>
              <w:shd w:val="clear"/>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c>
          <w:tcPr>
            <w:tcW w:w="777" w:type="pct"/>
          </w:tcPr>
          <w:p w14:paraId="64D2789F">
            <w:pPr>
              <w:keepNext w:val="0"/>
              <w:keepLines w:val="0"/>
              <w:pageBreakBefore w:val="0"/>
              <w:widowControl w:val="0"/>
              <w:shd w:val="clear"/>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r>
      <w:tr w14:paraId="6C02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23" w:type="pct"/>
            <w:vAlign w:val="center"/>
          </w:tcPr>
          <w:p w14:paraId="10E26226">
            <w:pPr>
              <w:keepNext w:val="0"/>
              <w:keepLines w:val="0"/>
              <w:pageBreakBefore w:val="0"/>
              <w:widowControl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609" w:type="pct"/>
            <w:vAlign w:val="center"/>
          </w:tcPr>
          <w:p w14:paraId="6E683982">
            <w:pPr>
              <w:keepNext w:val="0"/>
              <w:keepLines w:val="0"/>
              <w:pageBreakBefore w:val="0"/>
              <w:widowControl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1"/>
                <w:szCs w:val="21"/>
                <w:lang w:val="en-US" w:eastAsia="zh-CN" w:bidi="ar-SA"/>
              </w:rPr>
            </w:pPr>
          </w:p>
        </w:tc>
        <w:tc>
          <w:tcPr>
            <w:tcW w:w="1917" w:type="pct"/>
            <w:vAlign w:val="center"/>
          </w:tcPr>
          <w:p w14:paraId="76DB73CD">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kern w:val="2"/>
                <w:sz w:val="21"/>
                <w:szCs w:val="21"/>
              </w:rPr>
            </w:pPr>
          </w:p>
        </w:tc>
        <w:tc>
          <w:tcPr>
            <w:tcW w:w="1272" w:type="pct"/>
            <w:vAlign w:val="center"/>
          </w:tcPr>
          <w:p w14:paraId="7A49871B">
            <w:pPr>
              <w:keepNext w:val="0"/>
              <w:keepLines w:val="0"/>
              <w:pageBreakBefore w:val="0"/>
              <w:widowControl w:val="0"/>
              <w:shd w:val="clear"/>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c>
          <w:tcPr>
            <w:tcW w:w="777" w:type="pct"/>
          </w:tcPr>
          <w:p w14:paraId="6AC6C035">
            <w:pPr>
              <w:keepNext w:val="0"/>
              <w:keepLines w:val="0"/>
              <w:pageBreakBefore w:val="0"/>
              <w:widowControl w:val="0"/>
              <w:shd w:val="clear"/>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r>
    </w:tbl>
    <w:p w14:paraId="443ED5C4">
      <w:pPr>
        <w:shd w:val="clear"/>
        <w:snapToGrid w:val="0"/>
        <w:spacing w:line="300" w:lineRule="auto"/>
        <w:contextualSpacing/>
        <w:rPr>
          <w:rFonts w:hint="eastAsia" w:ascii="宋体" w:hAnsi="宋体"/>
          <w:b/>
          <w:color w:val="auto"/>
          <w:kern w:val="2"/>
          <w:sz w:val="24"/>
          <w:szCs w:val="24"/>
        </w:rPr>
      </w:pPr>
      <w:r>
        <w:rPr>
          <w:rFonts w:hint="eastAsia" w:ascii="宋体" w:hAnsi="宋体"/>
          <w:b/>
          <w:color w:val="auto"/>
          <w:kern w:val="2"/>
          <w:sz w:val="24"/>
          <w:szCs w:val="24"/>
        </w:rPr>
        <w:t>注：</w:t>
      </w:r>
    </w:p>
    <w:p w14:paraId="4FCC309E">
      <w:pPr>
        <w:shd w:val="clear"/>
        <w:snapToGrid w:val="0"/>
        <w:spacing w:line="300" w:lineRule="auto"/>
        <w:ind w:firstLine="480" w:firstLineChars="200"/>
        <w:contextualSpacing/>
        <w:rPr>
          <w:rFonts w:hint="default" w:ascii="宋体" w:hAnsi="宋体" w:eastAsia="宋体"/>
          <w:color w:val="auto"/>
          <w:kern w:val="2"/>
          <w:sz w:val="24"/>
          <w:szCs w:val="24"/>
          <w:lang w:val="en-US" w:eastAsia="zh-CN"/>
        </w:rPr>
      </w:pPr>
      <w:r>
        <w:rPr>
          <w:rFonts w:hint="eastAsia" w:ascii="宋体" w:hAnsi="宋体"/>
          <w:color w:val="auto"/>
          <w:kern w:val="2"/>
          <w:sz w:val="24"/>
          <w:szCs w:val="24"/>
        </w:rPr>
        <w:t>1.供应商提交的响应文件中与</w:t>
      </w:r>
      <w:r>
        <w:rPr>
          <w:rFonts w:hint="eastAsia" w:ascii="宋体" w:hAnsi="宋体" w:eastAsia="宋体" w:cs="宋体"/>
          <w:color w:val="auto"/>
          <w:kern w:val="2"/>
          <w:sz w:val="24"/>
          <w:szCs w:val="24"/>
          <w:lang w:val="en-US" w:eastAsia="zh-CN"/>
        </w:rPr>
        <w:t>比选</w:t>
      </w:r>
      <w:r>
        <w:rPr>
          <w:rFonts w:hint="eastAsia" w:ascii="宋体" w:hAnsi="宋体"/>
          <w:color w:val="auto"/>
          <w:kern w:val="2"/>
          <w:sz w:val="24"/>
          <w:szCs w:val="24"/>
        </w:rPr>
        <w:t>文件第三部分“项目需求”中的商务部分的要求，如有偏离，应逐条填列在偏离表中。</w:t>
      </w:r>
      <w:r>
        <w:rPr>
          <w:rFonts w:hint="eastAsia" w:ascii="宋体" w:hAnsi="宋体"/>
          <w:b/>
          <w:bCs/>
          <w:color w:val="auto"/>
          <w:kern w:val="2"/>
          <w:sz w:val="24"/>
          <w:szCs w:val="24"/>
          <w:lang w:val="en-US" w:eastAsia="zh-CN"/>
        </w:rPr>
        <w:t>如完全响应，可空白列示。</w:t>
      </w:r>
    </w:p>
    <w:p w14:paraId="74C69146">
      <w:pPr>
        <w:shd w:val="clear"/>
        <w:snapToGrid w:val="0"/>
        <w:spacing w:line="300" w:lineRule="auto"/>
        <w:ind w:firstLine="480" w:firstLineChars="200"/>
        <w:contextualSpacing/>
        <w:rPr>
          <w:rFonts w:hint="eastAsia" w:ascii="宋体" w:hAnsi="宋体"/>
          <w:color w:val="auto"/>
          <w:kern w:val="2"/>
          <w:sz w:val="24"/>
          <w:szCs w:val="24"/>
        </w:rPr>
      </w:pPr>
      <w:r>
        <w:rPr>
          <w:rFonts w:hint="eastAsia" w:ascii="宋体" w:hAnsi="宋体"/>
          <w:color w:val="auto"/>
          <w:kern w:val="2"/>
          <w:sz w:val="24"/>
          <w:szCs w:val="24"/>
        </w:rPr>
        <w:t>2.“偏离说明”一栏选择“正偏离</w:t>
      </w:r>
      <w:r>
        <w:rPr>
          <w:rFonts w:hint="eastAsia" w:ascii="宋体" w:hAnsi="宋体"/>
          <w:color w:val="auto"/>
          <w:kern w:val="2"/>
          <w:sz w:val="24"/>
          <w:szCs w:val="24"/>
          <w:lang w:eastAsia="zh-CN"/>
        </w:rPr>
        <w:t>”“</w:t>
      </w:r>
      <w:r>
        <w:rPr>
          <w:rFonts w:hint="eastAsia" w:ascii="宋体" w:hAnsi="宋体"/>
          <w:color w:val="auto"/>
          <w:kern w:val="2"/>
          <w:sz w:val="24"/>
          <w:szCs w:val="24"/>
        </w:rPr>
        <w:t>无偏离</w:t>
      </w:r>
      <w:r>
        <w:rPr>
          <w:rFonts w:hint="eastAsia" w:ascii="宋体" w:hAnsi="宋体"/>
          <w:color w:val="auto"/>
          <w:kern w:val="2"/>
          <w:sz w:val="24"/>
          <w:szCs w:val="24"/>
          <w:lang w:eastAsia="zh-CN"/>
        </w:rPr>
        <w:t>”“</w:t>
      </w:r>
      <w:r>
        <w:rPr>
          <w:rFonts w:hint="eastAsia" w:ascii="宋体" w:hAnsi="宋体"/>
          <w:color w:val="auto"/>
          <w:kern w:val="2"/>
          <w:sz w:val="24"/>
          <w:szCs w:val="24"/>
        </w:rPr>
        <w:t>负偏离”进行填写。正偏离、无偏离的确认和负偏离的是否响应采购文件，由</w:t>
      </w:r>
      <w:r>
        <w:rPr>
          <w:rFonts w:hint="eastAsia" w:ascii="宋体" w:hAnsi="宋体"/>
          <w:color w:val="auto"/>
          <w:kern w:val="2"/>
          <w:sz w:val="24"/>
          <w:szCs w:val="24"/>
          <w:lang w:val="en-US" w:eastAsia="zh-CN"/>
        </w:rPr>
        <w:t>评审小组</w:t>
      </w:r>
      <w:r>
        <w:rPr>
          <w:rFonts w:hint="eastAsia" w:ascii="宋体" w:hAnsi="宋体"/>
          <w:color w:val="auto"/>
          <w:kern w:val="2"/>
          <w:sz w:val="24"/>
          <w:szCs w:val="24"/>
        </w:rPr>
        <w:t>认定。</w:t>
      </w:r>
    </w:p>
    <w:p w14:paraId="4F7CE9AA">
      <w:pPr>
        <w:shd w:val="clear"/>
        <w:snapToGrid w:val="0"/>
        <w:spacing w:line="300" w:lineRule="auto"/>
        <w:ind w:firstLine="480" w:firstLineChars="200"/>
        <w:contextualSpacing/>
        <w:rPr>
          <w:rFonts w:hint="eastAsia" w:ascii="宋体" w:hAnsi="宋体"/>
          <w:color w:val="auto"/>
          <w:kern w:val="2"/>
          <w:sz w:val="24"/>
          <w:szCs w:val="24"/>
        </w:rPr>
      </w:pPr>
      <w:r>
        <w:rPr>
          <w:rFonts w:hint="eastAsia" w:ascii="宋体" w:hAnsi="宋体"/>
          <w:color w:val="auto"/>
          <w:kern w:val="2"/>
          <w:sz w:val="24"/>
          <w:szCs w:val="24"/>
        </w:rPr>
        <w:t>3.供应商如果虚假响应，将被暂停参加采购单位组织的任何采购活动。</w:t>
      </w:r>
    </w:p>
    <w:p w14:paraId="4B5336B7">
      <w:pPr>
        <w:shd w:val="clear"/>
        <w:snapToGrid w:val="0"/>
        <w:spacing w:line="300" w:lineRule="auto"/>
        <w:ind w:firstLine="480" w:firstLineChars="200"/>
        <w:contextualSpacing/>
        <w:rPr>
          <w:rFonts w:hint="eastAsia" w:ascii="宋体" w:hAnsi="宋体"/>
          <w:bCs/>
          <w:color w:val="auto"/>
          <w:kern w:val="2"/>
          <w:sz w:val="24"/>
          <w:szCs w:val="24"/>
        </w:rPr>
      </w:pPr>
      <w:r>
        <w:rPr>
          <w:rFonts w:hint="eastAsia" w:ascii="宋体" w:hAnsi="宋体"/>
          <w:bCs/>
          <w:color w:val="auto"/>
          <w:kern w:val="2"/>
          <w:sz w:val="24"/>
          <w:szCs w:val="24"/>
        </w:rPr>
        <w:t>4.供应商若提供其他增值服务，可以在表中自行据实填写。</w:t>
      </w:r>
    </w:p>
    <w:p w14:paraId="05108E97">
      <w:pPr>
        <w:shd w:val="clear"/>
        <w:snapToGrid w:val="0"/>
        <w:spacing w:line="400" w:lineRule="exact"/>
        <w:ind w:firstLine="540" w:firstLineChars="192"/>
        <w:contextualSpacing/>
        <w:rPr>
          <w:rFonts w:hint="eastAsia" w:ascii="宋体" w:hAnsi="宋体" w:cs="宋体"/>
          <w:b/>
          <w:color w:val="auto"/>
          <w:sz w:val="28"/>
          <w:szCs w:val="28"/>
        </w:rPr>
      </w:pPr>
    </w:p>
    <w:p w14:paraId="11FAB8E0">
      <w:pPr>
        <w:shd w:val="clear"/>
        <w:snapToGrid w:val="0"/>
        <w:spacing w:line="360" w:lineRule="auto"/>
        <w:ind w:right="79"/>
        <w:jc w:val="right"/>
        <w:textAlignment w:val="baseline"/>
        <w:rPr>
          <w:rFonts w:hint="eastAsia" w:ascii="宋体" w:hAnsi="宋体" w:cs="宋体"/>
          <w:color w:val="auto"/>
          <w:kern w:val="2"/>
          <w:sz w:val="24"/>
          <w:szCs w:val="24"/>
        </w:rPr>
      </w:pPr>
      <w:r>
        <w:rPr>
          <w:rFonts w:hint="eastAsia" w:ascii="宋体" w:hAnsi="宋体" w:cs="宋体"/>
          <w:color w:val="auto"/>
          <w:kern w:val="2"/>
          <w:sz w:val="24"/>
          <w:szCs w:val="24"/>
        </w:rPr>
        <w:t>响应供应商：（</w:t>
      </w:r>
      <w:r>
        <w:rPr>
          <w:rFonts w:hint="eastAsia" w:ascii="宋体" w:hAnsi="宋体" w:cs="宋体"/>
          <w:color w:val="auto"/>
          <w:kern w:val="2"/>
          <w:sz w:val="24"/>
          <w:szCs w:val="24"/>
          <w:lang w:val="en-US" w:eastAsia="zh-CN"/>
        </w:rPr>
        <w:t>公章</w:t>
      </w:r>
      <w:r>
        <w:rPr>
          <w:rFonts w:hint="eastAsia" w:ascii="宋体" w:hAnsi="宋体" w:cs="宋体"/>
          <w:color w:val="auto"/>
          <w:kern w:val="2"/>
          <w:sz w:val="24"/>
          <w:szCs w:val="24"/>
        </w:rPr>
        <w:t>）</w:t>
      </w:r>
    </w:p>
    <w:p w14:paraId="6BE97C5A">
      <w:pPr>
        <w:shd w:val="clear"/>
        <w:tabs>
          <w:tab w:val="left" w:pos="5665"/>
          <w:tab w:val="right" w:pos="8360"/>
        </w:tabs>
        <w:snapToGrid w:val="0"/>
        <w:spacing w:line="360" w:lineRule="auto"/>
        <w:ind w:right="42"/>
        <w:jc w:val="right"/>
        <w:textAlignment w:val="baseline"/>
        <w:rPr>
          <w:rFonts w:hint="eastAsia" w:ascii="宋体" w:hAnsi="宋体" w:cs="宋体"/>
          <w:color w:val="auto"/>
          <w:kern w:val="2"/>
          <w:sz w:val="24"/>
          <w:szCs w:val="28"/>
          <w:u w:val="single"/>
        </w:rPr>
      </w:pPr>
      <w:r>
        <w:rPr>
          <w:rFonts w:hint="eastAsia" w:ascii="宋体" w:hAnsi="宋体" w:cs="宋体"/>
          <w:color w:val="auto"/>
          <w:kern w:val="2"/>
          <w:sz w:val="24"/>
          <w:szCs w:val="28"/>
        </w:rPr>
        <w:t>法定代表人或</w:t>
      </w:r>
      <w:r>
        <w:rPr>
          <w:rFonts w:hint="eastAsia" w:ascii="宋体" w:hAnsi="宋体" w:cs="仿宋_GB2312"/>
          <w:color w:val="auto"/>
          <w:kern w:val="2"/>
          <w:sz w:val="24"/>
          <w:szCs w:val="28"/>
        </w:rPr>
        <w:t>授权</w:t>
      </w:r>
      <w:r>
        <w:rPr>
          <w:rFonts w:hint="eastAsia" w:ascii="宋体" w:hAnsi="宋体" w:cs="仿宋_GB2312"/>
          <w:color w:val="auto"/>
          <w:kern w:val="2"/>
          <w:sz w:val="24"/>
          <w:szCs w:val="28"/>
          <w:lang w:val="en-US" w:eastAsia="zh-CN"/>
        </w:rPr>
        <w:t>委托</w:t>
      </w:r>
      <w:r>
        <w:rPr>
          <w:rFonts w:hint="eastAsia" w:ascii="宋体" w:hAnsi="宋体" w:cs="仿宋_GB2312"/>
          <w:color w:val="auto"/>
          <w:kern w:val="2"/>
          <w:sz w:val="24"/>
          <w:szCs w:val="28"/>
        </w:rPr>
        <w:t>人（签字或盖章）</w:t>
      </w:r>
      <w:r>
        <w:rPr>
          <w:rFonts w:hint="eastAsia" w:ascii="宋体" w:hAnsi="宋体" w:cs="宋体"/>
          <w:color w:val="auto"/>
          <w:kern w:val="2"/>
          <w:sz w:val="24"/>
          <w:szCs w:val="28"/>
        </w:rPr>
        <w:t>：</w:t>
      </w:r>
    </w:p>
    <w:p w14:paraId="641AD463">
      <w:pPr>
        <w:shd w:val="clear"/>
        <w:snapToGrid w:val="0"/>
        <w:spacing w:line="520" w:lineRule="exact"/>
        <w:jc w:val="right"/>
        <w:rPr>
          <w:rFonts w:ascii="宋体" w:hAnsi="Times New Roman"/>
          <w:color w:val="auto"/>
          <w:kern w:val="2"/>
          <w:sz w:val="24"/>
          <w:szCs w:val="24"/>
        </w:rPr>
      </w:pPr>
      <w:r>
        <w:rPr>
          <w:rFonts w:hint="eastAsia" w:ascii="宋体" w:hAnsi="宋体" w:cs="宋体"/>
          <w:color w:val="auto"/>
          <w:kern w:val="2"/>
          <w:sz w:val="24"/>
          <w:szCs w:val="24"/>
        </w:rPr>
        <w:t xml:space="preserve">    日期：  年  月  日</w:t>
      </w:r>
    </w:p>
    <w:p w14:paraId="0B014E9B">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br w:type="page"/>
      </w:r>
    </w:p>
    <w:p w14:paraId="467471D9">
      <w:pPr>
        <w:shd w:val="clear"/>
        <w:snapToGrid w:val="0"/>
        <w:spacing w:line="300" w:lineRule="auto"/>
        <w:contextualSpacing/>
        <w:jc w:val="center"/>
        <w:rPr>
          <w:rFonts w:hint="eastAsia" w:ascii="宋体" w:hAnsi="宋体"/>
          <w:b/>
          <w:color w:val="auto"/>
          <w:kern w:val="2"/>
          <w:sz w:val="32"/>
          <w:szCs w:val="32"/>
        </w:rPr>
      </w:pPr>
      <w:r>
        <w:rPr>
          <w:rFonts w:hint="eastAsia" w:ascii="宋体" w:hAnsi="宋体"/>
          <w:b/>
          <w:color w:val="auto"/>
          <w:kern w:val="2"/>
          <w:sz w:val="32"/>
          <w:szCs w:val="32"/>
        </w:rPr>
        <w:t>技术部分正负偏离表</w:t>
      </w:r>
    </w:p>
    <w:p w14:paraId="065FEA9F">
      <w:pPr>
        <w:shd w:val="clear"/>
        <w:ind w:firstLine="560" w:firstLineChars="200"/>
        <w:jc w:val="center"/>
        <w:rPr>
          <w:rFonts w:hint="eastAsia" w:ascii="宋体" w:hAnsi="宋体"/>
          <w:color w:val="auto"/>
          <w:kern w:val="2"/>
          <w:sz w:val="28"/>
          <w:szCs w:val="28"/>
        </w:rPr>
      </w:pPr>
      <w:r>
        <w:rPr>
          <w:rFonts w:hint="eastAsia" w:ascii="宋体" w:hAnsi="宋体"/>
          <w:color w:val="auto"/>
          <w:kern w:val="2"/>
          <w:sz w:val="28"/>
          <w:szCs w:val="28"/>
        </w:rPr>
        <w:t>（由供应商据实填写）</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131"/>
        <w:gridCol w:w="3811"/>
        <w:gridCol w:w="1476"/>
        <w:gridCol w:w="1326"/>
      </w:tblGrid>
      <w:tr w14:paraId="5859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59" w:type="pct"/>
            <w:vAlign w:val="center"/>
          </w:tcPr>
          <w:p w14:paraId="2A4D818E">
            <w:pPr>
              <w:keepNext w:val="0"/>
              <w:keepLines w:val="0"/>
              <w:pageBreakBefore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序号</w:t>
            </w:r>
          </w:p>
        </w:tc>
        <w:tc>
          <w:tcPr>
            <w:tcW w:w="663" w:type="pct"/>
            <w:vAlign w:val="center"/>
          </w:tcPr>
          <w:p w14:paraId="40515EAB">
            <w:pPr>
              <w:keepNext w:val="0"/>
              <w:keepLines w:val="0"/>
              <w:pageBreakBefore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lang w:eastAsia="zh-CN"/>
              </w:rPr>
            </w:pPr>
            <w:r>
              <w:rPr>
                <w:rFonts w:hint="eastAsia" w:ascii="宋体" w:hAnsi="宋体" w:cs="宋体"/>
                <w:color w:val="auto"/>
                <w:kern w:val="2"/>
                <w:sz w:val="24"/>
                <w:szCs w:val="24"/>
                <w:lang w:val="en-US" w:eastAsia="zh-CN"/>
              </w:rPr>
              <w:t>条款</w:t>
            </w:r>
          </w:p>
        </w:tc>
        <w:tc>
          <w:tcPr>
            <w:tcW w:w="2234" w:type="pct"/>
            <w:vAlign w:val="center"/>
          </w:tcPr>
          <w:p w14:paraId="358644B1">
            <w:pPr>
              <w:keepNext w:val="0"/>
              <w:keepLines w:val="0"/>
              <w:pageBreakBefore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比选</w:t>
            </w:r>
            <w:r>
              <w:rPr>
                <w:rFonts w:hint="eastAsia" w:ascii="宋体" w:hAnsi="宋体" w:eastAsia="宋体" w:cs="宋体"/>
                <w:color w:val="auto"/>
                <w:kern w:val="2"/>
                <w:sz w:val="24"/>
                <w:szCs w:val="24"/>
              </w:rPr>
              <w:t>文件要求的技术要求</w:t>
            </w:r>
          </w:p>
        </w:tc>
        <w:tc>
          <w:tcPr>
            <w:tcW w:w="865" w:type="pct"/>
            <w:vAlign w:val="center"/>
          </w:tcPr>
          <w:p w14:paraId="3A630352">
            <w:pPr>
              <w:keepNext w:val="0"/>
              <w:keepLines w:val="0"/>
              <w:pageBreakBefore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响应文件响应情况</w:t>
            </w:r>
          </w:p>
        </w:tc>
        <w:tc>
          <w:tcPr>
            <w:tcW w:w="777" w:type="pct"/>
          </w:tcPr>
          <w:p w14:paraId="28062084">
            <w:pPr>
              <w:keepNext w:val="0"/>
              <w:keepLines w:val="0"/>
              <w:pageBreakBefore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p>
          <w:p w14:paraId="0C9940E6">
            <w:pPr>
              <w:keepNext w:val="0"/>
              <w:keepLines w:val="0"/>
              <w:pageBreakBefore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偏离说明</w:t>
            </w:r>
          </w:p>
        </w:tc>
      </w:tr>
      <w:tr w14:paraId="679D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59" w:type="pct"/>
            <w:vAlign w:val="center"/>
          </w:tcPr>
          <w:p w14:paraId="228FA5C6">
            <w:pPr>
              <w:keepNext w:val="0"/>
              <w:keepLines w:val="0"/>
              <w:pageBreakBefore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663" w:type="pct"/>
            <w:vAlign w:val="center"/>
          </w:tcPr>
          <w:p w14:paraId="4F20CFB3">
            <w:pPr>
              <w:keepNext w:val="0"/>
              <w:keepLines w:val="0"/>
              <w:pageBreakBefore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1"/>
                <w:szCs w:val="21"/>
                <w:lang w:val="en-US" w:eastAsia="zh-CN"/>
              </w:rPr>
            </w:pPr>
          </w:p>
        </w:tc>
        <w:tc>
          <w:tcPr>
            <w:tcW w:w="2234" w:type="pct"/>
            <w:vAlign w:val="center"/>
          </w:tcPr>
          <w:p w14:paraId="47449CF6">
            <w:pPr>
              <w:keepNext w:val="0"/>
              <w:keepLines w:val="0"/>
              <w:pageBreakBefore w:val="0"/>
              <w:widowControl/>
              <w:shd w:val="clear"/>
              <w:kinsoku/>
              <w:wordWrap/>
              <w:overflowPunct/>
              <w:topLinePunct w:val="0"/>
              <w:autoSpaceDE/>
              <w:autoSpaceDN/>
              <w:bidi w:val="0"/>
              <w:jc w:val="left"/>
              <w:textAlignment w:val="center"/>
              <w:rPr>
                <w:rFonts w:hint="eastAsia" w:ascii="宋体" w:hAnsi="宋体" w:eastAsia="宋体" w:cs="宋体"/>
                <w:color w:val="auto"/>
                <w:kern w:val="2"/>
                <w:sz w:val="21"/>
                <w:szCs w:val="21"/>
              </w:rPr>
            </w:pPr>
          </w:p>
        </w:tc>
        <w:tc>
          <w:tcPr>
            <w:tcW w:w="865" w:type="pct"/>
            <w:vAlign w:val="center"/>
          </w:tcPr>
          <w:p w14:paraId="1548C14A">
            <w:pPr>
              <w:keepNext w:val="0"/>
              <w:keepLines w:val="0"/>
              <w:pageBreakBefore w:val="0"/>
              <w:shd w:val="clear"/>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c>
          <w:tcPr>
            <w:tcW w:w="777" w:type="pct"/>
          </w:tcPr>
          <w:p w14:paraId="79F308B2">
            <w:pPr>
              <w:keepNext w:val="0"/>
              <w:keepLines w:val="0"/>
              <w:pageBreakBefore w:val="0"/>
              <w:shd w:val="clear"/>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r>
      <w:tr w14:paraId="7241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59" w:type="pct"/>
            <w:vAlign w:val="center"/>
          </w:tcPr>
          <w:p w14:paraId="373C6BFD">
            <w:pPr>
              <w:keepNext w:val="0"/>
              <w:keepLines w:val="0"/>
              <w:pageBreakBefore w:val="0"/>
              <w:shd w:val="clear"/>
              <w:kinsoku/>
              <w:wordWrap/>
              <w:overflowPunct/>
              <w:topLinePunct w:val="0"/>
              <w:autoSpaceDE/>
              <w:autoSpaceDN/>
              <w:bidi w:val="0"/>
              <w:spacing w:line="240" w:lineRule="auto"/>
              <w:ind w:left="0" w:firstLine="0" w:firstLineChars="0"/>
              <w:jc w:val="center"/>
              <w:textAlignment w:val="auto"/>
              <w:rPr>
                <w:rFonts w:hint="default"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2</w:t>
            </w:r>
          </w:p>
        </w:tc>
        <w:tc>
          <w:tcPr>
            <w:tcW w:w="663" w:type="pct"/>
            <w:vAlign w:val="center"/>
          </w:tcPr>
          <w:p w14:paraId="7C157E6A">
            <w:pPr>
              <w:keepNext w:val="0"/>
              <w:keepLines w:val="0"/>
              <w:pageBreakBefore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1"/>
                <w:szCs w:val="21"/>
                <w:lang w:val="en-US" w:eastAsia="zh-CN"/>
              </w:rPr>
            </w:pPr>
          </w:p>
        </w:tc>
        <w:tc>
          <w:tcPr>
            <w:tcW w:w="2234" w:type="pct"/>
            <w:vAlign w:val="center"/>
          </w:tcPr>
          <w:p w14:paraId="367B1C7D">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color w:val="auto"/>
                <w:kern w:val="0"/>
                <w:sz w:val="21"/>
                <w:szCs w:val="21"/>
              </w:rPr>
            </w:pPr>
          </w:p>
        </w:tc>
        <w:tc>
          <w:tcPr>
            <w:tcW w:w="865" w:type="pct"/>
            <w:vAlign w:val="center"/>
          </w:tcPr>
          <w:p w14:paraId="57E84E88">
            <w:pPr>
              <w:keepNext w:val="0"/>
              <w:keepLines w:val="0"/>
              <w:pageBreakBefore w:val="0"/>
              <w:shd w:val="clear"/>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c>
          <w:tcPr>
            <w:tcW w:w="777" w:type="pct"/>
          </w:tcPr>
          <w:p w14:paraId="15F139D4">
            <w:pPr>
              <w:keepNext w:val="0"/>
              <w:keepLines w:val="0"/>
              <w:pageBreakBefore w:val="0"/>
              <w:shd w:val="clear"/>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r>
      <w:tr w14:paraId="4951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59" w:type="pct"/>
            <w:vAlign w:val="center"/>
          </w:tcPr>
          <w:p w14:paraId="7D547752">
            <w:pPr>
              <w:keepNext w:val="0"/>
              <w:keepLines w:val="0"/>
              <w:pageBreakBefore w:val="0"/>
              <w:shd w:val="clear"/>
              <w:kinsoku/>
              <w:wordWrap/>
              <w:overflowPunct/>
              <w:topLinePunct w:val="0"/>
              <w:autoSpaceDE/>
              <w:autoSpaceDN/>
              <w:bidi w:val="0"/>
              <w:spacing w:line="240" w:lineRule="auto"/>
              <w:ind w:left="0" w:firstLine="0" w:firstLineChars="0"/>
              <w:jc w:val="center"/>
              <w:textAlignment w:val="auto"/>
              <w:rPr>
                <w:rFonts w:hint="default" w:ascii="宋体" w:hAnsi="宋体" w:cs="宋体"/>
                <w:color w:val="auto"/>
                <w:kern w:val="2"/>
                <w:sz w:val="21"/>
                <w:szCs w:val="21"/>
                <w:lang w:val="en-US" w:eastAsia="zh-CN"/>
              </w:rPr>
            </w:pPr>
            <w:r>
              <w:rPr>
                <w:rFonts w:hint="eastAsia" w:ascii="宋体" w:hAnsi="宋体" w:cs="宋体"/>
                <w:color w:val="auto"/>
                <w:kern w:val="2"/>
                <w:sz w:val="21"/>
                <w:szCs w:val="21"/>
                <w:lang w:val="en-US" w:eastAsia="zh-CN"/>
              </w:rPr>
              <w:t>3</w:t>
            </w:r>
          </w:p>
        </w:tc>
        <w:tc>
          <w:tcPr>
            <w:tcW w:w="663" w:type="pct"/>
            <w:vAlign w:val="center"/>
          </w:tcPr>
          <w:p w14:paraId="6496DFB7">
            <w:pPr>
              <w:keepNext w:val="0"/>
              <w:keepLines w:val="0"/>
              <w:pageBreakBefore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1"/>
                <w:szCs w:val="21"/>
                <w:lang w:val="en-US" w:eastAsia="zh-CN"/>
              </w:rPr>
            </w:pPr>
          </w:p>
        </w:tc>
        <w:tc>
          <w:tcPr>
            <w:tcW w:w="2234" w:type="pct"/>
            <w:vAlign w:val="center"/>
          </w:tcPr>
          <w:p w14:paraId="294BF383">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color w:val="auto"/>
                <w:kern w:val="0"/>
                <w:sz w:val="21"/>
                <w:szCs w:val="21"/>
              </w:rPr>
            </w:pPr>
          </w:p>
        </w:tc>
        <w:tc>
          <w:tcPr>
            <w:tcW w:w="865" w:type="pct"/>
            <w:vAlign w:val="center"/>
          </w:tcPr>
          <w:p w14:paraId="330C0219">
            <w:pPr>
              <w:keepNext w:val="0"/>
              <w:keepLines w:val="0"/>
              <w:pageBreakBefore w:val="0"/>
              <w:shd w:val="clear"/>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c>
          <w:tcPr>
            <w:tcW w:w="777" w:type="pct"/>
          </w:tcPr>
          <w:p w14:paraId="1AE7B74C">
            <w:pPr>
              <w:keepNext w:val="0"/>
              <w:keepLines w:val="0"/>
              <w:pageBreakBefore w:val="0"/>
              <w:shd w:val="clear"/>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r>
    </w:tbl>
    <w:p w14:paraId="05D21E94">
      <w:pPr>
        <w:shd w:val="clear"/>
        <w:snapToGrid w:val="0"/>
        <w:spacing w:line="300" w:lineRule="auto"/>
        <w:contextualSpacing/>
        <w:rPr>
          <w:rFonts w:hint="eastAsia" w:ascii="宋体" w:hAnsi="宋体"/>
          <w:b/>
          <w:color w:val="auto"/>
          <w:kern w:val="2"/>
          <w:sz w:val="24"/>
          <w:szCs w:val="24"/>
        </w:rPr>
      </w:pPr>
      <w:r>
        <w:rPr>
          <w:rFonts w:hint="eastAsia" w:ascii="宋体" w:hAnsi="宋体"/>
          <w:b/>
          <w:color w:val="auto"/>
          <w:kern w:val="2"/>
          <w:sz w:val="24"/>
          <w:szCs w:val="24"/>
        </w:rPr>
        <w:t>注：</w:t>
      </w:r>
    </w:p>
    <w:p w14:paraId="447487F4">
      <w:pPr>
        <w:shd w:val="clear"/>
        <w:snapToGrid w:val="0"/>
        <w:spacing w:line="300" w:lineRule="auto"/>
        <w:ind w:firstLine="480" w:firstLineChars="200"/>
        <w:contextualSpacing/>
        <w:rPr>
          <w:rFonts w:hint="eastAsia" w:ascii="宋体" w:hAnsi="宋体"/>
          <w:b/>
          <w:bCs/>
          <w:color w:val="auto"/>
          <w:kern w:val="2"/>
          <w:sz w:val="24"/>
          <w:szCs w:val="24"/>
        </w:rPr>
      </w:pPr>
      <w:r>
        <w:rPr>
          <w:rFonts w:hint="eastAsia" w:ascii="宋体" w:hAnsi="宋体"/>
          <w:color w:val="auto"/>
          <w:kern w:val="2"/>
          <w:sz w:val="24"/>
          <w:szCs w:val="24"/>
        </w:rPr>
        <w:t>1.供应商提交的响应文件中与</w:t>
      </w:r>
      <w:r>
        <w:rPr>
          <w:rFonts w:hint="eastAsia" w:ascii="宋体" w:hAnsi="宋体" w:eastAsia="宋体" w:cs="宋体"/>
          <w:color w:val="auto"/>
          <w:kern w:val="2"/>
          <w:sz w:val="24"/>
          <w:szCs w:val="24"/>
          <w:lang w:val="en-US" w:eastAsia="zh-CN"/>
        </w:rPr>
        <w:t>比选</w:t>
      </w:r>
      <w:r>
        <w:rPr>
          <w:rFonts w:hint="eastAsia" w:ascii="宋体" w:hAnsi="宋体"/>
          <w:color w:val="auto"/>
          <w:kern w:val="2"/>
          <w:sz w:val="24"/>
          <w:szCs w:val="24"/>
        </w:rPr>
        <w:t>文件第三部分“项目需求”中的技术部分的要求，如有偏离，应逐条填列在偏离表中</w:t>
      </w:r>
      <w:r>
        <w:rPr>
          <w:rFonts w:hint="eastAsia" w:ascii="宋体" w:hAnsi="宋体"/>
          <w:b/>
          <w:bCs/>
          <w:color w:val="auto"/>
          <w:kern w:val="2"/>
          <w:sz w:val="24"/>
          <w:szCs w:val="24"/>
        </w:rPr>
        <w:t>。如完全响应，可空白列示。</w:t>
      </w:r>
    </w:p>
    <w:p w14:paraId="0D0EEA71">
      <w:pPr>
        <w:shd w:val="clear"/>
        <w:snapToGrid w:val="0"/>
        <w:spacing w:line="300" w:lineRule="auto"/>
        <w:ind w:firstLine="480" w:firstLineChars="200"/>
        <w:contextualSpacing/>
        <w:rPr>
          <w:rFonts w:hint="eastAsia" w:ascii="宋体" w:hAnsi="宋体"/>
          <w:color w:val="auto"/>
          <w:kern w:val="2"/>
          <w:sz w:val="24"/>
          <w:szCs w:val="24"/>
        </w:rPr>
      </w:pPr>
      <w:r>
        <w:rPr>
          <w:rFonts w:hint="eastAsia" w:ascii="宋体" w:hAnsi="宋体"/>
          <w:color w:val="auto"/>
          <w:kern w:val="2"/>
          <w:sz w:val="24"/>
          <w:szCs w:val="24"/>
        </w:rPr>
        <w:t>2.“偏离说明”一栏选择“正偏离</w:t>
      </w:r>
      <w:r>
        <w:rPr>
          <w:rFonts w:hint="eastAsia" w:ascii="宋体" w:hAnsi="宋体"/>
          <w:color w:val="auto"/>
          <w:kern w:val="2"/>
          <w:sz w:val="24"/>
          <w:szCs w:val="24"/>
          <w:lang w:eastAsia="zh-CN"/>
        </w:rPr>
        <w:t>”“</w:t>
      </w:r>
      <w:r>
        <w:rPr>
          <w:rFonts w:hint="eastAsia" w:ascii="宋体" w:hAnsi="宋体"/>
          <w:color w:val="auto"/>
          <w:kern w:val="2"/>
          <w:sz w:val="24"/>
          <w:szCs w:val="24"/>
        </w:rPr>
        <w:t>无偏离</w:t>
      </w:r>
      <w:r>
        <w:rPr>
          <w:rFonts w:hint="eastAsia" w:ascii="宋体" w:hAnsi="宋体"/>
          <w:color w:val="auto"/>
          <w:kern w:val="2"/>
          <w:sz w:val="24"/>
          <w:szCs w:val="24"/>
          <w:lang w:eastAsia="zh-CN"/>
        </w:rPr>
        <w:t>”“</w:t>
      </w:r>
      <w:r>
        <w:rPr>
          <w:rFonts w:hint="eastAsia" w:ascii="宋体" w:hAnsi="宋体"/>
          <w:color w:val="auto"/>
          <w:kern w:val="2"/>
          <w:sz w:val="24"/>
          <w:szCs w:val="24"/>
        </w:rPr>
        <w:t>负偏离”进行填写。正偏离、无偏离的确认和负偏离的是否响应采购文件，由</w:t>
      </w:r>
      <w:r>
        <w:rPr>
          <w:rFonts w:hint="eastAsia" w:ascii="宋体" w:hAnsi="宋体"/>
          <w:color w:val="auto"/>
          <w:kern w:val="2"/>
          <w:sz w:val="24"/>
          <w:szCs w:val="24"/>
          <w:lang w:val="en-US" w:eastAsia="zh-CN"/>
        </w:rPr>
        <w:t>评审小组</w:t>
      </w:r>
      <w:r>
        <w:rPr>
          <w:rFonts w:hint="eastAsia" w:ascii="宋体" w:hAnsi="宋体"/>
          <w:color w:val="auto"/>
          <w:kern w:val="2"/>
          <w:sz w:val="24"/>
          <w:szCs w:val="24"/>
        </w:rPr>
        <w:t>认定。</w:t>
      </w:r>
    </w:p>
    <w:p w14:paraId="012997F0">
      <w:pPr>
        <w:shd w:val="clear"/>
        <w:snapToGrid w:val="0"/>
        <w:spacing w:line="300" w:lineRule="auto"/>
        <w:ind w:firstLine="480" w:firstLineChars="200"/>
        <w:contextualSpacing/>
        <w:rPr>
          <w:rFonts w:hint="eastAsia" w:ascii="宋体" w:hAnsi="宋体"/>
          <w:color w:val="auto"/>
          <w:kern w:val="2"/>
          <w:sz w:val="24"/>
          <w:szCs w:val="24"/>
        </w:rPr>
      </w:pPr>
      <w:r>
        <w:rPr>
          <w:rFonts w:hint="eastAsia" w:ascii="宋体" w:hAnsi="宋体"/>
          <w:color w:val="auto"/>
          <w:kern w:val="2"/>
          <w:sz w:val="24"/>
          <w:szCs w:val="24"/>
        </w:rPr>
        <w:t>3.供应商如果虚假响应，将被暂停参加采购单位组织的任何采购活动。</w:t>
      </w:r>
    </w:p>
    <w:p w14:paraId="674B2527">
      <w:pPr>
        <w:shd w:val="clear"/>
        <w:snapToGrid w:val="0"/>
        <w:spacing w:line="300" w:lineRule="auto"/>
        <w:ind w:firstLine="480" w:firstLineChars="200"/>
        <w:contextualSpacing/>
        <w:rPr>
          <w:rFonts w:hint="eastAsia" w:ascii="宋体" w:hAnsi="宋体"/>
          <w:bCs/>
          <w:color w:val="auto"/>
          <w:kern w:val="2"/>
          <w:sz w:val="24"/>
          <w:szCs w:val="24"/>
        </w:rPr>
      </w:pPr>
      <w:r>
        <w:rPr>
          <w:rFonts w:hint="eastAsia" w:ascii="宋体" w:hAnsi="宋体"/>
          <w:bCs/>
          <w:color w:val="auto"/>
          <w:kern w:val="2"/>
          <w:sz w:val="24"/>
          <w:szCs w:val="24"/>
        </w:rPr>
        <w:t>4.供应商若提供其他增值服务，可以在表中自行据实填写。</w:t>
      </w:r>
    </w:p>
    <w:p w14:paraId="1C5B53EF">
      <w:pPr>
        <w:shd w:val="clear"/>
        <w:snapToGrid w:val="0"/>
        <w:spacing w:line="400" w:lineRule="exact"/>
        <w:ind w:firstLine="540" w:firstLineChars="192"/>
        <w:contextualSpacing/>
        <w:rPr>
          <w:rFonts w:hint="eastAsia" w:ascii="宋体" w:hAnsi="宋体" w:cs="宋体"/>
          <w:b/>
          <w:color w:val="auto"/>
          <w:sz w:val="28"/>
          <w:szCs w:val="28"/>
        </w:rPr>
      </w:pPr>
    </w:p>
    <w:p w14:paraId="21100CB3">
      <w:pPr>
        <w:shd w:val="clear"/>
        <w:snapToGrid w:val="0"/>
        <w:spacing w:line="400" w:lineRule="exact"/>
        <w:ind w:firstLine="540" w:firstLineChars="192"/>
        <w:contextualSpacing/>
        <w:rPr>
          <w:rFonts w:hint="eastAsia" w:ascii="宋体" w:hAnsi="宋体" w:cs="宋体"/>
          <w:b/>
          <w:color w:val="auto"/>
          <w:sz w:val="28"/>
          <w:szCs w:val="28"/>
        </w:rPr>
      </w:pPr>
    </w:p>
    <w:p w14:paraId="284E79E3">
      <w:pPr>
        <w:shd w:val="clear"/>
        <w:snapToGrid w:val="0"/>
        <w:spacing w:line="400" w:lineRule="exact"/>
        <w:ind w:firstLine="540" w:firstLineChars="192"/>
        <w:contextualSpacing/>
        <w:rPr>
          <w:rFonts w:hint="eastAsia" w:ascii="宋体" w:hAnsi="宋体" w:cs="宋体"/>
          <w:b/>
          <w:color w:val="auto"/>
          <w:sz w:val="28"/>
          <w:szCs w:val="28"/>
        </w:rPr>
      </w:pPr>
    </w:p>
    <w:p w14:paraId="38077A9E">
      <w:pPr>
        <w:shd w:val="clear"/>
        <w:snapToGrid w:val="0"/>
        <w:spacing w:line="360" w:lineRule="auto"/>
        <w:ind w:right="79"/>
        <w:jc w:val="right"/>
        <w:textAlignment w:val="baseline"/>
        <w:rPr>
          <w:rFonts w:hint="eastAsia" w:ascii="宋体" w:hAnsi="宋体" w:cs="宋体"/>
          <w:color w:val="auto"/>
          <w:kern w:val="2"/>
          <w:sz w:val="24"/>
          <w:szCs w:val="24"/>
        </w:rPr>
      </w:pPr>
      <w:r>
        <w:rPr>
          <w:rFonts w:hint="eastAsia" w:ascii="宋体" w:hAnsi="宋体" w:cs="宋体"/>
          <w:color w:val="auto"/>
          <w:kern w:val="2"/>
          <w:sz w:val="24"/>
          <w:szCs w:val="24"/>
        </w:rPr>
        <w:t>响应供应商：（</w:t>
      </w:r>
      <w:r>
        <w:rPr>
          <w:rFonts w:hint="eastAsia" w:ascii="宋体" w:hAnsi="宋体" w:cs="宋体"/>
          <w:color w:val="auto"/>
          <w:kern w:val="2"/>
          <w:sz w:val="24"/>
          <w:szCs w:val="24"/>
          <w:lang w:val="en-US" w:eastAsia="zh-CN"/>
        </w:rPr>
        <w:t>公章</w:t>
      </w:r>
      <w:r>
        <w:rPr>
          <w:rFonts w:hint="eastAsia" w:ascii="宋体" w:hAnsi="宋体" w:cs="宋体"/>
          <w:color w:val="auto"/>
          <w:kern w:val="2"/>
          <w:sz w:val="24"/>
          <w:szCs w:val="24"/>
        </w:rPr>
        <w:t>）</w:t>
      </w:r>
    </w:p>
    <w:p w14:paraId="36D0692B">
      <w:pPr>
        <w:shd w:val="clear"/>
        <w:tabs>
          <w:tab w:val="left" w:pos="5665"/>
          <w:tab w:val="right" w:pos="8360"/>
        </w:tabs>
        <w:snapToGrid w:val="0"/>
        <w:spacing w:line="360" w:lineRule="auto"/>
        <w:ind w:right="42"/>
        <w:jc w:val="right"/>
        <w:textAlignment w:val="baseline"/>
        <w:rPr>
          <w:rFonts w:hint="eastAsia" w:ascii="宋体" w:hAnsi="宋体" w:cs="宋体"/>
          <w:color w:val="auto"/>
          <w:kern w:val="2"/>
          <w:sz w:val="24"/>
          <w:szCs w:val="28"/>
          <w:u w:val="single"/>
        </w:rPr>
      </w:pPr>
      <w:r>
        <w:rPr>
          <w:rFonts w:hint="eastAsia" w:ascii="宋体" w:hAnsi="宋体" w:cs="宋体"/>
          <w:color w:val="auto"/>
          <w:kern w:val="2"/>
          <w:sz w:val="24"/>
          <w:szCs w:val="28"/>
        </w:rPr>
        <w:t>法定代表人或</w:t>
      </w:r>
      <w:r>
        <w:rPr>
          <w:rFonts w:hint="eastAsia" w:ascii="宋体" w:hAnsi="宋体" w:cs="仿宋_GB2312"/>
          <w:color w:val="auto"/>
          <w:kern w:val="2"/>
          <w:sz w:val="24"/>
          <w:szCs w:val="28"/>
        </w:rPr>
        <w:t>授权</w:t>
      </w:r>
      <w:r>
        <w:rPr>
          <w:rFonts w:hint="eastAsia" w:ascii="宋体" w:hAnsi="宋体" w:cs="仿宋_GB2312"/>
          <w:color w:val="auto"/>
          <w:kern w:val="2"/>
          <w:sz w:val="24"/>
          <w:szCs w:val="28"/>
          <w:lang w:val="en-US" w:eastAsia="zh-CN"/>
        </w:rPr>
        <w:t>委托</w:t>
      </w:r>
      <w:r>
        <w:rPr>
          <w:rFonts w:hint="eastAsia" w:ascii="宋体" w:hAnsi="宋体" w:cs="仿宋_GB2312"/>
          <w:color w:val="auto"/>
          <w:kern w:val="2"/>
          <w:sz w:val="24"/>
          <w:szCs w:val="28"/>
        </w:rPr>
        <w:t>人（签字或盖章）</w:t>
      </w:r>
      <w:r>
        <w:rPr>
          <w:rFonts w:hint="eastAsia" w:ascii="宋体" w:hAnsi="宋体" w:cs="宋体"/>
          <w:color w:val="auto"/>
          <w:kern w:val="2"/>
          <w:sz w:val="24"/>
          <w:szCs w:val="28"/>
        </w:rPr>
        <w:t>：</w:t>
      </w:r>
    </w:p>
    <w:p w14:paraId="434B01CD">
      <w:pPr>
        <w:shd w:val="clear"/>
        <w:snapToGrid w:val="0"/>
        <w:spacing w:line="520" w:lineRule="exact"/>
        <w:jc w:val="right"/>
        <w:rPr>
          <w:rFonts w:ascii="宋体" w:hAnsi="Times New Roman"/>
          <w:color w:val="auto"/>
          <w:kern w:val="2"/>
          <w:sz w:val="24"/>
          <w:szCs w:val="24"/>
        </w:rPr>
      </w:pPr>
      <w:r>
        <w:rPr>
          <w:rFonts w:hint="eastAsia" w:ascii="宋体" w:hAnsi="宋体" w:cs="宋体"/>
          <w:color w:val="auto"/>
          <w:kern w:val="2"/>
          <w:sz w:val="24"/>
          <w:szCs w:val="24"/>
        </w:rPr>
        <w:t xml:space="preserve">    日期：  年  月  日</w:t>
      </w:r>
    </w:p>
    <w:p w14:paraId="7B3DAAE8">
      <w:pPr>
        <w:keepNext w:val="0"/>
        <w:keepLines w:val="0"/>
        <w:pageBreakBefore w:val="0"/>
        <w:shd w:val="clear"/>
        <w:overflowPunct/>
        <w:autoSpaceDE w:val="0"/>
        <w:autoSpaceDN w:val="0"/>
        <w:bidi w:val="0"/>
        <w:adjustRightInd w:val="0"/>
        <w:snapToGrid w:val="0"/>
        <w:spacing w:line="360" w:lineRule="auto"/>
        <w:ind w:left="0" w:leftChars="0" w:firstLine="482" w:firstLineChars="200"/>
        <w:contextualSpacing/>
        <w:jc w:val="both"/>
        <w:rPr>
          <w:rFonts w:ascii="宋体" w:hAnsi="宋体" w:cs="宋体"/>
          <w:color w:val="auto"/>
          <w:kern w:val="0"/>
          <w:sz w:val="24"/>
          <w:szCs w:val="24"/>
        </w:rPr>
      </w:pPr>
      <w:r>
        <w:rPr>
          <w:rFonts w:hint="eastAsia" w:ascii="宋体" w:hAnsi="宋体" w:cs="宋体"/>
          <w:b/>
          <w:color w:val="auto"/>
          <w:kern w:val="0"/>
          <w:sz w:val="24"/>
          <w:szCs w:val="24"/>
        </w:rPr>
        <w:br w:type="page"/>
      </w:r>
    </w:p>
    <w:bookmarkEnd w:id="39"/>
    <w:p w14:paraId="32D450EA">
      <w:pPr>
        <w:pStyle w:val="32"/>
        <w:keepNext w:val="0"/>
        <w:keepLines w:val="0"/>
        <w:pageBreakBefore w:val="0"/>
        <w:shd w:val="clear"/>
        <w:overflowPunct/>
        <w:bidi w:val="0"/>
        <w:snapToGrid w:val="0"/>
        <w:spacing w:line="360" w:lineRule="auto"/>
        <w:ind w:left="0" w:leftChars="0" w:firstLine="643" w:firstLineChars="200"/>
        <w:jc w:val="center"/>
        <w:rPr>
          <w:rFonts w:hint="eastAsia" w:ascii="宋体" w:hAnsi="宋体" w:eastAsia="宋体" w:cs="Times New Roman"/>
          <w:b/>
          <w:color w:val="auto"/>
          <w:kern w:val="2"/>
          <w:sz w:val="32"/>
          <w:szCs w:val="32"/>
          <w:lang w:val="en-US" w:eastAsia="zh-CN" w:bidi="ar-SA"/>
        </w:rPr>
      </w:pPr>
      <w:r>
        <w:rPr>
          <w:rFonts w:hint="eastAsia" w:ascii="宋体" w:hAnsi="宋体" w:eastAsia="宋体" w:cs="Times New Roman"/>
          <w:b/>
          <w:color w:val="auto"/>
          <w:kern w:val="2"/>
          <w:sz w:val="32"/>
          <w:szCs w:val="32"/>
          <w:lang w:val="en-US" w:eastAsia="zh-CN" w:bidi="ar-SA"/>
        </w:rPr>
        <w:t>报价总表</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7158"/>
      </w:tblGrid>
      <w:tr w14:paraId="2EF5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02" w:type="pct"/>
            <w:tcBorders>
              <w:top w:val="single" w:color="auto" w:sz="4" w:space="0"/>
              <w:left w:val="single" w:color="auto" w:sz="4" w:space="0"/>
              <w:bottom w:val="single" w:color="auto" w:sz="4" w:space="0"/>
              <w:right w:val="single" w:color="auto" w:sz="4" w:space="0"/>
            </w:tcBorders>
            <w:vAlign w:val="center"/>
          </w:tcPr>
          <w:p w14:paraId="1630F8D4">
            <w:pPr>
              <w:keepNext w:val="0"/>
              <w:keepLines w:val="0"/>
              <w:pageBreakBefore w:val="0"/>
              <w:widowControl w:val="0"/>
              <w:shd w:val="clear"/>
              <w:kinsoku w:val="0"/>
              <w:wordWrap/>
              <w:overflowPunct/>
              <w:topLinePunct/>
              <w:autoSpaceDE/>
              <w:autoSpaceDN/>
              <w:bidi w:val="0"/>
              <w:adjustRightInd/>
              <w:snapToGrid w:val="0"/>
              <w:spacing w:line="240" w:lineRule="auto"/>
              <w:ind w:left="0" w:leftChars="0" w:firstLine="0" w:firstLineChars="0"/>
              <w:jc w:val="both"/>
              <w:textAlignment w:val="auto"/>
              <w:rPr>
                <w:color w:val="auto"/>
                <w:sz w:val="24"/>
                <w:szCs w:val="24"/>
              </w:rPr>
            </w:pPr>
            <w:r>
              <w:rPr>
                <w:rFonts w:hAnsi="宋体"/>
                <w:color w:val="auto"/>
                <w:sz w:val="24"/>
                <w:szCs w:val="24"/>
              </w:rPr>
              <w:t>项目名称</w:t>
            </w:r>
          </w:p>
        </w:tc>
        <w:tc>
          <w:tcPr>
            <w:tcW w:w="4197" w:type="pct"/>
            <w:tcBorders>
              <w:top w:val="single" w:color="auto" w:sz="4" w:space="0"/>
              <w:left w:val="single" w:color="auto" w:sz="4" w:space="0"/>
              <w:bottom w:val="single" w:color="auto" w:sz="4" w:space="0"/>
              <w:right w:val="single" w:color="auto" w:sz="4" w:space="0"/>
            </w:tcBorders>
            <w:vAlign w:val="center"/>
          </w:tcPr>
          <w:p w14:paraId="6FC68BFE">
            <w:pPr>
              <w:keepNext w:val="0"/>
              <w:keepLines w:val="0"/>
              <w:pageBreakBefore w:val="0"/>
              <w:widowControl w:val="0"/>
              <w:shd w:val="clear"/>
              <w:kinsoku w:val="0"/>
              <w:wordWrap/>
              <w:overflowPunct/>
              <w:topLinePunct/>
              <w:autoSpaceDE/>
              <w:autoSpaceDN/>
              <w:bidi w:val="0"/>
              <w:adjustRightInd/>
              <w:snapToGrid w:val="0"/>
              <w:spacing w:line="240" w:lineRule="auto"/>
              <w:ind w:left="0" w:leftChars="0" w:firstLine="0" w:firstLineChars="0"/>
              <w:jc w:val="center"/>
              <w:textAlignment w:val="auto"/>
              <w:rPr>
                <w:color w:val="auto"/>
                <w:sz w:val="24"/>
                <w:szCs w:val="24"/>
              </w:rPr>
            </w:pPr>
            <w:r>
              <w:rPr>
                <w:rFonts w:hint="eastAsia" w:hAnsi="宋体"/>
                <w:color w:val="auto"/>
                <w:sz w:val="24"/>
                <w:szCs w:val="24"/>
              </w:rPr>
              <w:t>江苏省南通第一中学体检服务采购项目</w:t>
            </w:r>
          </w:p>
        </w:tc>
      </w:tr>
      <w:tr w14:paraId="259D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02" w:type="pct"/>
            <w:tcBorders>
              <w:top w:val="single" w:color="auto" w:sz="4" w:space="0"/>
              <w:left w:val="single" w:color="auto" w:sz="4" w:space="0"/>
              <w:bottom w:val="single" w:color="auto" w:sz="4" w:space="0"/>
              <w:right w:val="single" w:color="auto" w:sz="4" w:space="0"/>
            </w:tcBorders>
            <w:vAlign w:val="center"/>
          </w:tcPr>
          <w:p w14:paraId="42E3B4C9">
            <w:pPr>
              <w:keepNext w:val="0"/>
              <w:keepLines w:val="0"/>
              <w:pageBreakBefore w:val="0"/>
              <w:widowControl w:val="0"/>
              <w:shd w:val="clear"/>
              <w:kinsoku w:val="0"/>
              <w:wordWrap/>
              <w:overflowPunct/>
              <w:topLinePunct/>
              <w:autoSpaceDE/>
              <w:autoSpaceDN/>
              <w:bidi w:val="0"/>
              <w:adjustRightInd/>
              <w:snapToGrid w:val="0"/>
              <w:spacing w:line="240" w:lineRule="auto"/>
              <w:ind w:left="0" w:leftChars="0" w:firstLine="0" w:firstLineChars="0"/>
              <w:jc w:val="both"/>
              <w:textAlignment w:val="auto"/>
              <w:rPr>
                <w:rFonts w:hint="default" w:hAnsi="宋体" w:eastAsia="宋体"/>
                <w:color w:val="auto"/>
                <w:sz w:val="24"/>
                <w:szCs w:val="24"/>
                <w:lang w:val="en-US" w:eastAsia="zh-CN"/>
              </w:rPr>
            </w:pPr>
            <w:r>
              <w:rPr>
                <w:rFonts w:hint="eastAsia" w:hAnsi="宋体"/>
                <w:color w:val="auto"/>
                <w:sz w:val="24"/>
                <w:szCs w:val="24"/>
                <w:lang w:val="en-US" w:eastAsia="zh-CN"/>
              </w:rPr>
              <w:t>项目编号</w:t>
            </w:r>
          </w:p>
        </w:tc>
        <w:tc>
          <w:tcPr>
            <w:tcW w:w="4197" w:type="pct"/>
            <w:tcBorders>
              <w:top w:val="single" w:color="auto" w:sz="4" w:space="0"/>
              <w:left w:val="single" w:color="auto" w:sz="4" w:space="0"/>
              <w:bottom w:val="single" w:color="auto" w:sz="4" w:space="0"/>
              <w:right w:val="single" w:color="auto" w:sz="4" w:space="0"/>
            </w:tcBorders>
            <w:vAlign w:val="center"/>
          </w:tcPr>
          <w:p w14:paraId="5D18E9F3">
            <w:pPr>
              <w:keepNext w:val="0"/>
              <w:keepLines w:val="0"/>
              <w:pageBreakBefore w:val="0"/>
              <w:widowControl w:val="0"/>
              <w:shd w:val="clear"/>
              <w:kinsoku w:val="0"/>
              <w:wordWrap/>
              <w:overflowPunct/>
              <w:topLinePunct/>
              <w:autoSpaceDE/>
              <w:autoSpaceDN/>
              <w:bidi w:val="0"/>
              <w:adjustRightInd/>
              <w:snapToGrid w:val="0"/>
              <w:spacing w:line="240" w:lineRule="auto"/>
              <w:ind w:left="0" w:leftChars="0" w:firstLine="0" w:firstLineChars="0"/>
              <w:jc w:val="center"/>
              <w:textAlignment w:val="auto"/>
              <w:rPr>
                <w:rFonts w:hint="default" w:hAnsi="宋体" w:eastAsia="宋体"/>
                <w:color w:val="auto"/>
                <w:sz w:val="24"/>
                <w:szCs w:val="24"/>
                <w:lang w:val="en-US" w:eastAsia="zh-CN"/>
              </w:rPr>
            </w:pPr>
          </w:p>
        </w:tc>
      </w:tr>
      <w:tr w14:paraId="31F0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802" w:type="pct"/>
            <w:tcBorders>
              <w:top w:val="single" w:color="auto" w:sz="4" w:space="0"/>
              <w:left w:val="single" w:color="auto" w:sz="4" w:space="0"/>
              <w:bottom w:val="single" w:color="auto" w:sz="4" w:space="0"/>
              <w:right w:val="single" w:color="auto" w:sz="4" w:space="0"/>
            </w:tcBorders>
            <w:vAlign w:val="center"/>
          </w:tcPr>
          <w:p w14:paraId="1CEA3484">
            <w:pPr>
              <w:keepNext w:val="0"/>
              <w:keepLines w:val="0"/>
              <w:pageBreakBefore w:val="0"/>
              <w:widowControl w:val="0"/>
              <w:shd w:val="clear"/>
              <w:kinsoku w:val="0"/>
              <w:wordWrap/>
              <w:overflowPunct/>
              <w:topLinePunct/>
              <w:autoSpaceDE/>
              <w:autoSpaceDN/>
              <w:bidi w:val="0"/>
              <w:adjustRightInd/>
              <w:snapToGrid w:val="0"/>
              <w:spacing w:line="240" w:lineRule="auto"/>
              <w:ind w:left="0" w:leftChars="0" w:firstLine="0" w:firstLineChars="0"/>
              <w:jc w:val="both"/>
              <w:textAlignment w:val="auto"/>
              <w:rPr>
                <w:color w:val="auto"/>
                <w:sz w:val="24"/>
                <w:szCs w:val="24"/>
              </w:rPr>
            </w:pPr>
            <w:r>
              <w:rPr>
                <w:rFonts w:hint="eastAsia" w:hAnsi="宋体"/>
                <w:color w:val="auto"/>
                <w:sz w:val="24"/>
                <w:szCs w:val="24"/>
              </w:rPr>
              <w:t>响应</w:t>
            </w:r>
            <w:r>
              <w:rPr>
                <w:rFonts w:hAnsi="宋体"/>
                <w:color w:val="auto"/>
                <w:sz w:val="24"/>
                <w:szCs w:val="24"/>
              </w:rPr>
              <w:t>报价</w:t>
            </w:r>
          </w:p>
        </w:tc>
        <w:tc>
          <w:tcPr>
            <w:tcW w:w="4197" w:type="pct"/>
            <w:tcBorders>
              <w:top w:val="single" w:color="auto" w:sz="4" w:space="0"/>
              <w:left w:val="single" w:color="auto" w:sz="4" w:space="0"/>
              <w:bottom w:val="single" w:color="auto" w:sz="4" w:space="0"/>
              <w:right w:val="single" w:color="auto" w:sz="4" w:space="0"/>
            </w:tcBorders>
            <w:vAlign w:val="center"/>
          </w:tcPr>
          <w:p w14:paraId="5FED71A3">
            <w:pPr>
              <w:shd w:val="clear"/>
              <w:snapToGrid w:val="0"/>
              <w:spacing w:line="460" w:lineRule="exact"/>
              <w:rPr>
                <w:rFonts w:cs="宋体"/>
                <w:color w:val="auto"/>
                <w:sz w:val="24"/>
                <w:szCs w:val="24"/>
              </w:rPr>
            </w:pPr>
            <w:r>
              <w:rPr>
                <w:rFonts w:hint="eastAsia" w:cs="宋体"/>
                <w:color w:val="auto"/>
                <w:sz w:val="24"/>
                <w:szCs w:val="24"/>
              </w:rPr>
              <w:t>常规体检（含第二学期视力）</w:t>
            </w:r>
            <w:r>
              <w:rPr>
                <w:rFonts w:hint="eastAsia" w:cs="宋体"/>
                <w:color w:val="auto"/>
                <w:sz w:val="24"/>
                <w:szCs w:val="24"/>
                <w:lang w:eastAsia="zh-CN"/>
              </w:rPr>
              <w:t>：</w:t>
            </w:r>
            <w:r>
              <w:rPr>
                <w:rFonts w:hint="eastAsia" w:cs="宋体"/>
                <w:color w:val="auto"/>
                <w:sz w:val="24"/>
                <w:szCs w:val="24"/>
                <w:lang w:val="en-US" w:eastAsia="zh-CN"/>
              </w:rPr>
              <w:t>小写</w:t>
            </w:r>
            <w:r>
              <w:rPr>
                <w:rFonts w:hint="eastAsia"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cs="宋体"/>
                <w:color w:val="auto"/>
                <w:sz w:val="24"/>
                <w:szCs w:val="24"/>
                <w:u w:val="single"/>
              </w:rPr>
              <w:t xml:space="preserve">   </w:t>
            </w:r>
            <w:r>
              <w:rPr>
                <w:rFonts w:hint="eastAsia" w:cs="宋体"/>
                <w:color w:val="auto"/>
                <w:sz w:val="24"/>
                <w:szCs w:val="24"/>
              </w:rPr>
              <w:t>元/人；</w:t>
            </w:r>
          </w:p>
          <w:p w14:paraId="6C15B37E">
            <w:pPr>
              <w:shd w:val="clear"/>
              <w:snapToGrid w:val="0"/>
              <w:spacing w:line="460" w:lineRule="exact"/>
              <w:rPr>
                <w:rFonts w:hint="eastAsia" w:ascii="宋体" w:hAnsi="宋体" w:eastAsia="宋体" w:cs="宋体"/>
                <w:color w:val="auto"/>
                <w:kern w:val="0"/>
                <w:sz w:val="24"/>
                <w:szCs w:val="24"/>
                <w:lang w:val="en-US" w:eastAsia="zh-CN" w:bidi="ar"/>
              </w:rPr>
            </w:pPr>
            <w:r>
              <w:rPr>
                <w:rFonts w:hint="eastAsia" w:cs="宋体"/>
                <w:color w:val="auto"/>
                <w:sz w:val="24"/>
                <w:szCs w:val="24"/>
              </w:rPr>
              <w:t>EC皮试</w:t>
            </w:r>
            <w:r>
              <w:rPr>
                <w:rFonts w:hint="eastAsia" w:cs="宋体"/>
                <w:color w:val="auto"/>
                <w:sz w:val="24"/>
                <w:szCs w:val="24"/>
                <w:lang w:eastAsia="zh-CN"/>
              </w:rPr>
              <w:t>：</w:t>
            </w:r>
            <w:r>
              <w:rPr>
                <w:rFonts w:hint="eastAsia" w:cs="宋体"/>
                <w:color w:val="auto"/>
                <w:sz w:val="24"/>
                <w:szCs w:val="24"/>
                <w:lang w:val="en-US" w:eastAsia="zh-CN"/>
              </w:rPr>
              <w:t>小写</w:t>
            </w:r>
            <w:r>
              <w:rPr>
                <w:rFonts w:hint="eastAsia"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cs="宋体"/>
                <w:color w:val="auto"/>
                <w:sz w:val="24"/>
                <w:szCs w:val="24"/>
                <w:u w:val="single"/>
              </w:rPr>
              <w:t xml:space="preserve">   </w:t>
            </w:r>
            <w:r>
              <w:rPr>
                <w:rFonts w:hint="eastAsia" w:cs="宋体"/>
                <w:color w:val="auto"/>
                <w:sz w:val="24"/>
                <w:szCs w:val="24"/>
              </w:rPr>
              <w:t>元/</w:t>
            </w:r>
            <w:r>
              <w:rPr>
                <w:rFonts w:hint="eastAsia" w:cs="宋体"/>
                <w:color w:val="auto"/>
                <w:sz w:val="24"/>
                <w:szCs w:val="24"/>
                <w:lang w:eastAsia="zh-CN"/>
              </w:rPr>
              <w:t>人。</w:t>
            </w:r>
          </w:p>
        </w:tc>
      </w:tr>
      <w:tr w14:paraId="358C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581FB3AF">
            <w:pPr>
              <w:shd w:val="clear"/>
              <w:snapToGrid w:val="0"/>
              <w:spacing w:line="480" w:lineRule="exact"/>
              <w:jc w:val="center"/>
              <w:textAlignment w:val="baseline"/>
              <w:rPr>
                <w:rFonts w:hint="eastAsia" w:hAnsi="宋体"/>
                <w:color w:val="auto"/>
                <w:sz w:val="24"/>
                <w:szCs w:val="24"/>
              </w:rPr>
            </w:pPr>
            <w:r>
              <w:rPr>
                <w:rFonts w:hint="eastAsia" w:ascii="宋体" w:hAnsi="宋体" w:cs="宋体"/>
                <w:color w:val="auto"/>
                <w:kern w:val="2"/>
                <w:sz w:val="24"/>
                <w:szCs w:val="24"/>
              </w:rPr>
              <w:t>付款条件</w:t>
            </w:r>
          </w:p>
        </w:tc>
        <w:tc>
          <w:tcPr>
            <w:tcW w:w="7158" w:type="dxa"/>
            <w:tcBorders>
              <w:top w:val="single" w:color="auto" w:sz="4" w:space="0"/>
              <w:left w:val="single" w:color="auto" w:sz="4" w:space="0"/>
              <w:bottom w:val="single" w:color="auto" w:sz="4" w:space="0"/>
              <w:right w:val="single" w:color="auto" w:sz="4" w:space="0"/>
            </w:tcBorders>
            <w:vAlign w:val="center"/>
          </w:tcPr>
          <w:p w14:paraId="5322346F">
            <w:pPr>
              <w:shd w:val="clear"/>
              <w:snapToGrid w:val="0"/>
              <w:spacing w:line="480" w:lineRule="exact"/>
              <w:jc w:val="center"/>
              <w:textAlignment w:val="baseline"/>
              <w:rPr>
                <w:rFonts w:hint="eastAsia" w:ascii="宋体" w:hAnsi="宋体" w:eastAsia="宋体" w:cs="宋体"/>
                <w:color w:val="auto"/>
                <w:kern w:val="0"/>
                <w:sz w:val="24"/>
                <w:szCs w:val="24"/>
                <w:lang w:val="en-US" w:eastAsia="zh-CN" w:bidi="ar"/>
              </w:rPr>
            </w:pPr>
            <w:r>
              <w:rPr>
                <w:rFonts w:hint="eastAsia" w:ascii="宋体" w:hAnsi="宋体" w:cs="宋体"/>
                <w:color w:val="auto"/>
                <w:kern w:val="2"/>
                <w:sz w:val="24"/>
                <w:szCs w:val="24"/>
              </w:rPr>
              <w:t>完全接受并响应本项目</w:t>
            </w:r>
            <w:r>
              <w:rPr>
                <w:rFonts w:hint="eastAsia" w:ascii="宋体" w:hAnsi="宋体" w:cs="宋体"/>
                <w:color w:val="auto"/>
                <w:kern w:val="2"/>
                <w:sz w:val="24"/>
                <w:szCs w:val="24"/>
                <w:lang w:val="en-US" w:eastAsia="zh-CN"/>
              </w:rPr>
              <w:t>比选</w:t>
            </w:r>
            <w:r>
              <w:rPr>
                <w:rFonts w:hint="eastAsia" w:ascii="宋体" w:hAnsi="宋体" w:cs="宋体"/>
                <w:color w:val="auto"/>
                <w:kern w:val="2"/>
                <w:sz w:val="24"/>
                <w:szCs w:val="24"/>
              </w:rPr>
              <w:t>文件的要求。</w:t>
            </w:r>
          </w:p>
        </w:tc>
      </w:tr>
    </w:tbl>
    <w:p w14:paraId="42B51B6C">
      <w:pPr>
        <w:keepNext w:val="0"/>
        <w:keepLines w:val="0"/>
        <w:pageBreakBefore w:val="0"/>
        <w:shd w:val="clear"/>
        <w:overflowPunct/>
        <w:bidi w:val="0"/>
        <w:spacing w:line="360" w:lineRule="auto"/>
        <w:ind w:left="0" w:leftChars="0" w:firstLine="480" w:firstLineChars="200"/>
        <w:jc w:val="both"/>
        <w:rPr>
          <w:rFonts w:ascii="宋体" w:hAnsi="宋体"/>
          <w:color w:val="auto"/>
          <w:sz w:val="24"/>
        </w:rPr>
      </w:pPr>
    </w:p>
    <w:p w14:paraId="66A98969">
      <w:pPr>
        <w:keepNext w:val="0"/>
        <w:keepLines w:val="0"/>
        <w:pageBreakBefore w:val="0"/>
        <w:shd w:val="clear"/>
        <w:overflowPunct/>
        <w:bidi w:val="0"/>
        <w:spacing w:line="360" w:lineRule="auto"/>
        <w:ind w:left="0" w:leftChars="0" w:firstLine="480" w:firstLineChars="200"/>
        <w:jc w:val="both"/>
        <w:rPr>
          <w:rFonts w:ascii="宋体" w:hAnsi="宋体"/>
          <w:color w:val="auto"/>
          <w:sz w:val="24"/>
        </w:rPr>
      </w:pPr>
      <w:r>
        <w:rPr>
          <w:rFonts w:hint="eastAsia" w:ascii="宋体" w:hAnsi="宋体"/>
          <w:color w:val="auto"/>
          <w:sz w:val="24"/>
        </w:rPr>
        <w:t>响应</w:t>
      </w:r>
      <w:r>
        <w:rPr>
          <w:rFonts w:ascii="宋体" w:hAnsi="宋体"/>
          <w:color w:val="auto"/>
          <w:sz w:val="24"/>
        </w:rPr>
        <w:t xml:space="preserve">供应商：（盖章）             </w:t>
      </w:r>
    </w:p>
    <w:p w14:paraId="110967F4">
      <w:pPr>
        <w:keepNext w:val="0"/>
        <w:keepLines w:val="0"/>
        <w:pageBreakBefore w:val="0"/>
        <w:shd w:val="clear"/>
        <w:overflowPunct/>
        <w:bidi w:val="0"/>
        <w:spacing w:line="360" w:lineRule="auto"/>
        <w:ind w:left="0" w:leftChars="0" w:firstLine="480" w:firstLineChars="200"/>
        <w:jc w:val="both"/>
        <w:rPr>
          <w:rFonts w:ascii="宋体" w:hAnsi="宋体"/>
          <w:color w:val="auto"/>
          <w:sz w:val="24"/>
        </w:rPr>
      </w:pPr>
      <w:r>
        <w:rPr>
          <w:rFonts w:ascii="宋体" w:hAnsi="宋体"/>
          <w:color w:val="auto"/>
          <w:sz w:val="24"/>
        </w:rPr>
        <w:t>法定代表人或被授权人（签字或盖章）：</w:t>
      </w:r>
    </w:p>
    <w:p w14:paraId="30E5A7D9">
      <w:pPr>
        <w:keepNext w:val="0"/>
        <w:keepLines w:val="0"/>
        <w:pageBreakBefore w:val="0"/>
        <w:shd w:val="clear"/>
        <w:overflowPunct/>
        <w:bidi w:val="0"/>
        <w:spacing w:line="360" w:lineRule="auto"/>
        <w:ind w:left="0" w:leftChars="0" w:firstLine="480" w:firstLineChars="200"/>
        <w:jc w:val="both"/>
        <w:rPr>
          <w:rFonts w:ascii="宋体" w:hAnsi="宋体"/>
          <w:color w:val="auto"/>
          <w:sz w:val="24"/>
        </w:rPr>
      </w:pPr>
      <w:r>
        <w:rPr>
          <w:rFonts w:ascii="宋体" w:hAnsi="宋体"/>
          <w:color w:val="auto"/>
          <w:sz w:val="24"/>
        </w:rPr>
        <w:t>日期：</w:t>
      </w:r>
    </w:p>
    <w:p w14:paraId="7565101D">
      <w:pPr>
        <w:keepNext w:val="0"/>
        <w:keepLines w:val="0"/>
        <w:pageBreakBefore w:val="0"/>
        <w:shd w:val="clear"/>
        <w:overflowPunct/>
        <w:bidi w:val="0"/>
        <w:spacing w:line="360" w:lineRule="auto"/>
        <w:ind w:left="0" w:leftChars="0" w:firstLine="482" w:firstLineChars="200"/>
        <w:jc w:val="both"/>
        <w:rPr>
          <w:rFonts w:ascii="宋体" w:hAnsi="宋体"/>
          <w:b/>
          <w:bCs/>
          <w:color w:val="auto"/>
          <w:sz w:val="24"/>
        </w:rPr>
      </w:pPr>
    </w:p>
    <w:p w14:paraId="41281209">
      <w:pPr>
        <w:keepNext w:val="0"/>
        <w:keepLines w:val="0"/>
        <w:pageBreakBefore w:val="0"/>
        <w:shd w:val="clear"/>
        <w:overflowPunct/>
        <w:bidi w:val="0"/>
        <w:spacing w:line="360" w:lineRule="auto"/>
        <w:ind w:left="0" w:leftChars="0" w:firstLine="482" w:firstLineChars="200"/>
        <w:jc w:val="both"/>
        <w:rPr>
          <w:rFonts w:ascii="宋体" w:hAnsi="宋体"/>
          <w:bCs/>
          <w:color w:val="auto"/>
          <w:sz w:val="24"/>
        </w:rPr>
      </w:pPr>
      <w:r>
        <w:rPr>
          <w:rFonts w:ascii="宋体" w:hAnsi="宋体"/>
          <w:b/>
          <w:bCs/>
          <w:color w:val="auto"/>
          <w:sz w:val="24"/>
        </w:rPr>
        <w:t>注：</w:t>
      </w:r>
    </w:p>
    <w:p w14:paraId="353DD56B">
      <w:pPr>
        <w:keepNext w:val="0"/>
        <w:keepLines w:val="0"/>
        <w:pageBreakBefore w:val="0"/>
        <w:shd w:val="clear"/>
        <w:overflowPunct/>
        <w:bidi w:val="0"/>
        <w:spacing w:line="360" w:lineRule="auto"/>
        <w:ind w:left="0" w:leftChars="0" w:firstLine="480" w:firstLineChars="200"/>
        <w:jc w:val="both"/>
        <w:rPr>
          <w:rFonts w:ascii="宋体" w:hAnsi="宋体"/>
          <w:color w:val="auto"/>
          <w:sz w:val="24"/>
        </w:rPr>
      </w:pPr>
      <w:r>
        <w:rPr>
          <w:rFonts w:ascii="宋体" w:hAnsi="宋体"/>
          <w:color w:val="auto"/>
          <w:sz w:val="24"/>
        </w:rPr>
        <w:t>（1）</w:t>
      </w:r>
      <w:r>
        <w:rPr>
          <w:rFonts w:hint="eastAsia" w:ascii="宋体" w:hAnsi="宋体"/>
          <w:color w:val="auto"/>
          <w:sz w:val="24"/>
        </w:rPr>
        <w:t>本表为格式表，不得自行改动，必须提供。</w:t>
      </w:r>
    </w:p>
    <w:p w14:paraId="7529CB3C">
      <w:pPr>
        <w:keepNext w:val="0"/>
        <w:keepLines w:val="0"/>
        <w:pageBreakBefore w:val="0"/>
        <w:shd w:val="clear"/>
        <w:overflowPunct/>
        <w:bidi w:val="0"/>
        <w:spacing w:line="360" w:lineRule="auto"/>
        <w:ind w:left="0" w:leftChars="0" w:firstLine="480" w:firstLineChars="200"/>
        <w:jc w:val="both"/>
        <w:rPr>
          <w:rFonts w:hint="eastAsia" w:ascii="宋体" w:hAnsi="宋体"/>
          <w:color w:val="auto"/>
          <w:sz w:val="24"/>
          <w:lang w:val="en-US" w:eastAsia="zh-CN"/>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w:t>
      </w:r>
      <w:r>
        <w:rPr>
          <w:rFonts w:hint="eastAsia" w:ascii="宋体" w:hAnsi="宋体"/>
          <w:color w:val="auto"/>
          <w:sz w:val="24"/>
          <w:lang w:val="en-US" w:eastAsia="zh-CN"/>
        </w:rPr>
        <w:t>响应报价金额最多保留两位小数。</w:t>
      </w:r>
    </w:p>
    <w:p w14:paraId="3023EDD8">
      <w:pPr>
        <w:keepNext w:val="0"/>
        <w:keepLines w:val="0"/>
        <w:pageBreakBefore w:val="0"/>
        <w:shd w:val="clear"/>
        <w:overflowPunct/>
        <w:bidi w:val="0"/>
        <w:spacing w:line="360" w:lineRule="auto"/>
        <w:ind w:left="0" w:leftChars="0" w:firstLine="480" w:firstLineChars="200"/>
        <w:jc w:val="both"/>
        <w:rPr>
          <w:rFonts w:hint="default" w:ascii="宋体" w:hAnsi="宋体"/>
          <w:color w:val="auto"/>
          <w:sz w:val="24"/>
          <w:lang w:val="en-US" w:eastAsia="zh-CN"/>
        </w:rPr>
      </w:pPr>
      <w:r>
        <w:rPr>
          <w:rFonts w:hint="eastAsia" w:ascii="宋体" w:hAnsi="宋体"/>
          <w:color w:val="auto"/>
          <w:sz w:val="24"/>
          <w:lang w:val="en-US" w:eastAsia="zh-CN"/>
        </w:rPr>
        <w:t>（3）常规体检（含第二学期视力）单价最高限价22元/人，EC皮试单价最高限价25元/人（高一新生第一学期测一次），超过最高限价作无效响应处理。</w:t>
      </w:r>
    </w:p>
    <w:p w14:paraId="043DC1DB">
      <w:pPr>
        <w:keepNext w:val="0"/>
        <w:keepLines w:val="0"/>
        <w:pageBreakBefore w:val="0"/>
        <w:shd w:val="clear"/>
        <w:overflowPunct/>
        <w:bidi w:val="0"/>
        <w:spacing w:line="360" w:lineRule="auto"/>
        <w:ind w:left="0" w:leftChars="0" w:firstLine="480" w:firstLineChars="200"/>
        <w:jc w:val="both"/>
        <w:rPr>
          <w:color w:val="auto"/>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ascii="宋体" w:hAnsi="宋体"/>
          <w:color w:val="auto"/>
          <w:sz w:val="24"/>
          <w:highlight w:val="none"/>
        </w:rPr>
        <w:t>本表报价（以人民币计价）</w:t>
      </w:r>
      <w:r>
        <w:rPr>
          <w:rFonts w:hint="eastAsia" w:ascii="宋体" w:hAnsi="宋体"/>
          <w:bCs/>
          <w:color w:val="auto"/>
          <w:sz w:val="24"/>
          <w:szCs w:val="24"/>
          <w:highlight w:val="none"/>
        </w:rPr>
        <w:t>包含但不限于完成该项工作所需的人工工资、劳动保险、公积金、设备、各种税费、维护费、利润、税金、政策性文件规定及合同包含的所有风险、责任等各项应有费用。</w:t>
      </w:r>
    </w:p>
    <w:sectPr>
      <w:footerReference r:id="rId6" w:type="first"/>
      <w:headerReference r:id="rId4" w:type="default"/>
      <w:footerReference r:id="rId5" w:type="default"/>
      <w:pgSz w:w="11905" w:h="16838"/>
      <w:pgMar w:top="1440" w:right="1797" w:bottom="1440" w:left="1797" w:header="850"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panose1 w:val="02020400000000000000"/>
    <w:charset w:val="86"/>
    <w:family w:val="roman"/>
    <w:pitch w:val="default"/>
    <w:sig w:usb0="00000001"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A000">
    <w:pPr>
      <w:pStyle w:val="14"/>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B2DEC">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F73206">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59264;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96t87SAAAAAwEAAA8AAAAAAAAAAQAgAAAAIgAAAGRycy9kb3ducmV2LnhtbFBLAQIU&#10;ABQAAAAIAIdO4kA0iRrsMgIAAGMEAAAOAAAAAAAAAAEAIAAAACEBAABkcnMvZTJvRG9jLnhtbFBL&#10;BQYAAAAABgAGAFkBAADFBQAAAAA=&#10;">
              <v:fill on="f" focussize="0,0"/>
              <v:stroke on="f" weight="0.5pt"/>
              <v:imagedata o:title=""/>
              <o:lock v:ext="edit" aspectratio="f"/>
              <v:textbox inset="0mm,0mm,0mm,0mm" style="mso-fit-shape-to-text:t;">
                <w:txbxContent>
                  <w:p w14:paraId="17F73206">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2E7D6">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C2D4CE">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60288;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96t87SAAAAAwEAAA8AAAAAAAAAAQAgAAAAIgAAAGRycy9kb3ducmV2LnhtbFBLAQIU&#10;ABQAAAAIAIdO4kBr5OO8MgIAAGMEAAAOAAAAAAAAAAEAIAAAACEBAABkcnMvZTJvRG9jLnhtbFBL&#10;BQYAAAAABgAGAFkBAADFBQAAAAA=&#10;">
              <v:fill on="f" focussize="0,0"/>
              <v:stroke on="f" weight="0.5pt"/>
              <v:imagedata o:title=""/>
              <o:lock v:ext="edit" aspectratio="f"/>
              <v:textbox inset="0mm,0mm,0mm,0mm" style="mso-fit-shape-to-text:t;">
                <w:txbxContent>
                  <w:p w14:paraId="6BC2D4CE">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8D8F5">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D982E"/>
    <w:multiLevelType w:val="singleLevel"/>
    <w:tmpl w:val="05ED982E"/>
    <w:lvl w:ilvl="0" w:tentative="0">
      <w:start w:val="2"/>
      <w:numFmt w:val="chineseCounting"/>
      <w:suff w:val="nothing"/>
      <w:lvlText w:val="（%1）"/>
      <w:lvlJc w:val="left"/>
      <w:rPr>
        <w:rFonts w:hint="eastAsia"/>
      </w:rPr>
    </w:lvl>
  </w:abstractNum>
  <w:abstractNum w:abstractNumId="1">
    <w:nsid w:val="278140A4"/>
    <w:multiLevelType w:val="multilevel"/>
    <w:tmpl w:val="278140A4"/>
    <w:lvl w:ilvl="0" w:tentative="0">
      <w:start w:val="1"/>
      <w:numFmt w:val="chineseCountingThousand"/>
      <w:pStyle w:val="2"/>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2EE40667"/>
    <w:multiLevelType w:val="singleLevel"/>
    <w:tmpl w:val="2EE40667"/>
    <w:lvl w:ilvl="0" w:tentative="0">
      <w:start w:val="9"/>
      <w:numFmt w:val="chineseCounting"/>
      <w:suff w:val="nothing"/>
      <w:lvlText w:val="%1、"/>
      <w:lvlJc w:val="left"/>
      <w:rPr>
        <w:rFonts w:hint="eastAsia"/>
      </w:rPr>
    </w:lvl>
  </w:abstractNum>
  <w:abstractNum w:abstractNumId="3">
    <w:nsid w:val="68664077"/>
    <w:multiLevelType w:val="singleLevel"/>
    <w:tmpl w:val="68664077"/>
    <w:lvl w:ilvl="0" w:tentative="0">
      <w:start w:val="1"/>
      <w:numFmt w:val="chineseCounting"/>
      <w:suff w:val="space"/>
      <w:lvlText w:val="第%1章"/>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4YjRkNGZkZjQyZjA0MjFjMmQwZjBkNjgxYTFiZmEifQ=="/>
  </w:docVars>
  <w:rsids>
    <w:rsidRoot w:val="ADEF3320"/>
    <w:rsid w:val="00033A70"/>
    <w:rsid w:val="000432F6"/>
    <w:rsid w:val="00047B12"/>
    <w:rsid w:val="00073D9F"/>
    <w:rsid w:val="0008198D"/>
    <w:rsid w:val="000B41E9"/>
    <w:rsid w:val="000B45A1"/>
    <w:rsid w:val="000B7159"/>
    <w:rsid w:val="001A30CF"/>
    <w:rsid w:val="001B5E38"/>
    <w:rsid w:val="001C6808"/>
    <w:rsid w:val="001D6B76"/>
    <w:rsid w:val="002135E6"/>
    <w:rsid w:val="00223AC0"/>
    <w:rsid w:val="00223FC1"/>
    <w:rsid w:val="00257951"/>
    <w:rsid w:val="0028047D"/>
    <w:rsid w:val="002838E6"/>
    <w:rsid w:val="00292A7D"/>
    <w:rsid w:val="002978CE"/>
    <w:rsid w:val="002B3C69"/>
    <w:rsid w:val="002F446B"/>
    <w:rsid w:val="00316EC7"/>
    <w:rsid w:val="00333E81"/>
    <w:rsid w:val="0034284C"/>
    <w:rsid w:val="00344E53"/>
    <w:rsid w:val="0037053B"/>
    <w:rsid w:val="00375622"/>
    <w:rsid w:val="00386176"/>
    <w:rsid w:val="0039478D"/>
    <w:rsid w:val="004022C2"/>
    <w:rsid w:val="00427BA5"/>
    <w:rsid w:val="00461AE8"/>
    <w:rsid w:val="00472D8B"/>
    <w:rsid w:val="004A0749"/>
    <w:rsid w:val="00535167"/>
    <w:rsid w:val="005540AD"/>
    <w:rsid w:val="0057759B"/>
    <w:rsid w:val="005A35FE"/>
    <w:rsid w:val="005A453B"/>
    <w:rsid w:val="005B494D"/>
    <w:rsid w:val="005D4A3F"/>
    <w:rsid w:val="00650DEC"/>
    <w:rsid w:val="00665DF7"/>
    <w:rsid w:val="006A12BB"/>
    <w:rsid w:val="006A236A"/>
    <w:rsid w:val="006C48CD"/>
    <w:rsid w:val="00700905"/>
    <w:rsid w:val="00704A45"/>
    <w:rsid w:val="00712F26"/>
    <w:rsid w:val="00717A3B"/>
    <w:rsid w:val="0073131E"/>
    <w:rsid w:val="007801EF"/>
    <w:rsid w:val="007A0B66"/>
    <w:rsid w:val="007C2350"/>
    <w:rsid w:val="007D6DBC"/>
    <w:rsid w:val="007E15E3"/>
    <w:rsid w:val="00801F2C"/>
    <w:rsid w:val="00830C81"/>
    <w:rsid w:val="00891833"/>
    <w:rsid w:val="008A7839"/>
    <w:rsid w:val="008B0E0E"/>
    <w:rsid w:val="008B18E8"/>
    <w:rsid w:val="008C4A07"/>
    <w:rsid w:val="008C7432"/>
    <w:rsid w:val="008E5D4B"/>
    <w:rsid w:val="008F2CD8"/>
    <w:rsid w:val="00903506"/>
    <w:rsid w:val="00952352"/>
    <w:rsid w:val="009702B5"/>
    <w:rsid w:val="00972AEE"/>
    <w:rsid w:val="00992FF1"/>
    <w:rsid w:val="009C4E67"/>
    <w:rsid w:val="00A3685E"/>
    <w:rsid w:val="00A44928"/>
    <w:rsid w:val="00A50C93"/>
    <w:rsid w:val="00AD32E6"/>
    <w:rsid w:val="00AE2580"/>
    <w:rsid w:val="00B264CD"/>
    <w:rsid w:val="00B416D3"/>
    <w:rsid w:val="00B50FBE"/>
    <w:rsid w:val="00B57F5D"/>
    <w:rsid w:val="00BC5D8B"/>
    <w:rsid w:val="00BE512F"/>
    <w:rsid w:val="00BE67E6"/>
    <w:rsid w:val="00CB0971"/>
    <w:rsid w:val="00CE24E5"/>
    <w:rsid w:val="00CF19BA"/>
    <w:rsid w:val="00D00C9F"/>
    <w:rsid w:val="00D920FF"/>
    <w:rsid w:val="00DF1BB4"/>
    <w:rsid w:val="00E36634"/>
    <w:rsid w:val="00E61EDE"/>
    <w:rsid w:val="00E736B8"/>
    <w:rsid w:val="00EC0C13"/>
    <w:rsid w:val="00F21DFB"/>
    <w:rsid w:val="00F6407C"/>
    <w:rsid w:val="00FE0208"/>
    <w:rsid w:val="00FE15BF"/>
    <w:rsid w:val="011102A5"/>
    <w:rsid w:val="019B014E"/>
    <w:rsid w:val="02175C5A"/>
    <w:rsid w:val="02DC3F04"/>
    <w:rsid w:val="03174F3D"/>
    <w:rsid w:val="03A13748"/>
    <w:rsid w:val="04032235"/>
    <w:rsid w:val="068F74D5"/>
    <w:rsid w:val="06936FD0"/>
    <w:rsid w:val="074B1659"/>
    <w:rsid w:val="07F57D96"/>
    <w:rsid w:val="09850549"/>
    <w:rsid w:val="09E73DFE"/>
    <w:rsid w:val="0CE560AB"/>
    <w:rsid w:val="0DCC7613"/>
    <w:rsid w:val="0DFF9CEB"/>
    <w:rsid w:val="0E73655B"/>
    <w:rsid w:val="11DC5FC8"/>
    <w:rsid w:val="11E70D79"/>
    <w:rsid w:val="15297DE4"/>
    <w:rsid w:val="16856C77"/>
    <w:rsid w:val="17155B43"/>
    <w:rsid w:val="176A1687"/>
    <w:rsid w:val="17C17400"/>
    <w:rsid w:val="17E407DB"/>
    <w:rsid w:val="19981D6E"/>
    <w:rsid w:val="19D54A32"/>
    <w:rsid w:val="1A004525"/>
    <w:rsid w:val="1A6A6835"/>
    <w:rsid w:val="1AC437A4"/>
    <w:rsid w:val="1B0B4F2F"/>
    <w:rsid w:val="1D1066F5"/>
    <w:rsid w:val="1D271DC8"/>
    <w:rsid w:val="1D5530B1"/>
    <w:rsid w:val="1E024D4F"/>
    <w:rsid w:val="1E154419"/>
    <w:rsid w:val="1E990AA4"/>
    <w:rsid w:val="1F1C3BAF"/>
    <w:rsid w:val="1FCAB64F"/>
    <w:rsid w:val="1FDE0FFE"/>
    <w:rsid w:val="206F5F60"/>
    <w:rsid w:val="23A81EB5"/>
    <w:rsid w:val="23C57D5C"/>
    <w:rsid w:val="241A61E3"/>
    <w:rsid w:val="26290297"/>
    <w:rsid w:val="2668100C"/>
    <w:rsid w:val="268F2373"/>
    <w:rsid w:val="272C1007"/>
    <w:rsid w:val="27D843EB"/>
    <w:rsid w:val="29A46C7B"/>
    <w:rsid w:val="2A7523C5"/>
    <w:rsid w:val="2B6106D8"/>
    <w:rsid w:val="2BBB12E0"/>
    <w:rsid w:val="2BEF6F0D"/>
    <w:rsid w:val="2DE03BB8"/>
    <w:rsid w:val="2E191452"/>
    <w:rsid w:val="2E1B3283"/>
    <w:rsid w:val="306673E9"/>
    <w:rsid w:val="30CB7A59"/>
    <w:rsid w:val="31CC460C"/>
    <w:rsid w:val="31FD7870"/>
    <w:rsid w:val="32056724"/>
    <w:rsid w:val="32371A8B"/>
    <w:rsid w:val="32596095"/>
    <w:rsid w:val="32EA54FC"/>
    <w:rsid w:val="32F8C307"/>
    <w:rsid w:val="339477F7"/>
    <w:rsid w:val="33FD2358"/>
    <w:rsid w:val="340842AA"/>
    <w:rsid w:val="340D17B8"/>
    <w:rsid w:val="3575771D"/>
    <w:rsid w:val="35EB5C31"/>
    <w:rsid w:val="369E0EF6"/>
    <w:rsid w:val="36B32ACF"/>
    <w:rsid w:val="37DFE570"/>
    <w:rsid w:val="37FF70F9"/>
    <w:rsid w:val="38820727"/>
    <w:rsid w:val="38835197"/>
    <w:rsid w:val="38AD71CE"/>
    <w:rsid w:val="38CD161E"/>
    <w:rsid w:val="391E49EA"/>
    <w:rsid w:val="39531E2A"/>
    <w:rsid w:val="39A276E1"/>
    <w:rsid w:val="3A9B1346"/>
    <w:rsid w:val="3B334302"/>
    <w:rsid w:val="3B5D25CD"/>
    <w:rsid w:val="3BAF791C"/>
    <w:rsid w:val="3C2F2BED"/>
    <w:rsid w:val="3D185D83"/>
    <w:rsid w:val="3EA70056"/>
    <w:rsid w:val="3F6835F7"/>
    <w:rsid w:val="3FFFCCCB"/>
    <w:rsid w:val="40085897"/>
    <w:rsid w:val="42976F25"/>
    <w:rsid w:val="4367600E"/>
    <w:rsid w:val="43EB7F48"/>
    <w:rsid w:val="46CA462D"/>
    <w:rsid w:val="47372A84"/>
    <w:rsid w:val="474653BD"/>
    <w:rsid w:val="47813469"/>
    <w:rsid w:val="47D91699"/>
    <w:rsid w:val="486D6DCE"/>
    <w:rsid w:val="487B1097"/>
    <w:rsid w:val="4A641AAE"/>
    <w:rsid w:val="4B26717E"/>
    <w:rsid w:val="4BD9365E"/>
    <w:rsid w:val="4C1A4723"/>
    <w:rsid w:val="4DC031E4"/>
    <w:rsid w:val="4F4C5455"/>
    <w:rsid w:val="4FA5718E"/>
    <w:rsid w:val="51EB20B2"/>
    <w:rsid w:val="53E977FC"/>
    <w:rsid w:val="53F7C880"/>
    <w:rsid w:val="54F55170"/>
    <w:rsid w:val="553219A3"/>
    <w:rsid w:val="55BB6F76"/>
    <w:rsid w:val="55CFE320"/>
    <w:rsid w:val="5682029D"/>
    <w:rsid w:val="56F64328"/>
    <w:rsid w:val="57312724"/>
    <w:rsid w:val="5A326E76"/>
    <w:rsid w:val="5A382944"/>
    <w:rsid w:val="5A7B3690"/>
    <w:rsid w:val="5BA7B32D"/>
    <w:rsid w:val="5C02145B"/>
    <w:rsid w:val="5C950492"/>
    <w:rsid w:val="5CCA7690"/>
    <w:rsid w:val="5D35760E"/>
    <w:rsid w:val="5D727373"/>
    <w:rsid w:val="5E2F405E"/>
    <w:rsid w:val="5E5774EB"/>
    <w:rsid w:val="5E8175E2"/>
    <w:rsid w:val="5E92742B"/>
    <w:rsid w:val="5EEF5B00"/>
    <w:rsid w:val="5F0F421B"/>
    <w:rsid w:val="5F1E79F9"/>
    <w:rsid w:val="5F7A755A"/>
    <w:rsid w:val="5F7B034F"/>
    <w:rsid w:val="5F7DDC44"/>
    <w:rsid w:val="5F885B31"/>
    <w:rsid w:val="5FB011CE"/>
    <w:rsid w:val="63802886"/>
    <w:rsid w:val="64FD94D9"/>
    <w:rsid w:val="661029C7"/>
    <w:rsid w:val="66691D63"/>
    <w:rsid w:val="677E0294"/>
    <w:rsid w:val="68273FF7"/>
    <w:rsid w:val="6848469A"/>
    <w:rsid w:val="6BD5BBE7"/>
    <w:rsid w:val="6BDD4A92"/>
    <w:rsid w:val="6C000472"/>
    <w:rsid w:val="6D7C3514"/>
    <w:rsid w:val="6E0A6E8C"/>
    <w:rsid w:val="6ED0363B"/>
    <w:rsid w:val="6F017762"/>
    <w:rsid w:val="6F07001F"/>
    <w:rsid w:val="6F6D4CA2"/>
    <w:rsid w:val="71641E18"/>
    <w:rsid w:val="72C47013"/>
    <w:rsid w:val="74862C03"/>
    <w:rsid w:val="75963CF6"/>
    <w:rsid w:val="763E0E8A"/>
    <w:rsid w:val="76E37D44"/>
    <w:rsid w:val="77816BF1"/>
    <w:rsid w:val="7797CEDD"/>
    <w:rsid w:val="77BF5BDE"/>
    <w:rsid w:val="77D7F48C"/>
    <w:rsid w:val="7ACC0CD4"/>
    <w:rsid w:val="7B6FCDAA"/>
    <w:rsid w:val="7B76CCDB"/>
    <w:rsid w:val="7BB86609"/>
    <w:rsid w:val="7BBF77BA"/>
    <w:rsid w:val="7BDFF640"/>
    <w:rsid w:val="7BE7D603"/>
    <w:rsid w:val="7D146922"/>
    <w:rsid w:val="7D5F2213"/>
    <w:rsid w:val="7DBBA714"/>
    <w:rsid w:val="7E2D0162"/>
    <w:rsid w:val="7E5C7C58"/>
    <w:rsid w:val="7EDF052A"/>
    <w:rsid w:val="7EFF03EB"/>
    <w:rsid w:val="7EFF77ED"/>
    <w:rsid w:val="7F776141"/>
    <w:rsid w:val="7F7D128A"/>
    <w:rsid w:val="7F7E85F8"/>
    <w:rsid w:val="7F7FB99E"/>
    <w:rsid w:val="7FBEB605"/>
    <w:rsid w:val="7FDB5999"/>
    <w:rsid w:val="7FDE4A2F"/>
    <w:rsid w:val="7FF7975D"/>
    <w:rsid w:val="7FFF2972"/>
    <w:rsid w:val="9EF73911"/>
    <w:rsid w:val="9F395856"/>
    <w:rsid w:val="9F7F345C"/>
    <w:rsid w:val="A5BD91A0"/>
    <w:rsid w:val="ADEF3320"/>
    <w:rsid w:val="B7DF865A"/>
    <w:rsid w:val="B9DA4B29"/>
    <w:rsid w:val="BBBB26E1"/>
    <w:rsid w:val="BDFF04AF"/>
    <w:rsid w:val="BFBFE1C2"/>
    <w:rsid w:val="CFFE260E"/>
    <w:rsid w:val="D9BFA78E"/>
    <w:rsid w:val="DF9DBA85"/>
    <w:rsid w:val="DFAF4956"/>
    <w:rsid w:val="DFF7C28D"/>
    <w:rsid w:val="DFF93876"/>
    <w:rsid w:val="E79F79CE"/>
    <w:rsid w:val="E9EF6A5B"/>
    <w:rsid w:val="EEBFE61A"/>
    <w:rsid w:val="EF3E40EA"/>
    <w:rsid w:val="EFEF0A0D"/>
    <w:rsid w:val="EFEFAAED"/>
    <w:rsid w:val="EFFD19AA"/>
    <w:rsid w:val="F3FF8502"/>
    <w:rsid w:val="F5D7EDA4"/>
    <w:rsid w:val="F73F7215"/>
    <w:rsid w:val="F7FF368B"/>
    <w:rsid w:val="FBB70EF4"/>
    <w:rsid w:val="FBDF7C49"/>
    <w:rsid w:val="FBFF283A"/>
    <w:rsid w:val="FEFF0202"/>
    <w:rsid w:val="FF4F1C4C"/>
    <w:rsid w:val="FFF9C2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4"/>
    <w:basedOn w:val="1"/>
    <w:next w:val="1"/>
    <w:qFormat/>
    <w:uiPriority w:val="0"/>
    <w:pPr>
      <w:keepNext/>
      <w:jc w:val="center"/>
      <w:outlineLvl w:val="3"/>
    </w:pPr>
    <w:rPr>
      <w:b/>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style>
  <w:style w:type="paragraph" w:styleId="7">
    <w:name w:val="Normal Indent"/>
    <w:basedOn w:val="1"/>
    <w:qFormat/>
    <w:uiPriority w:val="0"/>
    <w:pPr>
      <w:ind w:firstLine="420"/>
    </w:pPr>
    <w:rPr>
      <w:kern w:val="0"/>
      <w:sz w:val="20"/>
      <w:szCs w:val="20"/>
    </w:rPr>
  </w:style>
  <w:style w:type="paragraph" w:styleId="8">
    <w:name w:val="annotation text"/>
    <w:basedOn w:val="1"/>
    <w:link w:val="41"/>
    <w:qFormat/>
    <w:uiPriority w:val="0"/>
    <w:pPr>
      <w:jc w:val="left"/>
    </w:pPr>
  </w:style>
  <w:style w:type="paragraph" w:styleId="9">
    <w:name w:val="Body Text"/>
    <w:basedOn w:val="1"/>
    <w:next w:val="1"/>
    <w:qFormat/>
    <w:uiPriority w:val="0"/>
    <w:rPr>
      <w:rFonts w:ascii="仿宋_GB2312" w:eastAsia="仿宋_GB2312"/>
      <w:kern w:val="0"/>
      <w:sz w:val="24"/>
      <w:szCs w:val="20"/>
    </w:rPr>
  </w:style>
  <w:style w:type="paragraph" w:styleId="10">
    <w:name w:val="Body Text Indent"/>
    <w:basedOn w:val="1"/>
    <w:next w:val="11"/>
    <w:unhideWhenUsed/>
    <w:qFormat/>
    <w:uiPriority w:val="99"/>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Plain Text"/>
    <w:basedOn w:val="1"/>
    <w:qFormat/>
    <w:uiPriority w:val="0"/>
    <w:rPr>
      <w:rFonts w:ascii="宋体" w:hAnsi="Courier New"/>
      <w:szCs w:val="20"/>
    </w:rPr>
  </w:style>
  <w:style w:type="paragraph" w:styleId="13">
    <w:name w:val="Balloon Text"/>
    <w:basedOn w:val="1"/>
    <w:link w:val="40"/>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pPr>
    <w:rPr>
      <w:b/>
    </w:rPr>
  </w:style>
  <w:style w:type="paragraph" w:styleId="16">
    <w:name w:val="toc 1"/>
    <w:basedOn w:val="1"/>
    <w:next w:val="1"/>
    <w:qFormat/>
    <w:uiPriority w:val="0"/>
    <w:pPr>
      <w:adjustRightInd w:val="0"/>
      <w:jc w:val="left"/>
      <w:textAlignment w:val="baseline"/>
    </w:pPr>
    <w:rPr>
      <w:sz w:val="24"/>
    </w:rPr>
  </w:style>
  <w:style w:type="paragraph" w:styleId="17">
    <w:name w:val="Body Text Indent 3"/>
    <w:basedOn w:val="1"/>
    <w:qFormat/>
    <w:uiPriority w:val="0"/>
    <w:pPr>
      <w:spacing w:line="520" w:lineRule="exact"/>
      <w:ind w:firstLine="539" w:firstLineChars="184"/>
    </w:pPr>
    <w:rPr>
      <w:rFonts w:ascii="宋体"/>
      <w:b/>
      <w:spacing w:val="6"/>
      <w:sz w:val="28"/>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rPr>
  </w:style>
  <w:style w:type="paragraph" w:styleId="19">
    <w:name w:val="Normal (Web)"/>
    <w:basedOn w:val="1"/>
    <w:qFormat/>
    <w:uiPriority w:val="0"/>
    <w:pPr>
      <w:spacing w:beforeAutospacing="1" w:afterAutospacing="1"/>
      <w:jc w:val="left"/>
    </w:pPr>
    <w:rPr>
      <w:kern w:val="0"/>
      <w:sz w:val="24"/>
    </w:rPr>
  </w:style>
  <w:style w:type="paragraph" w:styleId="20">
    <w:name w:val="annotation subject"/>
    <w:basedOn w:val="8"/>
    <w:next w:val="8"/>
    <w:link w:val="42"/>
    <w:qFormat/>
    <w:uiPriority w:val="0"/>
    <w:rPr>
      <w:b/>
      <w:bCs/>
    </w:rPr>
  </w:style>
  <w:style w:type="paragraph" w:styleId="21">
    <w:name w:val="Body Text First Indent"/>
    <w:basedOn w:val="9"/>
    <w:qFormat/>
    <w:uiPriority w:val="0"/>
    <w:pPr>
      <w:spacing w:after="120"/>
      <w:ind w:firstLine="420" w:firstLineChars="100"/>
    </w:pPr>
    <w:rPr>
      <w:rFonts w:ascii="Times New Roman" w:eastAsia="宋体"/>
      <w:szCs w:val="24"/>
    </w:rPr>
  </w:style>
  <w:style w:type="paragraph" w:styleId="22">
    <w:name w:val="Body Text First Indent 2"/>
    <w:basedOn w:val="10"/>
    <w:qFormat/>
    <w:uiPriority w:val="0"/>
    <w:pPr>
      <w:ind w:firstLine="200" w:firstLineChars="200"/>
    </w:p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annotation reference"/>
    <w:basedOn w:val="25"/>
    <w:qFormat/>
    <w:uiPriority w:val="0"/>
    <w:rPr>
      <w:sz w:val="21"/>
      <w:szCs w:val="21"/>
    </w:rPr>
  </w:style>
  <w:style w:type="paragraph" w:customStyle="1" w:styleId="28">
    <w:name w:val="正文文本首行缩进 21"/>
    <w:basedOn w:val="29"/>
    <w:qFormat/>
    <w:uiPriority w:val="0"/>
    <w:pPr>
      <w:spacing w:after="0" w:line="360" w:lineRule="auto"/>
      <w:ind w:left="0" w:firstLine="420"/>
    </w:pPr>
    <w:rPr>
      <w:rFonts w:ascii="宋体" w:hAnsi="宋体"/>
      <w:szCs w:val="20"/>
    </w:rPr>
  </w:style>
  <w:style w:type="paragraph" w:customStyle="1" w:styleId="29">
    <w:name w:val="正文文本缩进1"/>
    <w:basedOn w:val="1"/>
    <w:next w:val="30"/>
    <w:unhideWhenUsed/>
    <w:qFormat/>
    <w:uiPriority w:val="0"/>
    <w:pPr>
      <w:spacing w:after="120"/>
      <w:ind w:left="420"/>
    </w:pPr>
  </w:style>
  <w:style w:type="paragraph" w:customStyle="1" w:styleId="30">
    <w:name w:val="寄信人地址1"/>
    <w:basedOn w:val="1"/>
    <w:unhideWhenUsed/>
    <w:qFormat/>
    <w:uiPriority w:val="99"/>
    <w:rPr>
      <w:rFonts w:ascii="Arial" w:hAnsi="Arial"/>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33">
    <w:name w:val="msonormalcxspmiddle"/>
    <w:basedOn w:val="1"/>
    <w:qFormat/>
    <w:uiPriority w:val="0"/>
    <w:pPr>
      <w:widowControl/>
      <w:spacing w:before="100" w:beforeAutospacing="1" w:after="100" w:afterAutospacing="1"/>
      <w:jc w:val="left"/>
    </w:pPr>
    <w:rPr>
      <w:rFonts w:ascii="宋体" w:hAnsi="宋体" w:cs="宋体"/>
      <w:kern w:val="0"/>
      <w:sz w:val="24"/>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p0"/>
    <w:basedOn w:val="1"/>
    <w:qFormat/>
    <w:uiPriority w:val="0"/>
    <w:pPr>
      <w:widowControl/>
    </w:pPr>
    <w:rPr>
      <w:rFonts w:ascii="Calibri" w:hAnsi="Calibri"/>
      <w:kern w:val="0"/>
      <w:szCs w:val="20"/>
    </w:rPr>
  </w:style>
  <w:style w:type="paragraph" w:customStyle="1" w:styleId="36">
    <w:name w:val="正文 + 宋体"/>
    <w:basedOn w:val="1"/>
    <w:qFormat/>
    <w:uiPriority w:val="0"/>
    <w:pPr>
      <w:widowControl/>
      <w:autoSpaceDE w:val="0"/>
      <w:autoSpaceDN w:val="0"/>
      <w:spacing w:line="360" w:lineRule="auto"/>
      <w:textAlignment w:val="bottom"/>
    </w:pPr>
    <w:rPr>
      <w:rFonts w:ascii="宋体" w:hAnsi="宋体"/>
    </w:rPr>
  </w:style>
  <w:style w:type="paragraph" w:styleId="37">
    <w:name w:val="List Paragraph"/>
    <w:basedOn w:val="1"/>
    <w:unhideWhenUsed/>
    <w:qFormat/>
    <w:uiPriority w:val="99"/>
    <w:pPr>
      <w:ind w:firstLine="420" w:firstLineChars="200"/>
    </w:pPr>
  </w:style>
  <w:style w:type="paragraph" w:customStyle="1" w:styleId="38">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customStyle="1" w:styleId="39">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40">
    <w:name w:val="批注框文本 字符"/>
    <w:basedOn w:val="25"/>
    <w:link w:val="13"/>
    <w:qFormat/>
    <w:uiPriority w:val="0"/>
    <w:rPr>
      <w:kern w:val="2"/>
      <w:sz w:val="18"/>
      <w:szCs w:val="18"/>
    </w:rPr>
  </w:style>
  <w:style w:type="character" w:customStyle="1" w:styleId="41">
    <w:name w:val="批注文字 字符"/>
    <w:basedOn w:val="25"/>
    <w:link w:val="8"/>
    <w:qFormat/>
    <w:uiPriority w:val="0"/>
    <w:rPr>
      <w:kern w:val="2"/>
      <w:sz w:val="21"/>
      <w:szCs w:val="21"/>
    </w:rPr>
  </w:style>
  <w:style w:type="character" w:customStyle="1" w:styleId="42">
    <w:name w:val="批注主题 字符"/>
    <w:basedOn w:val="41"/>
    <w:link w:val="20"/>
    <w:qFormat/>
    <w:uiPriority w:val="0"/>
    <w:rPr>
      <w:b/>
      <w:bCs/>
      <w:kern w:val="2"/>
      <w:sz w:val="21"/>
      <w:szCs w:val="21"/>
    </w:rPr>
  </w:style>
  <w:style w:type="character" w:customStyle="1" w:styleId="43">
    <w:name w:val="font21"/>
    <w:basedOn w:val="25"/>
    <w:qFormat/>
    <w:uiPriority w:val="0"/>
    <w:rPr>
      <w:rFonts w:hint="eastAsia" w:ascii="宋体" w:hAnsi="宋体" w:eastAsia="宋体" w:cs="宋体"/>
      <w:color w:val="FF0000"/>
      <w:sz w:val="22"/>
      <w:szCs w:val="22"/>
      <w:u w:val="none"/>
    </w:rPr>
  </w:style>
  <w:style w:type="paragraph" w:customStyle="1" w:styleId="44">
    <w:name w:val="Table Text"/>
    <w:qFormat/>
    <w:uiPriority w:val="0"/>
    <w:pPr>
      <w:suppressAutoHyphens/>
      <w:snapToGrid w:val="0"/>
      <w:spacing w:before="80" w:after="80"/>
    </w:pPr>
    <w:rPr>
      <w:rFonts w:ascii="Arial" w:hAnsi="Arial" w:eastAsia="宋体" w:cs="Arial"/>
      <w:kern w:val="1"/>
      <w:sz w:val="18"/>
      <w:lang w:val="en-US" w:eastAsia="zh-CN" w:bidi="ar-SA"/>
    </w:rPr>
  </w:style>
  <w:style w:type="paragraph" w:customStyle="1" w:styleId="4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46">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47">
    <w:name w:val="列表段落1"/>
    <w:basedOn w:val="1"/>
    <w:qFormat/>
    <w:uiPriority w:val="1"/>
    <w:rPr>
      <w:rFonts w:ascii="Calibri" w:hAnsi="Calibri"/>
    </w:rPr>
  </w:style>
  <w:style w:type="character" w:customStyle="1" w:styleId="48">
    <w:name w:val="font11"/>
    <w:qFormat/>
    <w:uiPriority w:val="0"/>
    <w:rPr>
      <w:rFonts w:ascii="Calibri" w:hAnsi="Calibri" w:cs="Calibri"/>
      <w:color w:val="0000FF"/>
      <w:sz w:val="24"/>
      <w:szCs w:val="24"/>
      <w:u w:val="none"/>
    </w:rPr>
  </w:style>
  <w:style w:type="paragraph" w:customStyle="1" w:styleId="49">
    <w:name w:val="列出段落1"/>
    <w:basedOn w:val="1"/>
    <w:qFormat/>
    <w:uiPriority w:val="0"/>
    <w:pPr>
      <w:snapToGrid w:val="0"/>
      <w:spacing w:line="360" w:lineRule="auto"/>
      <w:ind w:left="560"/>
    </w:pPr>
    <w:rPr>
      <w:rFonts w:ascii="仿宋_GB2312" w:hAnsi="Calibri" w:eastAsia="仿宋_GB2312"/>
      <w:sz w:val="28"/>
      <w:szCs w:val="28"/>
    </w:rPr>
  </w:style>
  <w:style w:type="paragraph" w:customStyle="1" w:styleId="50">
    <w:name w:val="正文1"/>
    <w:qFormat/>
    <w:uiPriority w:val="99"/>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09e85717-d107-48d2-aa54-36652856d335</errorID>
      <errorWord>【2022】2号</errorWord>
      <group>L1_Knowledge</group>
      <groupName>知识性问题</groupName>
      <ability>L2_Knowledge</ability>
      <abilityName>其他知识</abilityName>
      <candidateList>
        <item>〔2022〕2号</item>
      </candidateList>
      <explain>发文字号格式错误。</explain>
      <paraID> 2878CD3</paraID>
      <start>14</start>
      <end>22</end>
      <status>modified</status>
      <modifiedWord>〔2022〕2号</modifiedWord>
      <trackRevisions>false</trackRevisions>
    </reviewItem>
    <reviewItem>
      <errorID>6f6dbfcb-9ae2-4baa-aa4e-15fdcc99aefa</errorID>
      <errorWord>(</errorWord>
      <group>L1_Format</group>
      <groupName>格式问题</groupName>
      <ability>L2_HalfPunc</ability>
      <abilityName>全半角检查</abilityName>
      <candidateList>
        <item>（</item>
      </candidateList>
      <explain>文本全半角错误。</explain>
      <paraID>5D50A5CE</paraID>
      <start>15</start>
      <end>16</end>
      <status>modified</status>
      <modifiedWord>（</modifiedWord>
      <trackRevisions>false</trackRevisions>
    </reviewItem>
    <reviewItem>
      <errorID>48e61ea1-0126-42a5-b012-76ab1b349c0d</errorID>
      <errorWord>)</errorWord>
      <group>L1_Format</group>
      <groupName>格式问题</groupName>
      <ability>L2_HalfPunc</ability>
      <abilityName>全半角检查</abilityName>
      <candidateList>
        <item>）</item>
      </candidateList>
      <explain>文本全半角错误。</explain>
      <paraID>5D50A5CE</paraID>
      <start>24</start>
      <end>25</end>
      <status>modified</status>
      <modifiedWord>）</modifiedWord>
      <trackRevisions>false</trackRevisions>
    </reviewItem>
    <reviewItem>
      <errorID>73af8113-97ca-49a5-ac6b-44676c201efa</errorID>
      <errorWord>(</errorWord>
      <group>L1_Format</group>
      <groupName>格式问题</groupName>
      <ability>L2_HalfPunc</ability>
      <abilityName>全半角检查</abilityName>
      <candidateList>
        <item>（</item>
      </candidateList>
      <explain>文本全半角错误。</explain>
      <paraID>5D50A5CE</paraID>
      <start>32</start>
      <end>33</end>
      <status>modified</status>
      <modifiedWord>（</modifiedWord>
      <trackRevisions>false</trackRevisions>
    </reviewItem>
    <reviewItem>
      <errorID>bbba88a6-d9e0-4ad1-8a47-64047ac83794</errorID>
      <errorWord>)</errorWord>
      <group>L1_Format</group>
      <groupName>格式问题</groupName>
      <ability>L2_HalfPunc</ability>
      <abilityName>全半角检查</abilityName>
      <candidateList>
        <item>）</item>
      </candidateList>
      <explain>文本全半角错误。</explain>
      <paraID>5D50A5CE</paraID>
      <start>42</start>
      <end>43</end>
      <status>modified</status>
      <modifiedWord>）</modifiedWord>
      <trackRevisions>false</trackRevisions>
    </reviewItem>
    <reviewItem>
      <errorID>a6bac4c0-f82d-4b70-a42b-23df645bb701</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4DC6C55E</paraID>
      <start>20</start>
      <end>22</end>
      <status>ignored</status>
      <modifiedWord/>
      <trackRevisions>false</trackRevisions>
    </reviewItem>
    <reviewItem>
      <errorID>ca34df0b-df26-4e6f-abbc-3e42723cb29e</errorID>
      <errorWord>&lt;</errorWord>
      <group>L1_Format</group>
      <groupName>格式问题</groupName>
      <ability>L2_HalfPunc</ability>
      <abilityName>全半角检查</abilityName>
      <candidateList>
        <item>〈</item>
      </candidateList>
      <explain>文本全半角错误。</explain>
      <paraID>3CB6D8D3</paraID>
      <start>37</start>
      <end>38</end>
      <status>ignored</status>
      <modifiedWord/>
      <trackRevisions>false</trackRevisions>
    </reviewItem>
    <reviewItem>
      <errorID>2e0ec9c7-464c-4d35-a064-979ab73c8503</errorID>
      <errorWord>&lt;</errorWord>
      <group>L1_Format</group>
      <groupName>格式问题</groupName>
      <ability>L2_HalfPunc</ability>
      <abilityName>全半角检查</abilityName>
      <candidateList>
        <item>〈</item>
      </candidateList>
      <explain>文本全半角错误。</explain>
      <paraID>709B5F31</paraID>
      <start>37</start>
      <end>38</end>
      <status>ignored</status>
      <modifiedWord/>
      <trackRevisions>false</trackRevisions>
    </reviewItem>
    <reviewItem>
      <errorID>9f7534dc-b300-4f57-8708-485fe56b5b7c</errorID>
      <errorWord>&lt;</errorWord>
      <group>L1_Format</group>
      <groupName>格式问题</groupName>
      <ability>L2_HalfPunc</ability>
      <abilityName>全半角检查</abilityName>
      <candidateList>
        <item>〈</item>
      </candidateList>
      <explain>文本全半角错误。</explain>
      <paraID>391CEC87</paraID>
      <start>26</start>
      <end>27</end>
      <status>ignored</status>
      <modifiedWord/>
      <trackRevisions>false</trackRevisions>
    </reviewItem>
    <reviewItem>
      <errorID>12ecbd93-dca8-4158-bb34-216f7aaf9c56</errorID>
      <errorWord>须</errorWord>
      <group>L1_Word</group>
      <groupName>字词问题</groupName>
      <ability>L2_Typo</ability>
      <abilityName>字词错误</abilityName>
      <candidateList>
        <item>需</item>
      </candidateList>
      <explain>存在发音相同字词的误用。</explain>
      <paraID>31C7D8E5</paraID>
      <start>11</start>
      <end>12</end>
      <status>modified</status>
      <modifiedWord>需</modifiedWord>
      <trackRevisions>false</trackRevisions>
    </reviewItem>
    <reviewItem>
      <errorID>90572b1d-257b-41c0-802d-516ece8e419a</errorID>
      <errorWord>“/</errorWord>
      <group>L1_Punc</group>
      <groupName>标点问题</groupName>
      <ability>L2_Punc</ability>
      <abilityName>标点符号检查</abilityName>
      <candidateList>
        <item>“</item>
      </candidateList>
      <explain/>
      <paraID>3948B385</paraID>
      <start>32</start>
      <end>33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5d7d4d-fb73-4ccc-8c06-c0d2cfff5f31}">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27</Pages>
  <Words>11363</Words>
  <Characters>11662</Characters>
  <Lines>85</Lines>
  <Paragraphs>24</Paragraphs>
  <TotalTime>0</TotalTime>
  <ScaleCrop>false</ScaleCrop>
  <LinksUpToDate>false</LinksUpToDate>
  <CharactersWithSpaces>12001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2025-07-07T15:40:00Z</dcterms:created>
  <dc:creator>admin</dc:creator>
  <cp:lastModifiedBy>nttiger</cp:lastModifiedBy>
  <cp:lastPrinted>2026-01-31T15:03:00Z</cp:lastPrinted>
  <dcterms:modified xsi:type="dcterms:W3CDTF">2026-04-20T08:44:48Z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CD305F72103F4DD68542C77669C73F82_13</vt:lpwstr>
  </property>
  <property fmtid="{D5CDD505-2E9C-101B-9397-08002B2CF9AE}" pid="4" name="KSOTemplateDocerSaveRecord">
    <vt:lpwstr>eyJoZGlkIjoiYzZiN2ZiMzJlNzBlNmEyYWUzNDZlYjA4Y2QzNmVjYjkiLCJ1c2VySWQiOiIxMzY5NjY0NTA2In0=</vt:lpwstr>
  </property>
</Properties>
</file>