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楷体_GB2312"/>
          <w:b/>
          <w:sz w:val="48"/>
          <w:szCs w:val="48"/>
        </w:rPr>
      </w:pPr>
    </w:p>
    <w:p>
      <w:pPr>
        <w:jc w:val="center"/>
        <w:rPr>
          <w:rFonts w:eastAsia="楷体_GB2312"/>
          <w:b/>
          <w:sz w:val="48"/>
          <w:szCs w:val="48"/>
        </w:rPr>
      </w:pPr>
    </w:p>
    <w:p>
      <w:pPr>
        <w:jc w:val="center"/>
        <w:rPr>
          <w:rFonts w:eastAsia="楷体_GB2312"/>
          <w:b/>
          <w:sz w:val="48"/>
          <w:szCs w:val="48"/>
        </w:rPr>
      </w:pPr>
    </w:p>
    <w:p>
      <w:pPr>
        <w:spacing w:line="276" w:lineRule="auto"/>
        <w:jc w:val="center"/>
        <w:rPr>
          <w:rFonts w:hint="default" w:ascii="楷体" w:hAnsi="楷体" w:eastAsia="楷体" w:cs="宋体"/>
          <w:b/>
          <w:sz w:val="44"/>
          <w:szCs w:val="44"/>
          <w:lang w:val="en-US" w:eastAsia="zh-CN"/>
        </w:rPr>
      </w:pPr>
      <w:r>
        <w:rPr>
          <w:rFonts w:hint="eastAsia" w:ascii="楷体" w:hAnsi="楷体" w:eastAsia="楷体" w:cs="宋体"/>
          <w:b/>
          <w:sz w:val="44"/>
          <w:szCs w:val="44"/>
          <w:lang w:val="en-US" w:eastAsia="zh-CN"/>
        </w:rPr>
        <w:t>南通开放大学</w:t>
      </w:r>
    </w:p>
    <w:p>
      <w:pPr>
        <w:spacing w:line="276" w:lineRule="auto"/>
        <w:jc w:val="center"/>
        <w:rPr>
          <w:rFonts w:ascii="楷体" w:hAnsi="楷体" w:eastAsia="楷体" w:cs="宋体"/>
          <w:b/>
          <w:sz w:val="44"/>
          <w:szCs w:val="44"/>
        </w:rPr>
      </w:pPr>
      <w:r>
        <w:rPr>
          <w:rFonts w:hint="eastAsia" w:ascii="楷体" w:hAnsi="楷体" w:eastAsia="楷体" w:cs="宋体"/>
          <w:b/>
          <w:sz w:val="44"/>
          <w:szCs w:val="44"/>
        </w:rPr>
        <w:t>2022</w:t>
      </w:r>
      <w:r>
        <w:rPr>
          <w:rFonts w:ascii="楷体" w:hAnsi="楷体" w:eastAsia="楷体" w:cs="宋体"/>
          <w:b/>
          <w:sz w:val="44"/>
          <w:szCs w:val="44"/>
        </w:rPr>
        <w:t>-2023</w:t>
      </w:r>
      <w:r>
        <w:rPr>
          <w:rFonts w:hint="eastAsia" w:ascii="楷体" w:hAnsi="楷体" w:eastAsia="楷体" w:cs="宋体"/>
          <w:b/>
          <w:sz w:val="44"/>
          <w:szCs w:val="44"/>
        </w:rPr>
        <w:t>年度在线课程及教学比赛视频制作服务项目</w:t>
      </w:r>
    </w:p>
    <w:p>
      <w:pPr>
        <w:autoSpaceDE w:val="0"/>
        <w:autoSpaceDN w:val="0"/>
        <w:adjustRightInd w:val="0"/>
        <w:jc w:val="center"/>
        <w:rPr>
          <w:sz w:val="52"/>
          <w:szCs w:val="52"/>
        </w:rPr>
      </w:pPr>
    </w:p>
    <w:p>
      <w:pPr>
        <w:rPr>
          <w:rFonts w:eastAsia="楷体_GB2312"/>
          <w:b/>
          <w:sz w:val="52"/>
          <w:szCs w:val="52"/>
          <w:lang w:val="zh-CN"/>
        </w:rPr>
      </w:pPr>
    </w:p>
    <w:p>
      <w:pPr>
        <w:jc w:val="center"/>
        <w:rPr>
          <w:rFonts w:eastAsia="楷体_GB2312"/>
          <w:b/>
          <w:sz w:val="52"/>
          <w:szCs w:val="52"/>
          <w:lang w:val="zh-CN"/>
        </w:rPr>
      </w:pPr>
    </w:p>
    <w:p>
      <w:pPr>
        <w:jc w:val="center"/>
        <w:rPr>
          <w:rFonts w:eastAsia="楷体_GB2312"/>
          <w:b/>
          <w:sz w:val="52"/>
          <w:szCs w:val="52"/>
          <w:lang w:val="zh-CN"/>
        </w:rPr>
      </w:pPr>
    </w:p>
    <w:p>
      <w:pPr>
        <w:jc w:val="center"/>
        <w:rPr>
          <w:rFonts w:eastAsia="楷体_GB2312"/>
          <w:b/>
          <w:sz w:val="72"/>
          <w:szCs w:val="72"/>
        </w:rPr>
      </w:pPr>
      <w:r>
        <w:rPr>
          <w:rFonts w:hint="eastAsia" w:eastAsia="楷体_GB2312"/>
          <w:b/>
          <w:sz w:val="52"/>
          <w:szCs w:val="52"/>
          <w:lang w:val="zh-CN"/>
        </w:rPr>
        <w:t>竞争性磋商文件</w:t>
      </w:r>
    </w:p>
    <w:p>
      <w:pPr>
        <w:rPr>
          <w:rFonts w:eastAsia="楷体_GB2312"/>
          <w:b/>
          <w:sz w:val="48"/>
          <w:szCs w:val="48"/>
        </w:rPr>
      </w:pPr>
    </w:p>
    <w:p>
      <w:pPr>
        <w:jc w:val="center"/>
        <w:rPr>
          <w:rFonts w:hint="default" w:eastAsia="楷体_GB2312"/>
          <w:b/>
          <w:sz w:val="52"/>
          <w:szCs w:val="52"/>
          <w:lang w:val="en-US" w:eastAsia="zh-CN"/>
        </w:rPr>
      </w:pPr>
      <w:r>
        <w:rPr>
          <w:rFonts w:hint="eastAsia" w:eastAsia="楷体_GB2312"/>
          <w:b/>
          <w:sz w:val="52"/>
          <w:szCs w:val="52"/>
          <w:lang w:val="en-US" w:eastAsia="zh-CN"/>
        </w:rPr>
        <w:t>KD-2022013</w:t>
      </w:r>
    </w:p>
    <w:p>
      <w:pPr>
        <w:autoSpaceDE w:val="0"/>
        <w:autoSpaceDN w:val="0"/>
        <w:adjustRightInd w:val="0"/>
        <w:spacing w:line="360" w:lineRule="auto"/>
        <w:ind w:firstLine="420"/>
        <w:jc w:val="center"/>
        <w:rPr>
          <w:rFonts w:eastAsia="黑体"/>
          <w:szCs w:val="21"/>
        </w:rPr>
      </w:pPr>
    </w:p>
    <w:p>
      <w:pPr>
        <w:autoSpaceDE w:val="0"/>
        <w:autoSpaceDN w:val="0"/>
        <w:adjustRightInd w:val="0"/>
        <w:spacing w:line="360" w:lineRule="auto"/>
        <w:ind w:firstLine="420"/>
        <w:jc w:val="center"/>
        <w:rPr>
          <w:rFonts w:eastAsia="黑体"/>
          <w:szCs w:val="21"/>
        </w:rPr>
      </w:pPr>
    </w:p>
    <w:p>
      <w:pPr>
        <w:autoSpaceDE w:val="0"/>
        <w:autoSpaceDN w:val="0"/>
        <w:adjustRightInd w:val="0"/>
        <w:spacing w:line="360" w:lineRule="auto"/>
        <w:ind w:firstLine="420"/>
        <w:jc w:val="center"/>
        <w:rPr>
          <w:rFonts w:eastAsia="黑体"/>
          <w:szCs w:val="21"/>
        </w:rPr>
      </w:pPr>
    </w:p>
    <w:p>
      <w:pPr>
        <w:autoSpaceDE w:val="0"/>
        <w:autoSpaceDN w:val="0"/>
        <w:adjustRightInd w:val="0"/>
        <w:spacing w:line="360" w:lineRule="auto"/>
        <w:ind w:firstLine="420"/>
        <w:jc w:val="center"/>
        <w:rPr>
          <w:rFonts w:eastAsia="黑体"/>
          <w:szCs w:val="21"/>
        </w:rPr>
      </w:pPr>
    </w:p>
    <w:p>
      <w:pPr>
        <w:autoSpaceDE w:val="0"/>
        <w:autoSpaceDN w:val="0"/>
        <w:adjustRightInd w:val="0"/>
        <w:spacing w:line="360" w:lineRule="auto"/>
        <w:ind w:firstLine="420"/>
        <w:jc w:val="center"/>
        <w:rPr>
          <w:rFonts w:eastAsia="黑体"/>
          <w:szCs w:val="21"/>
        </w:rPr>
      </w:pPr>
    </w:p>
    <w:p>
      <w:pPr>
        <w:autoSpaceDE w:val="0"/>
        <w:autoSpaceDN w:val="0"/>
        <w:adjustRightInd w:val="0"/>
        <w:spacing w:line="360" w:lineRule="auto"/>
        <w:ind w:firstLine="420"/>
        <w:jc w:val="center"/>
        <w:rPr>
          <w:rFonts w:eastAsia="黑体"/>
          <w:szCs w:val="21"/>
        </w:rPr>
      </w:pPr>
    </w:p>
    <w:p>
      <w:pPr>
        <w:adjustRightInd w:val="0"/>
        <w:snapToGrid w:val="0"/>
        <w:ind w:left="-158" w:leftChars="-75" w:right="-601" w:rightChars="-286"/>
        <w:rPr>
          <w:rFonts w:ascii="宋体" w:hAnsi="宋体"/>
          <w:snapToGrid w:val="0"/>
          <w:sz w:val="26"/>
          <w:szCs w:val="28"/>
        </w:rPr>
      </w:pPr>
    </w:p>
    <w:p>
      <w:pPr>
        <w:adjustRightInd w:val="0"/>
        <w:snapToGrid w:val="0"/>
        <w:ind w:left="-158" w:leftChars="-75" w:right="-601" w:rightChars="-286"/>
        <w:rPr>
          <w:rFonts w:ascii="宋体" w:hAnsi="宋体"/>
          <w:snapToGrid w:val="0"/>
          <w:sz w:val="26"/>
          <w:szCs w:val="28"/>
        </w:rPr>
      </w:pPr>
    </w:p>
    <w:p>
      <w:pPr>
        <w:spacing w:line="360" w:lineRule="auto"/>
        <w:jc w:val="center"/>
        <w:rPr>
          <w:rFonts w:ascii="楷体_GB2312" w:eastAsia="楷体_GB2312"/>
          <w:b/>
          <w:spacing w:val="20"/>
          <w:sz w:val="36"/>
          <w:szCs w:val="36"/>
        </w:rPr>
      </w:pPr>
      <w:r>
        <w:rPr>
          <w:rFonts w:hint="eastAsia" w:ascii="楷体_GB2312" w:eastAsia="楷体_GB2312"/>
          <w:b/>
          <w:spacing w:val="20"/>
          <w:sz w:val="36"/>
          <w:szCs w:val="36"/>
        </w:rPr>
        <w:t>南通开放大学</w:t>
      </w:r>
    </w:p>
    <w:p>
      <w:pPr>
        <w:spacing w:line="360" w:lineRule="auto"/>
        <w:jc w:val="center"/>
        <w:rPr>
          <w:sz w:val="36"/>
          <w:szCs w:val="36"/>
        </w:rPr>
      </w:pPr>
      <w:r>
        <w:rPr>
          <w:rFonts w:hint="eastAsia" w:ascii="楷体_GB2312" w:eastAsia="楷体_GB2312"/>
          <w:b/>
          <w:spacing w:val="20"/>
          <w:sz w:val="36"/>
          <w:szCs w:val="36"/>
        </w:rPr>
        <w:t>国有资产</w:t>
      </w:r>
      <w:r>
        <w:rPr>
          <w:rFonts w:hint="eastAsia" w:ascii="楷体_GB2312" w:eastAsia="楷体_GB2312"/>
          <w:b/>
          <w:spacing w:val="20"/>
          <w:sz w:val="36"/>
          <w:szCs w:val="36"/>
          <w:lang w:val="en-US" w:eastAsia="zh-CN"/>
        </w:rPr>
        <w:t>管理</w:t>
      </w:r>
      <w:r>
        <w:rPr>
          <w:rFonts w:hint="eastAsia" w:ascii="楷体_GB2312" w:eastAsia="楷体_GB2312"/>
          <w:b/>
          <w:spacing w:val="20"/>
          <w:sz w:val="36"/>
          <w:szCs w:val="36"/>
        </w:rPr>
        <w:t>与招投标办公室</w:t>
      </w:r>
    </w:p>
    <w:p>
      <w:pPr>
        <w:autoSpaceDE w:val="0"/>
        <w:autoSpaceDN w:val="0"/>
        <w:adjustRightInd w:val="0"/>
        <w:spacing w:line="360" w:lineRule="auto"/>
        <w:jc w:val="center"/>
        <w:outlineLvl w:val="0"/>
        <w:rPr>
          <w:rFonts w:ascii="楷体_GB2312" w:eastAsia="楷体_GB2312"/>
          <w:b/>
          <w:bCs/>
          <w:sz w:val="44"/>
          <w:szCs w:val="44"/>
        </w:rPr>
      </w:pPr>
    </w:p>
    <w:p>
      <w:pPr>
        <w:autoSpaceDE w:val="0"/>
        <w:autoSpaceDN w:val="0"/>
        <w:adjustRightInd w:val="0"/>
        <w:spacing w:line="360" w:lineRule="auto"/>
        <w:outlineLvl w:val="0"/>
        <w:rPr>
          <w:rFonts w:ascii="楷体_GB2312" w:eastAsia="楷体_GB2312"/>
          <w:b/>
          <w:bCs/>
          <w:sz w:val="44"/>
          <w:szCs w:val="44"/>
          <w:lang w:val="zh-CN"/>
        </w:rPr>
      </w:pPr>
    </w:p>
    <w:p>
      <w:pPr>
        <w:autoSpaceDE w:val="0"/>
        <w:autoSpaceDN w:val="0"/>
        <w:adjustRightInd w:val="0"/>
        <w:spacing w:line="360" w:lineRule="auto"/>
        <w:jc w:val="center"/>
        <w:outlineLvl w:val="0"/>
        <w:rPr>
          <w:rFonts w:ascii="楷体_GB2312" w:eastAsia="楷体_GB2312"/>
          <w:b/>
          <w:bCs/>
          <w:sz w:val="44"/>
          <w:szCs w:val="44"/>
          <w:lang w:val="zh-CN"/>
        </w:rPr>
      </w:pPr>
      <w:r>
        <w:rPr>
          <w:rFonts w:ascii="楷体_GB2312" w:eastAsia="楷体_GB2312"/>
          <w:b/>
          <w:bCs/>
          <w:sz w:val="44"/>
          <w:szCs w:val="44"/>
          <w:lang w:val="zh-CN"/>
        </w:rPr>
        <w:br w:type="page"/>
      </w:r>
      <w:r>
        <w:rPr>
          <w:rFonts w:hint="eastAsia" w:ascii="楷体_GB2312" w:eastAsia="楷体_GB2312"/>
          <w:b/>
          <w:bCs/>
          <w:sz w:val="44"/>
          <w:szCs w:val="44"/>
          <w:lang w:val="zh-CN"/>
        </w:rPr>
        <w:t>目   录</w:t>
      </w:r>
    </w:p>
    <w:p>
      <w:pPr>
        <w:autoSpaceDE w:val="0"/>
        <w:autoSpaceDN w:val="0"/>
        <w:adjustRightInd w:val="0"/>
        <w:spacing w:line="480" w:lineRule="auto"/>
        <w:ind w:firstLine="556"/>
        <w:rPr>
          <w:rFonts w:ascii="楷体_GB2312" w:eastAsia="楷体_GB2312"/>
          <w:b/>
          <w:bCs/>
          <w:sz w:val="32"/>
          <w:szCs w:val="32"/>
        </w:rPr>
      </w:pPr>
    </w:p>
    <w:p>
      <w:pPr>
        <w:pStyle w:val="2"/>
      </w:pPr>
    </w:p>
    <w:p>
      <w:pPr>
        <w:pStyle w:val="2"/>
      </w:pPr>
    </w:p>
    <w:p>
      <w:pPr>
        <w:autoSpaceDE w:val="0"/>
        <w:autoSpaceDN w:val="0"/>
        <w:adjustRightInd w:val="0"/>
        <w:spacing w:line="720" w:lineRule="auto"/>
        <w:ind w:left="1680" w:leftChars="800" w:firstLine="643" w:firstLineChars="200"/>
        <w:rPr>
          <w:rFonts w:ascii="楷体_GB2312" w:eastAsia="楷体_GB2312"/>
          <w:b/>
          <w:sz w:val="32"/>
          <w:szCs w:val="32"/>
          <w:lang w:val="zh-CN"/>
        </w:rPr>
      </w:pPr>
      <w:r>
        <w:rPr>
          <w:rFonts w:hint="eastAsia" w:ascii="楷体_GB2312" w:eastAsia="楷体_GB2312"/>
          <w:b/>
          <w:bCs/>
          <w:sz w:val="32"/>
          <w:szCs w:val="32"/>
        </w:rPr>
        <w:t>第一部分  竞争性磋商</w:t>
      </w:r>
      <w:r>
        <w:rPr>
          <w:rFonts w:hint="eastAsia" w:ascii="楷体_GB2312" w:eastAsia="楷体_GB2312"/>
          <w:b/>
          <w:sz w:val="32"/>
          <w:szCs w:val="32"/>
          <w:lang w:val="zh-CN"/>
        </w:rPr>
        <w:t>公告</w:t>
      </w:r>
    </w:p>
    <w:p>
      <w:pPr>
        <w:autoSpaceDE w:val="0"/>
        <w:autoSpaceDN w:val="0"/>
        <w:adjustRightInd w:val="0"/>
        <w:spacing w:line="720" w:lineRule="auto"/>
        <w:ind w:left="1680" w:leftChars="800" w:firstLine="643" w:firstLineChars="200"/>
        <w:rPr>
          <w:rFonts w:ascii="楷体_GB2312" w:eastAsia="楷体_GB2312"/>
          <w:b/>
          <w:sz w:val="32"/>
          <w:szCs w:val="32"/>
          <w:lang w:val="zh-CN"/>
        </w:rPr>
      </w:pPr>
      <w:r>
        <w:rPr>
          <w:rFonts w:hint="eastAsia" w:ascii="楷体_GB2312" w:eastAsia="楷体_GB2312"/>
          <w:b/>
          <w:bCs/>
          <w:sz w:val="32"/>
          <w:szCs w:val="32"/>
        </w:rPr>
        <w:t>第二部分  磋商</w:t>
      </w:r>
      <w:r>
        <w:rPr>
          <w:rFonts w:hint="eastAsia" w:ascii="楷体_GB2312" w:eastAsia="楷体_GB2312"/>
          <w:b/>
          <w:sz w:val="32"/>
          <w:szCs w:val="32"/>
          <w:lang w:val="zh-CN"/>
        </w:rPr>
        <w:t>须知</w:t>
      </w:r>
    </w:p>
    <w:p>
      <w:pPr>
        <w:autoSpaceDE w:val="0"/>
        <w:autoSpaceDN w:val="0"/>
        <w:adjustRightInd w:val="0"/>
        <w:spacing w:line="720" w:lineRule="auto"/>
        <w:ind w:left="1680" w:leftChars="800" w:firstLine="643" w:firstLineChars="200"/>
        <w:rPr>
          <w:rFonts w:ascii="楷体_GB2312" w:eastAsia="楷体_GB2312"/>
          <w:b/>
          <w:sz w:val="32"/>
          <w:szCs w:val="32"/>
          <w:lang w:val="zh-CN"/>
        </w:rPr>
      </w:pPr>
      <w:r>
        <w:rPr>
          <w:rFonts w:hint="eastAsia" w:ascii="楷体_GB2312" w:eastAsia="楷体_GB2312"/>
          <w:b/>
          <w:bCs/>
          <w:sz w:val="32"/>
          <w:szCs w:val="32"/>
        </w:rPr>
        <w:t xml:space="preserve">第三部分  </w:t>
      </w:r>
      <w:r>
        <w:rPr>
          <w:rFonts w:hint="eastAsia" w:ascii="楷体_GB2312" w:eastAsia="楷体_GB2312"/>
          <w:b/>
          <w:sz w:val="32"/>
          <w:szCs w:val="32"/>
          <w:lang w:val="zh-CN"/>
        </w:rPr>
        <w:t>项目需求</w:t>
      </w:r>
    </w:p>
    <w:p>
      <w:pPr>
        <w:autoSpaceDE w:val="0"/>
        <w:autoSpaceDN w:val="0"/>
        <w:adjustRightInd w:val="0"/>
        <w:spacing w:line="720" w:lineRule="auto"/>
        <w:ind w:left="1680" w:leftChars="800" w:firstLine="643" w:firstLineChars="200"/>
        <w:rPr>
          <w:rFonts w:ascii="楷体_GB2312" w:eastAsia="楷体_GB2312"/>
          <w:b/>
          <w:sz w:val="32"/>
          <w:szCs w:val="32"/>
          <w:lang w:val="zh-CN"/>
        </w:rPr>
      </w:pPr>
      <w:r>
        <w:rPr>
          <w:rFonts w:hint="eastAsia" w:ascii="楷体_GB2312" w:eastAsia="楷体_GB2312"/>
          <w:b/>
          <w:bCs/>
          <w:sz w:val="32"/>
          <w:szCs w:val="32"/>
        </w:rPr>
        <w:t>第四部分  磋商</w:t>
      </w:r>
      <w:r>
        <w:rPr>
          <w:rFonts w:hint="eastAsia" w:ascii="楷体_GB2312" w:eastAsia="楷体_GB2312"/>
          <w:b/>
          <w:sz w:val="32"/>
          <w:szCs w:val="32"/>
          <w:lang w:val="zh-CN"/>
        </w:rPr>
        <w:t>程序和内容</w:t>
      </w:r>
    </w:p>
    <w:p>
      <w:pPr>
        <w:tabs>
          <w:tab w:val="left" w:pos="7740"/>
        </w:tabs>
        <w:spacing w:line="720" w:lineRule="auto"/>
        <w:ind w:left="1680" w:leftChars="800" w:firstLine="643" w:firstLineChars="200"/>
        <w:rPr>
          <w:rFonts w:ascii="楷体_GB2312" w:eastAsia="楷体_GB2312"/>
          <w:b/>
          <w:spacing w:val="2"/>
          <w:sz w:val="32"/>
          <w:szCs w:val="32"/>
        </w:rPr>
      </w:pPr>
      <w:r>
        <w:rPr>
          <w:rFonts w:hint="eastAsia" w:ascii="楷体_GB2312" w:eastAsia="楷体_GB2312"/>
          <w:b/>
          <w:bCs/>
          <w:sz w:val="32"/>
          <w:szCs w:val="32"/>
        </w:rPr>
        <w:t>第五部分  响应</w:t>
      </w:r>
      <w:r>
        <w:rPr>
          <w:rFonts w:hint="eastAsia" w:ascii="楷体_GB2312" w:eastAsia="楷体_GB2312"/>
          <w:b/>
          <w:sz w:val="32"/>
          <w:szCs w:val="32"/>
          <w:lang w:val="zh-CN"/>
        </w:rPr>
        <w:t>文件</w:t>
      </w:r>
      <w:r>
        <w:rPr>
          <w:rFonts w:hint="eastAsia" w:ascii="楷体_GB2312" w:eastAsia="楷体_GB2312"/>
          <w:b/>
          <w:bCs/>
          <w:sz w:val="32"/>
          <w:szCs w:val="32"/>
        </w:rPr>
        <w:t>组成</w:t>
      </w:r>
    </w:p>
    <w:p>
      <w:pPr>
        <w:tabs>
          <w:tab w:val="left" w:pos="7740"/>
        </w:tabs>
        <w:spacing w:line="500" w:lineRule="exact"/>
        <w:rPr>
          <w:rFonts w:ascii="楷体_GB2312" w:eastAsia="楷体_GB2312"/>
          <w:b/>
          <w:spacing w:val="2"/>
          <w:sz w:val="32"/>
          <w:szCs w:val="32"/>
        </w:rPr>
      </w:pPr>
    </w:p>
    <w:p>
      <w:pPr>
        <w:autoSpaceDE w:val="0"/>
        <w:autoSpaceDN w:val="0"/>
        <w:adjustRightInd w:val="0"/>
        <w:spacing w:line="540" w:lineRule="exact"/>
        <w:jc w:val="center"/>
        <w:rPr>
          <w:rFonts w:ascii="黑体" w:eastAsia="黑体"/>
          <w:b/>
          <w:bCs/>
          <w:sz w:val="36"/>
          <w:szCs w:val="36"/>
          <w:lang w:val="zh-CN"/>
        </w:rPr>
      </w:pPr>
    </w:p>
    <w:p>
      <w:pPr>
        <w:autoSpaceDE w:val="0"/>
        <w:autoSpaceDN w:val="0"/>
        <w:adjustRightInd w:val="0"/>
        <w:spacing w:line="540" w:lineRule="exact"/>
        <w:rPr>
          <w:rFonts w:ascii="黑体" w:eastAsia="黑体"/>
          <w:b/>
          <w:bCs/>
          <w:sz w:val="36"/>
          <w:szCs w:val="36"/>
          <w:lang w:val="zh-CN"/>
        </w:rPr>
      </w:pPr>
    </w:p>
    <w:p>
      <w:pPr>
        <w:autoSpaceDE w:val="0"/>
        <w:autoSpaceDN w:val="0"/>
        <w:adjustRightInd w:val="0"/>
        <w:spacing w:line="540" w:lineRule="exact"/>
        <w:jc w:val="center"/>
        <w:rPr>
          <w:rFonts w:ascii="黑体" w:eastAsia="黑体"/>
          <w:b/>
          <w:bCs/>
          <w:sz w:val="36"/>
          <w:szCs w:val="36"/>
          <w:lang w:val="zh-CN"/>
        </w:rPr>
      </w:pPr>
    </w:p>
    <w:p>
      <w:pPr>
        <w:pStyle w:val="2"/>
        <w:rPr>
          <w:rFonts w:ascii="黑体" w:eastAsia="黑体"/>
          <w:b/>
          <w:bCs/>
          <w:sz w:val="36"/>
          <w:szCs w:val="36"/>
          <w:lang w:val="zh-CN"/>
        </w:rPr>
      </w:pPr>
    </w:p>
    <w:p>
      <w:pPr>
        <w:pStyle w:val="2"/>
        <w:rPr>
          <w:rFonts w:ascii="黑体" w:eastAsia="黑体"/>
          <w:b/>
          <w:bCs/>
          <w:sz w:val="36"/>
          <w:szCs w:val="36"/>
          <w:lang w:val="zh-CN"/>
        </w:rPr>
      </w:pPr>
    </w:p>
    <w:p>
      <w:pPr>
        <w:autoSpaceDE w:val="0"/>
        <w:autoSpaceDN w:val="0"/>
        <w:adjustRightInd w:val="0"/>
        <w:spacing w:line="540" w:lineRule="exact"/>
        <w:jc w:val="center"/>
        <w:rPr>
          <w:rFonts w:ascii="黑体" w:eastAsia="黑体"/>
          <w:b/>
          <w:bCs/>
          <w:sz w:val="36"/>
          <w:szCs w:val="36"/>
          <w:lang w:val="zh-CN"/>
        </w:rPr>
      </w:pPr>
    </w:p>
    <w:p>
      <w:pPr>
        <w:widowControl/>
        <w:jc w:val="left"/>
        <w:rPr>
          <w:rFonts w:ascii="仿宋_GB2312" w:eastAsia="仿宋_GB2312"/>
          <w:b/>
          <w:bCs/>
          <w:sz w:val="36"/>
          <w:szCs w:val="36"/>
          <w:lang w:val="zh-CN"/>
        </w:rPr>
      </w:pPr>
      <w:r>
        <w:rPr>
          <w:rFonts w:ascii="仿宋_GB2312" w:eastAsia="仿宋_GB2312"/>
          <w:b/>
          <w:bCs/>
          <w:sz w:val="36"/>
          <w:szCs w:val="36"/>
          <w:lang w:val="zh-CN"/>
        </w:rPr>
        <w:br w:type="page"/>
      </w:r>
    </w:p>
    <w:p>
      <w:pPr>
        <w:autoSpaceDE w:val="0"/>
        <w:autoSpaceDN w:val="0"/>
        <w:adjustRightInd w:val="0"/>
        <w:snapToGrid w:val="0"/>
        <w:spacing w:line="300" w:lineRule="auto"/>
        <w:jc w:val="center"/>
        <w:outlineLvl w:val="0"/>
        <w:rPr>
          <w:rFonts w:ascii="仿宋_GB2312" w:eastAsia="仿宋_GB2312"/>
          <w:b/>
          <w:bCs/>
          <w:sz w:val="44"/>
          <w:szCs w:val="44"/>
          <w:lang w:val="zh-CN"/>
        </w:rPr>
      </w:pPr>
      <w:r>
        <w:rPr>
          <w:rFonts w:hint="eastAsia" w:ascii="仿宋_GB2312" w:eastAsia="仿宋_GB2312"/>
          <w:b/>
          <w:bCs/>
          <w:sz w:val="44"/>
          <w:szCs w:val="44"/>
          <w:lang w:val="zh-CN"/>
        </w:rPr>
        <w:t xml:space="preserve">第一部分  </w:t>
      </w:r>
      <w:bookmarkStart w:id="0" w:name="OLE_LINK4"/>
      <w:bookmarkStart w:id="1" w:name="OLE_LINK3"/>
      <w:bookmarkStart w:id="2" w:name="OLE_LINK2"/>
      <w:bookmarkStart w:id="3" w:name="OLE_LINK5"/>
      <w:bookmarkStart w:id="4" w:name="OLE_LINK1"/>
      <w:r>
        <w:rPr>
          <w:rFonts w:hint="eastAsia" w:ascii="仿宋_GB2312" w:eastAsia="仿宋_GB2312"/>
          <w:b/>
          <w:bCs/>
          <w:sz w:val="44"/>
          <w:szCs w:val="44"/>
          <w:lang w:val="zh-CN"/>
        </w:rPr>
        <w:t>竞争性磋商公告</w:t>
      </w:r>
    </w:p>
    <w:p>
      <w:pPr>
        <w:spacing w:line="360" w:lineRule="auto"/>
        <w:ind w:firstLine="588" w:firstLineChars="200"/>
        <w:rPr>
          <w:rFonts w:ascii="仿宋" w:hAnsi="仿宋" w:eastAsia="仿宋_GB2312" w:cs="宋体"/>
          <w:spacing w:val="7"/>
          <w:kern w:val="0"/>
          <w:sz w:val="28"/>
          <w:szCs w:val="22"/>
        </w:rPr>
      </w:pPr>
      <w:r>
        <w:rPr>
          <w:rFonts w:hint="eastAsia" w:ascii="仿宋" w:hAnsi="仿宋" w:eastAsia="仿宋_GB2312" w:cs="宋体"/>
          <w:spacing w:val="7"/>
          <w:kern w:val="0"/>
          <w:sz w:val="28"/>
          <w:szCs w:val="22"/>
        </w:rPr>
        <w:t>南通开放大学（以下简称采购单位）对数字资源制作服务项目拟用竞争性磋商方式组织采购。现公告如下：</w:t>
      </w:r>
    </w:p>
    <w:p>
      <w:pPr>
        <w:widowControl/>
        <w:shd w:val="clear" w:color="auto" w:fill="FFFFFF"/>
        <w:spacing w:line="300" w:lineRule="auto"/>
        <w:ind w:firstLine="578" w:firstLineChars="196"/>
        <w:rPr>
          <w:rFonts w:ascii="仿宋" w:hAnsi="仿宋" w:eastAsia="仿宋_GB2312" w:cs="宋体"/>
          <w:b/>
          <w:spacing w:val="7"/>
          <w:kern w:val="0"/>
          <w:sz w:val="28"/>
          <w:szCs w:val="22"/>
        </w:rPr>
      </w:pPr>
      <w:r>
        <w:rPr>
          <w:rFonts w:hint="eastAsia" w:ascii="仿宋" w:hAnsi="仿宋" w:eastAsia="仿宋_GB2312" w:cs="宋体"/>
          <w:b/>
          <w:spacing w:val="7"/>
          <w:kern w:val="0"/>
          <w:sz w:val="28"/>
          <w:szCs w:val="22"/>
        </w:rPr>
        <w:t>一、项目基本情况</w:t>
      </w:r>
    </w:p>
    <w:p>
      <w:pPr>
        <w:widowControl/>
        <w:shd w:val="clear" w:color="auto" w:fill="FFFFFF"/>
        <w:spacing w:line="300" w:lineRule="auto"/>
        <w:ind w:firstLine="588" w:firstLineChars="200"/>
        <w:rPr>
          <w:rFonts w:ascii="Microsoft YaHei UI" w:hAnsi="Microsoft YaHei UI" w:eastAsia="仿宋_GB2312" w:cs="宋体"/>
          <w:b/>
          <w:bCs/>
          <w:spacing w:val="7"/>
          <w:kern w:val="0"/>
          <w:sz w:val="28"/>
          <w:szCs w:val="23"/>
        </w:rPr>
      </w:pPr>
      <w:r>
        <w:rPr>
          <w:rFonts w:hint="eastAsia" w:ascii="仿宋" w:hAnsi="仿宋" w:eastAsia="仿宋_GB2312" w:cs="宋体"/>
          <w:spacing w:val="7"/>
          <w:kern w:val="0"/>
          <w:sz w:val="28"/>
          <w:szCs w:val="22"/>
        </w:rPr>
        <w:t>项目编号：</w:t>
      </w:r>
      <w:r>
        <w:rPr>
          <w:rFonts w:hint="eastAsia" w:ascii="仿宋" w:hAnsi="仿宋" w:eastAsia="仿宋_GB2312" w:cs="宋体"/>
          <w:spacing w:val="7"/>
          <w:kern w:val="0"/>
          <w:sz w:val="28"/>
          <w:szCs w:val="22"/>
          <w:lang w:val="en-US" w:eastAsia="zh-CN"/>
        </w:rPr>
        <w:t>KD-2022013</w:t>
      </w:r>
    </w:p>
    <w:p>
      <w:pPr>
        <w:widowControl/>
        <w:shd w:val="clear" w:color="auto" w:fill="FFFFFF"/>
        <w:spacing w:line="300" w:lineRule="auto"/>
        <w:ind w:firstLine="588" w:firstLineChars="200"/>
        <w:rPr>
          <w:rFonts w:ascii="仿宋" w:hAnsi="仿宋" w:eastAsia="仿宋_GB2312" w:cs="宋体"/>
          <w:spacing w:val="7"/>
          <w:kern w:val="0"/>
          <w:sz w:val="28"/>
          <w:szCs w:val="22"/>
        </w:rPr>
      </w:pPr>
      <w:r>
        <w:rPr>
          <w:rFonts w:hint="eastAsia" w:ascii="仿宋" w:hAnsi="仿宋" w:eastAsia="仿宋_GB2312" w:cs="宋体"/>
          <w:spacing w:val="7"/>
          <w:kern w:val="0"/>
          <w:sz w:val="28"/>
          <w:szCs w:val="22"/>
        </w:rPr>
        <w:t>项目名称：2022</w:t>
      </w:r>
      <w:r>
        <w:rPr>
          <w:rFonts w:ascii="仿宋" w:hAnsi="仿宋" w:eastAsia="仿宋_GB2312" w:cs="宋体"/>
          <w:spacing w:val="7"/>
          <w:kern w:val="0"/>
          <w:sz w:val="28"/>
          <w:szCs w:val="22"/>
        </w:rPr>
        <w:t>-2023</w:t>
      </w:r>
      <w:r>
        <w:rPr>
          <w:rFonts w:hint="eastAsia" w:ascii="仿宋" w:hAnsi="仿宋" w:eastAsia="仿宋_GB2312" w:cs="宋体"/>
          <w:spacing w:val="7"/>
          <w:kern w:val="0"/>
          <w:sz w:val="28"/>
          <w:szCs w:val="22"/>
        </w:rPr>
        <w:t>年度在线课程及教学比赛视频制作服务项目</w:t>
      </w:r>
    </w:p>
    <w:p>
      <w:pPr>
        <w:widowControl/>
        <w:shd w:val="clear" w:color="auto" w:fill="FFFFFF"/>
        <w:spacing w:line="300" w:lineRule="auto"/>
        <w:ind w:firstLine="588" w:firstLineChars="200"/>
        <w:rPr>
          <w:rFonts w:ascii="仿宋" w:hAnsi="仿宋" w:eastAsia="仿宋_GB2312" w:cs="宋体"/>
          <w:spacing w:val="7"/>
          <w:kern w:val="0"/>
          <w:sz w:val="28"/>
          <w:szCs w:val="22"/>
        </w:rPr>
      </w:pPr>
      <w:r>
        <w:rPr>
          <w:rFonts w:hint="eastAsia" w:ascii="仿宋" w:hAnsi="仿宋" w:eastAsia="仿宋_GB2312" w:cs="宋体"/>
          <w:spacing w:val="7"/>
          <w:kern w:val="0"/>
          <w:sz w:val="28"/>
          <w:szCs w:val="22"/>
        </w:rPr>
        <w:t>项目预算金额：</w:t>
      </w:r>
      <w:r>
        <w:rPr>
          <w:rFonts w:ascii="仿宋" w:hAnsi="仿宋" w:eastAsia="仿宋_GB2312" w:cs="宋体"/>
          <w:spacing w:val="7"/>
          <w:kern w:val="0"/>
          <w:sz w:val="28"/>
          <w:szCs w:val="22"/>
        </w:rPr>
        <w:t>28</w:t>
      </w:r>
      <w:r>
        <w:rPr>
          <w:rFonts w:hint="eastAsia" w:ascii="仿宋" w:hAnsi="仿宋" w:eastAsia="仿宋_GB2312" w:cs="宋体"/>
          <w:spacing w:val="7"/>
          <w:kern w:val="0"/>
          <w:sz w:val="28"/>
          <w:szCs w:val="22"/>
        </w:rPr>
        <w:t>万元/年，最终</w:t>
      </w:r>
      <w:r>
        <w:rPr>
          <w:rFonts w:ascii="仿宋" w:hAnsi="仿宋" w:eastAsia="仿宋_GB2312" w:cs="宋体"/>
          <w:spacing w:val="7"/>
          <w:kern w:val="0"/>
          <w:sz w:val="28"/>
          <w:szCs w:val="22"/>
        </w:rPr>
        <w:t>报价超过采购预算的为无效</w:t>
      </w:r>
      <w:r>
        <w:rPr>
          <w:rFonts w:hint="eastAsia" w:ascii="仿宋" w:hAnsi="仿宋" w:eastAsia="仿宋_GB2312" w:cs="宋体"/>
          <w:spacing w:val="7"/>
          <w:kern w:val="0"/>
          <w:sz w:val="28"/>
          <w:szCs w:val="22"/>
        </w:rPr>
        <w:t>响应文件</w:t>
      </w:r>
      <w:r>
        <w:rPr>
          <w:rFonts w:ascii="仿宋" w:hAnsi="仿宋" w:eastAsia="仿宋_GB2312" w:cs="宋体"/>
          <w:spacing w:val="7"/>
          <w:kern w:val="0"/>
          <w:sz w:val="28"/>
          <w:szCs w:val="22"/>
        </w:rPr>
        <w:t>。</w:t>
      </w:r>
    </w:p>
    <w:p>
      <w:pPr>
        <w:widowControl/>
        <w:shd w:val="clear" w:color="auto" w:fill="FFFFFF"/>
        <w:spacing w:line="300" w:lineRule="auto"/>
        <w:ind w:firstLine="575" w:firstLineChars="195"/>
        <w:rPr>
          <w:rFonts w:ascii="仿宋" w:hAnsi="仿宋" w:eastAsia="仿宋_GB2312" w:cs="宋体"/>
          <w:b/>
          <w:spacing w:val="7"/>
          <w:kern w:val="0"/>
          <w:sz w:val="28"/>
          <w:szCs w:val="22"/>
        </w:rPr>
      </w:pPr>
      <w:r>
        <w:rPr>
          <w:rFonts w:hint="eastAsia" w:ascii="仿宋" w:hAnsi="仿宋" w:eastAsia="仿宋_GB2312" w:cs="宋体"/>
          <w:b/>
          <w:spacing w:val="7"/>
          <w:kern w:val="0"/>
          <w:sz w:val="28"/>
          <w:szCs w:val="22"/>
        </w:rPr>
        <w:t>二、申请人的资格要求：</w:t>
      </w:r>
    </w:p>
    <w:p>
      <w:pPr>
        <w:widowControl/>
        <w:shd w:val="clear" w:color="auto" w:fill="FFFFFF"/>
        <w:spacing w:line="300" w:lineRule="auto"/>
        <w:ind w:firstLine="588" w:firstLineChars="200"/>
        <w:rPr>
          <w:rFonts w:ascii="仿宋" w:hAnsi="仿宋" w:eastAsia="仿宋_GB2312" w:cs="宋体"/>
          <w:spacing w:val="7"/>
          <w:kern w:val="0"/>
          <w:sz w:val="28"/>
          <w:szCs w:val="22"/>
        </w:rPr>
      </w:pPr>
      <w:r>
        <w:rPr>
          <w:rFonts w:hint="eastAsia" w:ascii="仿宋" w:hAnsi="仿宋" w:eastAsia="仿宋_GB2312" w:cs="宋体"/>
          <w:spacing w:val="7"/>
          <w:kern w:val="0"/>
          <w:sz w:val="28"/>
          <w:szCs w:val="22"/>
        </w:rPr>
        <w:t>1.符合政府采购法第二十二条第一款规定的条件，并提供下列材料：</w:t>
      </w:r>
    </w:p>
    <w:p>
      <w:pPr>
        <w:widowControl/>
        <w:shd w:val="clear" w:color="auto" w:fill="FFFFFF"/>
        <w:spacing w:line="300" w:lineRule="auto"/>
        <w:ind w:firstLine="503"/>
        <w:rPr>
          <w:rFonts w:ascii="仿宋" w:hAnsi="仿宋" w:eastAsia="仿宋_GB2312" w:cs="宋体"/>
          <w:spacing w:val="7"/>
          <w:kern w:val="0"/>
          <w:sz w:val="28"/>
          <w:szCs w:val="22"/>
        </w:rPr>
      </w:pPr>
      <w:r>
        <w:rPr>
          <w:rFonts w:hint="eastAsia" w:ascii="仿宋" w:hAnsi="仿宋" w:eastAsia="仿宋_GB2312" w:cs="宋体"/>
          <w:spacing w:val="7"/>
          <w:kern w:val="0"/>
          <w:sz w:val="28"/>
          <w:szCs w:val="22"/>
        </w:rPr>
        <w:t>（</w:t>
      </w:r>
      <w:r>
        <w:rPr>
          <w:rFonts w:ascii="仿宋" w:hAnsi="仿宋" w:eastAsia="仿宋_GB2312" w:cs="宋体"/>
          <w:spacing w:val="7"/>
          <w:kern w:val="0"/>
          <w:sz w:val="28"/>
          <w:szCs w:val="22"/>
        </w:rPr>
        <w:t>1</w:t>
      </w:r>
      <w:r>
        <w:rPr>
          <w:rFonts w:hint="eastAsia" w:ascii="仿宋" w:hAnsi="仿宋" w:eastAsia="仿宋_GB2312" w:cs="宋体"/>
          <w:spacing w:val="7"/>
          <w:kern w:val="0"/>
          <w:sz w:val="28"/>
          <w:szCs w:val="22"/>
        </w:rPr>
        <w:t>）法人或者其他组织的营业执照等证明文件，自然人的身份证明；</w:t>
      </w:r>
    </w:p>
    <w:p>
      <w:pPr>
        <w:widowControl/>
        <w:shd w:val="clear" w:color="auto" w:fill="FFFFFF"/>
        <w:spacing w:line="300" w:lineRule="auto"/>
        <w:ind w:firstLine="503"/>
        <w:rPr>
          <w:rFonts w:ascii="仿宋" w:hAnsi="仿宋" w:eastAsia="仿宋_GB2312" w:cs="宋体"/>
          <w:spacing w:val="7"/>
          <w:kern w:val="0"/>
          <w:sz w:val="28"/>
          <w:szCs w:val="22"/>
        </w:rPr>
      </w:pPr>
      <w:r>
        <w:rPr>
          <w:rFonts w:hint="eastAsia" w:ascii="仿宋" w:hAnsi="仿宋" w:eastAsia="仿宋_GB2312" w:cs="宋体"/>
          <w:spacing w:val="7"/>
          <w:kern w:val="0"/>
          <w:sz w:val="28"/>
          <w:szCs w:val="22"/>
        </w:rPr>
        <w:t>（2）上一年度的财务状况报告（成立不满一年不需提供）；</w:t>
      </w:r>
    </w:p>
    <w:p>
      <w:pPr>
        <w:widowControl/>
        <w:shd w:val="clear" w:color="auto" w:fill="FFFFFF"/>
        <w:spacing w:line="300" w:lineRule="auto"/>
        <w:ind w:firstLine="503"/>
        <w:rPr>
          <w:rFonts w:ascii="仿宋" w:hAnsi="仿宋" w:eastAsia="仿宋_GB2312" w:cs="宋体"/>
          <w:spacing w:val="7"/>
          <w:kern w:val="0"/>
          <w:sz w:val="28"/>
          <w:szCs w:val="22"/>
        </w:rPr>
      </w:pPr>
      <w:r>
        <w:rPr>
          <w:rFonts w:hint="eastAsia" w:ascii="仿宋" w:hAnsi="仿宋" w:eastAsia="仿宋_GB2312" w:cs="宋体"/>
          <w:spacing w:val="7"/>
          <w:kern w:val="0"/>
          <w:sz w:val="28"/>
          <w:szCs w:val="22"/>
        </w:rPr>
        <w:t>（3）依法缴纳税收和社会保障资金的相关材料；</w:t>
      </w:r>
    </w:p>
    <w:p>
      <w:pPr>
        <w:widowControl/>
        <w:shd w:val="clear" w:color="auto" w:fill="FFFFFF"/>
        <w:spacing w:line="300" w:lineRule="auto"/>
        <w:ind w:firstLine="503"/>
        <w:rPr>
          <w:rFonts w:ascii="仿宋" w:hAnsi="仿宋" w:eastAsia="仿宋_GB2312" w:cs="宋体"/>
          <w:spacing w:val="7"/>
          <w:kern w:val="0"/>
          <w:sz w:val="28"/>
          <w:szCs w:val="22"/>
        </w:rPr>
      </w:pPr>
      <w:r>
        <w:rPr>
          <w:rFonts w:hint="eastAsia" w:ascii="仿宋" w:hAnsi="仿宋" w:eastAsia="仿宋_GB2312" w:cs="宋体"/>
          <w:spacing w:val="7"/>
          <w:kern w:val="0"/>
          <w:sz w:val="28"/>
          <w:szCs w:val="22"/>
        </w:rPr>
        <w:t>（4）具备履行合同所必需的设备和专业技术能力的证明材料。</w:t>
      </w:r>
    </w:p>
    <w:p>
      <w:pPr>
        <w:widowControl/>
        <w:shd w:val="clear" w:color="auto" w:fill="FFFFFF"/>
        <w:spacing w:line="300" w:lineRule="auto"/>
        <w:ind w:firstLine="588" w:firstLineChars="200"/>
        <w:rPr>
          <w:rFonts w:ascii="仿宋" w:hAnsi="仿宋" w:eastAsia="仿宋_GB2312" w:cs="宋体"/>
          <w:spacing w:val="7"/>
          <w:kern w:val="0"/>
          <w:sz w:val="28"/>
          <w:szCs w:val="22"/>
          <w:lang w:val="zh-CN"/>
        </w:rPr>
      </w:pPr>
      <w:r>
        <w:rPr>
          <w:rFonts w:ascii="仿宋" w:hAnsi="仿宋" w:eastAsia="仿宋_GB2312" w:cs="宋体"/>
          <w:spacing w:val="7"/>
          <w:kern w:val="0"/>
          <w:sz w:val="28"/>
          <w:szCs w:val="22"/>
        </w:rPr>
        <w:t>2</w:t>
      </w:r>
      <w:r>
        <w:rPr>
          <w:rFonts w:hint="eastAsia" w:ascii="仿宋" w:hAnsi="仿宋" w:eastAsia="仿宋_GB2312" w:cs="宋体"/>
          <w:spacing w:val="7"/>
          <w:kern w:val="0"/>
          <w:sz w:val="28"/>
          <w:szCs w:val="22"/>
        </w:rPr>
        <w:t>.本项目不接受联合体参与。</w:t>
      </w:r>
    </w:p>
    <w:p>
      <w:pPr>
        <w:widowControl/>
        <w:shd w:val="clear" w:color="auto" w:fill="FFFFFF"/>
        <w:spacing w:line="300" w:lineRule="auto"/>
        <w:ind w:firstLine="588" w:firstLineChars="200"/>
        <w:rPr>
          <w:rFonts w:ascii="仿宋_GB2312" w:hAnsi="仿宋" w:eastAsia="仿宋_GB2312" w:cs="宋体"/>
          <w:spacing w:val="7"/>
          <w:kern w:val="0"/>
          <w:sz w:val="28"/>
          <w:szCs w:val="22"/>
        </w:rPr>
      </w:pPr>
      <w:r>
        <w:rPr>
          <w:rFonts w:ascii="仿宋_GB2312" w:hAnsi="仿宋" w:eastAsia="仿宋_GB2312" w:cs="宋体"/>
          <w:spacing w:val="7"/>
          <w:kern w:val="0"/>
          <w:sz w:val="28"/>
          <w:szCs w:val="22"/>
        </w:rPr>
        <w:t>3</w:t>
      </w:r>
      <w:r>
        <w:rPr>
          <w:rFonts w:hint="eastAsia" w:ascii="仿宋_GB2312" w:hAnsi="仿宋" w:eastAsia="仿宋_GB2312" w:cs="宋体"/>
          <w:spacing w:val="7"/>
          <w:kern w:val="0"/>
          <w:sz w:val="28"/>
          <w:szCs w:val="22"/>
        </w:rPr>
        <w:t>.未被“信用中国”网站列入失信被执行人、重大税收违法案件当事人名单、政府采购严重失信行为记录名单。</w:t>
      </w:r>
    </w:p>
    <w:p>
      <w:pPr>
        <w:widowControl/>
        <w:shd w:val="clear" w:color="auto" w:fill="FFFFFF"/>
        <w:spacing w:line="300" w:lineRule="auto"/>
        <w:ind w:firstLine="588" w:firstLineChars="200"/>
        <w:rPr>
          <w:rFonts w:ascii="仿宋_GB2312" w:hAnsi="仿宋" w:eastAsia="仿宋_GB2312" w:cs="宋体"/>
          <w:spacing w:val="7"/>
          <w:kern w:val="0"/>
          <w:sz w:val="28"/>
          <w:szCs w:val="22"/>
        </w:rPr>
      </w:pPr>
      <w:r>
        <w:rPr>
          <w:rFonts w:ascii="仿宋" w:hAnsi="仿宋" w:eastAsia="仿宋" w:cs="仿宋"/>
          <w:spacing w:val="7"/>
          <w:kern w:val="0"/>
          <w:sz w:val="28"/>
          <w:szCs w:val="22"/>
        </w:rPr>
        <w:t>4</w:t>
      </w:r>
      <w:r>
        <w:rPr>
          <w:rFonts w:hint="eastAsia" w:ascii="仿宋" w:hAnsi="仿宋" w:eastAsia="仿宋" w:cs="仿宋"/>
          <w:spacing w:val="7"/>
          <w:kern w:val="0"/>
          <w:sz w:val="28"/>
          <w:szCs w:val="22"/>
        </w:rPr>
        <w:t>.投标人法定代表人参加投标的，必须提供法定代表人身份证明及法定代表人本人身份证原件复印件；非法定代表人参加投标的，必须提供法定代表人签名或盖章的授权委托书及法定代表人和被授权人两个人的身份证原件复印件。</w:t>
      </w:r>
    </w:p>
    <w:p>
      <w:pPr>
        <w:widowControl/>
        <w:shd w:val="clear" w:color="auto" w:fill="FFFFFF"/>
        <w:spacing w:line="300" w:lineRule="auto"/>
        <w:ind w:firstLine="588" w:firstLineChars="200"/>
        <w:rPr>
          <w:rFonts w:ascii="仿宋" w:hAnsi="仿宋" w:eastAsia="仿宋_GB2312" w:cs="宋体"/>
          <w:spacing w:val="7"/>
          <w:kern w:val="0"/>
          <w:sz w:val="28"/>
          <w:szCs w:val="22"/>
        </w:rPr>
      </w:pPr>
      <w:r>
        <w:rPr>
          <w:rFonts w:hint="eastAsia" w:ascii="仿宋" w:hAnsi="仿宋" w:eastAsia="仿宋_GB2312" w:cs="宋体"/>
          <w:spacing w:val="7"/>
          <w:kern w:val="0"/>
          <w:sz w:val="28"/>
          <w:szCs w:val="22"/>
        </w:rPr>
        <w:t xml:space="preserve">请供应商认真对照资格要求，如不符合要求，无意或故意参与投标的，所产生的一切后果由供应商承担。 </w:t>
      </w:r>
    </w:p>
    <w:p>
      <w:pPr>
        <w:widowControl/>
        <w:shd w:val="clear" w:color="auto" w:fill="FFFFFF"/>
        <w:spacing w:line="300" w:lineRule="auto"/>
        <w:ind w:firstLine="590" w:firstLineChars="200"/>
        <w:rPr>
          <w:rFonts w:ascii="仿宋" w:hAnsi="仿宋" w:eastAsia="仿宋" w:cs="仿宋"/>
          <w:b/>
          <w:spacing w:val="7"/>
          <w:kern w:val="0"/>
          <w:sz w:val="28"/>
          <w:szCs w:val="22"/>
        </w:rPr>
      </w:pPr>
      <w:r>
        <w:rPr>
          <w:rFonts w:hint="eastAsia" w:ascii="仿宋" w:hAnsi="仿宋" w:eastAsia="仿宋" w:cs="仿宋"/>
          <w:b/>
          <w:spacing w:val="7"/>
          <w:kern w:val="0"/>
          <w:sz w:val="28"/>
          <w:szCs w:val="22"/>
        </w:rPr>
        <w:t>三、获取采购文件</w:t>
      </w:r>
    </w:p>
    <w:p>
      <w:pPr>
        <w:widowControl/>
        <w:shd w:val="clear" w:color="auto" w:fill="FFFFFF"/>
        <w:spacing w:line="300" w:lineRule="auto"/>
        <w:ind w:firstLine="488"/>
        <w:rPr>
          <w:rFonts w:ascii="仿宋" w:hAnsi="仿宋" w:eastAsia="仿宋" w:cs="仿宋"/>
          <w:spacing w:val="7"/>
          <w:kern w:val="0"/>
          <w:sz w:val="28"/>
          <w:szCs w:val="23"/>
        </w:rPr>
      </w:pPr>
      <w:r>
        <w:rPr>
          <w:rFonts w:hint="eastAsia" w:ascii="仿宋" w:hAnsi="仿宋" w:eastAsia="仿宋" w:cs="仿宋"/>
          <w:spacing w:val="7"/>
          <w:kern w:val="0"/>
          <w:sz w:val="28"/>
          <w:szCs w:val="22"/>
        </w:rPr>
        <w:t>时间：202</w:t>
      </w:r>
      <w:r>
        <w:rPr>
          <w:rFonts w:ascii="仿宋" w:hAnsi="仿宋" w:eastAsia="仿宋" w:cs="仿宋"/>
          <w:spacing w:val="7"/>
          <w:kern w:val="0"/>
          <w:sz w:val="28"/>
          <w:szCs w:val="22"/>
        </w:rPr>
        <w:t>2</w:t>
      </w:r>
      <w:r>
        <w:rPr>
          <w:rFonts w:hint="eastAsia" w:ascii="仿宋" w:hAnsi="仿宋" w:eastAsia="仿宋" w:cs="仿宋"/>
          <w:spacing w:val="7"/>
          <w:kern w:val="0"/>
          <w:sz w:val="28"/>
          <w:szCs w:val="22"/>
        </w:rPr>
        <w:t>年</w:t>
      </w:r>
      <w:r>
        <w:rPr>
          <w:rFonts w:hint="eastAsia" w:ascii="仿宋" w:hAnsi="仿宋" w:eastAsia="仿宋" w:cs="仿宋"/>
          <w:sz w:val="28"/>
          <w:szCs w:val="28"/>
          <w:lang w:val="en-US" w:eastAsia="zh-CN"/>
        </w:rPr>
        <w:t>5</w:t>
      </w:r>
      <w:r>
        <w:rPr>
          <w:rFonts w:hint="eastAsia" w:ascii="仿宋" w:hAnsi="仿宋" w:eastAsia="仿宋" w:cs="仿宋"/>
          <w:spacing w:val="7"/>
          <w:kern w:val="0"/>
          <w:sz w:val="28"/>
          <w:szCs w:val="22"/>
        </w:rPr>
        <w:t>月</w:t>
      </w:r>
      <w:r>
        <w:rPr>
          <w:rFonts w:hint="eastAsia" w:ascii="仿宋" w:hAnsi="仿宋" w:eastAsia="仿宋" w:cs="仿宋"/>
          <w:spacing w:val="7"/>
          <w:kern w:val="0"/>
          <w:sz w:val="28"/>
          <w:szCs w:val="22"/>
          <w:lang w:val="en-US" w:eastAsia="zh-CN"/>
        </w:rPr>
        <w:t>18</w:t>
      </w:r>
      <w:r>
        <w:rPr>
          <w:rFonts w:hint="eastAsia" w:ascii="仿宋" w:hAnsi="仿宋" w:eastAsia="仿宋" w:cs="仿宋"/>
          <w:spacing w:val="7"/>
          <w:kern w:val="0"/>
          <w:sz w:val="28"/>
          <w:szCs w:val="22"/>
        </w:rPr>
        <w:t>日至202</w:t>
      </w:r>
      <w:r>
        <w:rPr>
          <w:rFonts w:ascii="仿宋" w:hAnsi="仿宋" w:eastAsia="仿宋" w:cs="仿宋"/>
          <w:spacing w:val="7"/>
          <w:kern w:val="0"/>
          <w:sz w:val="28"/>
          <w:szCs w:val="22"/>
        </w:rPr>
        <w:t>2</w:t>
      </w:r>
      <w:r>
        <w:rPr>
          <w:rFonts w:hint="eastAsia" w:ascii="仿宋" w:hAnsi="仿宋" w:eastAsia="仿宋" w:cs="仿宋"/>
          <w:spacing w:val="7"/>
          <w:kern w:val="0"/>
          <w:sz w:val="28"/>
          <w:szCs w:val="22"/>
        </w:rPr>
        <w:t>年</w:t>
      </w:r>
      <w:r>
        <w:rPr>
          <w:rFonts w:hint="eastAsia" w:ascii="仿宋" w:hAnsi="仿宋" w:eastAsia="仿宋" w:cs="仿宋"/>
          <w:sz w:val="28"/>
          <w:szCs w:val="28"/>
          <w:lang w:val="en-US" w:eastAsia="zh-CN"/>
        </w:rPr>
        <w:t>5</w:t>
      </w:r>
      <w:r>
        <w:rPr>
          <w:rFonts w:hint="eastAsia" w:ascii="仿宋" w:hAnsi="仿宋" w:eastAsia="仿宋" w:cs="仿宋"/>
          <w:spacing w:val="7"/>
          <w:kern w:val="0"/>
          <w:sz w:val="28"/>
          <w:szCs w:val="22"/>
        </w:rPr>
        <w:t>月</w:t>
      </w:r>
      <w:r>
        <w:rPr>
          <w:rFonts w:hint="eastAsia" w:ascii="仿宋" w:hAnsi="仿宋" w:eastAsia="仿宋" w:cs="仿宋"/>
          <w:spacing w:val="7"/>
          <w:kern w:val="0"/>
          <w:sz w:val="28"/>
          <w:szCs w:val="22"/>
          <w:lang w:val="en-US" w:eastAsia="zh-CN"/>
        </w:rPr>
        <w:t>27</w:t>
      </w:r>
      <w:r>
        <w:rPr>
          <w:rFonts w:hint="eastAsia" w:ascii="仿宋" w:hAnsi="仿宋" w:eastAsia="仿宋" w:cs="仿宋"/>
          <w:spacing w:val="7"/>
          <w:kern w:val="0"/>
          <w:sz w:val="28"/>
          <w:szCs w:val="22"/>
        </w:rPr>
        <w:t>日。</w:t>
      </w:r>
    </w:p>
    <w:p>
      <w:pPr>
        <w:widowControl/>
        <w:shd w:val="clear" w:color="auto" w:fill="FFFFFF"/>
        <w:spacing w:line="300" w:lineRule="auto"/>
        <w:ind w:firstLine="488"/>
        <w:rPr>
          <w:rFonts w:ascii="仿宋" w:hAnsi="仿宋" w:eastAsia="仿宋" w:cs="仿宋"/>
          <w:spacing w:val="7"/>
          <w:kern w:val="0"/>
          <w:sz w:val="28"/>
          <w:szCs w:val="23"/>
        </w:rPr>
      </w:pPr>
      <w:r>
        <w:rPr>
          <w:rFonts w:hint="eastAsia" w:ascii="仿宋" w:hAnsi="仿宋" w:eastAsia="仿宋" w:cs="仿宋"/>
          <w:spacing w:val="7"/>
          <w:kern w:val="0"/>
          <w:sz w:val="28"/>
          <w:szCs w:val="22"/>
        </w:rPr>
        <w:t>地点：南通市教育局或南通开放大学网站</w:t>
      </w:r>
    </w:p>
    <w:p>
      <w:pPr>
        <w:widowControl/>
        <w:shd w:val="clear" w:color="auto" w:fill="FFFFFF"/>
        <w:spacing w:line="300" w:lineRule="auto"/>
        <w:ind w:firstLine="488"/>
        <w:rPr>
          <w:rFonts w:ascii="仿宋" w:hAnsi="仿宋" w:eastAsia="仿宋" w:cs="仿宋"/>
          <w:spacing w:val="7"/>
          <w:kern w:val="0"/>
          <w:sz w:val="28"/>
          <w:szCs w:val="23"/>
        </w:rPr>
      </w:pPr>
      <w:r>
        <w:rPr>
          <w:rFonts w:hint="eastAsia" w:ascii="仿宋" w:hAnsi="仿宋" w:eastAsia="仿宋" w:cs="仿宋"/>
          <w:spacing w:val="7"/>
          <w:kern w:val="0"/>
          <w:sz w:val="28"/>
          <w:szCs w:val="22"/>
        </w:rPr>
        <w:t>方式：自行下载</w:t>
      </w:r>
    </w:p>
    <w:p>
      <w:pPr>
        <w:widowControl/>
        <w:shd w:val="clear" w:color="auto" w:fill="FFFFFF"/>
        <w:spacing w:line="300" w:lineRule="auto"/>
        <w:ind w:firstLine="575" w:firstLineChars="195"/>
        <w:rPr>
          <w:rFonts w:ascii="仿宋" w:hAnsi="仿宋" w:eastAsia="仿宋" w:cs="仿宋"/>
          <w:b/>
          <w:spacing w:val="7"/>
          <w:kern w:val="0"/>
          <w:sz w:val="28"/>
          <w:szCs w:val="22"/>
        </w:rPr>
      </w:pPr>
      <w:r>
        <w:rPr>
          <w:rFonts w:hint="eastAsia" w:ascii="仿宋" w:hAnsi="仿宋" w:eastAsia="仿宋" w:cs="仿宋"/>
          <w:b/>
          <w:spacing w:val="7"/>
          <w:kern w:val="0"/>
          <w:sz w:val="28"/>
          <w:szCs w:val="22"/>
        </w:rPr>
        <w:t>四、响应文件提交</w:t>
      </w:r>
    </w:p>
    <w:p>
      <w:pPr>
        <w:widowControl/>
        <w:shd w:val="clear" w:color="auto" w:fill="FFFFFF"/>
        <w:spacing w:line="300" w:lineRule="auto"/>
        <w:ind w:firstLine="588" w:firstLineChars="200"/>
        <w:rPr>
          <w:rFonts w:ascii="仿宋" w:hAnsi="仿宋" w:eastAsia="仿宋" w:cs="仿宋"/>
          <w:spacing w:val="7"/>
          <w:kern w:val="0"/>
          <w:sz w:val="28"/>
          <w:szCs w:val="22"/>
        </w:rPr>
      </w:pPr>
      <w:r>
        <w:rPr>
          <w:rFonts w:hint="eastAsia" w:ascii="仿宋" w:hAnsi="仿宋" w:eastAsia="仿宋" w:cs="仿宋"/>
          <w:spacing w:val="7"/>
          <w:kern w:val="0"/>
          <w:sz w:val="28"/>
          <w:szCs w:val="22"/>
        </w:rPr>
        <w:t>截止时间：2021年</w:t>
      </w:r>
      <w:r>
        <w:rPr>
          <w:rFonts w:hint="eastAsia" w:ascii="仿宋" w:hAnsi="仿宋" w:eastAsia="仿宋" w:cs="仿宋"/>
          <w:sz w:val="28"/>
          <w:szCs w:val="28"/>
          <w:lang w:val="en-US" w:eastAsia="zh-CN"/>
        </w:rPr>
        <w:t>5</w:t>
      </w:r>
      <w:r>
        <w:rPr>
          <w:rFonts w:hint="eastAsia" w:ascii="仿宋" w:hAnsi="仿宋" w:eastAsia="仿宋" w:cs="仿宋"/>
          <w:spacing w:val="7"/>
          <w:kern w:val="0"/>
          <w:sz w:val="28"/>
          <w:szCs w:val="22"/>
        </w:rPr>
        <w:t>月</w:t>
      </w:r>
      <w:r>
        <w:rPr>
          <w:rFonts w:hint="eastAsia" w:ascii="仿宋" w:hAnsi="仿宋" w:eastAsia="仿宋" w:cs="仿宋"/>
          <w:spacing w:val="7"/>
          <w:kern w:val="0"/>
          <w:sz w:val="28"/>
          <w:szCs w:val="22"/>
          <w:lang w:val="en-US" w:eastAsia="zh-CN"/>
        </w:rPr>
        <w:t>31</w:t>
      </w:r>
      <w:r>
        <w:rPr>
          <w:rFonts w:hint="eastAsia" w:ascii="仿宋" w:hAnsi="仿宋" w:eastAsia="仿宋" w:cs="仿宋"/>
          <w:spacing w:val="7"/>
          <w:kern w:val="0"/>
          <w:sz w:val="28"/>
          <w:szCs w:val="22"/>
        </w:rPr>
        <w:t>日</w:t>
      </w:r>
      <w:r>
        <w:rPr>
          <w:rFonts w:hint="eastAsia" w:ascii="仿宋" w:hAnsi="仿宋" w:eastAsia="仿宋" w:cs="仿宋"/>
          <w:spacing w:val="7"/>
          <w:kern w:val="0"/>
          <w:sz w:val="28"/>
          <w:szCs w:val="22"/>
          <w:lang w:val="en-US" w:eastAsia="zh-CN"/>
        </w:rPr>
        <w:t>15</w:t>
      </w:r>
      <w:r>
        <w:rPr>
          <w:rFonts w:hint="eastAsia" w:ascii="仿宋" w:hAnsi="仿宋" w:eastAsia="仿宋" w:cs="仿宋"/>
          <w:spacing w:val="7"/>
          <w:kern w:val="0"/>
          <w:sz w:val="28"/>
          <w:szCs w:val="22"/>
        </w:rPr>
        <w:t>点</w:t>
      </w:r>
      <w:r>
        <w:rPr>
          <w:rFonts w:hint="eastAsia" w:ascii="仿宋" w:hAnsi="仿宋" w:eastAsia="仿宋" w:cs="仿宋"/>
          <w:spacing w:val="7"/>
          <w:kern w:val="0"/>
          <w:sz w:val="28"/>
          <w:szCs w:val="22"/>
          <w:lang w:val="en-US" w:eastAsia="zh-CN"/>
        </w:rPr>
        <w:t>3</w:t>
      </w:r>
      <w:r>
        <w:rPr>
          <w:rFonts w:ascii="仿宋" w:hAnsi="仿宋" w:eastAsia="仿宋" w:cs="仿宋"/>
          <w:spacing w:val="7"/>
          <w:kern w:val="0"/>
          <w:sz w:val="28"/>
          <w:szCs w:val="22"/>
        </w:rPr>
        <w:t>0</w:t>
      </w:r>
      <w:r>
        <w:rPr>
          <w:rFonts w:hint="eastAsia" w:ascii="仿宋" w:hAnsi="仿宋" w:eastAsia="仿宋" w:cs="仿宋"/>
          <w:spacing w:val="7"/>
          <w:kern w:val="0"/>
          <w:sz w:val="28"/>
          <w:szCs w:val="22"/>
        </w:rPr>
        <w:t>分（北京时间）。逾时，采购人将拒绝接受投标响应文件文档。</w:t>
      </w:r>
    </w:p>
    <w:p>
      <w:pPr>
        <w:snapToGrid w:val="0"/>
        <w:spacing w:line="300" w:lineRule="auto"/>
        <w:ind w:firstLine="588" w:firstLineChars="200"/>
        <w:contextualSpacing/>
        <w:rPr>
          <w:rFonts w:ascii="仿宋" w:hAnsi="仿宋" w:eastAsia="仿宋" w:cs="仿宋"/>
          <w:sz w:val="28"/>
          <w:szCs w:val="28"/>
        </w:rPr>
      </w:pPr>
      <w:r>
        <w:rPr>
          <w:rFonts w:hint="eastAsia" w:ascii="仿宋" w:hAnsi="仿宋" w:eastAsia="仿宋" w:cs="仿宋"/>
          <w:spacing w:val="7"/>
          <w:kern w:val="0"/>
          <w:sz w:val="28"/>
          <w:szCs w:val="22"/>
        </w:rPr>
        <w:t>地</w:t>
      </w:r>
      <w:r>
        <w:rPr>
          <w:rFonts w:hint="eastAsia" w:ascii="仿宋" w:hAnsi="仿宋" w:eastAsia="仿宋" w:cs="仿宋"/>
          <w:sz w:val="28"/>
          <w:szCs w:val="28"/>
        </w:rPr>
        <w:t>点：南通市中远</w:t>
      </w:r>
      <w:r>
        <w:rPr>
          <w:rFonts w:ascii="仿宋" w:hAnsi="仿宋" w:eastAsia="仿宋" w:cs="仿宋"/>
          <w:sz w:val="28"/>
          <w:szCs w:val="28"/>
        </w:rPr>
        <w:t>路</w:t>
      </w:r>
      <w:r>
        <w:rPr>
          <w:rFonts w:hint="eastAsia" w:ascii="仿宋" w:hAnsi="仿宋" w:eastAsia="仿宋" w:cs="仿宋"/>
          <w:sz w:val="28"/>
          <w:szCs w:val="28"/>
        </w:rPr>
        <w:t>169号</w:t>
      </w:r>
      <w:r>
        <w:rPr>
          <w:rFonts w:ascii="仿宋" w:hAnsi="仿宋" w:eastAsia="仿宋" w:cs="仿宋"/>
          <w:sz w:val="28"/>
          <w:szCs w:val="28"/>
        </w:rPr>
        <w:t>，</w:t>
      </w:r>
      <w:r>
        <w:rPr>
          <w:rFonts w:hint="eastAsia" w:ascii="仿宋" w:hAnsi="仿宋" w:eastAsia="仿宋" w:cs="仿宋"/>
          <w:sz w:val="28"/>
          <w:szCs w:val="28"/>
        </w:rPr>
        <w:t>南通开放大学中远校区辅楼西二楼开标室（传达室楼上）。</w:t>
      </w:r>
    </w:p>
    <w:p>
      <w:pPr>
        <w:widowControl/>
        <w:shd w:val="clear" w:color="auto" w:fill="FFFFFF"/>
        <w:spacing w:line="300" w:lineRule="auto"/>
        <w:ind w:firstLine="575" w:firstLineChars="195"/>
        <w:rPr>
          <w:rFonts w:ascii="仿宋" w:hAnsi="仿宋" w:eastAsia="仿宋" w:cs="仿宋"/>
          <w:b/>
          <w:spacing w:val="7"/>
          <w:kern w:val="0"/>
          <w:sz w:val="28"/>
          <w:szCs w:val="22"/>
        </w:rPr>
      </w:pPr>
      <w:r>
        <w:rPr>
          <w:rFonts w:hint="eastAsia" w:ascii="仿宋" w:hAnsi="仿宋" w:eastAsia="仿宋" w:cs="仿宋"/>
          <w:b/>
          <w:spacing w:val="7"/>
          <w:kern w:val="0"/>
          <w:sz w:val="28"/>
          <w:szCs w:val="22"/>
        </w:rPr>
        <w:t>五、开启</w:t>
      </w:r>
    </w:p>
    <w:p>
      <w:pPr>
        <w:widowControl/>
        <w:shd w:val="clear" w:color="auto" w:fill="FFFFFF"/>
        <w:spacing w:line="300" w:lineRule="auto"/>
        <w:ind w:firstLine="588" w:firstLineChars="200"/>
        <w:rPr>
          <w:rFonts w:ascii="仿宋" w:hAnsi="仿宋" w:eastAsia="仿宋" w:cs="仿宋"/>
          <w:spacing w:val="7"/>
          <w:kern w:val="0"/>
          <w:sz w:val="28"/>
          <w:szCs w:val="23"/>
        </w:rPr>
      </w:pPr>
      <w:r>
        <w:rPr>
          <w:rFonts w:hint="eastAsia" w:ascii="仿宋" w:hAnsi="仿宋" w:eastAsia="仿宋" w:cs="仿宋"/>
          <w:spacing w:val="7"/>
          <w:kern w:val="0"/>
          <w:sz w:val="28"/>
          <w:szCs w:val="22"/>
        </w:rPr>
        <w:t>时间：202</w:t>
      </w:r>
      <w:r>
        <w:rPr>
          <w:rFonts w:ascii="仿宋" w:hAnsi="仿宋" w:eastAsia="仿宋" w:cs="仿宋"/>
          <w:spacing w:val="7"/>
          <w:kern w:val="0"/>
          <w:sz w:val="28"/>
          <w:szCs w:val="22"/>
        </w:rPr>
        <w:t>2</w:t>
      </w:r>
      <w:r>
        <w:rPr>
          <w:rFonts w:hint="eastAsia" w:ascii="仿宋" w:hAnsi="仿宋" w:eastAsia="仿宋" w:cs="仿宋"/>
          <w:spacing w:val="7"/>
          <w:kern w:val="0"/>
          <w:sz w:val="28"/>
          <w:szCs w:val="22"/>
        </w:rPr>
        <w:t>年</w:t>
      </w:r>
      <w:r>
        <w:rPr>
          <w:rFonts w:hint="eastAsia" w:ascii="仿宋" w:hAnsi="仿宋" w:eastAsia="仿宋" w:cs="仿宋"/>
          <w:sz w:val="28"/>
          <w:szCs w:val="28"/>
          <w:lang w:val="en-US" w:eastAsia="zh-CN"/>
        </w:rPr>
        <w:t>5</w:t>
      </w:r>
      <w:r>
        <w:rPr>
          <w:rFonts w:hint="eastAsia" w:ascii="仿宋" w:hAnsi="仿宋" w:eastAsia="仿宋" w:cs="仿宋"/>
          <w:spacing w:val="7"/>
          <w:kern w:val="0"/>
          <w:sz w:val="28"/>
          <w:szCs w:val="22"/>
        </w:rPr>
        <w:t>月</w:t>
      </w:r>
      <w:r>
        <w:rPr>
          <w:rFonts w:hint="eastAsia" w:ascii="仿宋" w:hAnsi="仿宋" w:eastAsia="仿宋" w:cs="仿宋"/>
          <w:spacing w:val="7"/>
          <w:kern w:val="0"/>
          <w:sz w:val="28"/>
          <w:szCs w:val="22"/>
          <w:lang w:val="en-US" w:eastAsia="zh-CN"/>
        </w:rPr>
        <w:t>31</w:t>
      </w:r>
      <w:r>
        <w:rPr>
          <w:rFonts w:hint="eastAsia" w:ascii="仿宋" w:hAnsi="仿宋" w:eastAsia="仿宋" w:cs="仿宋"/>
          <w:spacing w:val="7"/>
          <w:kern w:val="0"/>
          <w:sz w:val="28"/>
          <w:szCs w:val="22"/>
        </w:rPr>
        <w:t>日</w:t>
      </w:r>
      <w:r>
        <w:rPr>
          <w:rFonts w:hint="eastAsia" w:ascii="仿宋" w:hAnsi="仿宋" w:eastAsia="仿宋" w:cs="仿宋"/>
          <w:spacing w:val="7"/>
          <w:kern w:val="0"/>
          <w:sz w:val="28"/>
          <w:szCs w:val="22"/>
          <w:lang w:val="en-US" w:eastAsia="zh-CN"/>
        </w:rPr>
        <w:t>15</w:t>
      </w:r>
      <w:r>
        <w:rPr>
          <w:rFonts w:hint="eastAsia" w:ascii="仿宋" w:hAnsi="仿宋" w:eastAsia="仿宋" w:cs="仿宋"/>
          <w:spacing w:val="7"/>
          <w:kern w:val="0"/>
          <w:sz w:val="28"/>
          <w:szCs w:val="22"/>
        </w:rPr>
        <w:t>点</w:t>
      </w:r>
      <w:r>
        <w:rPr>
          <w:rFonts w:hint="eastAsia" w:ascii="仿宋" w:hAnsi="仿宋" w:eastAsia="仿宋" w:cs="仿宋"/>
          <w:spacing w:val="7"/>
          <w:kern w:val="0"/>
          <w:sz w:val="28"/>
          <w:szCs w:val="22"/>
          <w:lang w:val="en-US" w:eastAsia="zh-CN"/>
        </w:rPr>
        <w:t>30</w:t>
      </w:r>
      <w:r>
        <w:rPr>
          <w:rFonts w:hint="eastAsia" w:ascii="仿宋" w:hAnsi="仿宋" w:eastAsia="仿宋" w:cs="仿宋"/>
          <w:spacing w:val="7"/>
          <w:kern w:val="0"/>
          <w:sz w:val="28"/>
          <w:szCs w:val="22"/>
        </w:rPr>
        <w:t>分（北京时间）</w:t>
      </w:r>
    </w:p>
    <w:p>
      <w:pPr>
        <w:snapToGrid w:val="0"/>
        <w:spacing w:line="300" w:lineRule="auto"/>
        <w:ind w:firstLine="588" w:firstLineChars="200"/>
        <w:contextualSpacing/>
        <w:rPr>
          <w:rFonts w:ascii="仿宋" w:hAnsi="仿宋" w:eastAsia="仿宋" w:cs="仿宋"/>
          <w:spacing w:val="7"/>
          <w:kern w:val="0"/>
          <w:sz w:val="28"/>
          <w:szCs w:val="22"/>
        </w:rPr>
      </w:pPr>
      <w:r>
        <w:rPr>
          <w:rFonts w:hint="eastAsia" w:ascii="仿宋" w:hAnsi="仿宋" w:eastAsia="仿宋" w:cs="仿宋"/>
          <w:spacing w:val="7"/>
          <w:kern w:val="0"/>
          <w:sz w:val="28"/>
          <w:szCs w:val="22"/>
        </w:rPr>
        <w:t>地点：</w:t>
      </w:r>
      <w:r>
        <w:rPr>
          <w:rFonts w:hint="eastAsia" w:ascii="仿宋" w:hAnsi="仿宋" w:eastAsia="仿宋" w:cs="仿宋"/>
          <w:sz w:val="28"/>
          <w:szCs w:val="28"/>
        </w:rPr>
        <w:t>南通市中远</w:t>
      </w:r>
      <w:r>
        <w:rPr>
          <w:rFonts w:ascii="仿宋" w:hAnsi="仿宋" w:eastAsia="仿宋" w:cs="仿宋"/>
          <w:sz w:val="28"/>
          <w:szCs w:val="28"/>
        </w:rPr>
        <w:t>路</w:t>
      </w:r>
      <w:r>
        <w:rPr>
          <w:rFonts w:hint="eastAsia" w:ascii="仿宋" w:hAnsi="仿宋" w:eastAsia="仿宋" w:cs="仿宋"/>
          <w:sz w:val="28"/>
          <w:szCs w:val="28"/>
        </w:rPr>
        <w:t>169号</w:t>
      </w:r>
      <w:r>
        <w:rPr>
          <w:rFonts w:ascii="仿宋" w:hAnsi="仿宋" w:eastAsia="仿宋" w:cs="仿宋"/>
          <w:sz w:val="28"/>
          <w:szCs w:val="28"/>
        </w:rPr>
        <w:t>，</w:t>
      </w:r>
      <w:r>
        <w:rPr>
          <w:rFonts w:hint="eastAsia" w:ascii="仿宋" w:hAnsi="仿宋" w:eastAsia="仿宋" w:cs="仿宋"/>
          <w:sz w:val="28"/>
          <w:szCs w:val="28"/>
        </w:rPr>
        <w:t>南通开放大学中远校区辅楼西二楼开标室（传达室楼上）。</w:t>
      </w:r>
    </w:p>
    <w:p>
      <w:pPr>
        <w:snapToGrid w:val="0"/>
        <w:spacing w:line="300" w:lineRule="auto"/>
        <w:ind w:firstLine="590" w:firstLineChars="200"/>
        <w:contextualSpacing/>
        <w:rPr>
          <w:rFonts w:ascii="仿宋" w:hAnsi="仿宋" w:eastAsia="仿宋" w:cs="仿宋"/>
          <w:b/>
          <w:spacing w:val="7"/>
          <w:kern w:val="0"/>
          <w:sz w:val="28"/>
          <w:szCs w:val="22"/>
        </w:rPr>
      </w:pPr>
      <w:r>
        <w:rPr>
          <w:rFonts w:hint="eastAsia" w:ascii="仿宋" w:hAnsi="仿宋" w:eastAsia="仿宋" w:cs="仿宋"/>
          <w:b/>
          <w:spacing w:val="7"/>
          <w:kern w:val="0"/>
          <w:sz w:val="28"/>
          <w:szCs w:val="22"/>
        </w:rPr>
        <w:t>六、公告期限</w:t>
      </w:r>
    </w:p>
    <w:p>
      <w:pPr>
        <w:widowControl/>
        <w:shd w:val="clear" w:color="auto" w:fill="FFFFFF"/>
        <w:spacing w:line="300" w:lineRule="auto"/>
        <w:ind w:firstLine="505"/>
        <w:rPr>
          <w:rFonts w:ascii="仿宋" w:hAnsi="仿宋" w:eastAsia="仿宋" w:cs="仿宋"/>
          <w:spacing w:val="7"/>
          <w:kern w:val="0"/>
          <w:sz w:val="28"/>
          <w:szCs w:val="28"/>
        </w:rPr>
      </w:pPr>
      <w:r>
        <w:rPr>
          <w:rFonts w:hint="eastAsia" w:ascii="仿宋" w:hAnsi="仿宋" w:eastAsia="仿宋" w:cs="仿宋"/>
          <w:spacing w:val="7"/>
          <w:kern w:val="0"/>
          <w:sz w:val="28"/>
          <w:szCs w:val="28"/>
        </w:rPr>
        <w:t>自本公告发布之日起3个工作日。</w:t>
      </w:r>
    </w:p>
    <w:p>
      <w:pPr>
        <w:widowControl/>
        <w:shd w:val="clear" w:color="auto" w:fill="FFFFFF"/>
        <w:spacing w:line="300" w:lineRule="auto"/>
        <w:ind w:firstLine="575" w:firstLineChars="195"/>
        <w:rPr>
          <w:rFonts w:ascii="仿宋" w:hAnsi="仿宋" w:eastAsia="仿宋" w:cs="仿宋"/>
          <w:b/>
          <w:spacing w:val="7"/>
          <w:kern w:val="0"/>
          <w:sz w:val="28"/>
          <w:szCs w:val="22"/>
        </w:rPr>
      </w:pPr>
      <w:r>
        <w:rPr>
          <w:rFonts w:hint="eastAsia" w:ascii="仿宋" w:hAnsi="仿宋" w:eastAsia="仿宋" w:cs="仿宋"/>
          <w:b/>
          <w:spacing w:val="7"/>
          <w:kern w:val="0"/>
          <w:sz w:val="28"/>
          <w:szCs w:val="22"/>
        </w:rPr>
        <w:t>七、其他补充事宜</w:t>
      </w:r>
    </w:p>
    <w:p>
      <w:pPr>
        <w:widowControl/>
        <w:shd w:val="clear" w:color="auto" w:fill="FFFFFF"/>
        <w:spacing w:line="300" w:lineRule="auto"/>
        <w:ind w:firstLine="573" w:firstLineChars="195"/>
        <w:rPr>
          <w:rFonts w:ascii="仿宋" w:hAnsi="仿宋" w:eastAsia="仿宋" w:cs="仿宋"/>
          <w:spacing w:val="7"/>
          <w:kern w:val="0"/>
          <w:sz w:val="28"/>
          <w:szCs w:val="22"/>
        </w:rPr>
      </w:pPr>
      <w:r>
        <w:rPr>
          <w:rFonts w:hint="eastAsia" w:ascii="仿宋" w:hAnsi="仿宋" w:eastAsia="仿宋" w:cs="仿宋"/>
          <w:spacing w:val="7"/>
          <w:kern w:val="0"/>
          <w:sz w:val="28"/>
          <w:szCs w:val="22"/>
        </w:rPr>
        <w:t>1、磋商保证金：免收</w:t>
      </w:r>
    </w:p>
    <w:p>
      <w:pPr>
        <w:widowControl/>
        <w:shd w:val="clear" w:color="auto" w:fill="FFFFFF"/>
        <w:spacing w:line="300" w:lineRule="auto"/>
        <w:ind w:firstLine="573" w:firstLineChars="195"/>
        <w:rPr>
          <w:rFonts w:ascii="仿宋" w:hAnsi="仿宋" w:eastAsia="仿宋" w:cs="仿宋"/>
          <w:spacing w:val="7"/>
          <w:kern w:val="0"/>
          <w:sz w:val="28"/>
          <w:szCs w:val="22"/>
        </w:rPr>
      </w:pPr>
      <w:r>
        <w:rPr>
          <w:rFonts w:hint="eastAsia" w:ascii="仿宋" w:hAnsi="仿宋" w:eastAsia="仿宋" w:cs="仿宋"/>
          <w:spacing w:val="7"/>
          <w:kern w:val="0"/>
          <w:sz w:val="28"/>
          <w:szCs w:val="22"/>
        </w:rPr>
        <w:t>2、项目磋商活动模式：本项目采用现场磋商模式</w:t>
      </w:r>
    </w:p>
    <w:p>
      <w:pPr>
        <w:widowControl/>
        <w:shd w:val="clear" w:color="auto" w:fill="FFFFFF"/>
        <w:spacing w:line="300" w:lineRule="auto"/>
        <w:ind w:firstLine="579" w:firstLineChars="197"/>
        <w:outlineLvl w:val="1"/>
        <w:rPr>
          <w:rFonts w:ascii="仿宋" w:hAnsi="仿宋" w:eastAsia="仿宋" w:cs="仿宋"/>
          <w:spacing w:val="7"/>
          <w:kern w:val="0"/>
          <w:sz w:val="28"/>
          <w:szCs w:val="22"/>
        </w:rPr>
      </w:pPr>
      <w:r>
        <w:rPr>
          <w:rFonts w:hint="eastAsia" w:ascii="仿宋" w:hAnsi="仿宋" w:eastAsia="仿宋" w:cs="仿宋"/>
          <w:spacing w:val="7"/>
          <w:kern w:val="0"/>
          <w:sz w:val="28"/>
          <w:szCs w:val="22"/>
        </w:rPr>
        <w:t>3、项目演示、样品、答辩等（如有请描述）：</w:t>
      </w:r>
      <w:r>
        <w:rPr>
          <w:rFonts w:hint="eastAsia" w:ascii="仿宋" w:hAnsi="仿宋" w:eastAsia="仿宋" w:cs="仿宋"/>
          <w:b/>
          <w:spacing w:val="7"/>
          <w:kern w:val="0"/>
          <w:sz w:val="28"/>
          <w:szCs w:val="22"/>
          <w:lang w:val="en-US" w:eastAsia="zh-CN"/>
        </w:rPr>
        <w:t>演示样片</w:t>
      </w:r>
      <w:r>
        <w:rPr>
          <w:rFonts w:hint="eastAsia" w:ascii="仿宋" w:hAnsi="仿宋" w:eastAsia="仿宋" w:cs="仿宋"/>
          <w:b/>
          <w:spacing w:val="7"/>
          <w:kern w:val="0"/>
          <w:sz w:val="28"/>
          <w:szCs w:val="22"/>
        </w:rPr>
        <w:t>。</w:t>
      </w:r>
    </w:p>
    <w:p>
      <w:pPr>
        <w:snapToGrid w:val="0"/>
        <w:spacing w:line="300" w:lineRule="auto"/>
        <w:ind w:firstLine="588" w:firstLineChars="200"/>
        <w:contextualSpacing/>
        <w:rPr>
          <w:rFonts w:ascii="仿宋" w:hAnsi="仿宋" w:eastAsia="仿宋" w:cs="仿宋"/>
          <w:spacing w:val="7"/>
          <w:kern w:val="0"/>
          <w:sz w:val="28"/>
          <w:szCs w:val="22"/>
        </w:rPr>
      </w:pPr>
      <w:r>
        <w:rPr>
          <w:rFonts w:hint="eastAsia" w:ascii="仿宋" w:hAnsi="仿宋" w:eastAsia="仿宋" w:cs="仿宋"/>
          <w:spacing w:val="7"/>
          <w:kern w:val="0"/>
          <w:sz w:val="28"/>
          <w:szCs w:val="22"/>
        </w:rPr>
        <w:t>4、对项目需求部分（供应商其他资格要求、项目需求、评分标准）的询问、质疑请向采购人提出，由采购人负责答复；对项目磋商文件其它部分的询问请向磋商文件制作人或评审经办人提出。</w:t>
      </w:r>
    </w:p>
    <w:p>
      <w:pPr>
        <w:widowControl/>
        <w:shd w:val="clear" w:color="auto" w:fill="FFFFFF"/>
        <w:spacing w:line="300" w:lineRule="auto"/>
        <w:ind w:firstLine="575" w:firstLineChars="195"/>
        <w:rPr>
          <w:rFonts w:ascii="仿宋" w:hAnsi="仿宋" w:eastAsia="仿宋" w:cs="仿宋"/>
          <w:b/>
          <w:spacing w:val="7"/>
          <w:kern w:val="0"/>
          <w:sz w:val="28"/>
          <w:szCs w:val="22"/>
        </w:rPr>
      </w:pPr>
      <w:r>
        <w:rPr>
          <w:rFonts w:hint="eastAsia" w:ascii="仿宋" w:hAnsi="仿宋" w:eastAsia="仿宋" w:cs="仿宋"/>
          <w:b/>
          <w:spacing w:val="7"/>
          <w:kern w:val="0"/>
          <w:sz w:val="28"/>
          <w:szCs w:val="22"/>
        </w:rPr>
        <w:t>八、凡对本次采购提出询问，请按以下方式联系。</w:t>
      </w:r>
    </w:p>
    <w:p>
      <w:pPr>
        <w:snapToGrid w:val="0"/>
        <w:spacing w:line="300" w:lineRule="auto"/>
        <w:ind w:firstLine="588" w:firstLineChars="200"/>
        <w:contextualSpacing/>
        <w:rPr>
          <w:rFonts w:ascii="仿宋" w:hAnsi="仿宋" w:eastAsia="仿宋" w:cs="仿宋"/>
          <w:spacing w:val="7"/>
          <w:kern w:val="0"/>
          <w:sz w:val="28"/>
          <w:szCs w:val="22"/>
        </w:rPr>
      </w:pPr>
      <w:r>
        <w:rPr>
          <w:rFonts w:hint="eastAsia" w:ascii="仿宋" w:hAnsi="仿宋" w:eastAsia="仿宋" w:cs="仿宋"/>
          <w:spacing w:val="7"/>
          <w:kern w:val="0"/>
          <w:sz w:val="28"/>
          <w:szCs w:val="22"/>
        </w:rPr>
        <w:t>对磋商文件的询问，请与</w:t>
      </w:r>
      <w:r>
        <w:rPr>
          <w:rFonts w:hint="eastAsia" w:ascii="仿宋" w:hAnsi="仿宋" w:eastAsia="仿宋" w:cs="仿宋"/>
          <w:spacing w:val="7"/>
          <w:kern w:val="0"/>
          <w:sz w:val="28"/>
          <w:szCs w:val="22"/>
          <w:lang w:val="en-US" w:eastAsia="zh-CN"/>
        </w:rPr>
        <w:t>姜</w:t>
      </w:r>
      <w:r>
        <w:rPr>
          <w:rFonts w:hint="eastAsia" w:ascii="仿宋" w:hAnsi="仿宋" w:eastAsia="仿宋" w:cs="仿宋"/>
          <w:spacing w:val="7"/>
          <w:kern w:val="0"/>
          <w:sz w:val="28"/>
          <w:szCs w:val="22"/>
        </w:rPr>
        <w:t>老师联系：（0513）89090630；对项目技术及需求的询问，请与邱老师、蒋老师联系：（0513）</w:t>
      </w:r>
      <w:r>
        <w:rPr>
          <w:rFonts w:ascii="仿宋" w:hAnsi="仿宋" w:eastAsia="仿宋" w:cs="仿宋"/>
          <w:spacing w:val="7"/>
          <w:kern w:val="0"/>
          <w:sz w:val="28"/>
          <w:szCs w:val="22"/>
        </w:rPr>
        <w:t>83556943</w:t>
      </w:r>
      <w:r>
        <w:rPr>
          <w:rFonts w:hint="eastAsia" w:ascii="仿宋" w:hAnsi="仿宋" w:eastAsia="仿宋" w:cs="仿宋"/>
          <w:spacing w:val="7"/>
          <w:kern w:val="0"/>
          <w:sz w:val="28"/>
          <w:szCs w:val="22"/>
        </w:rPr>
        <w:t>。</w:t>
      </w:r>
    </w:p>
    <w:p>
      <w:pPr>
        <w:widowControl/>
        <w:shd w:val="clear" w:color="auto" w:fill="FFFFFF"/>
        <w:spacing w:line="300" w:lineRule="auto"/>
        <w:ind w:firstLine="503"/>
        <w:rPr>
          <w:rFonts w:ascii="仿宋" w:hAnsi="仿宋" w:eastAsia="仿宋_GB2312" w:cs="宋体"/>
          <w:spacing w:val="7"/>
          <w:kern w:val="0"/>
          <w:sz w:val="28"/>
          <w:szCs w:val="22"/>
        </w:rPr>
      </w:pPr>
    </w:p>
    <w:p>
      <w:pPr>
        <w:widowControl/>
        <w:shd w:val="clear" w:color="auto" w:fill="FFFFFF"/>
        <w:spacing w:line="300" w:lineRule="auto"/>
        <w:ind w:firstLine="503"/>
        <w:rPr>
          <w:rFonts w:ascii="仿宋" w:hAnsi="仿宋" w:eastAsia="仿宋_GB2312" w:cs="宋体"/>
          <w:spacing w:val="7"/>
          <w:kern w:val="0"/>
          <w:sz w:val="28"/>
          <w:szCs w:val="22"/>
        </w:rPr>
      </w:pPr>
      <w:r>
        <w:rPr>
          <w:rFonts w:hint="eastAsia" w:ascii="仿宋" w:hAnsi="仿宋" w:eastAsia="仿宋_GB2312" w:cs="宋体"/>
          <w:spacing w:val="7"/>
          <w:kern w:val="0"/>
          <w:sz w:val="28"/>
          <w:szCs w:val="22"/>
        </w:rPr>
        <w:t xml:space="preserve">                      </w:t>
      </w:r>
    </w:p>
    <w:p>
      <w:pPr>
        <w:widowControl/>
        <w:shd w:val="clear" w:color="auto" w:fill="FFFFFF"/>
        <w:spacing w:line="300" w:lineRule="auto"/>
        <w:ind w:firstLine="575" w:firstLineChars="195"/>
        <w:rPr>
          <w:rFonts w:ascii="仿宋" w:hAnsi="仿宋" w:eastAsia="仿宋_GB2312" w:cs="宋体"/>
          <w:b/>
          <w:spacing w:val="7"/>
          <w:kern w:val="0"/>
          <w:sz w:val="28"/>
          <w:szCs w:val="22"/>
        </w:rPr>
      </w:pPr>
    </w:p>
    <w:bookmarkEnd w:id="0"/>
    <w:bookmarkEnd w:id="1"/>
    <w:bookmarkEnd w:id="2"/>
    <w:bookmarkEnd w:id="3"/>
    <w:p>
      <w:pPr>
        <w:snapToGrid w:val="0"/>
        <w:spacing w:line="300" w:lineRule="auto"/>
        <w:contextualSpacing/>
        <w:rPr>
          <w:rFonts w:ascii="仿宋_GB2312" w:hAnsi="宋体" w:eastAsia="仿宋_GB2312"/>
          <w:b/>
          <w:sz w:val="28"/>
          <w:szCs w:val="28"/>
        </w:rPr>
      </w:pPr>
    </w:p>
    <w:p>
      <w:pPr>
        <w:snapToGrid w:val="0"/>
        <w:spacing w:line="300" w:lineRule="auto"/>
        <w:contextualSpacing/>
        <w:rPr>
          <w:rFonts w:ascii="仿宋_GB2312" w:hAnsi="宋体" w:eastAsia="仿宋_GB2312"/>
          <w:b/>
          <w:sz w:val="28"/>
          <w:szCs w:val="28"/>
        </w:rPr>
      </w:pPr>
    </w:p>
    <w:p>
      <w:pPr>
        <w:snapToGrid w:val="0"/>
        <w:spacing w:line="300" w:lineRule="auto"/>
        <w:contextualSpacing/>
        <w:rPr>
          <w:rFonts w:ascii="仿宋_GB2312" w:hAnsi="宋体" w:eastAsia="仿宋_GB2312"/>
          <w:b/>
          <w:sz w:val="28"/>
          <w:szCs w:val="28"/>
        </w:rPr>
      </w:pPr>
    </w:p>
    <w:p>
      <w:pPr>
        <w:snapToGrid w:val="0"/>
        <w:spacing w:line="300" w:lineRule="auto"/>
        <w:contextualSpacing/>
        <w:rPr>
          <w:rFonts w:ascii="仿宋_GB2312" w:hAnsi="宋体" w:eastAsia="仿宋_GB2312"/>
          <w:b/>
          <w:sz w:val="28"/>
          <w:szCs w:val="28"/>
        </w:rPr>
      </w:pPr>
    </w:p>
    <w:bookmarkEnd w:id="4"/>
    <w:p>
      <w:pPr>
        <w:widowControl/>
        <w:jc w:val="left"/>
        <w:rPr>
          <w:rFonts w:ascii="仿宋_GB2312" w:eastAsia="仿宋_GB2312"/>
          <w:b/>
          <w:bCs/>
          <w:sz w:val="36"/>
          <w:szCs w:val="36"/>
          <w:lang w:val="zh-CN"/>
        </w:rPr>
      </w:pPr>
      <w:r>
        <w:rPr>
          <w:rFonts w:ascii="仿宋_GB2312" w:eastAsia="仿宋_GB2312"/>
          <w:b/>
          <w:bCs/>
          <w:sz w:val="36"/>
          <w:szCs w:val="36"/>
          <w:lang w:val="zh-CN"/>
        </w:rPr>
        <w:br w:type="page"/>
      </w:r>
    </w:p>
    <w:p>
      <w:pPr>
        <w:autoSpaceDE w:val="0"/>
        <w:autoSpaceDN w:val="0"/>
        <w:adjustRightInd w:val="0"/>
        <w:snapToGrid w:val="0"/>
        <w:spacing w:line="300" w:lineRule="auto"/>
        <w:jc w:val="center"/>
        <w:outlineLvl w:val="0"/>
        <w:rPr>
          <w:rFonts w:ascii="仿宋_GB2312" w:eastAsia="仿宋_GB2312"/>
          <w:b/>
          <w:bCs/>
          <w:sz w:val="44"/>
          <w:szCs w:val="44"/>
          <w:lang w:val="zh-CN"/>
        </w:rPr>
      </w:pPr>
      <w:r>
        <w:rPr>
          <w:rFonts w:hint="eastAsia" w:ascii="仿宋_GB2312" w:eastAsia="仿宋_GB2312"/>
          <w:b/>
          <w:bCs/>
          <w:sz w:val="44"/>
          <w:szCs w:val="44"/>
          <w:lang w:val="zh-CN"/>
        </w:rPr>
        <w:t>第二部分 磋商须知</w:t>
      </w:r>
    </w:p>
    <w:p>
      <w:pPr>
        <w:snapToGrid w:val="0"/>
        <w:spacing w:line="300" w:lineRule="auto"/>
        <w:ind w:firstLine="562" w:firstLineChars="200"/>
        <w:contextualSpacing/>
        <w:outlineLvl w:val="0"/>
        <w:rPr>
          <w:rFonts w:ascii="仿宋_GB2312" w:eastAsia="仿宋_GB2312"/>
          <w:b/>
          <w:sz w:val="28"/>
          <w:szCs w:val="28"/>
        </w:rPr>
      </w:pPr>
      <w:r>
        <w:rPr>
          <w:rFonts w:hint="eastAsia" w:ascii="仿宋_GB2312" w:hAnsi="宋体" w:eastAsia="仿宋_GB2312"/>
          <w:b/>
          <w:sz w:val="28"/>
          <w:szCs w:val="28"/>
        </w:rPr>
        <w:t>一、</w:t>
      </w:r>
      <w:r>
        <w:rPr>
          <w:rFonts w:hint="eastAsia" w:ascii="仿宋_GB2312" w:eastAsia="仿宋_GB2312"/>
          <w:b/>
          <w:sz w:val="28"/>
          <w:szCs w:val="28"/>
        </w:rPr>
        <w:t>本磋商文件由本单位解释。</w:t>
      </w:r>
    </w:p>
    <w:p>
      <w:pPr>
        <w:snapToGrid w:val="0"/>
        <w:spacing w:line="300" w:lineRule="auto"/>
        <w:ind w:firstLine="560" w:firstLineChars="200"/>
        <w:contextualSpacing/>
        <w:rPr>
          <w:rFonts w:ascii="仿宋_GB2312" w:hAnsi="宋体" w:eastAsia="仿宋_GB2312"/>
          <w:b/>
          <w:sz w:val="28"/>
          <w:szCs w:val="28"/>
        </w:rPr>
      </w:pPr>
      <w:r>
        <w:rPr>
          <w:rFonts w:hint="eastAsia" w:ascii="仿宋_GB2312" w:hAnsi="宋体" w:eastAsia="仿宋_GB2312"/>
          <w:sz w:val="28"/>
          <w:szCs w:val="28"/>
        </w:rPr>
        <w:t>1、供应商应仔细检查磋商文件的所有内容，如对采购活动事项有疑问的，应向采购单位以书面形式提出，否则视同供应商理解并接受本磋商文件所有内容，并由此引起的损失自负。供应商不得在磋商结束后针对磋商文件所有内容提出质疑事项。</w:t>
      </w:r>
    </w:p>
    <w:p>
      <w:pPr>
        <w:snapToGrid w:val="0"/>
        <w:spacing w:line="300" w:lineRule="auto"/>
        <w:ind w:firstLine="560" w:firstLineChars="200"/>
        <w:contextualSpacing/>
        <w:rPr>
          <w:rFonts w:ascii="仿宋_GB2312" w:hAnsi="宋体" w:eastAsia="仿宋_GB2312"/>
          <w:sz w:val="28"/>
          <w:szCs w:val="28"/>
        </w:rPr>
      </w:pPr>
      <w:r>
        <w:rPr>
          <w:rFonts w:hint="eastAsia" w:ascii="仿宋_GB2312" w:hAnsi="宋体" w:eastAsia="仿宋_GB2312"/>
          <w:sz w:val="28"/>
          <w:szCs w:val="28"/>
        </w:rPr>
        <w:t>2、供应商应认真审阅磋商文件中所有的事项、格式、条款和规范要求等，如果供应商没有按照磋商文件要求提交响应文件，或者响应文件没有对磋商文件做出实质性响应，将被拒绝参与磋商。</w:t>
      </w:r>
    </w:p>
    <w:p>
      <w:pPr>
        <w:snapToGrid w:val="0"/>
        <w:spacing w:line="300" w:lineRule="auto"/>
        <w:ind w:firstLine="562" w:firstLineChars="200"/>
        <w:contextualSpacing/>
        <w:rPr>
          <w:rFonts w:ascii="仿宋_GB2312" w:hAnsi="宋体" w:eastAsia="仿宋_GB2312"/>
          <w:b/>
          <w:sz w:val="28"/>
          <w:szCs w:val="28"/>
        </w:rPr>
      </w:pPr>
      <w:r>
        <w:rPr>
          <w:rFonts w:hint="eastAsia" w:ascii="仿宋_GB2312" w:hAnsi="宋体" w:eastAsia="仿宋_GB2312"/>
          <w:b/>
          <w:sz w:val="28"/>
          <w:szCs w:val="28"/>
        </w:rPr>
        <w:t>二、磋商文件的澄清、修改、答疑</w:t>
      </w:r>
    </w:p>
    <w:p>
      <w:pPr>
        <w:pStyle w:val="12"/>
        <w:snapToGrid w:val="0"/>
        <w:spacing w:line="300" w:lineRule="auto"/>
        <w:ind w:left="0" w:leftChars="0" w:firstLine="560" w:firstLineChars="200"/>
        <w:contextualSpacing/>
        <w:rPr>
          <w:rFonts w:ascii="仿宋_GB2312" w:hAnsi="宋体" w:eastAsia="仿宋_GB2312"/>
          <w:sz w:val="28"/>
          <w:szCs w:val="28"/>
        </w:rPr>
      </w:pPr>
      <w:r>
        <w:rPr>
          <w:rFonts w:hint="eastAsia" w:ascii="仿宋_GB2312" w:hAnsi="宋体" w:eastAsia="仿宋_GB2312"/>
          <w:sz w:val="28"/>
          <w:szCs w:val="28"/>
        </w:rPr>
        <w:t>本单位可以对已发出的磋商文件进行必要的澄清或者修改，澄清或者修改的内容作为磋商文件的组成部分。澄清或者修改的内容可能影响响应文件编制的，本单位将在提交首次响应文件截止之日5日前，以网上公告形式通知，不足5日的，应当顺延提交首次响应文件截止之日。</w:t>
      </w:r>
    </w:p>
    <w:p>
      <w:pPr>
        <w:pStyle w:val="12"/>
        <w:snapToGrid w:val="0"/>
        <w:spacing w:line="300" w:lineRule="auto"/>
        <w:ind w:left="0" w:leftChars="0" w:firstLine="560" w:firstLineChars="200"/>
        <w:contextualSpacing/>
        <w:rPr>
          <w:rFonts w:ascii="仿宋_GB2312" w:eastAsia="仿宋_GB2312" w:cs="仿宋_GB2312"/>
          <w:sz w:val="28"/>
          <w:szCs w:val="28"/>
          <w:lang w:val="zh-CN"/>
        </w:rPr>
      </w:pPr>
      <w:r>
        <w:rPr>
          <w:rFonts w:hint="eastAsia" w:ascii="仿宋_GB2312" w:hAnsi="宋体" w:eastAsia="仿宋_GB2312"/>
          <w:sz w:val="28"/>
          <w:szCs w:val="28"/>
        </w:rPr>
        <w:t>供应商由于对磋商文件的任何推论和误解以及本单位对有</w:t>
      </w:r>
      <w:r>
        <w:rPr>
          <w:rFonts w:hint="eastAsia" w:ascii="仿宋_GB2312" w:eastAsia="仿宋_GB2312" w:cs="仿宋_GB2312"/>
          <w:sz w:val="28"/>
          <w:szCs w:val="28"/>
          <w:lang w:val="zh-CN"/>
        </w:rPr>
        <w:t>关问题的口头解释所造成的后果，均由供应商自负。</w:t>
      </w:r>
    </w:p>
    <w:p>
      <w:pPr>
        <w:pStyle w:val="12"/>
        <w:numPr>
          <w:ilvl w:val="0"/>
          <w:numId w:val="1"/>
        </w:numPr>
        <w:snapToGrid w:val="0"/>
        <w:spacing w:line="300" w:lineRule="auto"/>
        <w:ind w:left="0" w:leftChars="0" w:firstLine="562" w:firstLineChars="200"/>
        <w:contextualSpacing/>
        <w:rPr>
          <w:rFonts w:ascii="仿宋_GB2312" w:eastAsia="仿宋_GB2312" w:cs="仿宋_GB2312"/>
          <w:b/>
          <w:bCs/>
          <w:sz w:val="28"/>
          <w:szCs w:val="28"/>
          <w:lang w:val="zh-CN"/>
        </w:rPr>
      </w:pPr>
      <w:r>
        <w:rPr>
          <w:rFonts w:hint="eastAsia" w:ascii="仿宋_GB2312" w:eastAsia="仿宋_GB2312" w:cs="仿宋_GB2312"/>
          <w:b/>
          <w:bCs/>
          <w:sz w:val="28"/>
          <w:szCs w:val="28"/>
          <w:lang w:val="zh-CN"/>
        </w:rPr>
        <w:t>响应文件的编写、递交、上传</w:t>
      </w:r>
    </w:p>
    <w:p>
      <w:pPr>
        <w:pStyle w:val="12"/>
        <w:numPr>
          <w:ilvl w:val="0"/>
          <w:numId w:val="2"/>
        </w:numPr>
        <w:snapToGrid w:val="0"/>
        <w:spacing w:line="300" w:lineRule="auto"/>
        <w:contextualSpacing/>
        <w:rPr>
          <w:rFonts w:ascii="仿宋_GB2312" w:hAnsi="宋体" w:eastAsia="仿宋_GB2312"/>
          <w:b/>
          <w:sz w:val="28"/>
          <w:szCs w:val="28"/>
        </w:rPr>
      </w:pPr>
      <w:r>
        <w:rPr>
          <w:rFonts w:hint="eastAsia" w:ascii="仿宋_GB2312" w:hAnsi="宋体" w:eastAsia="仿宋_GB2312"/>
          <w:b/>
          <w:sz w:val="28"/>
          <w:szCs w:val="28"/>
        </w:rPr>
        <w:t>响应文件的编写</w:t>
      </w:r>
    </w:p>
    <w:p>
      <w:pPr>
        <w:pStyle w:val="12"/>
        <w:snapToGrid w:val="0"/>
        <w:spacing w:line="300" w:lineRule="auto"/>
        <w:ind w:left="0" w:leftChars="0" w:firstLine="560" w:firstLineChars="200"/>
        <w:contextualSpacing/>
        <w:rPr>
          <w:rFonts w:ascii="仿宋_GB2312" w:eastAsia="仿宋_GB2312" w:cs="仿宋_GB2312"/>
          <w:sz w:val="28"/>
          <w:szCs w:val="28"/>
          <w:lang w:val="zh-CN"/>
        </w:rPr>
      </w:pPr>
      <w:r>
        <w:rPr>
          <w:rFonts w:hint="eastAsia" w:ascii="仿宋_GB2312" w:eastAsia="仿宋_GB2312" w:cs="仿宋_GB2312"/>
          <w:sz w:val="28"/>
          <w:szCs w:val="28"/>
          <w:lang w:val="zh-CN"/>
        </w:rPr>
        <w:t>供应商按“第</w:t>
      </w:r>
      <w:r>
        <w:rPr>
          <w:rFonts w:hint="eastAsia" w:ascii="仿宋_GB2312" w:eastAsia="仿宋_GB2312" w:cs="仿宋_GB2312"/>
          <w:sz w:val="28"/>
          <w:szCs w:val="28"/>
        </w:rPr>
        <w:t>五</w:t>
      </w:r>
      <w:r>
        <w:rPr>
          <w:rFonts w:hint="eastAsia" w:ascii="仿宋_GB2312" w:eastAsia="仿宋_GB2312" w:cs="仿宋_GB2312"/>
          <w:sz w:val="28"/>
          <w:szCs w:val="28"/>
          <w:lang w:val="zh-CN"/>
        </w:rPr>
        <w:t>部分 响应文件组成”要求编写响应文件。</w:t>
      </w:r>
    </w:p>
    <w:p>
      <w:pPr>
        <w:pStyle w:val="12"/>
        <w:numPr>
          <w:ilvl w:val="0"/>
          <w:numId w:val="2"/>
        </w:numPr>
        <w:snapToGrid w:val="0"/>
        <w:spacing w:line="300" w:lineRule="auto"/>
        <w:contextualSpacing/>
        <w:rPr>
          <w:rFonts w:ascii="仿宋_GB2312" w:eastAsia="仿宋_GB2312"/>
          <w:sz w:val="28"/>
          <w:szCs w:val="28"/>
        </w:rPr>
      </w:pPr>
      <w:r>
        <w:rPr>
          <w:rFonts w:hint="eastAsia" w:ascii="仿宋_GB2312" w:hAnsi="宋体" w:eastAsia="仿宋_GB2312"/>
          <w:b/>
          <w:sz w:val="28"/>
          <w:szCs w:val="28"/>
        </w:rPr>
        <w:t>响应文件的递交</w:t>
      </w:r>
    </w:p>
    <w:p>
      <w:pPr>
        <w:pStyle w:val="12"/>
        <w:snapToGrid w:val="0"/>
        <w:spacing w:line="300" w:lineRule="auto"/>
        <w:ind w:left="0" w:leftChars="0" w:firstLine="560" w:firstLineChars="200"/>
        <w:contextualSpacing/>
        <w:rPr>
          <w:rFonts w:ascii="仿宋_GB2312" w:eastAsia="仿宋_GB2312"/>
          <w:sz w:val="28"/>
          <w:szCs w:val="28"/>
        </w:rPr>
      </w:pPr>
      <w:r>
        <w:rPr>
          <w:rFonts w:hint="eastAsia" w:ascii="仿宋_GB2312" w:eastAsia="仿宋_GB2312"/>
          <w:sz w:val="28"/>
          <w:szCs w:val="28"/>
        </w:rPr>
        <w:t>1、</w:t>
      </w:r>
      <w:r>
        <w:rPr>
          <w:rFonts w:hint="eastAsia" w:ascii="仿宋_GB2312" w:hAnsi="宋体" w:eastAsia="仿宋_GB2312"/>
          <w:sz w:val="28"/>
          <w:szCs w:val="28"/>
        </w:rPr>
        <w:t>响应文件</w:t>
      </w:r>
      <w:r>
        <w:rPr>
          <w:rFonts w:hint="eastAsia" w:ascii="仿宋_GB2312" w:eastAsia="仿宋_GB2312"/>
          <w:sz w:val="28"/>
          <w:szCs w:val="28"/>
        </w:rPr>
        <w:t>（</w:t>
      </w:r>
      <w:r>
        <w:rPr>
          <w:rFonts w:hint="eastAsia" w:ascii="仿宋_GB2312" w:hAnsi="宋体" w:eastAsia="仿宋_GB2312"/>
          <w:sz w:val="28"/>
          <w:szCs w:val="28"/>
        </w:rPr>
        <w:t>资格审查文件、商务技术文件、</w:t>
      </w:r>
      <w:r>
        <w:rPr>
          <w:rFonts w:hint="eastAsia" w:ascii="仿宋_GB2312" w:eastAsia="仿宋_GB2312"/>
          <w:sz w:val="28"/>
          <w:szCs w:val="28"/>
        </w:rPr>
        <w:t>报价文件）须分别单独密封，</w:t>
      </w:r>
      <w:r>
        <w:rPr>
          <w:rFonts w:hint="eastAsia" w:ascii="仿宋_GB2312" w:eastAsia="仿宋_GB2312" w:cs="仿宋_GB2312"/>
          <w:sz w:val="28"/>
          <w:szCs w:val="28"/>
          <w:lang w:val="zh-CN"/>
        </w:rPr>
        <w:t>并牢</w:t>
      </w:r>
      <w:r>
        <w:rPr>
          <w:rFonts w:hint="eastAsia" w:ascii="仿宋_GB2312" w:hAnsi="宋体" w:eastAsia="仿宋_GB2312"/>
          <w:sz w:val="28"/>
          <w:szCs w:val="28"/>
        </w:rPr>
        <w:t>固装订成册，不得相互混淆，文件自编目录并连续标注页码，不得将内容拆开。</w:t>
      </w:r>
      <w:r>
        <w:rPr>
          <w:rFonts w:hint="eastAsia" w:ascii="仿宋_GB2312" w:eastAsia="仿宋_GB2312"/>
          <w:sz w:val="28"/>
          <w:szCs w:val="28"/>
        </w:rPr>
        <w:t>报价文件不得出现于其他磋商文件中。</w:t>
      </w:r>
    </w:p>
    <w:p>
      <w:pPr>
        <w:pStyle w:val="12"/>
        <w:snapToGrid w:val="0"/>
        <w:spacing w:line="300" w:lineRule="auto"/>
        <w:ind w:left="0" w:leftChars="0" w:firstLine="560" w:firstLineChars="200"/>
        <w:contextualSpacing/>
        <w:rPr>
          <w:rFonts w:ascii="仿宋_GB2312" w:eastAsia="仿宋_GB2312"/>
          <w:sz w:val="28"/>
          <w:szCs w:val="28"/>
        </w:rPr>
      </w:pPr>
      <w:r>
        <w:rPr>
          <w:rFonts w:hint="eastAsia" w:ascii="仿宋_GB2312" w:eastAsia="仿宋_GB2312"/>
          <w:sz w:val="28"/>
          <w:szCs w:val="28"/>
        </w:rPr>
        <w:t>2、响应文件每一部分内容均须提供“</w:t>
      </w:r>
      <w:r>
        <w:rPr>
          <w:rFonts w:hint="eastAsia" w:ascii="仿宋_GB2312" w:eastAsia="仿宋_GB2312"/>
          <w:b/>
          <w:sz w:val="28"/>
          <w:szCs w:val="28"/>
        </w:rPr>
        <w:t>一正、两副”</w:t>
      </w:r>
      <w:r>
        <w:rPr>
          <w:rFonts w:hint="eastAsia" w:ascii="仿宋_GB2312" w:eastAsia="仿宋_GB2312"/>
          <w:sz w:val="28"/>
          <w:szCs w:val="28"/>
        </w:rPr>
        <w:t>纸质响应文件，并</w:t>
      </w:r>
      <w:r>
        <w:rPr>
          <w:rFonts w:hint="eastAsia" w:ascii="仿宋_GB2312" w:hAnsi="宋体" w:eastAsia="仿宋_GB2312"/>
          <w:sz w:val="28"/>
          <w:szCs w:val="28"/>
        </w:rPr>
        <w:t>将正本、副本及图纸类等（如需提供图纸等其它资料的话）合并密封</w:t>
      </w:r>
      <w:r>
        <w:rPr>
          <w:rFonts w:hint="eastAsia" w:ascii="仿宋_GB2312" w:eastAsia="仿宋_GB2312"/>
          <w:sz w:val="28"/>
          <w:szCs w:val="28"/>
        </w:rPr>
        <w:t>，统一装在一个密封袋或密封箱内（如有A3大小的图纸类，可单独密封）。</w:t>
      </w:r>
    </w:p>
    <w:p>
      <w:pPr>
        <w:pStyle w:val="12"/>
        <w:snapToGrid w:val="0"/>
        <w:spacing w:line="300" w:lineRule="auto"/>
        <w:ind w:left="0" w:leftChars="0" w:firstLine="560" w:firstLineChars="200"/>
        <w:contextualSpacing/>
        <w:rPr>
          <w:rFonts w:ascii="仿宋_GB2312" w:hAnsi="宋体" w:eastAsia="仿宋_GB2312"/>
          <w:sz w:val="28"/>
          <w:szCs w:val="28"/>
        </w:rPr>
      </w:pPr>
      <w:r>
        <w:rPr>
          <w:rFonts w:hint="eastAsia" w:ascii="仿宋_GB2312" w:eastAsia="仿宋_GB2312"/>
          <w:sz w:val="28"/>
          <w:szCs w:val="28"/>
        </w:rPr>
        <w:t>3、纸质响应文件须</w:t>
      </w:r>
      <w:r>
        <w:rPr>
          <w:rFonts w:hint="eastAsia" w:ascii="仿宋_GB2312" w:eastAsia="仿宋_GB2312" w:cs="仿宋_GB2312"/>
          <w:sz w:val="28"/>
          <w:szCs w:val="28"/>
          <w:lang w:val="zh-CN"/>
        </w:rPr>
        <w:t>采用</w:t>
      </w:r>
      <w:r>
        <w:rPr>
          <w:rFonts w:ascii="仿宋_GB2312" w:eastAsia="仿宋_GB2312" w:cs="仿宋_GB2312"/>
          <w:sz w:val="28"/>
          <w:szCs w:val="28"/>
          <w:lang w:val="zh-CN"/>
        </w:rPr>
        <w:t>A4</w:t>
      </w:r>
      <w:r>
        <w:rPr>
          <w:rFonts w:hint="eastAsia" w:ascii="仿宋_GB2312" w:eastAsia="仿宋_GB2312" w:cs="仿宋_GB2312"/>
          <w:sz w:val="28"/>
          <w:szCs w:val="28"/>
          <w:lang w:val="zh-CN"/>
        </w:rPr>
        <w:t>纸（</w:t>
      </w:r>
      <w:r>
        <w:rPr>
          <w:rFonts w:hint="eastAsia" w:ascii="仿宋_GB2312" w:hAnsi="宋体" w:eastAsia="仿宋_GB2312"/>
          <w:sz w:val="28"/>
          <w:szCs w:val="28"/>
        </w:rPr>
        <w:t>图纸等除外），正本须打印并由法定代表人或授权人签字并加盖单位印章。副本可复印，但须加盖单位印章。文件内容中不得行间插字、涂改、增删，如修补错漏处，须由响应文件签署人签字并加盖公章。</w:t>
      </w:r>
    </w:p>
    <w:p>
      <w:pPr>
        <w:pStyle w:val="12"/>
        <w:snapToGrid w:val="0"/>
        <w:spacing w:line="300" w:lineRule="auto"/>
        <w:ind w:left="0" w:leftChars="0" w:firstLine="560" w:firstLineChars="200"/>
        <w:contextualSpacing/>
        <w:rPr>
          <w:rFonts w:ascii="仿宋_GB2312" w:eastAsia="仿宋_GB2312"/>
          <w:sz w:val="28"/>
          <w:szCs w:val="28"/>
        </w:rPr>
      </w:pPr>
      <w:r>
        <w:rPr>
          <w:rFonts w:hint="eastAsia" w:ascii="仿宋_GB2312" w:eastAsia="仿宋_GB2312"/>
          <w:sz w:val="28"/>
          <w:szCs w:val="28"/>
        </w:rPr>
        <w:t>4、响应文件密封后应标明响应文件项目名称、项目编号、边缝处加盖单位骑缝章或骑缝签字，并注明于磋商前不得启封。</w:t>
      </w:r>
    </w:p>
    <w:p>
      <w:pPr>
        <w:pStyle w:val="12"/>
        <w:snapToGrid w:val="0"/>
        <w:spacing w:line="300" w:lineRule="auto"/>
        <w:ind w:left="0" w:leftChars="0" w:firstLine="560" w:firstLineChars="200"/>
        <w:contextualSpacing/>
        <w:rPr>
          <w:rFonts w:ascii="仿宋_GB2312" w:hAnsi="宋体" w:eastAsia="仿宋_GB2312"/>
          <w:sz w:val="28"/>
          <w:szCs w:val="28"/>
        </w:rPr>
      </w:pPr>
      <w:r>
        <w:rPr>
          <w:rFonts w:hint="eastAsia" w:ascii="仿宋_GB2312" w:eastAsia="仿宋_GB2312"/>
          <w:sz w:val="28"/>
          <w:szCs w:val="28"/>
        </w:rPr>
        <w:t>5、递交时间：</w:t>
      </w:r>
      <w:r>
        <w:rPr>
          <w:rFonts w:hint="eastAsia" w:ascii="仿宋_GB2312" w:hAnsi="宋体" w:eastAsia="仿宋_GB2312"/>
          <w:sz w:val="28"/>
          <w:szCs w:val="28"/>
        </w:rPr>
        <w:t>供应商须在规定的响应文件接收截止时间前送达指定地点。</w:t>
      </w:r>
    </w:p>
    <w:p>
      <w:pPr>
        <w:pStyle w:val="12"/>
        <w:snapToGrid w:val="0"/>
        <w:spacing w:line="300" w:lineRule="auto"/>
        <w:ind w:left="0" w:leftChars="0" w:firstLine="562" w:firstLineChars="200"/>
        <w:contextualSpacing/>
        <w:rPr>
          <w:rFonts w:ascii="仿宋_GB2312" w:hAnsi="宋体" w:eastAsia="仿宋_GB2312"/>
          <w:b/>
          <w:sz w:val="28"/>
          <w:szCs w:val="28"/>
        </w:rPr>
      </w:pPr>
      <w:r>
        <w:rPr>
          <w:rFonts w:hint="eastAsia" w:ascii="仿宋_GB2312" w:eastAsia="仿宋_GB2312"/>
          <w:b/>
          <w:sz w:val="28"/>
          <w:szCs w:val="28"/>
        </w:rPr>
        <w:t>友情提醒：本单位将拒绝接收未按照磋商文件要求密封的响应文件，</w:t>
      </w:r>
      <w:r>
        <w:rPr>
          <w:rFonts w:hint="eastAsia" w:ascii="仿宋_GB2312" w:hAnsi="宋体" w:eastAsia="仿宋_GB2312"/>
          <w:b/>
          <w:sz w:val="28"/>
          <w:szCs w:val="28"/>
        </w:rPr>
        <w:t>拒绝接收在响应文件接收截止时间后递交的响应文件。</w:t>
      </w:r>
    </w:p>
    <w:p>
      <w:pPr>
        <w:pStyle w:val="12"/>
        <w:numPr>
          <w:ilvl w:val="0"/>
          <w:numId w:val="1"/>
        </w:numPr>
        <w:snapToGrid w:val="0"/>
        <w:spacing w:line="300" w:lineRule="auto"/>
        <w:ind w:left="0" w:leftChars="0" w:firstLine="562" w:firstLineChars="200"/>
        <w:contextualSpacing/>
        <w:rPr>
          <w:rFonts w:ascii="仿宋_GB2312" w:eastAsia="仿宋_GB2312" w:cs="仿宋_GB2312"/>
          <w:b/>
          <w:bCs/>
          <w:sz w:val="28"/>
          <w:szCs w:val="28"/>
          <w:lang w:val="zh-CN"/>
        </w:rPr>
      </w:pPr>
      <w:r>
        <w:rPr>
          <w:rFonts w:hint="eastAsia" w:ascii="仿宋_GB2312" w:eastAsia="仿宋_GB2312" w:cs="仿宋_GB2312"/>
          <w:b/>
          <w:bCs/>
          <w:sz w:val="28"/>
          <w:szCs w:val="28"/>
          <w:lang w:val="zh-CN"/>
        </w:rPr>
        <w:t>报价准备</w:t>
      </w:r>
    </w:p>
    <w:p>
      <w:pPr>
        <w:pStyle w:val="12"/>
        <w:snapToGrid w:val="0"/>
        <w:spacing w:line="300" w:lineRule="auto"/>
        <w:ind w:left="0" w:leftChars="0" w:firstLine="560" w:firstLineChars="200"/>
        <w:contextualSpacing/>
        <w:rPr>
          <w:rFonts w:ascii="仿宋_GB2312" w:hAnsi="宋体" w:eastAsia="仿宋_GB2312"/>
          <w:sz w:val="28"/>
          <w:szCs w:val="28"/>
        </w:rPr>
      </w:pPr>
      <w:r>
        <w:rPr>
          <w:rFonts w:hint="eastAsia" w:ascii="仿宋_GB2312" w:hAnsi="宋体" w:eastAsia="仿宋_GB2312"/>
          <w:sz w:val="28"/>
          <w:szCs w:val="28"/>
        </w:rPr>
        <w:t>1、磋商结束后，供应商就所有内容进行最后报价，少报无效。</w:t>
      </w:r>
    </w:p>
    <w:p>
      <w:pPr>
        <w:pStyle w:val="12"/>
        <w:snapToGrid w:val="0"/>
        <w:spacing w:line="300" w:lineRule="auto"/>
        <w:ind w:left="0" w:leftChars="0" w:firstLine="560" w:firstLineChars="200"/>
        <w:contextualSpacing/>
        <w:rPr>
          <w:rFonts w:ascii="仿宋_GB2312" w:hAnsi="宋体" w:eastAsia="仿宋_GB2312"/>
          <w:sz w:val="28"/>
          <w:szCs w:val="28"/>
        </w:rPr>
      </w:pPr>
      <w:r>
        <w:rPr>
          <w:rFonts w:hint="eastAsia" w:ascii="仿宋_GB2312" w:hAnsi="宋体" w:eastAsia="仿宋_GB2312"/>
          <w:sz w:val="28"/>
          <w:szCs w:val="28"/>
        </w:rPr>
        <w:t xml:space="preserve">2、最后报价应包括本项目的全部费用 (含一切必须的辅助材料费用)及相关服务费等。 </w:t>
      </w:r>
    </w:p>
    <w:p>
      <w:pPr>
        <w:pStyle w:val="12"/>
        <w:snapToGrid w:val="0"/>
        <w:spacing w:line="300" w:lineRule="auto"/>
        <w:ind w:left="0" w:leftChars="0" w:firstLine="560" w:firstLineChars="200"/>
        <w:contextualSpacing/>
        <w:rPr>
          <w:rFonts w:ascii="仿宋_GB2312" w:hAnsi="宋体" w:eastAsia="仿宋_GB2312"/>
          <w:sz w:val="28"/>
          <w:szCs w:val="28"/>
        </w:rPr>
      </w:pPr>
      <w:r>
        <w:rPr>
          <w:rFonts w:hint="eastAsia" w:ascii="仿宋_GB2312" w:hAnsi="宋体" w:eastAsia="仿宋_GB2312"/>
          <w:sz w:val="28"/>
          <w:szCs w:val="28"/>
        </w:rPr>
        <w:t>3、最后报价将作为磋商小组评定成交供应商的组成依据。</w:t>
      </w:r>
    </w:p>
    <w:p>
      <w:pPr>
        <w:pStyle w:val="12"/>
        <w:snapToGrid w:val="0"/>
        <w:spacing w:line="300" w:lineRule="auto"/>
        <w:ind w:left="0" w:leftChars="0" w:firstLine="562" w:firstLineChars="200"/>
        <w:contextualSpacing/>
        <w:rPr>
          <w:rFonts w:ascii="仿宋_GB2312" w:hAnsi="宋体" w:eastAsia="仿宋_GB2312"/>
          <w:sz w:val="28"/>
          <w:szCs w:val="28"/>
        </w:rPr>
      </w:pPr>
      <w:r>
        <w:rPr>
          <w:rFonts w:hint="eastAsia" w:ascii="仿宋_GB2312" w:eastAsia="仿宋_GB2312"/>
          <w:b/>
          <w:sz w:val="28"/>
          <w:szCs w:val="28"/>
          <w:lang w:val="zh-CN"/>
        </w:rPr>
        <w:t>五、</w:t>
      </w:r>
      <w:r>
        <w:rPr>
          <w:rFonts w:hint="eastAsia" w:ascii="仿宋_GB2312" w:eastAsia="仿宋_GB2312"/>
          <w:b/>
          <w:bCs/>
          <w:sz w:val="28"/>
          <w:szCs w:val="28"/>
        </w:rPr>
        <w:t>相关费用</w:t>
      </w:r>
    </w:p>
    <w:p>
      <w:pPr>
        <w:pStyle w:val="12"/>
        <w:snapToGrid w:val="0"/>
        <w:spacing w:line="300" w:lineRule="auto"/>
        <w:ind w:left="0" w:leftChars="0" w:firstLine="560" w:firstLineChars="200"/>
        <w:contextualSpacing/>
        <w:rPr>
          <w:rFonts w:ascii="仿宋_GB2312" w:hAnsi="宋体" w:eastAsia="仿宋_GB2312"/>
          <w:sz w:val="28"/>
          <w:szCs w:val="28"/>
        </w:rPr>
      </w:pPr>
      <w:r>
        <w:rPr>
          <w:rFonts w:hint="eastAsia" w:ascii="仿宋_GB2312" w:hAnsi="宋体" w:eastAsia="仿宋_GB2312"/>
          <w:sz w:val="28"/>
          <w:szCs w:val="28"/>
        </w:rPr>
        <w:t>1、供应商承担参与磋商可能发生的全部费用，本单位在任何情况下均无义务和责任承担这些费用。</w:t>
      </w:r>
    </w:p>
    <w:p>
      <w:pPr>
        <w:pStyle w:val="12"/>
        <w:snapToGrid w:val="0"/>
        <w:spacing w:line="300" w:lineRule="auto"/>
        <w:ind w:left="0" w:leftChars="0" w:firstLine="560" w:firstLineChars="200"/>
        <w:contextualSpacing/>
        <w:rPr>
          <w:rFonts w:ascii="仿宋_GB2312" w:hAnsi="宋体" w:eastAsia="仿宋_GB2312"/>
          <w:sz w:val="28"/>
          <w:szCs w:val="28"/>
        </w:rPr>
      </w:pPr>
      <w:r>
        <w:rPr>
          <w:rFonts w:hint="eastAsia" w:ascii="仿宋_GB2312" w:hAnsi="宋体" w:eastAsia="仿宋_GB2312"/>
          <w:sz w:val="28"/>
          <w:szCs w:val="28"/>
        </w:rPr>
        <w:t>2、本单位不收取任何费用。</w:t>
      </w:r>
    </w:p>
    <w:p>
      <w:pPr>
        <w:snapToGrid w:val="0"/>
        <w:spacing w:line="300" w:lineRule="auto"/>
        <w:contextualSpacing/>
        <w:rPr>
          <w:rFonts w:ascii="仿宋_GB2312" w:hAnsi="宋体" w:eastAsia="仿宋_GB2312"/>
          <w:sz w:val="28"/>
          <w:szCs w:val="28"/>
        </w:rPr>
      </w:pPr>
    </w:p>
    <w:p>
      <w:pPr>
        <w:autoSpaceDE w:val="0"/>
        <w:autoSpaceDN w:val="0"/>
        <w:adjustRightInd w:val="0"/>
        <w:snapToGrid w:val="0"/>
        <w:spacing w:line="300" w:lineRule="auto"/>
        <w:outlineLvl w:val="0"/>
        <w:rPr>
          <w:rFonts w:ascii="仿宋_GB2312" w:eastAsia="仿宋_GB2312"/>
          <w:b/>
          <w:bCs/>
          <w:sz w:val="36"/>
          <w:szCs w:val="36"/>
          <w:lang w:val="zh-CN"/>
        </w:rPr>
      </w:pPr>
      <w:bookmarkStart w:id="5" w:name="_GoBack"/>
      <w:bookmarkEnd w:id="5"/>
    </w:p>
    <w:p>
      <w:pPr>
        <w:autoSpaceDE w:val="0"/>
        <w:autoSpaceDN w:val="0"/>
        <w:adjustRightInd w:val="0"/>
        <w:snapToGrid w:val="0"/>
        <w:spacing w:line="300" w:lineRule="auto"/>
        <w:outlineLvl w:val="0"/>
        <w:rPr>
          <w:rFonts w:ascii="仿宋_GB2312" w:eastAsia="仿宋_GB2312"/>
          <w:b/>
          <w:bCs/>
          <w:sz w:val="36"/>
          <w:szCs w:val="36"/>
          <w:lang w:val="zh-CN"/>
        </w:rPr>
      </w:pPr>
    </w:p>
    <w:p>
      <w:pPr>
        <w:autoSpaceDE w:val="0"/>
        <w:autoSpaceDN w:val="0"/>
        <w:adjustRightInd w:val="0"/>
        <w:snapToGrid w:val="0"/>
        <w:spacing w:line="300" w:lineRule="auto"/>
        <w:jc w:val="center"/>
        <w:outlineLvl w:val="0"/>
        <w:rPr>
          <w:rFonts w:ascii="仿宋_GB2312" w:eastAsia="仿宋_GB2312"/>
          <w:b/>
          <w:bCs/>
          <w:sz w:val="36"/>
          <w:szCs w:val="36"/>
          <w:lang w:val="zh-CN"/>
        </w:rPr>
      </w:pPr>
    </w:p>
    <w:p>
      <w:pPr>
        <w:autoSpaceDE w:val="0"/>
        <w:autoSpaceDN w:val="0"/>
        <w:adjustRightInd w:val="0"/>
        <w:snapToGrid w:val="0"/>
        <w:spacing w:line="300" w:lineRule="auto"/>
        <w:jc w:val="center"/>
        <w:outlineLvl w:val="0"/>
        <w:rPr>
          <w:rFonts w:ascii="仿宋_GB2312" w:eastAsia="仿宋_GB2312"/>
          <w:b/>
          <w:bCs/>
          <w:sz w:val="36"/>
          <w:szCs w:val="36"/>
          <w:lang w:val="zh-CN"/>
        </w:rPr>
      </w:pPr>
    </w:p>
    <w:p>
      <w:pPr>
        <w:autoSpaceDE w:val="0"/>
        <w:autoSpaceDN w:val="0"/>
        <w:adjustRightInd w:val="0"/>
        <w:snapToGrid w:val="0"/>
        <w:spacing w:line="300" w:lineRule="auto"/>
        <w:jc w:val="center"/>
        <w:outlineLvl w:val="0"/>
        <w:rPr>
          <w:rFonts w:ascii="仿宋_GB2312" w:eastAsia="仿宋_GB2312"/>
          <w:b/>
          <w:bCs/>
          <w:sz w:val="36"/>
          <w:szCs w:val="36"/>
          <w:lang w:val="zh-CN"/>
        </w:rPr>
      </w:pPr>
    </w:p>
    <w:p>
      <w:pPr>
        <w:autoSpaceDE w:val="0"/>
        <w:autoSpaceDN w:val="0"/>
        <w:adjustRightInd w:val="0"/>
        <w:snapToGrid w:val="0"/>
        <w:spacing w:line="300" w:lineRule="auto"/>
        <w:jc w:val="center"/>
        <w:outlineLvl w:val="0"/>
        <w:rPr>
          <w:rFonts w:ascii="仿宋_GB2312" w:eastAsia="仿宋_GB2312"/>
          <w:b/>
          <w:bCs/>
          <w:sz w:val="36"/>
          <w:szCs w:val="36"/>
          <w:lang w:val="zh-CN"/>
        </w:rPr>
      </w:pPr>
    </w:p>
    <w:p>
      <w:pPr>
        <w:autoSpaceDE w:val="0"/>
        <w:autoSpaceDN w:val="0"/>
        <w:adjustRightInd w:val="0"/>
        <w:snapToGrid w:val="0"/>
        <w:spacing w:line="300" w:lineRule="auto"/>
        <w:jc w:val="center"/>
        <w:outlineLvl w:val="0"/>
        <w:rPr>
          <w:rFonts w:ascii="仿宋_GB2312" w:eastAsia="仿宋_GB2312"/>
          <w:b/>
          <w:bCs/>
          <w:sz w:val="36"/>
          <w:szCs w:val="36"/>
          <w:lang w:val="zh-CN"/>
        </w:rPr>
      </w:pPr>
    </w:p>
    <w:p>
      <w:pPr>
        <w:autoSpaceDE w:val="0"/>
        <w:autoSpaceDN w:val="0"/>
        <w:adjustRightInd w:val="0"/>
        <w:snapToGrid w:val="0"/>
        <w:spacing w:line="300" w:lineRule="auto"/>
        <w:jc w:val="center"/>
        <w:outlineLvl w:val="0"/>
        <w:rPr>
          <w:rFonts w:ascii="仿宋_GB2312" w:eastAsia="仿宋_GB2312"/>
          <w:b/>
          <w:bCs/>
          <w:sz w:val="36"/>
          <w:szCs w:val="36"/>
          <w:lang w:val="zh-CN"/>
        </w:rPr>
      </w:pPr>
    </w:p>
    <w:p>
      <w:pPr>
        <w:autoSpaceDE w:val="0"/>
        <w:autoSpaceDN w:val="0"/>
        <w:adjustRightInd w:val="0"/>
        <w:snapToGrid w:val="0"/>
        <w:spacing w:line="300" w:lineRule="auto"/>
        <w:jc w:val="center"/>
        <w:outlineLvl w:val="0"/>
        <w:rPr>
          <w:rFonts w:ascii="仿宋_GB2312" w:eastAsia="仿宋_GB2312"/>
          <w:b/>
          <w:bCs/>
          <w:sz w:val="36"/>
          <w:szCs w:val="36"/>
          <w:lang w:val="zh-CN"/>
        </w:rPr>
      </w:pPr>
    </w:p>
    <w:p>
      <w:pPr>
        <w:autoSpaceDE w:val="0"/>
        <w:autoSpaceDN w:val="0"/>
        <w:adjustRightInd w:val="0"/>
        <w:snapToGrid w:val="0"/>
        <w:spacing w:line="300" w:lineRule="auto"/>
        <w:jc w:val="center"/>
        <w:outlineLvl w:val="0"/>
        <w:rPr>
          <w:rFonts w:ascii="仿宋_GB2312" w:eastAsia="仿宋_GB2312"/>
          <w:b/>
          <w:bCs/>
          <w:sz w:val="36"/>
          <w:szCs w:val="36"/>
          <w:lang w:val="zh-CN"/>
        </w:rPr>
      </w:pPr>
    </w:p>
    <w:p>
      <w:pPr>
        <w:autoSpaceDE w:val="0"/>
        <w:autoSpaceDN w:val="0"/>
        <w:adjustRightInd w:val="0"/>
        <w:snapToGrid w:val="0"/>
        <w:spacing w:line="300" w:lineRule="auto"/>
        <w:jc w:val="center"/>
        <w:outlineLvl w:val="0"/>
        <w:rPr>
          <w:rFonts w:ascii="仿宋_GB2312" w:eastAsia="仿宋_GB2312"/>
          <w:b/>
          <w:bCs/>
          <w:sz w:val="36"/>
          <w:szCs w:val="36"/>
          <w:lang w:val="zh-CN"/>
        </w:rPr>
      </w:pPr>
    </w:p>
    <w:p>
      <w:pPr>
        <w:autoSpaceDE w:val="0"/>
        <w:autoSpaceDN w:val="0"/>
        <w:adjustRightInd w:val="0"/>
        <w:snapToGrid w:val="0"/>
        <w:spacing w:line="300" w:lineRule="auto"/>
        <w:jc w:val="center"/>
        <w:outlineLvl w:val="0"/>
        <w:rPr>
          <w:rFonts w:ascii="仿宋_GB2312" w:eastAsia="仿宋_GB2312"/>
          <w:b/>
          <w:bCs/>
          <w:sz w:val="44"/>
          <w:szCs w:val="44"/>
          <w:lang w:val="zh-CN"/>
        </w:rPr>
      </w:pPr>
      <w:r>
        <w:rPr>
          <w:rFonts w:hint="eastAsia" w:ascii="仿宋_GB2312" w:eastAsia="仿宋_GB2312"/>
          <w:b/>
          <w:bCs/>
          <w:sz w:val="44"/>
          <w:szCs w:val="44"/>
          <w:lang w:val="zh-CN"/>
        </w:rPr>
        <w:t>第三部分 项目需求</w:t>
      </w:r>
    </w:p>
    <w:p>
      <w:pPr>
        <w:snapToGrid w:val="0"/>
        <w:spacing w:line="360" w:lineRule="auto"/>
        <w:rPr>
          <w:rFonts w:ascii="仿宋_GB2312" w:hAnsi="宋体" w:eastAsia="仿宋_GB2312" w:cs="宋体"/>
          <w:b/>
          <w:bCs/>
          <w:sz w:val="28"/>
          <w:szCs w:val="28"/>
        </w:rPr>
      </w:pPr>
      <w:r>
        <w:rPr>
          <w:rFonts w:hint="eastAsia" w:ascii="仿宋_GB2312" w:hAnsi="宋体" w:eastAsia="仿宋_GB2312" w:cs="宋体"/>
          <w:b/>
          <w:bCs/>
          <w:sz w:val="28"/>
          <w:szCs w:val="28"/>
        </w:rPr>
        <w:t xml:space="preserve">一、招标内容 </w:t>
      </w:r>
    </w:p>
    <w:p>
      <w:pPr>
        <w:snapToGrid w:val="0"/>
        <w:spacing w:line="360" w:lineRule="auto"/>
        <w:ind w:firstLine="480" w:firstLineChars="200"/>
        <w:rPr>
          <w:rFonts w:ascii="宋体" w:hAnsi="宋体"/>
          <w:sz w:val="24"/>
        </w:rPr>
      </w:pPr>
      <w:r>
        <w:rPr>
          <w:rFonts w:hint="eastAsia" w:ascii="宋体" w:hAnsi="宋体"/>
          <w:sz w:val="24"/>
        </w:rPr>
        <w:t>2022</w:t>
      </w:r>
      <w:r>
        <w:rPr>
          <w:rFonts w:ascii="宋体" w:hAnsi="宋体"/>
          <w:sz w:val="24"/>
        </w:rPr>
        <w:t>-2023</w:t>
      </w:r>
      <w:r>
        <w:rPr>
          <w:rFonts w:hint="eastAsia" w:ascii="宋体" w:hAnsi="宋体"/>
          <w:sz w:val="24"/>
        </w:rPr>
        <w:t>年度在线课程及教学比赛视频制作服务项目</w:t>
      </w:r>
    </w:p>
    <w:p>
      <w:pPr>
        <w:snapToGrid w:val="0"/>
        <w:spacing w:line="360" w:lineRule="auto"/>
        <w:rPr>
          <w:rFonts w:ascii="仿宋_GB2312" w:hAnsi="宋体" w:eastAsia="仿宋_GB2312" w:cs="宋体"/>
          <w:b/>
          <w:bCs/>
          <w:sz w:val="28"/>
          <w:szCs w:val="28"/>
        </w:rPr>
      </w:pPr>
      <w:r>
        <w:rPr>
          <w:rFonts w:hint="eastAsia" w:ascii="仿宋_GB2312" w:hAnsi="宋体" w:eastAsia="仿宋_GB2312" w:cs="宋体"/>
          <w:b/>
          <w:bCs/>
          <w:sz w:val="28"/>
          <w:szCs w:val="28"/>
        </w:rPr>
        <w:t xml:space="preserve">二、招标形式 </w:t>
      </w:r>
    </w:p>
    <w:p>
      <w:pPr>
        <w:pStyle w:val="12"/>
        <w:snapToGrid w:val="0"/>
        <w:spacing w:line="300" w:lineRule="auto"/>
        <w:ind w:left="0" w:leftChars="0" w:firstLine="560" w:firstLineChars="200"/>
        <w:contextualSpacing/>
        <w:rPr>
          <w:rFonts w:ascii="仿宋_GB2312" w:hAnsi="宋体" w:eastAsia="仿宋_GB2312"/>
          <w:sz w:val="28"/>
          <w:szCs w:val="28"/>
        </w:rPr>
      </w:pPr>
      <w:r>
        <w:rPr>
          <w:rFonts w:hint="eastAsia" w:ascii="仿宋_GB2312" w:hAnsi="宋体" w:eastAsia="仿宋_GB2312"/>
          <w:sz w:val="28"/>
          <w:szCs w:val="28"/>
        </w:rPr>
        <w:t>采用竞争性磋商方式</w:t>
      </w:r>
    </w:p>
    <w:p>
      <w:pPr>
        <w:snapToGrid w:val="0"/>
        <w:spacing w:line="360" w:lineRule="auto"/>
        <w:rPr>
          <w:rFonts w:ascii="仿宋_GB2312" w:hAnsi="宋体" w:eastAsia="仿宋_GB2312" w:cs="宋体"/>
          <w:b/>
          <w:bCs/>
          <w:sz w:val="28"/>
          <w:szCs w:val="28"/>
        </w:rPr>
      </w:pPr>
      <w:r>
        <w:rPr>
          <w:rFonts w:hint="eastAsia" w:ascii="仿宋_GB2312" w:hAnsi="宋体" w:eastAsia="仿宋_GB2312" w:cs="宋体"/>
          <w:b/>
          <w:bCs/>
          <w:sz w:val="28"/>
          <w:szCs w:val="28"/>
        </w:rPr>
        <w:t>三、项目需求</w:t>
      </w:r>
    </w:p>
    <w:p>
      <w:pPr>
        <w:spacing w:line="360" w:lineRule="auto"/>
        <w:ind w:firstLine="480" w:firstLineChars="200"/>
        <w:rPr>
          <w:rFonts w:ascii="宋体" w:hAnsi="宋体"/>
          <w:sz w:val="24"/>
          <w:szCs w:val="22"/>
        </w:rPr>
      </w:pPr>
      <w:r>
        <w:rPr>
          <w:rFonts w:hint="eastAsia" w:ascii="宋体" w:hAnsi="宋体"/>
          <w:sz w:val="24"/>
          <w:szCs w:val="22"/>
        </w:rPr>
        <w:t>为了深化教学改革，推动信息技术与教学深度融合，促进课程资源的应用与共享，推进在线开放课程建设，帮助学校教师提高信息化教学能力，现通过招投标的方式选取教学资源制作（含辅助教学设计、视频拍摄、视频后期制作等）服务商。</w:t>
      </w:r>
    </w:p>
    <w:p>
      <w:pPr>
        <w:widowControl/>
        <w:spacing w:before="120" w:beforeLines="50" w:after="120" w:afterLines="50" w:line="360" w:lineRule="auto"/>
        <w:ind w:firstLine="482" w:firstLineChars="200"/>
        <w:jc w:val="left"/>
        <w:rPr>
          <w:rFonts w:ascii="宋体" w:hAnsi="宋体"/>
          <w:b/>
          <w:sz w:val="24"/>
        </w:rPr>
      </w:pPr>
      <w:r>
        <w:rPr>
          <w:rFonts w:hint="eastAsia" w:ascii="宋体" w:hAnsi="宋体"/>
          <w:b/>
          <w:sz w:val="24"/>
        </w:rPr>
        <w:t>（一）</w:t>
      </w:r>
      <w:r>
        <w:rPr>
          <w:rFonts w:hint="eastAsia" w:ascii="宋体" w:hAnsi="宋体"/>
          <w:b/>
          <w:kern w:val="0"/>
          <w:sz w:val="24"/>
          <w:szCs w:val="22"/>
        </w:rPr>
        <w:t>采购内容</w:t>
      </w:r>
    </w:p>
    <w:p>
      <w:pPr>
        <w:spacing w:line="360" w:lineRule="auto"/>
        <w:ind w:firstLine="480" w:firstLineChars="200"/>
        <w:rPr>
          <w:rFonts w:ascii="宋体" w:hAnsi="宋体"/>
          <w:sz w:val="24"/>
          <w:szCs w:val="22"/>
        </w:rPr>
      </w:pPr>
      <w:r>
        <w:rPr>
          <w:rFonts w:hint="eastAsia" w:ascii="宋体" w:hAnsi="宋体"/>
          <w:sz w:val="24"/>
          <w:szCs w:val="22"/>
        </w:rPr>
        <w:t>1</w:t>
      </w:r>
      <w:r>
        <w:rPr>
          <w:rFonts w:ascii="宋体" w:hAnsi="宋体"/>
          <w:sz w:val="24"/>
          <w:szCs w:val="22"/>
        </w:rPr>
        <w:t>.</w:t>
      </w:r>
      <w:r>
        <w:rPr>
          <w:rFonts w:hint="eastAsia" w:ascii="宋体" w:hAnsi="宋体"/>
          <w:sz w:val="24"/>
          <w:szCs w:val="22"/>
        </w:rPr>
        <w:t>本次采购的数字资源制作主要包括教学比赛视频、在线课程视频、微课比赛视频、二维动画、三维动画、现场拍摄（直播）活动等</w:t>
      </w:r>
      <w:r>
        <w:rPr>
          <w:rFonts w:ascii="宋体" w:hAnsi="宋体"/>
          <w:sz w:val="24"/>
          <w:szCs w:val="22"/>
        </w:rPr>
        <w:t>6</w:t>
      </w:r>
      <w:r>
        <w:rPr>
          <w:rFonts w:hint="eastAsia" w:ascii="宋体" w:hAnsi="宋体"/>
          <w:sz w:val="24"/>
          <w:szCs w:val="22"/>
        </w:rPr>
        <w:t>个类别。</w:t>
      </w:r>
    </w:p>
    <w:p>
      <w:pPr>
        <w:spacing w:line="360" w:lineRule="auto"/>
        <w:ind w:firstLine="480" w:firstLineChars="200"/>
        <w:rPr>
          <w:rFonts w:ascii="宋体" w:hAnsi="宋体"/>
          <w:sz w:val="24"/>
          <w:szCs w:val="22"/>
        </w:rPr>
      </w:pPr>
      <w:r>
        <w:rPr>
          <w:rFonts w:hint="eastAsia" w:ascii="宋体" w:hAnsi="宋体"/>
          <w:sz w:val="24"/>
          <w:szCs w:val="22"/>
        </w:rPr>
        <w:t>（1）教学比赛视频的拍摄制作按组整体报价，35-4</w:t>
      </w:r>
      <w:r>
        <w:rPr>
          <w:rFonts w:ascii="宋体" w:hAnsi="宋体"/>
          <w:sz w:val="24"/>
          <w:szCs w:val="22"/>
        </w:rPr>
        <w:t>5</w:t>
      </w:r>
      <w:r>
        <w:rPr>
          <w:rFonts w:hint="eastAsia" w:ascii="宋体" w:hAnsi="宋体"/>
          <w:sz w:val="24"/>
          <w:szCs w:val="22"/>
        </w:rPr>
        <w:t>分钟（3---4个）含省赛决赛PPT设计（1个实施报告和6个模拟授课）；教学能力比赛拍摄制作服务仅限市、省赛，校赛由学校自行拍摄；每组作品当天可以无限次拍摄，确认后提交如有其他意见再重拍须再结算一次价格；省赛一、二、三等奖，获奖后分别追加奖励制作单位费用比例为100%、60%、</w:t>
      </w:r>
      <w:r>
        <w:rPr>
          <w:rFonts w:ascii="宋体" w:hAnsi="宋体"/>
          <w:sz w:val="24"/>
          <w:szCs w:val="22"/>
        </w:rPr>
        <w:t>2</w:t>
      </w:r>
      <w:r>
        <w:rPr>
          <w:rFonts w:hint="eastAsia" w:ascii="宋体" w:hAnsi="宋体"/>
          <w:sz w:val="24"/>
          <w:szCs w:val="22"/>
        </w:rPr>
        <w:t>0%；国家级比赛一、二、三等奖，获奖后分别追加奖励制作单位费用比例为200%、160%、100%；预算为：省赛10000元/组；市赛5000元/组（市赛获奖不另外追加费用,江苏开放大学组织举办的教学比赛为市赛，国家开放大学组织举办的教学比赛为省赛）。</w:t>
      </w:r>
    </w:p>
    <w:p>
      <w:pPr>
        <w:spacing w:line="360" w:lineRule="auto"/>
        <w:ind w:firstLine="480" w:firstLineChars="200"/>
        <w:rPr>
          <w:rFonts w:ascii="宋体" w:hAnsi="宋体"/>
          <w:sz w:val="24"/>
          <w:szCs w:val="22"/>
        </w:rPr>
      </w:pPr>
      <w:r>
        <w:rPr>
          <w:rFonts w:hint="eastAsia" w:ascii="宋体" w:hAnsi="宋体"/>
          <w:sz w:val="24"/>
          <w:szCs w:val="22"/>
        </w:rPr>
        <w:t>（2）在线课程视频单价：一个视频一个知识点（时长10-15分钟/知识点，），含PPT美化和字幕添加，预算为：2000元/知识点。</w:t>
      </w:r>
    </w:p>
    <w:p>
      <w:pPr>
        <w:spacing w:line="360" w:lineRule="auto"/>
        <w:ind w:firstLine="480" w:firstLineChars="200"/>
        <w:rPr>
          <w:rFonts w:ascii="宋体" w:hAnsi="宋体" w:cs="宋体"/>
          <w:sz w:val="24"/>
        </w:rPr>
      </w:pPr>
      <w:r>
        <w:rPr>
          <w:rFonts w:hint="eastAsia" w:ascii="宋体" w:hAnsi="宋体"/>
          <w:sz w:val="24"/>
          <w:szCs w:val="22"/>
        </w:rPr>
        <w:t>（</w:t>
      </w:r>
      <w:r>
        <w:rPr>
          <w:rFonts w:ascii="宋体" w:hAnsi="宋体"/>
          <w:sz w:val="24"/>
          <w:szCs w:val="22"/>
        </w:rPr>
        <w:t>3</w:t>
      </w:r>
      <w:r>
        <w:rPr>
          <w:rFonts w:hint="eastAsia" w:ascii="宋体" w:hAnsi="宋体"/>
          <w:sz w:val="24"/>
          <w:szCs w:val="22"/>
        </w:rPr>
        <w:t>）微课比赛视频：8-15分钟/个，特效包装及PPT设计，参加市级或省级微课教学比赛，含PPT、字幕，预算为3000元/个。</w:t>
      </w:r>
    </w:p>
    <w:p>
      <w:pPr>
        <w:spacing w:line="360" w:lineRule="auto"/>
        <w:ind w:firstLine="480" w:firstLineChars="200"/>
        <w:rPr>
          <w:rFonts w:ascii="宋体" w:hAnsi="宋体" w:cs="宋体"/>
          <w:sz w:val="24"/>
        </w:rPr>
      </w:pPr>
      <w:r>
        <w:rPr>
          <w:rFonts w:hint="eastAsia" w:ascii="宋体" w:hAnsi="宋体" w:cs="宋体"/>
          <w:sz w:val="24"/>
        </w:rPr>
        <w:t>（4）二维动画制作</w:t>
      </w:r>
      <w:r>
        <w:rPr>
          <w:rFonts w:hint="eastAsia" w:ascii="宋体" w:hAnsi="宋体"/>
          <w:sz w:val="24"/>
          <w:szCs w:val="22"/>
        </w:rPr>
        <w:t>：预算为</w:t>
      </w:r>
      <w:r>
        <w:rPr>
          <w:rFonts w:hint="eastAsia" w:ascii="宋体" w:hAnsi="宋体" w:cs="宋体"/>
          <w:sz w:val="24"/>
        </w:rPr>
        <w:t>100元/秒，具体制作标准附后。</w:t>
      </w:r>
    </w:p>
    <w:p>
      <w:pPr>
        <w:spacing w:line="360" w:lineRule="auto"/>
        <w:ind w:firstLine="480" w:firstLineChars="200"/>
        <w:rPr>
          <w:rFonts w:ascii="宋体" w:hAnsi="宋体" w:cs="宋体"/>
          <w:sz w:val="24"/>
        </w:rPr>
      </w:pPr>
      <w:r>
        <w:rPr>
          <w:rFonts w:hint="eastAsia" w:ascii="宋体" w:hAnsi="宋体" w:cs="宋体"/>
          <w:sz w:val="24"/>
        </w:rPr>
        <w:t>（5）三维动画制作</w:t>
      </w:r>
      <w:r>
        <w:rPr>
          <w:rFonts w:hint="eastAsia" w:ascii="宋体" w:hAnsi="宋体"/>
          <w:sz w:val="24"/>
          <w:szCs w:val="22"/>
        </w:rPr>
        <w:t>：预算为</w:t>
      </w:r>
      <w:r>
        <w:rPr>
          <w:rFonts w:hint="eastAsia" w:ascii="宋体" w:hAnsi="宋体" w:cs="宋体"/>
          <w:sz w:val="24"/>
        </w:rPr>
        <w:t>200元/秒，具体制作标准附后。</w:t>
      </w:r>
    </w:p>
    <w:p>
      <w:pPr>
        <w:spacing w:line="360" w:lineRule="auto"/>
        <w:ind w:firstLine="480" w:firstLineChars="200"/>
        <w:rPr>
          <w:rFonts w:ascii="宋体" w:hAnsi="宋体" w:cs="宋体"/>
          <w:sz w:val="24"/>
        </w:rPr>
      </w:pPr>
      <w:r>
        <w:rPr>
          <w:rFonts w:hint="eastAsia" w:ascii="宋体" w:hAnsi="宋体" w:cs="宋体"/>
          <w:sz w:val="24"/>
        </w:rPr>
        <w:t>（6）现场拍摄（直播）活动</w:t>
      </w:r>
      <w:r>
        <w:rPr>
          <w:rFonts w:hint="eastAsia" w:ascii="宋体" w:hAnsi="宋体"/>
          <w:sz w:val="24"/>
          <w:szCs w:val="22"/>
        </w:rPr>
        <w:t>：预算为</w:t>
      </w:r>
      <w:r>
        <w:rPr>
          <w:rFonts w:ascii="宋体" w:hAnsi="宋体" w:cs="宋体"/>
          <w:sz w:val="24"/>
        </w:rPr>
        <w:t>2000</w:t>
      </w:r>
      <w:r>
        <w:rPr>
          <w:rFonts w:hint="eastAsia" w:ascii="宋体" w:hAnsi="宋体" w:cs="宋体"/>
          <w:sz w:val="24"/>
        </w:rPr>
        <w:t>元/场（前期调试费用包含在内），具体制作标准附后。</w:t>
      </w:r>
    </w:p>
    <w:p>
      <w:pPr>
        <w:spacing w:line="360" w:lineRule="auto"/>
        <w:ind w:firstLine="480" w:firstLineChars="200"/>
        <w:rPr>
          <w:rFonts w:ascii="宋体" w:hAnsi="宋体"/>
          <w:sz w:val="24"/>
          <w:szCs w:val="22"/>
        </w:rPr>
      </w:pPr>
      <w:r>
        <w:rPr>
          <w:rFonts w:hint="eastAsia" w:ascii="宋体" w:hAnsi="宋体" w:cs="宋体"/>
          <w:sz w:val="24"/>
        </w:rPr>
        <w:t>2</w:t>
      </w:r>
      <w:r>
        <w:rPr>
          <w:rFonts w:ascii="宋体" w:hAnsi="宋体" w:cs="宋体"/>
          <w:sz w:val="24"/>
        </w:rPr>
        <w:t>.</w:t>
      </w:r>
      <w:r>
        <w:rPr>
          <w:rFonts w:hint="eastAsia" w:ascii="宋体" w:hAnsi="宋体"/>
          <w:sz w:val="24"/>
          <w:szCs w:val="22"/>
        </w:rPr>
        <w:t>投标人需按要求对教学比赛视频、在线课程视频、微课比赛视频、二维动画、三维动画、现场拍摄（直播）活动等</w:t>
      </w:r>
      <w:r>
        <w:rPr>
          <w:rFonts w:ascii="宋体" w:hAnsi="宋体"/>
          <w:sz w:val="24"/>
          <w:szCs w:val="22"/>
        </w:rPr>
        <w:t>6</w:t>
      </w:r>
      <w:r>
        <w:rPr>
          <w:rFonts w:hint="eastAsia" w:ascii="宋体" w:hAnsi="宋体"/>
          <w:sz w:val="24"/>
          <w:szCs w:val="22"/>
        </w:rPr>
        <w:t>个类别视频的拍摄制作单价分别报价。</w:t>
      </w:r>
    </w:p>
    <w:p>
      <w:pPr>
        <w:spacing w:line="360" w:lineRule="auto"/>
        <w:ind w:firstLine="480" w:firstLineChars="200"/>
        <w:rPr>
          <w:rFonts w:ascii="宋体" w:hAnsi="宋体"/>
          <w:sz w:val="24"/>
          <w:szCs w:val="22"/>
        </w:rPr>
      </w:pPr>
      <w:r>
        <w:rPr>
          <w:rFonts w:hint="eastAsia" w:ascii="宋体" w:hAnsi="宋体"/>
          <w:sz w:val="24"/>
          <w:szCs w:val="22"/>
        </w:rPr>
        <w:t>注：每个在线课程视频或微课比赛视频长度在</w:t>
      </w:r>
      <w:r>
        <w:rPr>
          <w:rFonts w:ascii="宋体" w:hAnsi="宋体"/>
          <w:sz w:val="24"/>
          <w:szCs w:val="22"/>
        </w:rPr>
        <w:t>8</w:t>
      </w:r>
      <w:r>
        <w:rPr>
          <w:rFonts w:hint="eastAsia" w:ascii="宋体" w:hAnsi="宋体"/>
          <w:sz w:val="24"/>
          <w:szCs w:val="22"/>
        </w:rPr>
        <w:t>-1</w:t>
      </w:r>
      <w:r>
        <w:rPr>
          <w:rFonts w:ascii="宋体" w:hAnsi="宋体"/>
          <w:sz w:val="24"/>
          <w:szCs w:val="22"/>
        </w:rPr>
        <w:t>5</w:t>
      </w:r>
      <w:r>
        <w:rPr>
          <w:rFonts w:hint="eastAsia" w:ascii="宋体" w:hAnsi="宋体"/>
          <w:sz w:val="24"/>
          <w:szCs w:val="22"/>
        </w:rPr>
        <w:t>分钟，根据视频不同的应用要求具体而定；每个视频价格包括拍摄制作视频的全套服务，包括但不限于片头片尾制作、视频拍摄、编辑、PPT美化等；前三类报价不包含所需制作二维、三维动画的费用；同一个二维、三维动画在不同视频中应用不得重复计价；</w:t>
      </w:r>
      <w:r>
        <w:rPr>
          <w:rFonts w:hint="eastAsia" w:ascii="宋体" w:hAnsi="宋体" w:cs="宋体"/>
          <w:sz w:val="24"/>
        </w:rPr>
        <w:t>在线开放</w:t>
      </w:r>
      <w:r>
        <w:rPr>
          <w:rFonts w:ascii="宋体" w:hAnsi="宋体" w:cs="宋体"/>
          <w:sz w:val="24"/>
        </w:rPr>
        <w:t>课程制作包括但不限于</w:t>
      </w:r>
      <w:r>
        <w:rPr>
          <w:rFonts w:hint="eastAsia" w:ascii="宋体" w:hAnsi="宋体" w:cs="宋体"/>
          <w:sz w:val="24"/>
        </w:rPr>
        <w:t>辅助整门课程内容规划、课程宣传片拍摄与制作、课程资料上传、课程视频拍摄与制作、课程上线辅导、课程宣传推广等。</w:t>
      </w:r>
    </w:p>
    <w:p>
      <w:pPr>
        <w:widowControl/>
        <w:spacing w:line="360" w:lineRule="auto"/>
        <w:ind w:firstLine="472" w:firstLineChars="196"/>
        <w:jc w:val="left"/>
        <w:rPr>
          <w:rFonts w:ascii="宋体" w:hAnsi="宋体"/>
          <w:b/>
          <w:sz w:val="24"/>
          <w:szCs w:val="22"/>
        </w:rPr>
      </w:pPr>
      <w:r>
        <w:rPr>
          <w:rFonts w:hint="eastAsia" w:ascii="宋体" w:hAnsi="宋体"/>
          <w:b/>
          <w:sz w:val="24"/>
        </w:rPr>
        <w:t>（二）</w:t>
      </w:r>
      <w:r>
        <w:rPr>
          <w:rFonts w:hint="eastAsia" w:ascii="宋体" w:hAnsi="宋体"/>
          <w:b/>
          <w:sz w:val="24"/>
          <w:szCs w:val="22"/>
        </w:rPr>
        <w:t>年度费用总预算</w:t>
      </w:r>
    </w:p>
    <w:p>
      <w:pPr>
        <w:widowControl/>
        <w:spacing w:line="360" w:lineRule="auto"/>
        <w:ind w:firstLine="470" w:firstLineChars="196"/>
        <w:jc w:val="left"/>
        <w:rPr>
          <w:rFonts w:ascii="宋体" w:hAnsi="宋体"/>
          <w:sz w:val="24"/>
          <w:szCs w:val="22"/>
        </w:rPr>
      </w:pPr>
      <w:r>
        <w:rPr>
          <w:rFonts w:hint="eastAsia" w:ascii="宋体" w:hAnsi="宋体"/>
          <w:sz w:val="24"/>
          <w:szCs w:val="22"/>
        </w:rPr>
        <w:t>结合2022</w:t>
      </w:r>
      <w:r>
        <w:rPr>
          <w:rFonts w:ascii="宋体" w:hAnsi="宋体"/>
          <w:sz w:val="24"/>
          <w:szCs w:val="22"/>
        </w:rPr>
        <w:t>-2023</w:t>
      </w:r>
      <w:r>
        <w:rPr>
          <w:rFonts w:hint="eastAsia" w:ascii="宋体" w:hAnsi="宋体"/>
          <w:sz w:val="24"/>
          <w:szCs w:val="22"/>
        </w:rPr>
        <w:t>年拟参赛、课程制作计划，平均每年预算为</w:t>
      </w:r>
      <w:r>
        <w:rPr>
          <w:rFonts w:ascii="宋体" w:hAnsi="宋体"/>
          <w:sz w:val="24"/>
          <w:szCs w:val="22"/>
        </w:rPr>
        <w:t>28</w:t>
      </w:r>
      <w:r>
        <w:rPr>
          <w:rFonts w:hint="eastAsia" w:ascii="宋体" w:hAnsi="宋体"/>
          <w:sz w:val="24"/>
          <w:szCs w:val="22"/>
        </w:rPr>
        <w:t>万元。</w:t>
      </w:r>
    </w:p>
    <w:p>
      <w:pPr>
        <w:widowControl/>
        <w:spacing w:before="120" w:beforeLines="50" w:after="120" w:afterLines="50" w:line="360" w:lineRule="auto"/>
        <w:ind w:firstLine="472" w:firstLineChars="196"/>
        <w:jc w:val="left"/>
        <w:rPr>
          <w:rFonts w:ascii="宋体" w:hAnsi="宋体"/>
          <w:b/>
          <w:sz w:val="24"/>
        </w:rPr>
      </w:pPr>
      <w:r>
        <w:rPr>
          <w:rFonts w:hint="eastAsia" w:ascii="宋体" w:hAnsi="宋体"/>
          <w:b/>
          <w:sz w:val="24"/>
        </w:rPr>
        <w:t>（三）技术要求</w:t>
      </w:r>
    </w:p>
    <w:p>
      <w:pPr>
        <w:widowControl/>
        <w:spacing w:line="360" w:lineRule="auto"/>
        <w:ind w:firstLine="482" w:firstLineChars="200"/>
        <w:jc w:val="left"/>
        <w:rPr>
          <w:rFonts w:ascii="宋体" w:hAnsi="宋体"/>
          <w:b/>
          <w:sz w:val="24"/>
          <w:szCs w:val="22"/>
        </w:rPr>
      </w:pPr>
      <w:r>
        <w:rPr>
          <w:rFonts w:hint="eastAsia" w:ascii="宋体" w:hAnsi="宋体"/>
          <w:b/>
          <w:sz w:val="24"/>
          <w:szCs w:val="22"/>
        </w:rPr>
        <w:t>1</w:t>
      </w:r>
      <w:r>
        <w:rPr>
          <w:rFonts w:ascii="宋体" w:hAnsi="宋体"/>
          <w:b/>
          <w:sz w:val="24"/>
          <w:szCs w:val="22"/>
        </w:rPr>
        <w:t>.</w:t>
      </w:r>
      <w:r>
        <w:rPr>
          <w:rFonts w:hint="eastAsia" w:ascii="宋体" w:hAnsi="宋体"/>
          <w:b/>
          <w:sz w:val="24"/>
          <w:szCs w:val="22"/>
        </w:rPr>
        <w:t>人员配置及设备要求</w:t>
      </w:r>
    </w:p>
    <w:p>
      <w:pPr>
        <w:widowControl/>
        <w:spacing w:line="360" w:lineRule="auto"/>
        <w:ind w:firstLine="480" w:firstLineChars="200"/>
        <w:jc w:val="left"/>
        <w:rPr>
          <w:rFonts w:ascii="宋体" w:hAnsi="宋体"/>
          <w:sz w:val="24"/>
          <w:szCs w:val="22"/>
        </w:rPr>
      </w:pPr>
      <w:r>
        <w:rPr>
          <w:rFonts w:hint="eastAsia" w:ascii="宋体" w:hAnsi="宋体"/>
          <w:sz w:val="24"/>
          <w:szCs w:val="22"/>
        </w:rPr>
        <w:t>（1）具备3年以上经验的顾问团队，编导与老师深度沟通，提供一对一的资源制作咨询服务，收集材料，辅助老师策划设计课程，设计知识点，起草拍摄脚本、拟定分组镜头大纲。</w:t>
      </w:r>
    </w:p>
    <w:p>
      <w:pPr>
        <w:widowControl/>
        <w:spacing w:line="360" w:lineRule="auto"/>
        <w:ind w:firstLine="470" w:firstLineChars="196"/>
        <w:jc w:val="left"/>
        <w:rPr>
          <w:rFonts w:ascii="宋体" w:hAnsi="宋体"/>
          <w:sz w:val="24"/>
          <w:szCs w:val="22"/>
        </w:rPr>
      </w:pPr>
      <w:r>
        <w:rPr>
          <w:rFonts w:hint="eastAsia" w:ascii="宋体" w:hAnsi="宋体"/>
          <w:sz w:val="24"/>
          <w:szCs w:val="22"/>
        </w:rPr>
        <w:t>（2）具备资深专业摄像师、摄像助理、化妆师、灯光师、场记员等专业摄像团队拍摄现场服务，包括拍摄前及拍摄过程摄像机、机位位置、音频设备、灯光调试管理，化妆，拍摄进度、时间、内容、景别等内容的记录。</w:t>
      </w:r>
    </w:p>
    <w:p>
      <w:pPr>
        <w:widowControl/>
        <w:spacing w:line="360" w:lineRule="auto"/>
        <w:ind w:firstLine="470" w:firstLineChars="196"/>
        <w:jc w:val="left"/>
        <w:rPr>
          <w:rFonts w:ascii="宋体" w:hAnsi="宋体"/>
          <w:sz w:val="24"/>
          <w:szCs w:val="22"/>
        </w:rPr>
      </w:pPr>
      <w:r>
        <w:rPr>
          <w:rFonts w:hint="eastAsia" w:ascii="宋体" w:hAnsi="宋体"/>
          <w:sz w:val="24"/>
          <w:szCs w:val="22"/>
        </w:rPr>
        <w:t>（3）拍摄设备：专业高清摄像机、拍摄轨道、摇臂、1.5米小型轨、4K高清摄像机、高速摄像机等各类课程制作拍摄设备。</w:t>
      </w:r>
    </w:p>
    <w:p>
      <w:pPr>
        <w:widowControl/>
        <w:spacing w:line="360" w:lineRule="auto"/>
        <w:ind w:firstLine="470" w:firstLineChars="196"/>
        <w:jc w:val="left"/>
        <w:rPr>
          <w:rFonts w:ascii="宋体" w:hAnsi="宋体"/>
          <w:sz w:val="24"/>
          <w:szCs w:val="22"/>
        </w:rPr>
      </w:pPr>
      <w:r>
        <w:rPr>
          <w:rFonts w:hint="eastAsia" w:ascii="宋体" w:hAnsi="宋体"/>
          <w:sz w:val="24"/>
          <w:szCs w:val="22"/>
        </w:rPr>
        <w:t>音频设备：专业无线麦模式的音频设备。</w:t>
      </w:r>
    </w:p>
    <w:p>
      <w:pPr>
        <w:widowControl/>
        <w:spacing w:line="360" w:lineRule="auto"/>
        <w:ind w:firstLine="470" w:firstLineChars="196"/>
        <w:jc w:val="left"/>
        <w:rPr>
          <w:rFonts w:ascii="宋体" w:hAnsi="宋体"/>
          <w:sz w:val="24"/>
          <w:szCs w:val="22"/>
        </w:rPr>
      </w:pPr>
      <w:r>
        <w:rPr>
          <w:rFonts w:hint="eastAsia" w:ascii="宋体" w:hAnsi="宋体"/>
          <w:sz w:val="24"/>
          <w:szCs w:val="22"/>
        </w:rPr>
        <w:t>灯光设备：专业影视摄影镝灯，LED 面光灯等。</w:t>
      </w:r>
    </w:p>
    <w:p>
      <w:pPr>
        <w:widowControl/>
        <w:spacing w:line="360" w:lineRule="auto"/>
        <w:ind w:firstLine="470" w:firstLineChars="196"/>
        <w:jc w:val="left"/>
        <w:rPr>
          <w:rFonts w:ascii="宋体" w:hAnsi="宋体"/>
          <w:sz w:val="24"/>
          <w:szCs w:val="22"/>
        </w:rPr>
      </w:pPr>
      <w:r>
        <w:rPr>
          <w:rFonts w:hint="eastAsia" w:ascii="宋体" w:hAnsi="宋体"/>
          <w:sz w:val="24"/>
          <w:szCs w:val="22"/>
        </w:rPr>
        <w:t>辅助记忆设备：提词器1 套。</w:t>
      </w:r>
    </w:p>
    <w:p>
      <w:pPr>
        <w:widowControl/>
        <w:spacing w:line="360" w:lineRule="auto"/>
        <w:ind w:firstLine="470" w:firstLineChars="196"/>
        <w:jc w:val="left"/>
        <w:rPr>
          <w:rFonts w:ascii="宋体" w:hAnsi="宋体"/>
          <w:sz w:val="24"/>
          <w:szCs w:val="22"/>
        </w:rPr>
      </w:pPr>
      <w:r>
        <w:rPr>
          <w:rFonts w:hint="eastAsia" w:ascii="宋体" w:hAnsi="宋体"/>
          <w:sz w:val="24"/>
          <w:szCs w:val="22"/>
        </w:rPr>
        <w:t>（4）后期制作团队：具备专业的视频剪辑、特效、包装团队进行视频后期制作。</w:t>
      </w:r>
    </w:p>
    <w:p>
      <w:pPr>
        <w:widowControl/>
        <w:spacing w:line="360" w:lineRule="auto"/>
        <w:ind w:firstLine="470" w:firstLineChars="196"/>
        <w:jc w:val="left"/>
        <w:rPr>
          <w:rFonts w:ascii="宋体" w:hAnsi="宋体"/>
          <w:sz w:val="24"/>
          <w:szCs w:val="22"/>
        </w:rPr>
      </w:pPr>
      <w:r>
        <w:rPr>
          <w:rFonts w:hint="eastAsia" w:ascii="宋体" w:hAnsi="宋体"/>
          <w:sz w:val="24"/>
          <w:szCs w:val="22"/>
        </w:rPr>
        <w:t>（5）所有参与制作人员必须为中标单位所聘用人员。</w:t>
      </w:r>
    </w:p>
    <w:p>
      <w:pPr>
        <w:spacing w:line="360" w:lineRule="auto"/>
        <w:ind w:firstLine="482" w:firstLineChars="200"/>
        <w:rPr>
          <w:rFonts w:ascii="宋体" w:hAnsi="宋体" w:cs="宋体"/>
          <w:b/>
          <w:sz w:val="24"/>
        </w:rPr>
      </w:pPr>
      <w:r>
        <w:rPr>
          <w:rFonts w:hint="eastAsia" w:ascii="宋体" w:hAnsi="宋体" w:cs="宋体"/>
          <w:b/>
          <w:sz w:val="24"/>
        </w:rPr>
        <w:t>2</w:t>
      </w:r>
      <w:r>
        <w:rPr>
          <w:rFonts w:ascii="宋体" w:hAnsi="宋体" w:cs="宋体"/>
          <w:b/>
          <w:sz w:val="24"/>
        </w:rPr>
        <w:t>.</w:t>
      </w:r>
      <w:r>
        <w:rPr>
          <w:rFonts w:hint="eastAsia" w:ascii="宋体" w:hAnsi="宋体" w:cs="宋体"/>
          <w:b/>
          <w:sz w:val="24"/>
        </w:rPr>
        <w:t>在线开放课程制作要求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富媒体化内容的组织要求，在线开放课程是以授课内容为中心的课程资源包，囊括视频、音频、图书、论文、文本、图片、动画等富媒体内容。投标供应商需要根据老师提供素材包含作业、习题、讲义、参考资料及其他与课程相关的资源进行整合，以便制作精良的课程。</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（2）知识单元化，课程制作按照知识点进行，每个知识点是一个独立的课程单元，每个微视频时长</w:t>
      </w:r>
      <w:r>
        <w:rPr>
          <w:rFonts w:ascii="宋体" w:hAnsi="宋体" w:cs="宋体"/>
          <w:sz w:val="24"/>
        </w:rPr>
        <w:t>10-15</w:t>
      </w:r>
      <w:r>
        <w:rPr>
          <w:rFonts w:hint="eastAsia" w:ascii="宋体" w:hAnsi="宋体" w:cs="宋体"/>
          <w:sz w:val="24"/>
        </w:rPr>
        <w:t>分钟，每个知识点微视频个数根据内容确定；每个知识点资源包括授课视频、动画、参考资料、作业题、试题库及其它相关资源等。</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（3）版权要求，投标供应商因课程建设需要提供的学术视频、动画、片头片尾、图片、音频、图书、论文等素材，要求具有完整的知识产权，且其产权归属学校所有。</w:t>
      </w:r>
    </w:p>
    <w:p>
      <w:pPr>
        <w:adjustRightInd w:val="0"/>
        <w:snapToGrid w:val="0"/>
        <w:spacing w:line="360" w:lineRule="auto"/>
        <w:ind w:firstLine="482" w:firstLineChars="200"/>
        <w:rPr>
          <w:rFonts w:ascii="宋体" w:hAnsi="宋体" w:cs="宋体"/>
          <w:b/>
          <w:sz w:val="24"/>
        </w:rPr>
      </w:pPr>
      <w:r>
        <w:rPr>
          <w:rFonts w:ascii="宋体" w:hAnsi="宋体" w:cs="宋体"/>
          <w:b/>
          <w:sz w:val="24"/>
        </w:rPr>
        <w:t>3.</w:t>
      </w:r>
      <w:r>
        <w:rPr>
          <w:rFonts w:hint="eastAsia" w:ascii="宋体" w:hAnsi="宋体" w:cs="宋体"/>
          <w:b/>
          <w:sz w:val="24"/>
        </w:rPr>
        <w:t>在线开放课程视频制作要求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所有视频制作质量要求需满足国家和江苏省有关课程建设的相关规范要求，不得出现与国家法律法规、政策不符的内容。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（1）必须使用高清数字设备进行录制，要求视频信号源，稳定性：全片图像同步性能稳定，无失步现象，CTL 同步控制信号必须连续；图像无抖动跳跃，色彩无突变，编辑点处图像稳定。</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信噪比：图像信噪比不低于 55dB，无明显杂波。色调：白平衡正确，无明显偏色，多机拍摄的镜头衔接处无明显色差。</w:t>
      </w:r>
    </w:p>
    <w:p>
      <w:pPr>
        <w:adjustRightInd w:val="0"/>
        <w:snapToGrid w:val="0"/>
        <w:spacing w:line="360" w:lineRule="auto"/>
        <w:ind w:firstLine="480" w:firstLineChars="200"/>
        <w:rPr>
          <w:sz w:val="24"/>
        </w:rPr>
      </w:pPr>
      <w:r>
        <w:rPr>
          <w:sz w:val="24"/>
        </w:rPr>
        <w:t>视频电平：视频全讯号幅度为 1 Ⅴp-p，最大不超过 1.1Ⅴ p-p。其中，消隐电平为 0V 时，白电平幅度 0.7 Ⅴp-p，同步信号-0.3 V，色同步信号幅度 0.3 V p-p (以消隐线上下对称)，全片一致。支持转换 mp4，mpg，flv等通用的视频格式。</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（2）必须使用专业级话筒及音频处理设备，保证录音质量。音频信号源，声道：中文内容音频信号记录于第 1 声道，音乐、音效、同期声记录于第 2 声道，若有其他文字解说记录于第 3 声道（如录音设备无第 3 声道，则录于第 2 声道）。电平指标：-2db — -8db 声音应无明显失真、放音过冲、过弱。音频信噪比不低于 48db。声音和画面要求同步，无交流声或其他杂音等缺陷。伴音清晰、饱满、圆润，无失真、噪声杂音干扰、音量忽大忽小现象。解说声与现场声无明显比例失调，解说声与背景音乐无明显比例失调。</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（3）前期采用高清拍摄时，分辨率不低于 1080p(1920*1080)，采用 16：9 模式。视频处理压缩采用 H.264(MPEG-4 Part10：profile=main, level=3.0)及以上标准编码方式，码流速率 10240Kbps 以上，帧率不低于25fps。</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（4）音频压缩采用 AAC(MPEG4 Part3)格式。采样率 48KHz。音频码流率 128Kbps (恒定)。双声道，须做混音处理。配音可中英文双音轨模式。</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（5）动画制作，动画指的是需要根据要求设计的、需要建模制作的复杂视频效果，要求提供可嵌入视频的动画，嵌入时与视频融合恰当。同一动画重复使用不重复计算时长。</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字幕制作，字幕文件需单独制作，要求用SRT格式，字幕要使用符合国家标准的规范字，不出现繁体字、异体字(国家规定的除外)、错别字；字幕的字体、大小、色彩搭配、摆放位置、停留时间、出入屏方式力求与其他要素（画面、解说词、音乐）配合适当，不能破坏原有画面。可支持中英文双字幕模式。</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（7）片头片尾，片头一般不超过 20 秒，应包括:学校 LOGO、课程名称、讲次、主讲教师信息。片尾包括版权单位、录制时间等信息。</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（8）拍摄效果不可低于招标提供的案例课程。（案例课程需提供U盘留存招标方）。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（9）提供PPT美化服务。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）其他要求，抠像需保证效果平滑，与背景色调一致。</w:t>
      </w:r>
    </w:p>
    <w:p>
      <w:pPr>
        <w:adjustRightInd w:val="0"/>
        <w:snapToGrid w:val="0"/>
        <w:spacing w:line="360" w:lineRule="auto"/>
        <w:ind w:firstLine="482" w:firstLineChars="200"/>
        <w:rPr>
          <w:rFonts w:ascii="宋体" w:hAnsi="宋体" w:cs="宋体"/>
          <w:b/>
          <w:sz w:val="24"/>
        </w:rPr>
      </w:pPr>
      <w:r>
        <w:rPr>
          <w:rFonts w:hint="eastAsia" w:ascii="宋体" w:hAnsi="宋体" w:cs="宋体"/>
          <w:b/>
          <w:sz w:val="24"/>
        </w:rPr>
        <w:t>4</w:t>
      </w:r>
      <w:r>
        <w:rPr>
          <w:rFonts w:ascii="宋体" w:hAnsi="宋体" w:cs="宋体"/>
          <w:b/>
          <w:sz w:val="24"/>
        </w:rPr>
        <w:t>.</w:t>
      </w:r>
      <w:r>
        <w:rPr>
          <w:rFonts w:hint="eastAsia" w:ascii="宋体" w:hAnsi="宋体" w:cs="宋体"/>
          <w:b/>
          <w:sz w:val="24"/>
        </w:rPr>
        <w:t>教学比赛视频制作要求</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教学比赛类视频拍摄制作：包括视频拍摄、视频后期制作、PPT制作、课程设计、作品设计、全程指导等，应符合省教学比赛正式文件要求。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视频录制采用H.264/AVC（MPEG-4 Part10）编码格式压缩；动态码流的码率不低于1024Kbps，不超过1280Kbps；分辨率设定为720×576（标清4:3拍摄）或1280×720（高清16:9拍摄）；采用逐行扫描（帧率25帧/秒）。音频采用AAC（MPEG4 Part3）格式压缩；采样率48KHz；码流128Kbps（恒定）。</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课堂实录视频须采用单机方式全程连续录制（不得使用摇臂、无人机、虚拟演播系统、临时拼接大型LED显示屏等脱离课堂教学实际、片面追求拍摄效果、费用昂贵的录制手段），不允许另行剪辑及配音，不加片头片尾、字幕注解，不得泄露地区、学校名称。采用MP4格式封装，每个文件大小不超过200M。每段视频文件命名需有明显区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课堂实录视频每段时长8-15分钟，总时长控制在35-4</w:t>
      </w:r>
      <w:r>
        <w:rPr>
          <w:rFonts w:ascii="宋体" w:hAnsi="宋体" w:cs="宋体"/>
          <w:sz w:val="24"/>
        </w:rPr>
        <w:t>5</w:t>
      </w:r>
      <w:r>
        <w:rPr>
          <w:rFonts w:hint="eastAsia" w:ascii="宋体" w:hAnsi="宋体" w:cs="宋体"/>
          <w:sz w:val="24"/>
        </w:rPr>
        <w:t>分钟；每段视频可自行选择教学场景，应分别完整、清晰地呈现参赛作品中内容相对独立完整、课程属性特质鲜明、反映团队成员教学风格的教学活动实况。视频材料中不得透漏任何个人、学校或地区的相关信息。</w:t>
      </w:r>
    </w:p>
    <w:p>
      <w:pPr>
        <w:pStyle w:val="100"/>
        <w:ind w:left="0" w:leftChars="0" w:firstLine="0" w:firstLineChars="0"/>
        <w:rPr>
          <w:rFonts w:ascii="宋体" w:hAnsi="宋体"/>
          <w:b/>
          <w:sz w:val="24"/>
          <w:szCs w:val="22"/>
        </w:rPr>
      </w:pPr>
      <w:r>
        <w:rPr>
          <w:rFonts w:hint="eastAsia"/>
        </w:rPr>
        <w:t xml:space="preserve"> </w:t>
      </w:r>
      <w:r>
        <w:t xml:space="preserve">   </w:t>
      </w:r>
      <w:r>
        <w:rPr>
          <w:rFonts w:hint="eastAsia" w:ascii="宋体" w:hAnsi="宋体"/>
          <w:b/>
          <w:sz w:val="24"/>
          <w:szCs w:val="22"/>
        </w:rPr>
        <w:t>5</w:t>
      </w:r>
      <w:r>
        <w:rPr>
          <w:rFonts w:ascii="宋体" w:hAnsi="宋体"/>
          <w:b/>
          <w:sz w:val="24"/>
          <w:szCs w:val="22"/>
        </w:rPr>
        <w:t>.</w:t>
      </w:r>
      <w:r>
        <w:rPr>
          <w:rFonts w:hint="eastAsia" w:ascii="宋体" w:hAnsi="宋体"/>
          <w:b/>
          <w:sz w:val="24"/>
          <w:szCs w:val="22"/>
        </w:rPr>
        <w:t>二维、三维动画制作标准</w:t>
      </w:r>
    </w:p>
    <w:tbl>
      <w:tblPr>
        <w:tblStyle w:val="24"/>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06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b/>
                <w:sz w:val="24"/>
                <w:szCs w:val="22"/>
              </w:rPr>
            </w:pPr>
            <w:r>
              <w:rPr>
                <w:rFonts w:hint="eastAsia" w:ascii="宋体" w:hAnsi="宋体"/>
                <w:b/>
                <w:sz w:val="24"/>
                <w:szCs w:val="22"/>
              </w:rPr>
              <w:t>（1）复杂的二维动画具体技术指标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widowControl/>
              <w:spacing w:line="360" w:lineRule="exact"/>
              <w:jc w:val="left"/>
              <w:rPr>
                <w:rFonts w:ascii="宋体" w:hAnsi="宋体"/>
                <w:sz w:val="24"/>
                <w:szCs w:val="22"/>
              </w:rPr>
            </w:pPr>
            <w:r>
              <w:rPr>
                <w:rFonts w:hint="eastAsia" w:ascii="宋体" w:hAnsi="宋体"/>
                <w:sz w:val="24"/>
                <w:szCs w:val="22"/>
              </w:rPr>
              <w:t>教育性</w:t>
            </w:r>
          </w:p>
        </w:tc>
        <w:tc>
          <w:tcPr>
            <w:tcW w:w="8079" w:type="dxa"/>
            <w:vAlign w:val="center"/>
          </w:tcPr>
          <w:p>
            <w:pPr>
              <w:widowControl/>
              <w:spacing w:line="360" w:lineRule="exact"/>
              <w:jc w:val="left"/>
              <w:rPr>
                <w:rFonts w:ascii="宋体" w:hAnsi="宋体"/>
                <w:sz w:val="24"/>
                <w:szCs w:val="22"/>
              </w:rPr>
            </w:pPr>
            <w:r>
              <w:rPr>
                <w:rFonts w:hint="eastAsia" w:ascii="宋体" w:hAnsi="宋体"/>
                <w:sz w:val="24"/>
                <w:szCs w:val="22"/>
              </w:rPr>
              <w:t>通过二维产品的动画演示能帮助学生更好的理解产品的工作过程。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88" w:type="dxa"/>
            <w:vAlign w:val="center"/>
          </w:tcPr>
          <w:p>
            <w:pPr>
              <w:widowControl/>
              <w:spacing w:line="360" w:lineRule="exact"/>
              <w:jc w:val="left"/>
              <w:rPr>
                <w:rFonts w:ascii="宋体" w:hAnsi="宋体"/>
                <w:sz w:val="24"/>
                <w:szCs w:val="22"/>
              </w:rPr>
            </w:pPr>
            <w:r>
              <w:rPr>
                <w:rFonts w:hint="eastAsia" w:ascii="宋体" w:hAnsi="宋体"/>
                <w:sz w:val="24"/>
                <w:szCs w:val="22"/>
              </w:rPr>
              <w:t>科学性</w:t>
            </w:r>
          </w:p>
        </w:tc>
        <w:tc>
          <w:tcPr>
            <w:tcW w:w="8079" w:type="dxa"/>
            <w:vAlign w:val="center"/>
          </w:tcPr>
          <w:p>
            <w:pPr>
              <w:widowControl/>
              <w:spacing w:line="360" w:lineRule="exact"/>
              <w:jc w:val="left"/>
              <w:rPr>
                <w:rFonts w:ascii="宋体" w:hAnsi="宋体"/>
                <w:sz w:val="24"/>
                <w:szCs w:val="22"/>
              </w:rPr>
            </w:pPr>
            <w:r>
              <w:rPr>
                <w:rFonts w:hint="eastAsia" w:ascii="宋体" w:hAnsi="宋体"/>
                <w:sz w:val="24"/>
                <w:szCs w:val="22"/>
              </w:rPr>
              <w:t>无穿帮镜头，无科学性错误。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widowControl/>
              <w:spacing w:line="360" w:lineRule="exact"/>
              <w:jc w:val="left"/>
              <w:rPr>
                <w:rFonts w:ascii="宋体" w:hAnsi="宋体"/>
                <w:sz w:val="24"/>
                <w:szCs w:val="22"/>
              </w:rPr>
            </w:pPr>
            <w:r>
              <w:rPr>
                <w:rFonts w:hint="eastAsia" w:ascii="宋体" w:hAnsi="宋体"/>
                <w:sz w:val="24"/>
                <w:szCs w:val="22"/>
              </w:rPr>
              <w:t>技术性</w:t>
            </w:r>
          </w:p>
        </w:tc>
        <w:tc>
          <w:tcPr>
            <w:tcW w:w="8079" w:type="dxa"/>
            <w:vAlign w:val="center"/>
          </w:tcPr>
          <w:p>
            <w:pPr>
              <w:widowControl/>
              <w:spacing w:line="360" w:lineRule="exact"/>
              <w:jc w:val="left"/>
              <w:rPr>
                <w:rFonts w:ascii="宋体" w:hAnsi="宋体"/>
                <w:sz w:val="24"/>
                <w:szCs w:val="22"/>
              </w:rPr>
            </w:pPr>
            <w:r>
              <w:rPr>
                <w:rFonts w:hint="eastAsia" w:ascii="宋体" w:hAnsi="宋体"/>
                <w:sz w:val="24"/>
                <w:szCs w:val="22"/>
              </w:rPr>
              <w:t>1.动画色彩造型和谐，帧和帧之间的关联性强。</w:t>
            </w:r>
          </w:p>
          <w:p>
            <w:pPr>
              <w:widowControl/>
              <w:spacing w:line="360" w:lineRule="exact"/>
              <w:jc w:val="left"/>
              <w:rPr>
                <w:rFonts w:ascii="宋体" w:hAnsi="宋体"/>
                <w:sz w:val="24"/>
                <w:szCs w:val="22"/>
              </w:rPr>
            </w:pPr>
            <w:r>
              <w:rPr>
                <w:rFonts w:hint="eastAsia" w:ascii="宋体" w:hAnsi="宋体"/>
                <w:sz w:val="24"/>
                <w:szCs w:val="22"/>
              </w:rPr>
              <w:t>2.动画演播过程要求流畅，静止画面时间不超过5秒。</w:t>
            </w:r>
          </w:p>
          <w:p>
            <w:pPr>
              <w:widowControl/>
              <w:spacing w:line="360" w:lineRule="exact"/>
              <w:jc w:val="left"/>
              <w:rPr>
                <w:rFonts w:ascii="宋体" w:hAnsi="宋体"/>
                <w:sz w:val="24"/>
                <w:szCs w:val="22"/>
              </w:rPr>
            </w:pPr>
            <w:r>
              <w:rPr>
                <w:rFonts w:hint="eastAsia" w:ascii="宋体" w:hAnsi="宋体"/>
                <w:sz w:val="24"/>
                <w:szCs w:val="22"/>
              </w:rPr>
              <w:t>3.转化为视频的动画，视频压缩采用H.264(MPEG-4 Part10：profile=main, level=3.0)编码方式，码流率256 Kbps以上，帧率不低于25 fps，分辨率不低于1280×720（16:9）声音和画面要求同步，无交流声或其他杂音等缺陷，无明显失真、放音过冲、过弱。</w:t>
            </w:r>
          </w:p>
          <w:p>
            <w:pPr>
              <w:widowControl/>
              <w:spacing w:line="360" w:lineRule="exact"/>
              <w:jc w:val="left"/>
              <w:rPr>
                <w:rFonts w:ascii="宋体" w:hAnsi="宋体"/>
                <w:sz w:val="24"/>
                <w:szCs w:val="22"/>
              </w:rPr>
            </w:pPr>
            <w:r>
              <w:rPr>
                <w:rFonts w:hint="eastAsia" w:ascii="宋体" w:hAnsi="宋体"/>
                <w:sz w:val="24"/>
                <w:szCs w:val="22"/>
              </w:rPr>
              <w:t>4.伴音清晰、饱满、圆润，无失真、噪声杂音干扰、音量忽大忽小现象。</w:t>
            </w:r>
          </w:p>
          <w:p>
            <w:pPr>
              <w:widowControl/>
              <w:spacing w:line="360" w:lineRule="exact"/>
              <w:jc w:val="left"/>
              <w:rPr>
                <w:rFonts w:ascii="宋体" w:hAnsi="宋体"/>
                <w:sz w:val="24"/>
                <w:szCs w:val="22"/>
              </w:rPr>
            </w:pPr>
            <w:r>
              <w:rPr>
                <w:rFonts w:hint="eastAsia" w:ascii="宋体" w:hAnsi="宋体"/>
                <w:sz w:val="24"/>
                <w:szCs w:val="22"/>
              </w:rPr>
              <w:t>5.解说声与现场声、背景音乐无明显比例失调。音频信噪比不低于48 dB。</w:t>
            </w:r>
          </w:p>
          <w:p>
            <w:pPr>
              <w:widowControl/>
              <w:spacing w:line="360" w:lineRule="exact"/>
              <w:jc w:val="left"/>
              <w:rPr>
                <w:rFonts w:ascii="宋体" w:hAnsi="宋体"/>
                <w:sz w:val="24"/>
                <w:szCs w:val="22"/>
              </w:rPr>
            </w:pPr>
            <w:r>
              <w:rPr>
                <w:rFonts w:hint="eastAsia" w:ascii="宋体" w:hAnsi="宋体"/>
                <w:sz w:val="24"/>
                <w:szCs w:val="22"/>
              </w:rPr>
              <w:t>6.字幕要使用符合国家标准的规范字，不出现繁体字、异体字(国家规定的除外)、错别字；字幕的字体、大小、色彩搭配、摆放位置、停留时间、出入屏方式力求与其他要素（画面、解说词、音乐）配合适当，不能破坏原有画面。</w:t>
            </w:r>
          </w:p>
          <w:p>
            <w:pPr>
              <w:widowControl/>
              <w:spacing w:line="360" w:lineRule="exact"/>
              <w:jc w:val="left"/>
              <w:rPr>
                <w:rFonts w:ascii="宋体" w:hAnsi="宋体"/>
                <w:sz w:val="24"/>
                <w:szCs w:val="22"/>
              </w:rPr>
            </w:pPr>
            <w:r>
              <w:rPr>
                <w:rFonts w:hint="eastAsia" w:ascii="宋体" w:hAnsi="宋体"/>
                <w:sz w:val="24"/>
                <w:szCs w:val="22"/>
              </w:rPr>
              <w:t>7.格式：需提供MP4、SWF格式或HTML5网页动画。</w:t>
            </w:r>
          </w:p>
          <w:p>
            <w:pPr>
              <w:widowControl/>
              <w:spacing w:line="360" w:lineRule="exact"/>
              <w:jc w:val="left"/>
              <w:rPr>
                <w:rFonts w:ascii="宋体" w:hAnsi="宋体"/>
                <w:sz w:val="24"/>
                <w:szCs w:val="22"/>
              </w:rPr>
            </w:pPr>
            <w:r>
              <w:rPr>
                <w:rFonts w:hint="eastAsia" w:ascii="宋体" w:hAnsi="宋体"/>
                <w:sz w:val="24"/>
                <w:szCs w:val="22"/>
              </w:rPr>
              <w:t>8．二维动画精度要求较高，画面质感细腻，内容真实，动作流畅。</w:t>
            </w:r>
          </w:p>
          <w:p>
            <w:pPr>
              <w:widowControl/>
              <w:spacing w:line="360" w:lineRule="exact"/>
              <w:jc w:val="left"/>
              <w:rPr>
                <w:rFonts w:ascii="宋体" w:hAnsi="宋体"/>
                <w:sz w:val="24"/>
                <w:szCs w:val="22"/>
              </w:rPr>
            </w:pPr>
            <w:r>
              <w:rPr>
                <w:rFonts w:hint="eastAsia" w:ascii="宋体" w:hAnsi="宋体"/>
                <w:sz w:val="24"/>
                <w:szCs w:val="22"/>
              </w:rPr>
              <w:t>9.动画含动画视频和交互动画。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88" w:type="dxa"/>
            <w:vAlign w:val="center"/>
          </w:tcPr>
          <w:p>
            <w:pPr>
              <w:widowControl/>
              <w:spacing w:line="360" w:lineRule="exact"/>
              <w:jc w:val="left"/>
              <w:rPr>
                <w:rFonts w:ascii="宋体" w:hAnsi="宋体"/>
                <w:sz w:val="24"/>
                <w:szCs w:val="22"/>
              </w:rPr>
            </w:pPr>
            <w:r>
              <w:rPr>
                <w:rFonts w:hint="eastAsia" w:ascii="宋体" w:hAnsi="宋体"/>
                <w:sz w:val="24"/>
                <w:szCs w:val="22"/>
              </w:rPr>
              <w:t>艺术性</w:t>
            </w:r>
          </w:p>
        </w:tc>
        <w:tc>
          <w:tcPr>
            <w:tcW w:w="8079" w:type="dxa"/>
            <w:vAlign w:val="center"/>
          </w:tcPr>
          <w:p>
            <w:pPr>
              <w:widowControl/>
              <w:spacing w:line="360" w:lineRule="exact"/>
              <w:jc w:val="left"/>
              <w:rPr>
                <w:rFonts w:ascii="宋体" w:hAnsi="宋体"/>
                <w:sz w:val="24"/>
                <w:szCs w:val="22"/>
              </w:rPr>
            </w:pPr>
            <w:r>
              <w:rPr>
                <w:rFonts w:hint="eastAsia" w:ascii="宋体" w:hAnsi="宋体"/>
                <w:sz w:val="24"/>
                <w:szCs w:val="22"/>
              </w:rPr>
              <w:t>高清，画面排版精致，图像清晰，色彩饱和，播放流畅，声音清楚，制作精细，吸引力强，激发学习兴趣。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88" w:type="dxa"/>
            <w:vAlign w:val="center"/>
          </w:tcPr>
          <w:p>
            <w:pPr>
              <w:widowControl/>
              <w:spacing w:line="400" w:lineRule="exact"/>
              <w:jc w:val="left"/>
              <w:rPr>
                <w:rFonts w:ascii="宋体" w:hAnsi="宋体"/>
                <w:sz w:val="24"/>
                <w:szCs w:val="22"/>
              </w:rPr>
            </w:pPr>
            <w:r>
              <w:rPr>
                <w:rFonts w:hint="eastAsia" w:ascii="宋体" w:hAnsi="宋体"/>
                <w:sz w:val="24"/>
                <w:szCs w:val="22"/>
              </w:rPr>
              <w:t>创新性</w:t>
            </w:r>
          </w:p>
        </w:tc>
        <w:tc>
          <w:tcPr>
            <w:tcW w:w="8079" w:type="dxa"/>
            <w:vAlign w:val="center"/>
          </w:tcPr>
          <w:p>
            <w:pPr>
              <w:widowControl/>
              <w:spacing w:line="400" w:lineRule="exact"/>
              <w:jc w:val="left"/>
              <w:rPr>
                <w:rFonts w:ascii="宋体" w:hAnsi="宋体"/>
                <w:sz w:val="24"/>
                <w:szCs w:val="22"/>
              </w:rPr>
            </w:pPr>
            <w:r>
              <w:rPr>
                <w:rFonts w:hint="eastAsia" w:ascii="宋体" w:hAnsi="宋体"/>
                <w:sz w:val="24"/>
                <w:szCs w:val="22"/>
              </w:rPr>
              <w:t>设计独到、创意新颖。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067" w:type="dxa"/>
            <w:gridSpan w:val="2"/>
            <w:tcBorders>
              <w:top w:val="single" w:color="auto" w:sz="4" w:space="0"/>
              <w:left w:val="single" w:color="auto" w:sz="4" w:space="0"/>
              <w:bottom w:val="single" w:color="auto" w:sz="4" w:space="0"/>
              <w:right w:val="single" w:color="auto" w:sz="4" w:space="0"/>
            </w:tcBorders>
            <w:vAlign w:val="center"/>
          </w:tcPr>
          <w:p>
            <w:pPr>
              <w:pStyle w:val="98"/>
              <w:widowControl/>
              <w:numPr>
                <w:ilvl w:val="0"/>
                <w:numId w:val="3"/>
              </w:numPr>
              <w:spacing w:line="400" w:lineRule="exact"/>
              <w:ind w:firstLineChars="0"/>
              <w:jc w:val="left"/>
              <w:rPr>
                <w:rFonts w:ascii="宋体" w:hAnsi="宋体"/>
                <w:sz w:val="24"/>
              </w:rPr>
            </w:pPr>
            <w:r>
              <w:rPr>
                <w:rFonts w:hint="eastAsia" w:ascii="宋体" w:hAnsi="宋体"/>
                <w:sz w:val="24"/>
              </w:rPr>
              <w:t>一般二维动画参考图如下所示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067" w:type="dxa"/>
            <w:gridSpan w:val="2"/>
            <w:vAlign w:val="center"/>
          </w:tcPr>
          <w:p>
            <w:pPr>
              <w:widowControl/>
              <w:ind w:firstLine="470" w:firstLineChars="196"/>
              <w:jc w:val="left"/>
              <w:rPr>
                <w:rFonts w:ascii="宋体" w:hAnsi="宋体"/>
                <w:sz w:val="24"/>
                <w:szCs w:val="22"/>
              </w:rPr>
            </w:pPr>
            <w:r>
              <w:rPr>
                <w:rFonts w:ascii="宋体" w:hAnsi="宋体"/>
                <w:sz w:val="24"/>
                <w:szCs w:val="22"/>
              </w:rPr>
              <w:t xml:space="preserve"> </w:t>
            </w:r>
          </w:p>
          <w:p>
            <w:pPr>
              <w:widowControl/>
              <w:ind w:firstLine="470" w:firstLineChars="196"/>
              <w:jc w:val="left"/>
              <w:rPr>
                <w:rFonts w:ascii="宋体" w:hAnsi="宋体"/>
                <w:sz w:val="24"/>
                <w:szCs w:val="22"/>
              </w:rPr>
            </w:pPr>
            <w:r>
              <w:rPr>
                <w:rFonts w:hint="eastAsia" w:ascii="宋体" w:hAnsi="宋体"/>
                <w:sz w:val="24"/>
                <w:szCs w:val="22"/>
              </w:rPr>
              <w:drawing>
                <wp:inline distT="0" distB="0" distL="0" distR="0">
                  <wp:extent cx="2651125" cy="1828800"/>
                  <wp:effectExtent l="0" t="0" r="0" b="0"/>
                  <wp:docPr id="3" name="图片 6" descr="3E89A786-6C7F-47FF-827A-A435558E38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3E89A786-6C7F-47FF-827A-A435558E384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651125" cy="1828800"/>
                          </a:xfrm>
                          <a:prstGeom prst="rect">
                            <a:avLst/>
                          </a:prstGeom>
                          <a:noFill/>
                          <a:ln>
                            <a:noFill/>
                          </a:ln>
                        </pic:spPr>
                      </pic:pic>
                    </a:graphicData>
                  </a:graphic>
                </wp:inline>
              </w:drawing>
            </w:r>
            <w:r>
              <w:rPr>
                <w:rFonts w:hint="eastAsia" w:ascii="宋体" w:hAnsi="宋体"/>
                <w:sz w:val="24"/>
                <w:szCs w:val="22"/>
              </w:rPr>
              <w:t xml:space="preserve"> </w:t>
            </w:r>
            <w:r>
              <w:rPr>
                <w:rFonts w:ascii="宋体" w:hAnsi="宋体"/>
                <w:sz w:val="24"/>
                <w:szCs w:val="22"/>
              </w:rPr>
              <w:t xml:space="preserve">  </w:t>
            </w:r>
            <w:r>
              <w:rPr>
                <w:rFonts w:hint="eastAsia" w:ascii="宋体" w:hAnsi="宋体"/>
                <w:sz w:val="24"/>
                <w:szCs w:val="22"/>
              </w:rPr>
              <w:drawing>
                <wp:inline distT="0" distB="0" distL="0" distR="0">
                  <wp:extent cx="2369185" cy="1834515"/>
                  <wp:effectExtent l="0" t="0" r="0" b="0"/>
                  <wp:docPr id="4" name="图片 5" descr="913A94F0-E163-4B61-B688-75058C1BD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913A94F0-E163-4B61-B688-75058C1BD49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369185" cy="1834515"/>
                          </a:xfrm>
                          <a:prstGeom prst="rect">
                            <a:avLst/>
                          </a:prstGeom>
                          <a:noFill/>
                          <a:ln>
                            <a:noFill/>
                          </a:ln>
                        </pic:spPr>
                      </pic:pic>
                    </a:graphicData>
                  </a:graphic>
                </wp:inline>
              </w:drawing>
            </w:r>
          </w:p>
          <w:p>
            <w:pPr>
              <w:widowControl/>
              <w:ind w:firstLine="470" w:firstLineChars="196"/>
              <w:jc w:val="left"/>
              <w:rPr>
                <w:rFonts w:ascii="宋体" w:hAnsi="宋体"/>
                <w:sz w:val="24"/>
                <w:szCs w:val="22"/>
              </w:rPr>
            </w:pPr>
            <w:r>
              <w:rPr>
                <w:rFonts w:ascii="宋体" w:hAnsi="宋体"/>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gridSpan w:val="2"/>
            <w:vAlign w:val="center"/>
          </w:tcPr>
          <w:p>
            <w:pPr>
              <w:pStyle w:val="98"/>
              <w:widowControl/>
              <w:numPr>
                <w:ilvl w:val="0"/>
                <w:numId w:val="3"/>
              </w:numPr>
              <w:spacing w:line="360" w:lineRule="auto"/>
              <w:ind w:left="408" w:hanging="408" w:hangingChars="170"/>
              <w:jc w:val="left"/>
              <w:rPr>
                <w:rFonts w:ascii="宋体" w:hAnsi="宋体"/>
                <w:sz w:val="24"/>
              </w:rPr>
            </w:pPr>
            <w:r>
              <w:rPr>
                <w:rFonts w:hint="eastAsia" w:ascii="宋体" w:hAnsi="宋体"/>
                <w:sz w:val="24"/>
              </w:rPr>
              <w:t xml:space="preserve"> 复杂二维动画参考图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1" w:hRule="atLeast"/>
          <w:jc w:val="center"/>
        </w:trPr>
        <w:tc>
          <w:tcPr>
            <w:tcW w:w="9067" w:type="dxa"/>
            <w:gridSpan w:val="2"/>
            <w:vAlign w:val="center"/>
          </w:tcPr>
          <w:p>
            <w:pPr>
              <w:widowControl/>
              <w:ind w:firstLine="470" w:firstLineChars="196"/>
              <w:jc w:val="left"/>
              <w:rPr>
                <w:rFonts w:ascii="宋体" w:hAnsi="宋体"/>
                <w:sz w:val="24"/>
                <w:szCs w:val="22"/>
              </w:rPr>
            </w:pPr>
            <w:r>
              <w:rPr>
                <w:rFonts w:ascii="宋体" w:hAnsi="宋体"/>
                <w:sz w:val="24"/>
                <w:szCs w:val="22"/>
              </w:rPr>
              <w:t xml:space="preserve"> </w:t>
            </w:r>
          </w:p>
          <w:p>
            <w:pPr>
              <w:widowControl/>
              <w:jc w:val="center"/>
              <w:rPr>
                <w:rFonts w:ascii="宋体" w:hAnsi="宋体"/>
                <w:sz w:val="24"/>
                <w:szCs w:val="22"/>
              </w:rPr>
            </w:pPr>
            <w:r>
              <w:rPr>
                <w:rFonts w:hint="eastAsia" w:ascii="宋体" w:hAnsi="宋体"/>
                <w:sz w:val="24"/>
                <w:szCs w:val="22"/>
              </w:rPr>
              <w:drawing>
                <wp:inline distT="0" distB="0" distL="0" distR="0">
                  <wp:extent cx="3772535" cy="2334895"/>
                  <wp:effectExtent l="0" t="0" r="0" b="0"/>
                  <wp:docPr id="5" name="图片 4" descr="230B418F-CFBA-4604-ADC6-4A1F0646B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230B418F-CFBA-4604-ADC6-4A1F0646B145"/>
                          <pic:cNvPicPr>
                            <a:picLocks noChangeAspect="1" noChangeArrowheads="1"/>
                          </pic:cNvPicPr>
                        </pic:nvPicPr>
                        <pic:blipFill>
                          <a:blip r:embed="rId7">
                            <a:extLst>
                              <a:ext uri="{28A0092B-C50C-407E-A947-70E740481C1C}">
                                <a14:useLocalDpi xmlns:a14="http://schemas.microsoft.com/office/drawing/2010/main" val="0"/>
                              </a:ext>
                            </a:extLst>
                          </a:blip>
                          <a:srcRect l="1813" t="7729" r="5447" b="5881"/>
                          <a:stretch>
                            <a:fillRect/>
                          </a:stretch>
                        </pic:blipFill>
                        <pic:spPr>
                          <a:xfrm>
                            <a:off x="0" y="0"/>
                            <a:ext cx="3772535" cy="2334895"/>
                          </a:xfrm>
                          <a:prstGeom prst="rect">
                            <a:avLst/>
                          </a:prstGeom>
                          <a:noFill/>
                          <a:ln>
                            <a:noFill/>
                          </a:ln>
                        </pic:spPr>
                      </pic:pic>
                    </a:graphicData>
                  </a:graphic>
                </wp:inline>
              </w:drawing>
            </w:r>
          </w:p>
          <w:p>
            <w:pPr>
              <w:widowControl/>
              <w:jc w:val="center"/>
              <w:rPr>
                <w:rFonts w:ascii="宋体" w:hAnsi="宋体"/>
                <w:sz w:val="24"/>
                <w:szCs w:val="22"/>
              </w:rPr>
            </w:pPr>
          </w:p>
          <w:p>
            <w:pPr>
              <w:widowControl/>
              <w:jc w:val="center"/>
              <w:rPr>
                <w:rFonts w:ascii="宋体" w:hAnsi="宋体"/>
                <w:sz w:val="24"/>
                <w:szCs w:val="22"/>
              </w:rPr>
            </w:pPr>
            <w:r>
              <w:rPr>
                <w:rFonts w:hint="eastAsia" w:ascii="宋体" w:hAnsi="宋体"/>
                <w:sz w:val="24"/>
                <w:szCs w:val="22"/>
              </w:rPr>
              <w:drawing>
                <wp:inline distT="0" distB="0" distL="0" distR="0">
                  <wp:extent cx="3657600" cy="2191385"/>
                  <wp:effectExtent l="0" t="0" r="0" b="0"/>
                  <wp:docPr id="6" name="图片 3" descr="BBDCF3D5-E1F0-4D80-A4D3-1202295A2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BBDCF3D5-E1F0-4D80-A4D3-1202295A2069"/>
                          <pic:cNvPicPr>
                            <a:picLocks noChangeAspect="1" noChangeArrowheads="1"/>
                          </pic:cNvPicPr>
                        </pic:nvPicPr>
                        <pic:blipFill>
                          <a:blip r:embed="rId8">
                            <a:extLst>
                              <a:ext uri="{28A0092B-C50C-407E-A947-70E740481C1C}">
                                <a14:useLocalDpi xmlns:a14="http://schemas.microsoft.com/office/drawing/2010/main" val="0"/>
                              </a:ext>
                            </a:extLst>
                          </a:blip>
                          <a:srcRect l="7298"/>
                          <a:stretch>
                            <a:fillRect/>
                          </a:stretch>
                        </pic:blipFill>
                        <pic:spPr>
                          <a:xfrm>
                            <a:off x="0" y="0"/>
                            <a:ext cx="3657600" cy="2191385"/>
                          </a:xfrm>
                          <a:prstGeom prst="rect">
                            <a:avLst/>
                          </a:prstGeom>
                          <a:noFill/>
                          <a:ln>
                            <a:noFill/>
                          </a:ln>
                        </pic:spPr>
                      </pic:pic>
                    </a:graphicData>
                  </a:graphic>
                </wp:inline>
              </w:drawing>
            </w:r>
          </w:p>
          <w:p>
            <w:pPr>
              <w:widowControl/>
              <w:jc w:val="center"/>
              <w:rPr>
                <w:rFonts w:ascii="宋体" w:hAnsi="宋体"/>
                <w:sz w:val="24"/>
                <w:szCs w:val="22"/>
              </w:rPr>
            </w:pPr>
            <w:r>
              <w:rPr>
                <w:rFonts w:ascii="宋体" w:hAnsi="宋体"/>
                <w:sz w:val="24"/>
                <w:szCs w:val="22"/>
              </w:rPr>
              <w:t xml:space="preserve"> </w:t>
            </w:r>
          </w:p>
          <w:p>
            <w:pPr>
              <w:widowControl/>
              <w:tabs>
                <w:tab w:val="left" w:pos="2031"/>
              </w:tabs>
              <w:jc w:val="center"/>
              <w:rPr>
                <w:rFonts w:ascii="宋体" w:hAnsi="宋体"/>
                <w:sz w:val="24"/>
                <w:szCs w:val="22"/>
              </w:rPr>
            </w:pPr>
            <w:r>
              <w:rPr>
                <w:rFonts w:ascii="宋体" w:hAnsi="宋体"/>
                <w:sz w:val="28"/>
              </w:rPr>
              <w:drawing>
                <wp:inline distT="0" distB="0" distL="0" distR="0">
                  <wp:extent cx="3743960" cy="2133600"/>
                  <wp:effectExtent l="0" t="0" r="0" b="0"/>
                  <wp:docPr id="7" name="图片 8" descr="BBDCF3D5-E1F0-4D80-A4D3-1202295A2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BBDCF3D5-E1F0-4D80-A4D3-1202295A20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43960" cy="2133600"/>
                          </a:xfrm>
                          <a:prstGeom prst="rect">
                            <a:avLst/>
                          </a:prstGeom>
                          <a:noFill/>
                          <a:ln>
                            <a:noFill/>
                          </a:ln>
                        </pic:spPr>
                      </pic:pic>
                    </a:graphicData>
                  </a:graphic>
                </wp:inline>
              </w:drawing>
            </w:r>
          </w:p>
          <w:p>
            <w:pPr>
              <w:widowControl/>
              <w:tabs>
                <w:tab w:val="left" w:pos="2031"/>
              </w:tabs>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06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b/>
                <w:sz w:val="24"/>
                <w:szCs w:val="22"/>
              </w:rPr>
            </w:pPr>
            <w:r>
              <w:rPr>
                <w:rFonts w:hint="eastAsia" w:ascii="宋体" w:hAnsi="宋体"/>
                <w:b/>
                <w:sz w:val="24"/>
                <w:szCs w:val="22"/>
              </w:rPr>
              <w:t>（2）三维产品动画具体技术指标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88" w:type="dxa"/>
            <w:vAlign w:val="center"/>
          </w:tcPr>
          <w:p>
            <w:pPr>
              <w:widowControl/>
              <w:spacing w:line="360" w:lineRule="exact"/>
              <w:jc w:val="left"/>
              <w:rPr>
                <w:rFonts w:ascii="宋体" w:hAnsi="宋体"/>
                <w:sz w:val="24"/>
                <w:szCs w:val="22"/>
              </w:rPr>
            </w:pPr>
            <w:r>
              <w:rPr>
                <w:rFonts w:hint="eastAsia" w:ascii="宋体" w:hAnsi="宋体"/>
                <w:sz w:val="24"/>
                <w:szCs w:val="22"/>
              </w:rPr>
              <w:t>教育性</w:t>
            </w:r>
          </w:p>
        </w:tc>
        <w:tc>
          <w:tcPr>
            <w:tcW w:w="8079" w:type="dxa"/>
            <w:vAlign w:val="center"/>
          </w:tcPr>
          <w:p>
            <w:pPr>
              <w:widowControl/>
              <w:spacing w:line="360" w:lineRule="exact"/>
              <w:jc w:val="left"/>
              <w:rPr>
                <w:rFonts w:ascii="宋体" w:hAnsi="宋体"/>
                <w:sz w:val="24"/>
                <w:szCs w:val="22"/>
              </w:rPr>
            </w:pPr>
            <w:r>
              <w:rPr>
                <w:rFonts w:hint="eastAsia" w:ascii="宋体" w:hAnsi="宋体"/>
                <w:sz w:val="24"/>
                <w:szCs w:val="22"/>
              </w:rPr>
              <w:t>通过三维产品的动画演示能帮助学生更好的理解产品的工作过程。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88" w:type="dxa"/>
            <w:vAlign w:val="center"/>
          </w:tcPr>
          <w:p>
            <w:pPr>
              <w:widowControl/>
              <w:spacing w:line="360" w:lineRule="exact"/>
              <w:jc w:val="left"/>
              <w:rPr>
                <w:rFonts w:ascii="宋体" w:hAnsi="宋体"/>
                <w:sz w:val="24"/>
                <w:szCs w:val="22"/>
              </w:rPr>
            </w:pPr>
            <w:r>
              <w:rPr>
                <w:rFonts w:hint="eastAsia" w:ascii="宋体" w:hAnsi="宋体"/>
                <w:sz w:val="24"/>
                <w:szCs w:val="22"/>
              </w:rPr>
              <w:t>科学性</w:t>
            </w:r>
          </w:p>
        </w:tc>
        <w:tc>
          <w:tcPr>
            <w:tcW w:w="8079" w:type="dxa"/>
            <w:vAlign w:val="center"/>
          </w:tcPr>
          <w:p>
            <w:pPr>
              <w:widowControl/>
              <w:spacing w:line="360" w:lineRule="exact"/>
              <w:jc w:val="left"/>
              <w:rPr>
                <w:rFonts w:ascii="宋体" w:hAnsi="宋体"/>
                <w:sz w:val="24"/>
                <w:szCs w:val="22"/>
              </w:rPr>
            </w:pPr>
            <w:r>
              <w:rPr>
                <w:rFonts w:hint="eastAsia" w:ascii="宋体" w:hAnsi="宋体"/>
                <w:sz w:val="24"/>
                <w:szCs w:val="22"/>
              </w:rPr>
              <w:t>无穿帮镜头，无科学性错误，精密机械零部件需要等比例建模。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widowControl/>
              <w:spacing w:line="360" w:lineRule="exact"/>
              <w:jc w:val="left"/>
              <w:rPr>
                <w:rFonts w:ascii="宋体" w:hAnsi="宋体"/>
                <w:sz w:val="24"/>
                <w:szCs w:val="22"/>
              </w:rPr>
            </w:pPr>
            <w:r>
              <w:rPr>
                <w:rFonts w:hint="eastAsia" w:ascii="宋体" w:hAnsi="宋体"/>
                <w:sz w:val="24"/>
                <w:szCs w:val="22"/>
              </w:rPr>
              <w:t>技术性</w:t>
            </w:r>
          </w:p>
        </w:tc>
        <w:tc>
          <w:tcPr>
            <w:tcW w:w="8079" w:type="dxa"/>
            <w:vAlign w:val="center"/>
          </w:tcPr>
          <w:p>
            <w:pPr>
              <w:widowControl/>
              <w:spacing w:line="360" w:lineRule="exact"/>
              <w:jc w:val="left"/>
              <w:rPr>
                <w:rFonts w:ascii="宋体" w:hAnsi="宋体"/>
                <w:sz w:val="24"/>
                <w:szCs w:val="22"/>
              </w:rPr>
            </w:pPr>
            <w:r>
              <w:rPr>
                <w:rFonts w:hint="eastAsia" w:ascii="宋体" w:hAnsi="宋体"/>
                <w:sz w:val="24"/>
                <w:szCs w:val="22"/>
              </w:rPr>
              <w:t>1.动画色彩造型和谐，帧和帧之间的关联性强。</w:t>
            </w:r>
          </w:p>
          <w:p>
            <w:pPr>
              <w:widowControl/>
              <w:spacing w:line="360" w:lineRule="exact"/>
              <w:jc w:val="left"/>
              <w:rPr>
                <w:rFonts w:ascii="宋体" w:hAnsi="宋体"/>
                <w:sz w:val="24"/>
                <w:szCs w:val="22"/>
              </w:rPr>
            </w:pPr>
            <w:r>
              <w:rPr>
                <w:rFonts w:hint="eastAsia" w:ascii="宋体" w:hAnsi="宋体"/>
                <w:sz w:val="24"/>
                <w:szCs w:val="22"/>
              </w:rPr>
              <w:t>2.动画演播过程要求流畅，静止画面时间不超过5秒。</w:t>
            </w:r>
          </w:p>
          <w:p>
            <w:pPr>
              <w:widowControl/>
              <w:spacing w:line="360" w:lineRule="exact"/>
              <w:jc w:val="left"/>
              <w:rPr>
                <w:rFonts w:ascii="宋体" w:hAnsi="宋体"/>
                <w:sz w:val="24"/>
                <w:szCs w:val="22"/>
              </w:rPr>
            </w:pPr>
            <w:r>
              <w:rPr>
                <w:rFonts w:hint="eastAsia" w:ascii="宋体" w:hAnsi="宋体"/>
                <w:sz w:val="24"/>
                <w:szCs w:val="22"/>
              </w:rPr>
              <w:t>3.转化为视频的动画，压缩采用H.264(MPEG-4 Part10：profile=main, level=3.0)编码方式，码流率256Kbps以上，帧率不低于25fps，辨率不低于1280×780（16:9）声音和画面要求同步，无交流声或其他杂音等缺陷，无明显失真、放音过冲、过弱。</w:t>
            </w:r>
          </w:p>
          <w:p>
            <w:pPr>
              <w:widowControl/>
              <w:spacing w:line="360" w:lineRule="exact"/>
              <w:jc w:val="left"/>
              <w:rPr>
                <w:rFonts w:ascii="宋体" w:hAnsi="宋体"/>
                <w:sz w:val="24"/>
                <w:szCs w:val="22"/>
              </w:rPr>
            </w:pPr>
            <w:r>
              <w:rPr>
                <w:rFonts w:hint="eastAsia" w:ascii="宋体" w:hAnsi="宋体"/>
                <w:sz w:val="24"/>
                <w:szCs w:val="22"/>
              </w:rPr>
              <w:t>4.伴音清晰、饱满、圆润，无失真、噪声杂音干扰、音量忽大忽小现象。</w:t>
            </w:r>
          </w:p>
          <w:p>
            <w:pPr>
              <w:widowControl/>
              <w:spacing w:line="360" w:lineRule="exact"/>
              <w:jc w:val="left"/>
              <w:rPr>
                <w:rFonts w:ascii="宋体" w:hAnsi="宋体"/>
                <w:sz w:val="24"/>
                <w:szCs w:val="22"/>
              </w:rPr>
            </w:pPr>
            <w:r>
              <w:rPr>
                <w:rFonts w:hint="eastAsia" w:ascii="宋体" w:hAnsi="宋体"/>
                <w:sz w:val="24"/>
                <w:szCs w:val="22"/>
              </w:rPr>
              <w:t>5.解说声与现场声、背景音乐无明显比例失调。音频信噪比不低于48 dB。</w:t>
            </w:r>
          </w:p>
          <w:p>
            <w:pPr>
              <w:widowControl/>
              <w:spacing w:line="360" w:lineRule="exact"/>
              <w:jc w:val="left"/>
              <w:rPr>
                <w:rFonts w:ascii="宋体" w:hAnsi="宋体"/>
                <w:sz w:val="24"/>
                <w:szCs w:val="22"/>
              </w:rPr>
            </w:pPr>
            <w:r>
              <w:rPr>
                <w:rFonts w:hint="eastAsia" w:ascii="宋体" w:hAnsi="宋体"/>
                <w:sz w:val="24"/>
                <w:szCs w:val="22"/>
              </w:rPr>
              <w:t>6.字幕要使用符合国家标准的规范字，不出现繁体字、异体字(国家规定的除外)、错别字；字幕的字体、大小、色彩搭配、摆放位置、停留时间、出入屏方式力求与其他要素（画面、解说词、音乐）配合适当，不能破坏原有画面。</w:t>
            </w:r>
          </w:p>
          <w:p>
            <w:pPr>
              <w:widowControl/>
              <w:spacing w:line="360" w:lineRule="exact"/>
              <w:jc w:val="left"/>
              <w:rPr>
                <w:rFonts w:ascii="宋体" w:hAnsi="宋体"/>
                <w:sz w:val="24"/>
                <w:szCs w:val="22"/>
              </w:rPr>
            </w:pPr>
            <w:r>
              <w:rPr>
                <w:rFonts w:hint="eastAsia" w:ascii="宋体" w:hAnsi="宋体"/>
                <w:sz w:val="24"/>
                <w:szCs w:val="22"/>
              </w:rPr>
              <w:t>7.格式：使用目前主流三维动画格式。</w:t>
            </w:r>
          </w:p>
          <w:p>
            <w:pPr>
              <w:widowControl/>
              <w:spacing w:line="360" w:lineRule="exact"/>
              <w:jc w:val="left"/>
              <w:rPr>
                <w:rFonts w:ascii="宋体" w:hAnsi="宋体"/>
                <w:sz w:val="24"/>
                <w:szCs w:val="22"/>
              </w:rPr>
            </w:pPr>
            <w:r>
              <w:rPr>
                <w:rFonts w:hint="eastAsia" w:ascii="宋体" w:hAnsi="宋体"/>
                <w:sz w:val="24"/>
                <w:szCs w:val="22"/>
              </w:rPr>
              <w:t>8.模型精度要求较高，贴图细腻有质感，材质真实，运动规律比较复杂，动作流畅，镜头转变较多。</w:t>
            </w:r>
          </w:p>
          <w:p>
            <w:pPr>
              <w:widowControl/>
              <w:spacing w:line="360" w:lineRule="exact"/>
              <w:jc w:val="left"/>
              <w:rPr>
                <w:rFonts w:ascii="宋体" w:hAnsi="宋体"/>
                <w:sz w:val="24"/>
                <w:szCs w:val="22"/>
              </w:rPr>
            </w:pPr>
            <w:r>
              <w:rPr>
                <w:rFonts w:hint="eastAsia" w:ascii="宋体" w:hAnsi="宋体"/>
                <w:sz w:val="24"/>
                <w:szCs w:val="22"/>
              </w:rPr>
              <w:t>9.使用3DMAX、Maya、Creo、Solidworks等常见建模工具建模。</w:t>
            </w:r>
          </w:p>
          <w:p>
            <w:pPr>
              <w:widowControl/>
              <w:spacing w:line="360" w:lineRule="exact"/>
              <w:jc w:val="left"/>
              <w:rPr>
                <w:rFonts w:ascii="宋体" w:hAnsi="宋体"/>
                <w:sz w:val="24"/>
                <w:szCs w:val="22"/>
              </w:rPr>
            </w:pPr>
            <w:r>
              <w:rPr>
                <w:rFonts w:hint="eastAsia" w:ascii="宋体" w:hAnsi="宋体"/>
                <w:sz w:val="24"/>
                <w:szCs w:val="22"/>
              </w:rPr>
              <w:t>10. 三维交互操作类动画采用Unity3D或3DVIA Composer等互动仿真类软件进行开发制作。</w:t>
            </w:r>
          </w:p>
          <w:p>
            <w:pPr>
              <w:widowControl/>
              <w:spacing w:line="360" w:lineRule="exact"/>
              <w:ind w:firstLine="470" w:firstLineChars="196"/>
              <w:jc w:val="left"/>
              <w:rPr>
                <w:rFonts w:ascii="宋体" w:hAnsi="宋体"/>
                <w:sz w:val="24"/>
                <w:szCs w:val="22"/>
              </w:rPr>
            </w:pPr>
            <w:r>
              <w:rPr>
                <w:rFonts w:hint="eastAsia" w:ascii="宋体" w:hAnsi="宋体"/>
                <w:sz w:val="24"/>
                <w:szCs w:val="22"/>
              </w:rPr>
              <w:t>技术要求：</w:t>
            </w:r>
          </w:p>
          <w:p>
            <w:pPr>
              <w:widowControl/>
              <w:spacing w:line="360" w:lineRule="exact"/>
              <w:ind w:firstLine="470" w:firstLineChars="196"/>
              <w:jc w:val="left"/>
              <w:rPr>
                <w:rFonts w:ascii="宋体" w:hAnsi="宋体"/>
                <w:sz w:val="24"/>
                <w:szCs w:val="22"/>
              </w:rPr>
            </w:pPr>
            <w:r>
              <w:rPr>
                <w:rFonts w:hint="eastAsia" w:ascii="宋体" w:hAnsi="宋体"/>
                <w:sz w:val="24"/>
                <w:szCs w:val="22"/>
              </w:rPr>
              <w:t>每个动画不仅要立体的表现其工作状态，还能实现360°自由查看，能真实直观的带给用户一种立体的感知。而且每一个交互动画的交互操作不能少于5处，且交互操纵均有反应，无错误操作内容。</w:t>
            </w:r>
          </w:p>
          <w:p>
            <w:pPr>
              <w:widowControl/>
              <w:spacing w:line="360" w:lineRule="exact"/>
              <w:jc w:val="left"/>
              <w:rPr>
                <w:rFonts w:ascii="宋体" w:hAnsi="宋体"/>
                <w:sz w:val="24"/>
                <w:szCs w:val="22"/>
              </w:rPr>
            </w:pPr>
            <w:r>
              <w:rPr>
                <w:rFonts w:hint="eastAsia" w:ascii="宋体" w:hAnsi="宋体"/>
                <w:sz w:val="24"/>
                <w:szCs w:val="22"/>
              </w:rPr>
              <w:t xml:space="preserve"> Unity3D引擎制作互动动画要求：资源目录条理清晰，场景资源要求动态加载，内存管理合理，脚本规范命名准确，模型材质贴图在保证效果的前提下尽可能优化，FPS最低30，每个场景面数不得超过100W，DrawCalls不得超过200，实时光个数不得超过3个，烘焙参数合理，效果优秀。</w:t>
            </w:r>
          </w:p>
          <w:p>
            <w:pPr>
              <w:widowControl/>
              <w:spacing w:line="360" w:lineRule="exact"/>
              <w:jc w:val="left"/>
              <w:rPr>
                <w:rFonts w:ascii="宋体" w:hAnsi="宋体"/>
                <w:sz w:val="24"/>
                <w:szCs w:val="22"/>
              </w:rPr>
            </w:pPr>
            <w:r>
              <w:rPr>
                <w:rFonts w:hint="eastAsia" w:ascii="宋体" w:hAnsi="宋体"/>
                <w:sz w:val="24"/>
                <w:szCs w:val="22"/>
              </w:rPr>
              <w:t>3DVIA Composer制作要求：保证界面干净整洁，在保证运行流畅的情况下，尽可能的优化表面材质，区分不同部件的不同材料质感。每一个交互动画都可以单独发布exe文件。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988" w:type="dxa"/>
            <w:vAlign w:val="center"/>
          </w:tcPr>
          <w:p>
            <w:pPr>
              <w:widowControl/>
              <w:spacing w:line="400" w:lineRule="exact"/>
              <w:jc w:val="left"/>
              <w:rPr>
                <w:rFonts w:ascii="宋体" w:hAnsi="宋体"/>
                <w:sz w:val="24"/>
                <w:szCs w:val="22"/>
              </w:rPr>
            </w:pPr>
            <w:r>
              <w:rPr>
                <w:rFonts w:hint="eastAsia" w:ascii="宋体" w:hAnsi="宋体"/>
                <w:sz w:val="24"/>
                <w:szCs w:val="22"/>
              </w:rPr>
              <w:t>艺术性</w:t>
            </w:r>
          </w:p>
        </w:tc>
        <w:tc>
          <w:tcPr>
            <w:tcW w:w="8079" w:type="dxa"/>
            <w:vAlign w:val="center"/>
          </w:tcPr>
          <w:p>
            <w:pPr>
              <w:widowControl/>
              <w:spacing w:line="360" w:lineRule="exact"/>
              <w:jc w:val="left"/>
              <w:rPr>
                <w:rFonts w:ascii="宋体" w:hAnsi="宋体"/>
                <w:sz w:val="24"/>
                <w:szCs w:val="22"/>
              </w:rPr>
            </w:pPr>
            <w:r>
              <w:rPr>
                <w:rFonts w:hint="eastAsia" w:ascii="宋体" w:hAnsi="宋体"/>
                <w:sz w:val="24"/>
                <w:szCs w:val="22"/>
              </w:rPr>
              <w:t>高清，图像清晰，色彩饱和，播放流畅，声音清楚，制作精细，吸引力强，激发学习兴趣。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88" w:type="dxa"/>
            <w:vAlign w:val="center"/>
          </w:tcPr>
          <w:p>
            <w:pPr>
              <w:widowControl/>
              <w:spacing w:line="400" w:lineRule="exact"/>
              <w:jc w:val="left"/>
              <w:rPr>
                <w:rFonts w:ascii="宋体" w:hAnsi="宋体"/>
                <w:sz w:val="24"/>
                <w:szCs w:val="22"/>
              </w:rPr>
            </w:pPr>
            <w:r>
              <w:rPr>
                <w:rFonts w:hint="eastAsia" w:ascii="宋体" w:hAnsi="宋体"/>
                <w:sz w:val="24"/>
                <w:szCs w:val="22"/>
              </w:rPr>
              <w:t>创新性</w:t>
            </w:r>
          </w:p>
        </w:tc>
        <w:tc>
          <w:tcPr>
            <w:tcW w:w="8079" w:type="dxa"/>
            <w:vAlign w:val="center"/>
          </w:tcPr>
          <w:p>
            <w:pPr>
              <w:widowControl/>
              <w:spacing w:line="360" w:lineRule="exact"/>
              <w:jc w:val="left"/>
              <w:rPr>
                <w:rFonts w:ascii="宋体" w:hAnsi="宋体"/>
                <w:sz w:val="24"/>
                <w:szCs w:val="22"/>
              </w:rPr>
            </w:pPr>
            <w:r>
              <w:rPr>
                <w:rFonts w:hint="eastAsia" w:ascii="宋体" w:hAnsi="宋体"/>
                <w:sz w:val="24"/>
                <w:szCs w:val="22"/>
              </w:rPr>
              <w:t>设计独到、创意新颖。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067" w:type="dxa"/>
            <w:gridSpan w:val="2"/>
            <w:vAlign w:val="center"/>
          </w:tcPr>
          <w:p>
            <w:pPr>
              <w:widowControl/>
              <w:spacing w:line="400" w:lineRule="exact"/>
              <w:jc w:val="left"/>
              <w:rPr>
                <w:rFonts w:ascii="宋体" w:hAnsi="宋体"/>
                <w:b/>
                <w:sz w:val="24"/>
                <w:szCs w:val="22"/>
              </w:rPr>
            </w:pPr>
            <w:r>
              <w:rPr>
                <w:rFonts w:hint="eastAsia" w:ascii="宋体" w:hAnsi="宋体"/>
                <w:b/>
                <w:sz w:val="24"/>
                <w:szCs w:val="22"/>
              </w:rPr>
              <w:t>三维动画参考图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7" w:type="dxa"/>
            <w:gridSpan w:val="2"/>
            <w:vAlign w:val="center"/>
          </w:tcPr>
          <w:p>
            <w:pPr>
              <w:widowControl/>
              <w:ind w:right="960"/>
              <w:jc w:val="right"/>
              <w:rPr>
                <w:rFonts w:ascii="宋体" w:hAnsi="宋体"/>
                <w:sz w:val="24"/>
                <w:szCs w:val="22"/>
              </w:rPr>
            </w:pPr>
          </w:p>
          <w:p>
            <w:pPr>
              <w:widowControl/>
              <w:ind w:right="960"/>
              <w:rPr>
                <w:rFonts w:ascii="宋体" w:hAnsi="宋体"/>
                <w:sz w:val="24"/>
                <w:szCs w:val="22"/>
              </w:rPr>
            </w:pPr>
            <w:r>
              <w:rPr>
                <w:rFonts w:hint="eastAsia" w:ascii="宋体" w:hAnsi="宋体"/>
                <w:sz w:val="24"/>
                <w:szCs w:val="22"/>
              </w:rPr>
              <w:drawing>
                <wp:inline distT="0" distB="0" distL="0" distR="0">
                  <wp:extent cx="2662555" cy="1771015"/>
                  <wp:effectExtent l="0" t="0" r="0" b="0"/>
                  <wp:docPr id="8" name="图片 2" descr="08E27DD9-3333-45E1-937A-34B3AF26E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08E27DD9-3333-45E1-937A-34B3AF26E956"/>
                          <pic:cNvPicPr>
                            <a:picLocks noChangeAspect="1" noChangeArrowheads="1"/>
                          </pic:cNvPicPr>
                        </pic:nvPicPr>
                        <pic:blipFill>
                          <a:blip r:embed="rId9">
                            <a:extLst>
                              <a:ext uri="{28A0092B-C50C-407E-A947-70E740481C1C}">
                                <a14:useLocalDpi xmlns:a14="http://schemas.microsoft.com/office/drawing/2010/main" val="0"/>
                              </a:ext>
                            </a:extLst>
                          </a:blip>
                          <a:srcRect l="8553" t="16667" r="8867"/>
                          <a:stretch>
                            <a:fillRect/>
                          </a:stretch>
                        </pic:blipFill>
                        <pic:spPr>
                          <a:xfrm>
                            <a:off x="0" y="0"/>
                            <a:ext cx="2662555" cy="1771015"/>
                          </a:xfrm>
                          <a:prstGeom prst="rect">
                            <a:avLst/>
                          </a:prstGeom>
                          <a:noFill/>
                          <a:ln>
                            <a:noFill/>
                          </a:ln>
                        </pic:spPr>
                      </pic:pic>
                    </a:graphicData>
                  </a:graphic>
                </wp:inline>
              </w:drawing>
            </w:r>
            <w:r>
              <w:rPr>
                <w:rFonts w:ascii="宋体" w:hAnsi="宋体"/>
                <w:sz w:val="24"/>
                <w:szCs w:val="22"/>
              </w:rPr>
              <w:t xml:space="preserve">     </w:t>
            </w:r>
            <w:r>
              <w:rPr>
                <w:rFonts w:hint="eastAsia" w:ascii="宋体" w:hAnsi="宋体"/>
                <w:sz w:val="24"/>
                <w:szCs w:val="22"/>
              </w:rPr>
              <w:drawing>
                <wp:inline distT="0" distB="0" distL="0" distR="0">
                  <wp:extent cx="2748915" cy="1759585"/>
                  <wp:effectExtent l="0" t="0" r="0" b="0"/>
                  <wp:docPr id="9" name="图片 7" descr="4E889B5E-D5A3-446B-99B3-3420BD1ADC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4E889B5E-D5A3-446B-99B3-3420BD1ADCDF"/>
                          <pic:cNvPicPr>
                            <a:picLocks noChangeAspect="1" noChangeArrowheads="1"/>
                          </pic:cNvPicPr>
                        </pic:nvPicPr>
                        <pic:blipFill>
                          <a:blip r:embed="rId10" cstate="print">
                            <a:extLst>
                              <a:ext uri="{28A0092B-C50C-407E-A947-70E740481C1C}">
                                <a14:useLocalDpi xmlns:a14="http://schemas.microsoft.com/office/drawing/2010/main" val="0"/>
                              </a:ext>
                            </a:extLst>
                          </a:blip>
                          <a:srcRect l="3975" t="9055" r="17117"/>
                          <a:stretch>
                            <a:fillRect/>
                          </a:stretch>
                        </pic:blipFill>
                        <pic:spPr>
                          <a:xfrm>
                            <a:off x="0" y="0"/>
                            <a:ext cx="2748915" cy="1759585"/>
                          </a:xfrm>
                          <a:prstGeom prst="rect">
                            <a:avLst/>
                          </a:prstGeom>
                          <a:noFill/>
                          <a:ln>
                            <a:noFill/>
                          </a:ln>
                        </pic:spPr>
                      </pic:pic>
                    </a:graphicData>
                  </a:graphic>
                </wp:inline>
              </w:drawing>
            </w:r>
          </w:p>
          <w:p>
            <w:pPr>
              <w:widowControl/>
              <w:ind w:right="960" w:firstLine="964" w:firstLineChars="400"/>
              <w:rPr>
                <w:rFonts w:ascii="宋体" w:hAnsi="宋体"/>
                <w:sz w:val="24"/>
                <w:szCs w:val="22"/>
              </w:rPr>
            </w:pPr>
            <w:r>
              <w:rPr>
                <w:rFonts w:hint="eastAsia" w:ascii="宋体" w:hAnsi="宋体"/>
                <w:b/>
                <w:sz w:val="24"/>
                <w:szCs w:val="22"/>
              </w:rPr>
              <w:t xml:space="preserve">复杂三维动画参考图 </w:t>
            </w:r>
            <w:r>
              <w:rPr>
                <w:rFonts w:ascii="宋体" w:hAnsi="宋体"/>
                <w:b/>
                <w:sz w:val="24"/>
                <w:szCs w:val="22"/>
              </w:rPr>
              <w:t xml:space="preserve">                 </w:t>
            </w:r>
            <w:r>
              <w:rPr>
                <w:rFonts w:hint="eastAsia" w:ascii="宋体" w:hAnsi="宋体"/>
                <w:b/>
                <w:sz w:val="24"/>
                <w:szCs w:val="22"/>
              </w:rPr>
              <w:t>一般的三维动画参考图</w:t>
            </w:r>
          </w:p>
        </w:tc>
      </w:tr>
    </w:tbl>
    <w:p>
      <w:pPr>
        <w:widowControl/>
        <w:spacing w:before="120" w:beforeLines="50" w:after="120" w:afterLines="50" w:line="360" w:lineRule="auto"/>
        <w:ind w:firstLine="562" w:firstLineChars="200"/>
        <w:jc w:val="left"/>
        <w:rPr>
          <w:rFonts w:ascii="宋体" w:hAnsi="宋体"/>
          <w:b/>
          <w:sz w:val="28"/>
          <w:szCs w:val="22"/>
        </w:rPr>
      </w:pPr>
      <w:r>
        <w:rPr>
          <w:rFonts w:hint="eastAsia" w:ascii="宋体" w:hAnsi="宋体"/>
          <w:b/>
          <w:sz w:val="28"/>
          <w:szCs w:val="22"/>
        </w:rPr>
        <w:t>6</w:t>
      </w:r>
      <w:r>
        <w:rPr>
          <w:rFonts w:ascii="宋体" w:hAnsi="宋体"/>
          <w:b/>
          <w:sz w:val="28"/>
          <w:szCs w:val="22"/>
        </w:rPr>
        <w:t>.</w:t>
      </w:r>
      <w:r>
        <w:rPr>
          <w:rFonts w:hint="eastAsia" w:ascii="宋体" w:hAnsi="宋体"/>
          <w:b/>
          <w:sz w:val="28"/>
          <w:szCs w:val="22"/>
        </w:rPr>
        <w:t>活动视频（直播）技术要求</w:t>
      </w:r>
    </w:p>
    <w:p>
      <w:pPr>
        <w:widowControl/>
        <w:spacing w:line="360" w:lineRule="auto"/>
        <w:ind w:firstLine="480" w:firstLineChars="200"/>
        <w:jc w:val="left"/>
        <w:rPr>
          <w:rFonts w:ascii="宋体" w:hAnsi="宋体"/>
          <w:sz w:val="24"/>
          <w:szCs w:val="22"/>
        </w:rPr>
      </w:pPr>
      <w:r>
        <w:rPr>
          <w:rFonts w:hint="eastAsia" w:ascii="宋体" w:hAnsi="宋体"/>
          <w:sz w:val="24"/>
          <w:szCs w:val="22"/>
        </w:rPr>
        <w:t>（1）通过自有或钉钉、腾讯会议等或学校提供的直播平台开展直播教学及会议拍摄技术服务。</w:t>
      </w:r>
    </w:p>
    <w:p>
      <w:pPr>
        <w:widowControl/>
        <w:spacing w:line="360" w:lineRule="auto"/>
        <w:ind w:firstLine="480" w:firstLineChars="200"/>
        <w:jc w:val="left"/>
        <w:rPr>
          <w:rFonts w:ascii="宋体" w:hAnsi="宋体"/>
          <w:sz w:val="24"/>
          <w:szCs w:val="22"/>
        </w:rPr>
      </w:pPr>
      <w:r>
        <w:rPr>
          <w:rFonts w:hint="eastAsia" w:ascii="宋体" w:hAnsi="宋体"/>
          <w:sz w:val="24"/>
          <w:szCs w:val="22"/>
        </w:rPr>
        <w:t>（2）直播提供</w:t>
      </w:r>
      <w:r>
        <w:rPr>
          <w:rFonts w:ascii="宋体" w:hAnsi="宋体"/>
          <w:sz w:val="24"/>
          <w:szCs w:val="22"/>
        </w:rPr>
        <w:t>2-4</w:t>
      </w:r>
      <w:r>
        <w:rPr>
          <w:rFonts w:hint="eastAsia" w:ascii="宋体" w:hAnsi="宋体"/>
          <w:sz w:val="24"/>
          <w:szCs w:val="22"/>
        </w:rPr>
        <w:t>个机位（具体数量由学校的需求决定），摄像机分辨率要求</w:t>
      </w:r>
      <w:r>
        <w:rPr>
          <w:rFonts w:ascii="宋体" w:hAnsi="宋体"/>
          <w:sz w:val="24"/>
          <w:szCs w:val="22"/>
        </w:rPr>
        <w:t>1080P</w:t>
      </w:r>
      <w:r>
        <w:rPr>
          <w:rFonts w:hint="eastAsia" w:ascii="宋体" w:hAnsi="宋体"/>
          <w:sz w:val="24"/>
          <w:szCs w:val="22"/>
        </w:rPr>
        <w:t>以上，并提供专业的灯光补光、专业收音设备，保证画面清楚流畅，声音清晰。</w:t>
      </w:r>
    </w:p>
    <w:p>
      <w:pPr>
        <w:widowControl/>
        <w:spacing w:line="360" w:lineRule="auto"/>
        <w:ind w:firstLine="480" w:firstLineChars="200"/>
        <w:jc w:val="left"/>
        <w:rPr>
          <w:rFonts w:ascii="宋体" w:hAnsi="宋体"/>
          <w:sz w:val="24"/>
          <w:szCs w:val="22"/>
        </w:rPr>
      </w:pPr>
      <w:r>
        <w:rPr>
          <w:rFonts w:hint="eastAsia" w:ascii="宋体" w:hAnsi="宋体"/>
          <w:sz w:val="24"/>
          <w:szCs w:val="22"/>
        </w:rPr>
        <w:t>（3）每次直播需要实时录制整个直播过程的视频并备份、刻录为光盘交学校保存。</w:t>
      </w:r>
    </w:p>
    <w:p>
      <w:pPr>
        <w:widowControl/>
        <w:spacing w:before="120" w:beforeLines="50" w:after="120" w:afterLines="50" w:line="360" w:lineRule="auto"/>
        <w:ind w:firstLine="562" w:firstLineChars="200"/>
        <w:jc w:val="left"/>
        <w:rPr>
          <w:rFonts w:ascii="宋体" w:hAnsi="宋体"/>
          <w:b/>
          <w:sz w:val="28"/>
          <w:szCs w:val="22"/>
        </w:rPr>
      </w:pPr>
      <w:r>
        <w:rPr>
          <w:rFonts w:hint="eastAsia" w:ascii="宋体" w:hAnsi="宋体"/>
          <w:b/>
          <w:sz w:val="28"/>
          <w:szCs w:val="22"/>
        </w:rPr>
        <w:t>四、交付要求</w:t>
      </w:r>
    </w:p>
    <w:p>
      <w:pPr>
        <w:widowControl/>
        <w:spacing w:line="360" w:lineRule="auto"/>
        <w:ind w:firstLine="480" w:firstLineChars="200"/>
        <w:jc w:val="left"/>
        <w:rPr>
          <w:rFonts w:ascii="宋体" w:hAnsi="宋体"/>
          <w:sz w:val="24"/>
          <w:szCs w:val="22"/>
        </w:rPr>
      </w:pPr>
      <w:r>
        <w:rPr>
          <w:rFonts w:hint="eastAsia" w:ascii="宋体" w:hAnsi="宋体"/>
          <w:sz w:val="24"/>
          <w:szCs w:val="22"/>
        </w:rPr>
        <w:t>（1）合同签订后，在二年服务协议期内，学校有教学比赛或在线开放课程或微课比赛或直播技术服务需求的各老师在教务处和信息化管理中心统一安排下联系中标单位为其拍摄制作视频。产品交付时间另行约定。交货地点为学校指定的地点。服务商应在规定的时间和地点供货并交付使用，交付延期或出现其他违规行为，按违约处理。</w:t>
      </w:r>
    </w:p>
    <w:p>
      <w:pPr>
        <w:widowControl/>
        <w:spacing w:line="360" w:lineRule="auto"/>
        <w:ind w:firstLine="470" w:firstLineChars="196"/>
        <w:jc w:val="left"/>
        <w:rPr>
          <w:rFonts w:ascii="宋体" w:hAnsi="宋体"/>
          <w:sz w:val="24"/>
          <w:szCs w:val="22"/>
        </w:rPr>
      </w:pPr>
      <w:r>
        <w:rPr>
          <w:rFonts w:hint="eastAsia" w:ascii="宋体" w:hAnsi="宋体"/>
          <w:sz w:val="24"/>
          <w:szCs w:val="22"/>
        </w:rPr>
        <w:t>（2）提供分辨率不低于 1080p（16:9），MP4 格式的视频文件一套。</w:t>
      </w:r>
    </w:p>
    <w:p>
      <w:pPr>
        <w:widowControl/>
        <w:spacing w:line="360" w:lineRule="auto"/>
        <w:ind w:firstLine="470" w:firstLineChars="196"/>
        <w:jc w:val="left"/>
        <w:rPr>
          <w:rFonts w:ascii="宋体" w:hAnsi="宋体"/>
          <w:sz w:val="24"/>
          <w:szCs w:val="22"/>
        </w:rPr>
      </w:pPr>
      <w:r>
        <w:rPr>
          <w:rFonts w:hint="eastAsia" w:ascii="宋体" w:hAnsi="宋体"/>
          <w:sz w:val="24"/>
          <w:szCs w:val="22"/>
        </w:rPr>
        <w:t>（3）如有项目申报需要应协助提供相应要求的视频文件一套。</w:t>
      </w:r>
    </w:p>
    <w:p>
      <w:pPr>
        <w:widowControl/>
        <w:spacing w:line="360" w:lineRule="auto"/>
        <w:ind w:firstLine="470" w:firstLineChars="196"/>
        <w:jc w:val="left"/>
        <w:rPr>
          <w:rFonts w:ascii="宋体" w:hAnsi="宋体"/>
          <w:sz w:val="24"/>
          <w:szCs w:val="22"/>
        </w:rPr>
      </w:pPr>
      <w:r>
        <w:rPr>
          <w:rFonts w:hint="eastAsia" w:ascii="宋体" w:hAnsi="宋体"/>
          <w:sz w:val="24"/>
          <w:szCs w:val="22"/>
        </w:rPr>
        <w:t>（4）投标公司承诺拍摄的全部母带级别视频文件和成品文件至少提供两年的保存服务，同时提供给学校信息化管理中心一份。</w:t>
      </w:r>
    </w:p>
    <w:p>
      <w:pPr>
        <w:widowControl/>
        <w:spacing w:line="360" w:lineRule="auto"/>
        <w:ind w:firstLine="470" w:firstLineChars="196"/>
        <w:jc w:val="left"/>
        <w:rPr>
          <w:rFonts w:ascii="宋体" w:hAnsi="宋体"/>
          <w:sz w:val="24"/>
          <w:szCs w:val="22"/>
        </w:rPr>
      </w:pPr>
      <w:r>
        <w:rPr>
          <w:rFonts w:hint="eastAsia" w:ascii="宋体" w:hAnsi="宋体"/>
          <w:sz w:val="24"/>
          <w:szCs w:val="22"/>
        </w:rPr>
        <w:t>（5）协助老师将课程相关资料上传到学校指定的网络教学平台，平台能支持省级、国家级精品在线开放课程申报。</w:t>
      </w:r>
    </w:p>
    <w:p>
      <w:pPr>
        <w:widowControl/>
        <w:spacing w:before="120" w:beforeLines="50" w:after="120" w:afterLines="50" w:line="360" w:lineRule="auto"/>
        <w:ind w:firstLine="562" w:firstLineChars="200"/>
        <w:jc w:val="left"/>
        <w:rPr>
          <w:rFonts w:ascii="宋体" w:hAnsi="宋体"/>
          <w:b/>
          <w:sz w:val="28"/>
          <w:szCs w:val="22"/>
        </w:rPr>
      </w:pPr>
      <w:r>
        <w:rPr>
          <w:rFonts w:hint="eastAsia" w:ascii="宋体" w:hAnsi="宋体"/>
          <w:b/>
          <w:sz w:val="28"/>
          <w:szCs w:val="22"/>
        </w:rPr>
        <w:t>五、版权要求</w:t>
      </w:r>
    </w:p>
    <w:p>
      <w:pPr>
        <w:widowControl/>
        <w:spacing w:line="360" w:lineRule="auto"/>
        <w:ind w:firstLine="470" w:firstLineChars="196"/>
        <w:jc w:val="left"/>
        <w:rPr>
          <w:rFonts w:ascii="宋体" w:hAnsi="宋体"/>
          <w:sz w:val="24"/>
          <w:szCs w:val="22"/>
        </w:rPr>
      </w:pPr>
      <w:r>
        <w:rPr>
          <w:rFonts w:hint="eastAsia" w:ascii="宋体" w:hAnsi="宋体"/>
          <w:sz w:val="24"/>
          <w:szCs w:val="22"/>
        </w:rPr>
        <w:t>供应商在制作过程中提供的视频数据、动画资料、教参图书、学术期刊资源、教育视频资源等涉及到版权问题的相关资料，必须妥善解决其知识产权问题，所有知识产权、传播权纠纷由供货方承担责任，采购方免责。投标人须全部满足并提供书面承诺原件。</w:t>
      </w:r>
    </w:p>
    <w:p>
      <w:pPr>
        <w:widowControl/>
        <w:spacing w:before="120" w:beforeLines="50" w:after="120" w:afterLines="50" w:line="360" w:lineRule="auto"/>
        <w:ind w:firstLine="562" w:firstLineChars="200"/>
        <w:jc w:val="left"/>
        <w:rPr>
          <w:rFonts w:ascii="宋体" w:hAnsi="宋体"/>
          <w:b/>
          <w:sz w:val="28"/>
          <w:szCs w:val="22"/>
        </w:rPr>
      </w:pPr>
      <w:r>
        <w:rPr>
          <w:rFonts w:hint="eastAsia" w:ascii="宋体" w:hAnsi="宋体"/>
          <w:b/>
          <w:sz w:val="28"/>
          <w:szCs w:val="22"/>
        </w:rPr>
        <w:t>六、其他要求</w:t>
      </w:r>
    </w:p>
    <w:p>
      <w:pPr>
        <w:tabs>
          <w:tab w:val="left" w:pos="5325"/>
        </w:tabs>
        <w:snapToGrid w:val="0"/>
        <w:spacing w:line="360" w:lineRule="auto"/>
        <w:ind w:firstLine="482" w:firstLineChars="200"/>
        <w:contextualSpacing/>
        <w:rPr>
          <w:rFonts w:ascii="宋体" w:hAnsi="宋体"/>
          <w:b/>
          <w:sz w:val="24"/>
          <w:szCs w:val="22"/>
        </w:rPr>
      </w:pPr>
      <w:r>
        <w:rPr>
          <w:rFonts w:hint="eastAsia" w:ascii="宋体" w:hAnsi="宋体"/>
          <w:b/>
          <w:sz w:val="24"/>
          <w:szCs w:val="22"/>
        </w:rPr>
        <w:t>1.</w:t>
      </w:r>
      <w:r>
        <w:rPr>
          <w:rFonts w:ascii="宋体" w:hAnsi="宋体"/>
          <w:b/>
          <w:sz w:val="24"/>
          <w:szCs w:val="22"/>
        </w:rPr>
        <w:t>验收要求</w:t>
      </w:r>
    </w:p>
    <w:p>
      <w:pPr>
        <w:tabs>
          <w:tab w:val="left" w:pos="5325"/>
        </w:tabs>
        <w:snapToGrid w:val="0"/>
        <w:spacing w:line="360" w:lineRule="auto"/>
        <w:ind w:firstLine="480" w:firstLineChars="200"/>
        <w:contextualSpacing/>
        <w:rPr>
          <w:rFonts w:ascii="宋体" w:hAnsi="宋体"/>
          <w:sz w:val="24"/>
          <w:szCs w:val="22"/>
        </w:rPr>
      </w:pPr>
      <w:r>
        <w:rPr>
          <w:rFonts w:ascii="宋体" w:hAnsi="宋体"/>
          <w:sz w:val="24"/>
          <w:szCs w:val="22"/>
        </w:rPr>
        <w:t>由我单位组织相关专业技术人员</w:t>
      </w:r>
      <w:r>
        <w:rPr>
          <w:rFonts w:hint="eastAsia" w:ascii="宋体" w:hAnsi="宋体"/>
          <w:sz w:val="24"/>
          <w:szCs w:val="22"/>
        </w:rPr>
        <w:t>，必要时邀请</w:t>
      </w:r>
      <w:r>
        <w:rPr>
          <w:rFonts w:ascii="宋体" w:hAnsi="宋体"/>
          <w:sz w:val="24"/>
          <w:szCs w:val="22"/>
        </w:rPr>
        <w:t>质检等部门共同参与验收，出具验收报告，作为支付货款的依据。由于验收而产生的所有费用由中标方负责。</w:t>
      </w:r>
      <w:r>
        <w:rPr>
          <w:rFonts w:hint="eastAsia" w:ascii="宋体" w:hAnsi="宋体"/>
          <w:sz w:val="24"/>
          <w:szCs w:val="22"/>
        </w:rPr>
        <w:t>第一年底，学校组织相关专家对一年来的服务进行评价，合格后方可进行第二年的服务。</w:t>
      </w:r>
    </w:p>
    <w:p>
      <w:pPr>
        <w:tabs>
          <w:tab w:val="left" w:pos="5325"/>
        </w:tabs>
        <w:snapToGrid w:val="0"/>
        <w:spacing w:line="360" w:lineRule="auto"/>
        <w:ind w:firstLine="482" w:firstLineChars="200"/>
        <w:contextualSpacing/>
        <w:rPr>
          <w:rFonts w:ascii="宋体" w:hAnsi="宋体"/>
          <w:b/>
          <w:sz w:val="24"/>
          <w:szCs w:val="22"/>
        </w:rPr>
      </w:pPr>
      <w:r>
        <w:rPr>
          <w:rFonts w:hint="eastAsia" w:ascii="宋体" w:hAnsi="宋体"/>
          <w:b/>
          <w:sz w:val="24"/>
          <w:szCs w:val="22"/>
        </w:rPr>
        <w:t>2.</w:t>
      </w:r>
      <w:r>
        <w:rPr>
          <w:rFonts w:ascii="宋体" w:hAnsi="宋体"/>
          <w:b/>
          <w:sz w:val="24"/>
          <w:szCs w:val="22"/>
        </w:rPr>
        <w:t>项目交货期需求</w:t>
      </w:r>
    </w:p>
    <w:p>
      <w:pPr>
        <w:widowControl/>
        <w:shd w:val="clear" w:color="auto" w:fill="FFFFFF"/>
        <w:snapToGrid w:val="0"/>
        <w:spacing w:line="360" w:lineRule="auto"/>
        <w:ind w:firstLine="480" w:firstLineChars="200"/>
        <w:contextualSpacing/>
        <w:rPr>
          <w:rFonts w:ascii="宋体" w:hAnsi="宋体"/>
          <w:sz w:val="24"/>
          <w:szCs w:val="22"/>
        </w:rPr>
      </w:pPr>
      <w:r>
        <w:rPr>
          <w:rFonts w:hint="eastAsia" w:ascii="宋体" w:hAnsi="宋体"/>
          <w:sz w:val="24"/>
          <w:szCs w:val="22"/>
        </w:rPr>
        <w:t>（1）</w:t>
      </w:r>
      <w:r>
        <w:rPr>
          <w:rFonts w:ascii="宋体" w:hAnsi="宋体"/>
          <w:sz w:val="24"/>
          <w:szCs w:val="22"/>
        </w:rPr>
        <w:t>签定合同日期：自中标（成交）通知书发出之日起</w:t>
      </w:r>
      <w:r>
        <w:rPr>
          <w:rFonts w:ascii="宋体" w:hAnsi="宋体"/>
          <w:sz w:val="24"/>
          <w:szCs w:val="22"/>
          <w:u w:val="single"/>
        </w:rPr>
        <w:t xml:space="preserve">  </w:t>
      </w:r>
      <w:r>
        <w:rPr>
          <w:rFonts w:hint="eastAsia" w:ascii="宋体" w:hAnsi="宋体"/>
          <w:sz w:val="24"/>
          <w:szCs w:val="22"/>
          <w:u w:val="single"/>
        </w:rPr>
        <w:t>15</w:t>
      </w:r>
      <w:r>
        <w:rPr>
          <w:rFonts w:ascii="宋体" w:hAnsi="宋体"/>
          <w:sz w:val="24"/>
          <w:szCs w:val="22"/>
          <w:u w:val="single"/>
        </w:rPr>
        <w:t xml:space="preserve"> </w:t>
      </w:r>
      <w:r>
        <w:rPr>
          <w:rFonts w:ascii="宋体" w:hAnsi="宋体"/>
          <w:sz w:val="24"/>
          <w:szCs w:val="22"/>
        </w:rPr>
        <w:t>个工作日内按时签约。</w:t>
      </w:r>
    </w:p>
    <w:p>
      <w:pPr>
        <w:widowControl/>
        <w:shd w:val="clear" w:color="auto" w:fill="FFFFFF"/>
        <w:snapToGrid w:val="0"/>
        <w:spacing w:line="360" w:lineRule="auto"/>
        <w:ind w:firstLine="480" w:firstLineChars="200"/>
        <w:contextualSpacing/>
        <w:rPr>
          <w:rFonts w:ascii="宋体" w:hAnsi="宋体"/>
          <w:sz w:val="24"/>
          <w:szCs w:val="22"/>
        </w:rPr>
      </w:pPr>
      <w:r>
        <w:rPr>
          <w:rFonts w:hint="eastAsia" w:ascii="宋体" w:hAnsi="宋体"/>
          <w:sz w:val="24"/>
          <w:szCs w:val="22"/>
        </w:rPr>
        <w:t>（2）</w:t>
      </w:r>
      <w:r>
        <w:rPr>
          <w:rFonts w:ascii="宋体" w:hAnsi="宋体"/>
          <w:sz w:val="24"/>
          <w:szCs w:val="22"/>
        </w:rPr>
        <w:t xml:space="preserve">交货期（服务时间）： </w:t>
      </w:r>
      <w:r>
        <w:rPr>
          <w:rFonts w:hint="eastAsia" w:ascii="宋体" w:hAnsi="宋体"/>
          <w:sz w:val="24"/>
          <w:szCs w:val="22"/>
        </w:rPr>
        <w:t>在合同签订二年内为服务期，根据资源制作要求划定具体提交时间</w:t>
      </w:r>
      <w:r>
        <w:rPr>
          <w:rFonts w:ascii="宋体" w:hAnsi="宋体"/>
          <w:sz w:val="24"/>
          <w:szCs w:val="22"/>
        </w:rPr>
        <w:t>。</w:t>
      </w:r>
    </w:p>
    <w:p>
      <w:pPr>
        <w:tabs>
          <w:tab w:val="left" w:pos="5325"/>
        </w:tabs>
        <w:snapToGrid w:val="0"/>
        <w:spacing w:line="360" w:lineRule="auto"/>
        <w:ind w:firstLine="482" w:firstLineChars="200"/>
        <w:contextualSpacing/>
        <w:jc w:val="left"/>
        <w:rPr>
          <w:rFonts w:ascii="宋体" w:hAnsi="宋体"/>
          <w:b/>
          <w:sz w:val="24"/>
          <w:szCs w:val="22"/>
          <w:lang w:val="zh-CN"/>
        </w:rPr>
      </w:pPr>
      <w:r>
        <w:rPr>
          <w:rFonts w:hint="eastAsia" w:ascii="宋体" w:hAnsi="宋体"/>
          <w:b/>
          <w:bCs/>
          <w:sz w:val="24"/>
          <w:szCs w:val="22"/>
        </w:rPr>
        <w:t>3.</w:t>
      </w:r>
      <w:r>
        <w:rPr>
          <w:rFonts w:ascii="宋体" w:hAnsi="宋体"/>
          <w:b/>
          <w:sz w:val="24"/>
          <w:szCs w:val="22"/>
          <w:lang w:val="zh-CN"/>
        </w:rPr>
        <w:t>付款</w:t>
      </w:r>
    </w:p>
    <w:p>
      <w:pPr>
        <w:tabs>
          <w:tab w:val="left" w:pos="5325"/>
        </w:tabs>
        <w:snapToGrid w:val="0"/>
        <w:spacing w:line="360" w:lineRule="auto"/>
        <w:ind w:firstLine="480" w:firstLineChars="200"/>
        <w:contextualSpacing/>
        <w:jc w:val="left"/>
        <w:rPr>
          <w:rFonts w:ascii="宋体" w:hAnsi="宋体"/>
          <w:sz w:val="24"/>
        </w:rPr>
      </w:pPr>
      <w:r>
        <w:rPr>
          <w:rFonts w:hint="eastAsia" w:ascii="宋体" w:hAnsi="宋体"/>
          <w:sz w:val="24"/>
          <w:szCs w:val="22"/>
        </w:rPr>
        <w:t>（1）</w:t>
      </w:r>
      <w:r>
        <w:rPr>
          <w:rFonts w:ascii="宋体" w:hAnsi="宋体"/>
          <w:sz w:val="24"/>
        </w:rPr>
        <w:t>申请部门应在项目验收合格后按合同约定办理结算手续</w:t>
      </w:r>
      <w:r>
        <w:rPr>
          <w:rFonts w:hint="eastAsia" w:ascii="宋体" w:hAnsi="宋体"/>
          <w:sz w:val="24"/>
        </w:rPr>
        <w:t>，按年度结算</w:t>
      </w:r>
      <w:r>
        <w:rPr>
          <w:rFonts w:ascii="宋体" w:hAnsi="宋体"/>
          <w:sz w:val="24"/>
        </w:rPr>
        <w:t>。</w:t>
      </w:r>
    </w:p>
    <w:p>
      <w:pPr>
        <w:adjustRightInd w:val="0"/>
        <w:snapToGrid w:val="0"/>
        <w:spacing w:line="360" w:lineRule="auto"/>
        <w:ind w:left="420" w:leftChars="200" w:firstLine="4" w:firstLineChars="2"/>
        <w:rPr>
          <w:sz w:val="24"/>
        </w:rPr>
      </w:pPr>
      <w:r>
        <w:rPr>
          <w:rFonts w:hint="eastAsia" w:ascii="宋体" w:hAnsi="宋体"/>
          <w:sz w:val="24"/>
          <w:szCs w:val="22"/>
        </w:rPr>
        <w:t>（2）</w:t>
      </w:r>
      <w:r>
        <w:rPr>
          <w:sz w:val="24"/>
        </w:rPr>
        <w:t>付款方式：</w:t>
      </w:r>
      <w:r>
        <w:rPr>
          <w:rFonts w:hint="eastAsia"/>
          <w:sz w:val="24"/>
        </w:rPr>
        <w:t>按照拍摄清单，附结算表，</w:t>
      </w:r>
      <w:r>
        <w:rPr>
          <w:rFonts w:hint="eastAsia"/>
          <w:sz w:val="24"/>
          <w:lang w:val="en-US" w:eastAsia="zh-CN"/>
        </w:rPr>
        <w:t>按实结算</w:t>
      </w:r>
      <w:r>
        <w:rPr>
          <w:rFonts w:hint="eastAsia"/>
          <w:sz w:val="24"/>
        </w:rPr>
        <w:t>。</w:t>
      </w:r>
    </w:p>
    <w:p>
      <w:pPr>
        <w:adjustRightInd w:val="0"/>
        <w:snapToGrid w:val="0"/>
        <w:spacing w:line="360" w:lineRule="auto"/>
        <w:ind w:left="420" w:leftChars="200" w:firstLine="4" w:firstLineChars="2"/>
        <w:rPr>
          <w:rFonts w:ascii="宋体" w:hAnsi="宋体"/>
          <w:sz w:val="24"/>
          <w:szCs w:val="22"/>
          <w:u w:val="single"/>
        </w:rPr>
      </w:pPr>
      <w:r>
        <w:rPr>
          <w:rFonts w:hint="eastAsia" w:ascii="宋体" w:hAnsi="宋体"/>
          <w:sz w:val="24"/>
          <w:szCs w:val="22"/>
        </w:rPr>
        <w:t>（3）</w:t>
      </w:r>
      <w:r>
        <w:rPr>
          <w:rFonts w:ascii="宋体" w:hAnsi="宋体"/>
          <w:sz w:val="24"/>
          <w:szCs w:val="22"/>
        </w:rPr>
        <w:t xml:space="preserve">其他要求： </w:t>
      </w:r>
      <w:r>
        <w:rPr>
          <w:rFonts w:ascii="宋体" w:hAnsi="宋体"/>
          <w:sz w:val="24"/>
          <w:szCs w:val="22"/>
          <w:u w:val="single"/>
        </w:rPr>
        <w:t xml:space="preserve">            无                      </w:t>
      </w:r>
      <w:r>
        <w:rPr>
          <w:rFonts w:ascii="宋体" w:hAnsi="宋体"/>
          <w:sz w:val="24"/>
          <w:szCs w:val="22"/>
        </w:rPr>
        <w:t>。</w:t>
      </w:r>
    </w:p>
    <w:p>
      <w:pPr>
        <w:tabs>
          <w:tab w:val="left" w:pos="5325"/>
        </w:tabs>
        <w:snapToGrid w:val="0"/>
        <w:spacing w:line="360" w:lineRule="auto"/>
        <w:ind w:firstLine="482" w:firstLineChars="200"/>
        <w:contextualSpacing/>
        <w:jc w:val="left"/>
        <w:rPr>
          <w:rFonts w:ascii="宋体" w:hAnsi="宋体"/>
          <w:b/>
          <w:bCs/>
          <w:sz w:val="24"/>
          <w:szCs w:val="22"/>
        </w:rPr>
      </w:pPr>
      <w:r>
        <w:rPr>
          <w:rFonts w:hint="eastAsia" w:ascii="宋体" w:hAnsi="宋体"/>
          <w:b/>
          <w:bCs/>
          <w:sz w:val="24"/>
          <w:szCs w:val="22"/>
        </w:rPr>
        <w:t>4.违约责任</w:t>
      </w:r>
    </w:p>
    <w:p>
      <w:pPr>
        <w:tabs>
          <w:tab w:val="left" w:pos="5325"/>
        </w:tabs>
        <w:snapToGrid w:val="0"/>
        <w:spacing w:line="360" w:lineRule="auto"/>
        <w:ind w:firstLine="480" w:firstLineChars="200"/>
        <w:contextualSpacing/>
        <w:jc w:val="left"/>
        <w:rPr>
          <w:rFonts w:ascii="宋体" w:hAnsi="宋体"/>
          <w:sz w:val="24"/>
        </w:rPr>
      </w:pPr>
      <w:r>
        <w:rPr>
          <w:rFonts w:hint="eastAsia" w:ascii="宋体" w:hAnsi="宋体"/>
          <w:sz w:val="24"/>
        </w:rPr>
        <w:t>（1）</w:t>
      </w:r>
      <w:r>
        <w:rPr>
          <w:rFonts w:ascii="宋体" w:hAnsi="宋体"/>
          <w:sz w:val="24"/>
        </w:rPr>
        <w:t>供方不能按期供货，供方付给需方违约金（违约金的计算：</w:t>
      </w:r>
      <w:r>
        <w:rPr>
          <w:rFonts w:ascii="宋体" w:hAnsi="宋体"/>
          <w:b/>
          <w:sz w:val="24"/>
        </w:rPr>
        <w:t>合同总额的</w:t>
      </w:r>
      <w:r>
        <w:rPr>
          <w:rFonts w:ascii="宋体" w:hAnsi="宋体"/>
          <w:b/>
          <w:sz w:val="24"/>
          <w:u w:val="single"/>
        </w:rPr>
        <w:t xml:space="preserve"> 0.5 % /天 </w:t>
      </w:r>
      <w:r>
        <w:rPr>
          <w:rFonts w:ascii="宋体" w:hAnsi="宋体"/>
          <w:sz w:val="24"/>
        </w:rPr>
        <w:t>）。需方原因或不可抗力的因素影响除外。</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供方低于合同配置、技术标准供货，供方负有下列第</w:t>
      </w:r>
      <w:r>
        <w:rPr>
          <w:rFonts w:ascii="宋体" w:hAnsi="宋体"/>
          <w:sz w:val="24"/>
          <w:u w:val="single"/>
        </w:rPr>
        <w:t xml:space="preserve"> </w:t>
      </w:r>
      <w:r>
        <w:rPr>
          <w:rFonts w:ascii="宋体" w:hAnsi="宋体"/>
          <w:b/>
          <w:sz w:val="24"/>
          <w:u w:val="single"/>
        </w:rPr>
        <w:t xml:space="preserve">   </w:t>
      </w:r>
      <w:r>
        <w:rPr>
          <w:rFonts w:ascii="宋体" w:hAnsi="宋体"/>
          <w:sz w:val="24"/>
        </w:rPr>
        <w:t>种责任：</w:t>
      </w:r>
    </w:p>
    <w:p>
      <w:pPr>
        <w:spacing w:line="360" w:lineRule="auto"/>
        <w:ind w:firstLine="480" w:firstLineChars="200"/>
        <w:rPr>
          <w:rFonts w:ascii="宋体" w:hAnsi="宋体"/>
          <w:sz w:val="24"/>
        </w:rPr>
      </w:pPr>
      <w:r>
        <w:rPr>
          <w:rFonts w:hint="eastAsia" w:ascii="宋体" w:hAnsi="宋体"/>
          <w:sz w:val="24"/>
        </w:rPr>
        <w:t xml:space="preserve">① </w:t>
      </w:r>
      <w:r>
        <w:rPr>
          <w:rFonts w:ascii="宋体" w:hAnsi="宋体"/>
          <w:sz w:val="24"/>
        </w:rPr>
        <w:t>供方恢复合同规定的配置、技术标准（或不低于原配置、原标准），遇价格下降的，供方退还差价；遇价格上涨的，按原价格执行。同时供方付给需方合同总价款</w:t>
      </w:r>
      <w:r>
        <w:rPr>
          <w:rFonts w:ascii="宋体" w:hAnsi="宋体"/>
          <w:sz w:val="24"/>
          <w:u w:val="single"/>
        </w:rPr>
        <w:t xml:space="preserve">  10   </w:t>
      </w:r>
      <w:r>
        <w:rPr>
          <w:rFonts w:ascii="宋体" w:hAnsi="宋体"/>
          <w:sz w:val="24"/>
        </w:rPr>
        <w:t>%的违约金。</w:t>
      </w:r>
    </w:p>
    <w:p>
      <w:pPr>
        <w:spacing w:line="360" w:lineRule="auto"/>
        <w:ind w:firstLine="480" w:firstLineChars="200"/>
        <w:rPr>
          <w:rFonts w:ascii="宋体" w:hAnsi="宋体"/>
          <w:sz w:val="24"/>
        </w:rPr>
      </w:pPr>
      <w:r>
        <w:rPr>
          <w:rFonts w:hint="eastAsia" w:ascii="宋体" w:hAnsi="宋体"/>
          <w:sz w:val="24"/>
        </w:rPr>
        <w:t xml:space="preserve">② </w:t>
      </w:r>
      <w:r>
        <w:rPr>
          <w:rFonts w:ascii="宋体" w:hAnsi="宋体"/>
          <w:sz w:val="24"/>
        </w:rPr>
        <w:t>需方退货，同时，供方付给需方合同总价款</w:t>
      </w:r>
      <w:r>
        <w:rPr>
          <w:rFonts w:ascii="宋体" w:hAnsi="宋体"/>
          <w:sz w:val="24"/>
          <w:u w:val="single"/>
        </w:rPr>
        <w:t xml:space="preserve">   10     </w:t>
      </w:r>
      <w:r>
        <w:rPr>
          <w:rFonts w:ascii="宋体" w:hAnsi="宋体"/>
          <w:sz w:val="24"/>
        </w:rPr>
        <w:t>%的违约金。</w:t>
      </w:r>
    </w:p>
    <w:p>
      <w:pPr>
        <w:spacing w:line="360" w:lineRule="auto"/>
        <w:ind w:firstLine="480" w:firstLineChars="200"/>
        <w:rPr>
          <w:rFonts w:ascii="宋体" w:hAnsi="宋体"/>
          <w:sz w:val="24"/>
        </w:rPr>
      </w:pPr>
      <w:r>
        <w:rPr>
          <w:rFonts w:hint="eastAsia" w:ascii="宋体" w:hAnsi="宋体" w:cs="宋体"/>
          <w:sz w:val="24"/>
        </w:rPr>
        <w:t>（3）</w:t>
      </w:r>
      <w:r>
        <w:rPr>
          <w:rFonts w:ascii="宋体" w:hAnsi="宋体"/>
          <w:sz w:val="24"/>
        </w:rPr>
        <w:t>供方不能按期服务、降低服务标准、服务质量，或不兑现服务承诺，供方返还向需方收取的服务费，并付给需方合同总价款</w:t>
      </w:r>
      <w:r>
        <w:rPr>
          <w:rFonts w:ascii="宋体" w:hAnsi="宋体"/>
          <w:sz w:val="24"/>
          <w:u w:val="single"/>
        </w:rPr>
        <w:t xml:space="preserve">     10      </w:t>
      </w:r>
      <w:r>
        <w:rPr>
          <w:rFonts w:ascii="宋体" w:hAnsi="宋体"/>
          <w:sz w:val="24"/>
        </w:rPr>
        <w:t>% 的违约金。</w:t>
      </w:r>
    </w:p>
    <w:p>
      <w:pPr>
        <w:spacing w:line="360" w:lineRule="auto"/>
        <w:ind w:firstLine="480" w:firstLineChars="200"/>
      </w:pPr>
      <w:r>
        <w:rPr>
          <w:rFonts w:hint="eastAsia" w:ascii="宋体" w:hAnsi="宋体" w:cs="宋体"/>
          <w:sz w:val="24"/>
        </w:rPr>
        <w:t>（4）</w:t>
      </w:r>
      <w:r>
        <w:rPr>
          <w:rFonts w:ascii="宋体" w:hAnsi="宋体"/>
          <w:sz w:val="24"/>
        </w:rPr>
        <w:t>需方除供方低于合同配置、技术标准供货或不可抗力因素外，要求退货或不接受货物的，付给供方合同总价款</w:t>
      </w:r>
      <w:r>
        <w:rPr>
          <w:rFonts w:ascii="宋体" w:hAnsi="宋体"/>
          <w:sz w:val="24"/>
          <w:u w:val="single"/>
        </w:rPr>
        <w:t xml:space="preserve">     10      </w:t>
      </w:r>
      <w:r>
        <w:rPr>
          <w:rFonts w:ascii="宋体" w:hAnsi="宋体"/>
          <w:sz w:val="24"/>
        </w:rPr>
        <w:t>% 的违约金。</w:t>
      </w:r>
    </w:p>
    <w:p>
      <w:pPr>
        <w:pStyle w:val="2"/>
      </w:pPr>
    </w:p>
    <w:p>
      <w:pPr>
        <w:kinsoku w:val="0"/>
        <w:topLinePunct/>
        <w:snapToGrid w:val="0"/>
        <w:spacing w:line="520" w:lineRule="exact"/>
        <w:rPr>
          <w:rFonts w:ascii="宋体" w:hAnsi="宋体" w:cs="宋体"/>
          <w:sz w:val="24"/>
        </w:rPr>
      </w:pPr>
    </w:p>
    <w:p>
      <w:pPr>
        <w:autoSpaceDE w:val="0"/>
        <w:autoSpaceDN w:val="0"/>
        <w:adjustRightInd w:val="0"/>
        <w:snapToGrid w:val="0"/>
        <w:spacing w:line="300" w:lineRule="auto"/>
        <w:jc w:val="center"/>
        <w:outlineLvl w:val="0"/>
        <w:rPr>
          <w:rFonts w:ascii="仿宋_GB2312" w:eastAsia="仿宋_GB2312"/>
          <w:b/>
          <w:bCs/>
          <w:sz w:val="44"/>
          <w:szCs w:val="44"/>
          <w:lang w:val="zh-CN"/>
        </w:rPr>
      </w:pPr>
      <w:r>
        <w:rPr>
          <w:rFonts w:ascii="仿宋_GB2312" w:eastAsia="仿宋_GB2312"/>
          <w:b/>
          <w:bCs/>
          <w:sz w:val="36"/>
          <w:szCs w:val="36"/>
          <w:lang w:val="zh-CN"/>
        </w:rPr>
        <w:br w:type="page"/>
      </w:r>
      <w:r>
        <w:rPr>
          <w:rFonts w:hint="eastAsia" w:ascii="仿宋_GB2312" w:eastAsia="仿宋_GB2312"/>
          <w:b/>
          <w:bCs/>
          <w:sz w:val="44"/>
          <w:szCs w:val="44"/>
          <w:lang w:val="zh-CN"/>
        </w:rPr>
        <w:t>第四部分  磋商程序和内容</w:t>
      </w:r>
    </w:p>
    <w:p>
      <w:pPr>
        <w:autoSpaceDE w:val="0"/>
        <w:autoSpaceDN w:val="0"/>
        <w:adjustRightInd w:val="0"/>
        <w:snapToGrid w:val="0"/>
        <w:spacing w:line="300" w:lineRule="auto"/>
        <w:ind w:right="210" w:firstLine="560"/>
        <w:rPr>
          <w:rFonts w:ascii="仿宋_GB2312" w:eastAsia="仿宋_GB2312"/>
          <w:b/>
          <w:sz w:val="28"/>
          <w:szCs w:val="28"/>
          <w:lang w:val="zh-CN"/>
        </w:rPr>
      </w:pPr>
      <w:r>
        <w:rPr>
          <w:rFonts w:hint="eastAsia" w:ascii="仿宋_GB2312" w:eastAsia="仿宋_GB2312"/>
          <w:b/>
          <w:sz w:val="28"/>
          <w:szCs w:val="28"/>
          <w:lang w:val="zh-CN"/>
        </w:rPr>
        <w:t>一、本</w:t>
      </w:r>
      <w:r>
        <w:rPr>
          <w:rFonts w:hint="eastAsia" w:ascii="仿宋_GB2312" w:eastAsia="仿宋_GB2312"/>
          <w:b/>
          <w:sz w:val="28"/>
          <w:szCs w:val="28"/>
        </w:rPr>
        <w:t>单位</w:t>
      </w:r>
      <w:r>
        <w:rPr>
          <w:rFonts w:hint="eastAsia" w:ascii="仿宋_GB2312" w:eastAsia="仿宋_GB2312"/>
          <w:b/>
          <w:sz w:val="28"/>
          <w:szCs w:val="28"/>
          <w:lang w:val="zh-CN"/>
        </w:rPr>
        <w:t>组织磋商活动</w:t>
      </w:r>
    </w:p>
    <w:p>
      <w:pPr>
        <w:pStyle w:val="70"/>
        <w:snapToGrid w:val="0"/>
        <w:spacing w:line="300" w:lineRule="auto"/>
        <w:ind w:firstLine="562" w:firstLineChars="200"/>
        <w:contextualSpacing/>
        <w:rPr>
          <w:rFonts w:cs="宋体"/>
          <w:b/>
          <w:kern w:val="0"/>
          <w:sz w:val="28"/>
          <w:lang w:val="zh-CN"/>
        </w:rPr>
      </w:pPr>
      <w:r>
        <w:rPr>
          <w:rFonts w:hint="eastAsia" w:cs="宋体"/>
          <w:b/>
          <w:kern w:val="0"/>
          <w:sz w:val="28"/>
          <w:lang w:val="zh-CN"/>
        </w:rPr>
        <w:t>1、成立竞争性磋商小组。</w:t>
      </w:r>
    </w:p>
    <w:p>
      <w:pPr>
        <w:pStyle w:val="70"/>
        <w:snapToGrid w:val="0"/>
        <w:spacing w:line="300" w:lineRule="auto"/>
        <w:ind w:firstLine="560" w:firstLineChars="200"/>
        <w:contextualSpacing/>
        <w:rPr>
          <w:rFonts w:cs="宋体"/>
          <w:kern w:val="0"/>
          <w:sz w:val="28"/>
          <w:lang w:val="zh-CN"/>
        </w:rPr>
      </w:pPr>
      <w:r>
        <w:rPr>
          <w:rFonts w:cs="宋体"/>
          <w:kern w:val="0"/>
          <w:sz w:val="28"/>
          <w:lang w:val="zh-CN"/>
        </w:rPr>
        <w:t>竞争性磋商小组由采购人代表和评审专家共3人以上单数组成，其中评审专家人数不得少于竞争性磋商小组成员总数的2/3。采购人不得以评审专家身份参加本单位采购项目的评审。</w:t>
      </w:r>
    </w:p>
    <w:p>
      <w:pPr>
        <w:pStyle w:val="70"/>
        <w:snapToGrid w:val="0"/>
        <w:spacing w:line="300" w:lineRule="auto"/>
        <w:ind w:firstLineChars="0"/>
        <w:contextualSpacing/>
        <w:rPr>
          <w:rFonts w:cs="宋体"/>
          <w:kern w:val="0"/>
          <w:sz w:val="28"/>
          <w:lang w:val="zh-CN"/>
        </w:rPr>
      </w:pPr>
      <w:r>
        <w:rPr>
          <w:rFonts w:hint="eastAsia" w:cs="宋体"/>
          <w:kern w:val="0"/>
          <w:sz w:val="28"/>
          <w:lang w:val="zh-CN"/>
        </w:rPr>
        <w:t>超过公开磋商限额额标准的项目，竞争性磋商小组应当由5人以上单数组成。</w:t>
      </w:r>
    </w:p>
    <w:p>
      <w:pPr>
        <w:pStyle w:val="70"/>
        <w:snapToGrid w:val="0"/>
        <w:spacing w:line="300" w:lineRule="auto"/>
        <w:ind w:firstLine="562" w:firstLineChars="200"/>
        <w:contextualSpacing/>
        <w:rPr>
          <w:rFonts w:cs="宋体"/>
          <w:kern w:val="0"/>
          <w:sz w:val="28"/>
          <w:lang w:val="zh-CN"/>
        </w:rPr>
      </w:pPr>
      <w:r>
        <w:rPr>
          <w:rFonts w:hint="eastAsia" w:cs="宋体"/>
          <w:b/>
          <w:kern w:val="0"/>
          <w:sz w:val="28"/>
          <w:lang w:val="zh-CN"/>
        </w:rPr>
        <w:t>2、竞争性磋商小组的职责：</w:t>
      </w:r>
    </w:p>
    <w:p>
      <w:pPr>
        <w:pStyle w:val="70"/>
        <w:snapToGrid w:val="0"/>
        <w:spacing w:line="300" w:lineRule="auto"/>
        <w:ind w:firstLine="560" w:firstLineChars="200"/>
        <w:contextualSpacing/>
        <w:rPr>
          <w:rFonts w:cs="宋体"/>
          <w:kern w:val="0"/>
          <w:sz w:val="28"/>
          <w:lang w:val="zh-CN"/>
        </w:rPr>
      </w:pPr>
      <w:r>
        <w:rPr>
          <w:rFonts w:hint="eastAsia" w:cs="宋体"/>
          <w:kern w:val="0"/>
          <w:sz w:val="28"/>
          <w:lang w:val="zh-CN"/>
        </w:rPr>
        <w:t>评审专家应当遵守评审工作纪律，不得泄露评审情况和评审中获悉的商业秘密。</w:t>
      </w:r>
    </w:p>
    <w:p>
      <w:pPr>
        <w:pStyle w:val="70"/>
        <w:snapToGrid w:val="0"/>
        <w:spacing w:line="300" w:lineRule="auto"/>
        <w:ind w:firstLine="560" w:firstLineChars="200"/>
        <w:contextualSpacing/>
        <w:rPr>
          <w:rFonts w:cs="宋体"/>
          <w:kern w:val="0"/>
          <w:sz w:val="28"/>
          <w:lang w:val="zh-CN"/>
        </w:rPr>
      </w:pPr>
      <w:r>
        <w:rPr>
          <w:rFonts w:hint="eastAsia" w:cs="宋体"/>
          <w:kern w:val="0"/>
          <w:sz w:val="28"/>
          <w:lang w:val="zh-CN"/>
        </w:rPr>
        <w:t>磋商小组在评审过程中发现供应商有行贿、提供虚假材料或者串通等违法行为的，应当及时报告。</w:t>
      </w:r>
    </w:p>
    <w:p>
      <w:pPr>
        <w:pStyle w:val="70"/>
        <w:snapToGrid w:val="0"/>
        <w:spacing w:line="300" w:lineRule="auto"/>
        <w:ind w:firstLine="560" w:firstLineChars="200"/>
        <w:contextualSpacing/>
        <w:rPr>
          <w:rFonts w:cs="宋体"/>
          <w:kern w:val="0"/>
          <w:sz w:val="28"/>
        </w:rPr>
      </w:pPr>
      <w:r>
        <w:rPr>
          <w:rFonts w:hint="eastAsia" w:cs="宋体"/>
          <w:kern w:val="0"/>
          <w:sz w:val="28"/>
          <w:lang w:val="zh-CN"/>
        </w:rPr>
        <w:t>评审专家在评审过程中受到非法干涉的，应当及时向财政、监察等部门举报。</w:t>
      </w:r>
    </w:p>
    <w:p>
      <w:pPr>
        <w:pStyle w:val="70"/>
        <w:snapToGrid w:val="0"/>
        <w:spacing w:line="300" w:lineRule="auto"/>
        <w:ind w:firstLine="560" w:firstLineChars="200"/>
        <w:contextualSpacing/>
        <w:rPr>
          <w:rFonts w:cs="宋体"/>
          <w:kern w:val="0"/>
          <w:sz w:val="28"/>
          <w:lang w:val="zh-CN"/>
        </w:rPr>
      </w:pPr>
      <w:r>
        <w:rPr>
          <w:rFonts w:hint="eastAsia" w:cs="宋体"/>
          <w:kern w:val="0"/>
          <w:sz w:val="28"/>
          <w:lang w:val="zh-CN"/>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Style w:val="70"/>
        <w:snapToGrid w:val="0"/>
        <w:spacing w:line="300" w:lineRule="auto"/>
        <w:ind w:firstLine="560" w:firstLineChars="200"/>
        <w:contextualSpacing/>
        <w:rPr>
          <w:rFonts w:cs="宋体"/>
          <w:kern w:val="0"/>
          <w:sz w:val="28"/>
          <w:lang w:val="zh-CN"/>
        </w:rPr>
      </w:pPr>
      <w:r>
        <w:rPr>
          <w:rFonts w:hint="eastAsia" w:cs="宋体"/>
          <w:kern w:val="0"/>
          <w:sz w:val="28"/>
          <w:lang w:val="zh-CN"/>
        </w:rPr>
        <w:t>磋商文件内容违反国家有关强制性规定的，磋商小组应当停止评审并向采购人或者采购代理机构说明情况。</w:t>
      </w:r>
    </w:p>
    <w:p>
      <w:pPr>
        <w:pStyle w:val="70"/>
        <w:snapToGrid w:val="0"/>
        <w:spacing w:line="300" w:lineRule="auto"/>
        <w:ind w:firstLine="562" w:firstLineChars="200"/>
        <w:contextualSpacing/>
        <w:rPr>
          <w:rFonts w:cs="宋体"/>
          <w:b/>
          <w:kern w:val="0"/>
          <w:sz w:val="28"/>
          <w:lang w:val="zh-CN"/>
        </w:rPr>
      </w:pPr>
      <w:r>
        <w:rPr>
          <w:rFonts w:hint="eastAsia" w:cs="宋体"/>
          <w:b/>
          <w:kern w:val="0"/>
          <w:sz w:val="28"/>
          <w:lang w:val="zh-CN"/>
        </w:rPr>
        <w:t>3、竞争性磋商小组成员的义务：</w:t>
      </w:r>
    </w:p>
    <w:p>
      <w:pPr>
        <w:pStyle w:val="70"/>
        <w:snapToGrid w:val="0"/>
        <w:spacing w:line="300" w:lineRule="auto"/>
        <w:ind w:firstLine="560" w:firstLineChars="200"/>
        <w:contextualSpacing/>
        <w:rPr>
          <w:rFonts w:cs="宋体"/>
          <w:kern w:val="0"/>
          <w:sz w:val="28"/>
          <w:lang w:val="zh-CN"/>
        </w:rPr>
      </w:pPr>
      <w:r>
        <w:rPr>
          <w:rFonts w:hint="eastAsia" w:cs="宋体"/>
          <w:kern w:val="0"/>
          <w:sz w:val="28"/>
          <w:lang w:val="zh-CN"/>
        </w:rPr>
        <w:t>遵纪守法，客观、公正、廉洁地履行职责；根据采购文件的规定独立进行评审，对个人的评审意见承担法律责任；配合采购人、招标人答复供应商提出的质疑；配合财政部门的投诉处理和监督检查工作。</w:t>
      </w:r>
    </w:p>
    <w:p>
      <w:pPr>
        <w:pStyle w:val="70"/>
        <w:snapToGrid w:val="0"/>
        <w:spacing w:line="300" w:lineRule="auto"/>
        <w:ind w:firstLine="562" w:firstLineChars="200"/>
        <w:contextualSpacing/>
        <w:rPr>
          <w:rFonts w:cs="宋体"/>
          <w:b/>
          <w:kern w:val="0"/>
          <w:sz w:val="28"/>
          <w:lang w:val="zh-CN"/>
        </w:rPr>
      </w:pPr>
      <w:r>
        <w:rPr>
          <w:rFonts w:hint="eastAsia" w:cs="宋体"/>
          <w:b/>
          <w:kern w:val="0"/>
          <w:sz w:val="28"/>
          <w:lang w:val="zh-CN"/>
        </w:rPr>
        <w:t>二、供应商参加磋商活动。</w:t>
      </w:r>
    </w:p>
    <w:p>
      <w:pPr>
        <w:tabs>
          <w:tab w:val="left" w:pos="3585"/>
        </w:tabs>
        <w:snapToGrid w:val="0"/>
        <w:spacing w:line="300" w:lineRule="auto"/>
        <w:ind w:firstLine="537" w:firstLineChars="192"/>
        <w:rPr>
          <w:rFonts w:ascii="仿宋_GB2312" w:hAnsi="宋体" w:eastAsia="仿宋_GB2312" w:cs="宋体"/>
          <w:kern w:val="0"/>
          <w:sz w:val="28"/>
          <w:szCs w:val="28"/>
        </w:rPr>
      </w:pPr>
      <w:r>
        <w:rPr>
          <w:rFonts w:hint="eastAsia" w:ascii="仿宋_GB2312" w:hAnsi="宋体" w:eastAsia="仿宋_GB2312" w:cs="宋体"/>
          <w:kern w:val="0"/>
          <w:sz w:val="28"/>
          <w:szCs w:val="28"/>
          <w:lang w:val="zh-CN"/>
        </w:rPr>
        <w:t>现场模式：响应供应商授权人须持有效身份证参加磋商会。</w:t>
      </w:r>
    </w:p>
    <w:p>
      <w:pPr>
        <w:autoSpaceDE w:val="0"/>
        <w:autoSpaceDN w:val="0"/>
        <w:adjustRightInd w:val="0"/>
        <w:snapToGrid w:val="0"/>
        <w:spacing w:line="300" w:lineRule="auto"/>
        <w:ind w:right="210" w:firstLine="562" w:firstLineChars="200"/>
        <w:rPr>
          <w:rFonts w:ascii="仿宋_GB2312" w:hAnsi="宋体" w:eastAsia="仿宋_GB2312"/>
          <w:b/>
          <w:sz w:val="28"/>
          <w:szCs w:val="28"/>
        </w:rPr>
      </w:pPr>
      <w:r>
        <w:rPr>
          <w:rFonts w:hint="eastAsia" w:ascii="仿宋_GB2312" w:hAnsi="宋体" w:eastAsia="仿宋_GB2312"/>
          <w:b/>
          <w:sz w:val="28"/>
          <w:szCs w:val="28"/>
        </w:rPr>
        <w:t>三、评审程序、内容</w:t>
      </w:r>
    </w:p>
    <w:p>
      <w:pPr>
        <w:pStyle w:val="70"/>
        <w:snapToGrid w:val="0"/>
        <w:spacing w:line="300" w:lineRule="auto"/>
        <w:ind w:firstLine="560" w:firstLineChars="200"/>
        <w:contextualSpacing/>
        <w:rPr>
          <w:rFonts w:cs="宋体"/>
          <w:kern w:val="0"/>
          <w:sz w:val="28"/>
          <w:lang w:val="zh-CN"/>
        </w:rPr>
      </w:pPr>
      <w:r>
        <w:rPr>
          <w:rFonts w:hint="eastAsia" w:cs="宋体"/>
          <w:kern w:val="0"/>
          <w:sz w:val="28"/>
          <w:lang w:val="zh-CN"/>
        </w:rPr>
        <w:t>1、</w:t>
      </w:r>
      <w:r>
        <w:rPr>
          <w:rFonts w:cs="宋体"/>
          <w:kern w:val="0"/>
          <w:sz w:val="28"/>
          <w:lang w:val="zh-CN"/>
        </w:rPr>
        <w:t>磋商小组应当对响应文件进行评审，并根据磋商文件规定的程序、评定成交的标准等事项与实质性响应磋商文件要求的供应商进行磋商。未实质性响应磋商文件的响应文件按无效处理，磋商小组应当告知有关供应商。 </w:t>
      </w:r>
    </w:p>
    <w:p>
      <w:pPr>
        <w:pStyle w:val="70"/>
        <w:snapToGrid w:val="0"/>
        <w:spacing w:line="300" w:lineRule="auto"/>
        <w:ind w:firstLine="560" w:firstLineChars="200"/>
        <w:contextualSpacing/>
        <w:rPr>
          <w:rFonts w:cs="宋体"/>
          <w:kern w:val="0"/>
          <w:sz w:val="28"/>
          <w:lang w:val="zh-CN"/>
        </w:rPr>
      </w:pPr>
      <w:r>
        <w:rPr>
          <w:rFonts w:hint="eastAsia" w:cs="宋体"/>
          <w:kern w:val="0"/>
          <w:sz w:val="28"/>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70"/>
        <w:snapToGrid w:val="0"/>
        <w:spacing w:line="300" w:lineRule="auto"/>
        <w:ind w:firstLine="560" w:firstLineChars="200"/>
        <w:contextualSpacing/>
        <w:rPr>
          <w:rFonts w:cs="宋体"/>
          <w:kern w:val="0"/>
          <w:sz w:val="28"/>
          <w:lang w:val="zh-CN"/>
        </w:rPr>
      </w:pPr>
      <w:r>
        <w:rPr>
          <w:rFonts w:hint="eastAsia" w:cs="宋体"/>
          <w:kern w:val="0"/>
          <w:sz w:val="28"/>
          <w:lang w:val="zh-CN"/>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70"/>
        <w:snapToGrid w:val="0"/>
        <w:spacing w:line="300" w:lineRule="auto"/>
        <w:ind w:firstLine="560" w:firstLineChars="200"/>
        <w:contextualSpacing/>
        <w:rPr>
          <w:rFonts w:cs="宋体"/>
          <w:kern w:val="0"/>
          <w:sz w:val="28"/>
          <w:lang w:val="zh-CN"/>
        </w:rPr>
      </w:pPr>
      <w:r>
        <w:rPr>
          <w:rFonts w:hint="eastAsia" w:cs="宋体"/>
          <w:kern w:val="0"/>
          <w:sz w:val="28"/>
        </w:rPr>
        <w:t>2</w:t>
      </w:r>
      <w:r>
        <w:rPr>
          <w:rFonts w:hint="eastAsia" w:cs="宋体"/>
          <w:kern w:val="0"/>
          <w:sz w:val="28"/>
          <w:lang w:val="zh-CN"/>
        </w:rPr>
        <w:t>、</w:t>
      </w:r>
      <w:r>
        <w:rPr>
          <w:rFonts w:cs="宋体"/>
          <w:kern w:val="0"/>
          <w:sz w:val="28"/>
          <w:lang w:val="zh-CN"/>
        </w:rPr>
        <w:t>在磋商过程中，磋商小组可以根据磋商文件和磋商情况实质性变动采购需求中的技术、服务要求以及合同草案条款，但不得变动磋商文件中的其他内容。实质性变动的内容，须经采购人代表确认。</w:t>
      </w:r>
    </w:p>
    <w:p>
      <w:pPr>
        <w:pStyle w:val="70"/>
        <w:snapToGrid w:val="0"/>
        <w:spacing w:line="300" w:lineRule="auto"/>
        <w:ind w:firstLine="560" w:firstLineChars="200"/>
        <w:contextualSpacing/>
        <w:rPr>
          <w:rFonts w:cs="宋体"/>
          <w:kern w:val="0"/>
          <w:sz w:val="28"/>
          <w:lang w:val="zh-CN"/>
        </w:rPr>
      </w:pPr>
      <w:r>
        <w:rPr>
          <w:rFonts w:cs="宋体"/>
          <w:kern w:val="0"/>
          <w:sz w:val="28"/>
          <w:lang w:val="zh-CN"/>
        </w:rPr>
        <w:t>对磋商文件作出的实质性变动是磋商文件的有效组成部分，磋商小组应当及时以书面形式同时通知所有参加磋商的供应商。</w:t>
      </w:r>
    </w:p>
    <w:p>
      <w:pPr>
        <w:pStyle w:val="70"/>
        <w:snapToGrid w:val="0"/>
        <w:spacing w:line="300" w:lineRule="auto"/>
        <w:ind w:firstLine="560" w:firstLineChars="200"/>
        <w:contextualSpacing/>
        <w:rPr>
          <w:rFonts w:cs="宋体"/>
          <w:kern w:val="0"/>
          <w:sz w:val="28"/>
          <w:lang w:val="zh-CN"/>
        </w:rPr>
      </w:pPr>
      <w:r>
        <w:rPr>
          <w:rFonts w:cs="宋体"/>
          <w:kern w:val="0"/>
          <w:sz w:val="28"/>
          <w:lang w:val="zh-CN"/>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pStyle w:val="70"/>
        <w:snapToGrid w:val="0"/>
        <w:spacing w:line="300" w:lineRule="auto"/>
        <w:ind w:firstLine="560" w:firstLineChars="200"/>
        <w:contextualSpacing/>
        <w:rPr>
          <w:rFonts w:cs="宋体"/>
          <w:kern w:val="0"/>
          <w:sz w:val="28"/>
          <w:lang w:val="zh-CN"/>
        </w:rPr>
      </w:pPr>
      <w:r>
        <w:rPr>
          <w:rFonts w:hint="eastAsia" w:cs="宋体"/>
          <w:kern w:val="0"/>
          <w:sz w:val="28"/>
        </w:rPr>
        <w:t>3</w:t>
      </w:r>
      <w:r>
        <w:rPr>
          <w:rFonts w:hint="eastAsia" w:cs="宋体"/>
          <w:kern w:val="0"/>
          <w:sz w:val="28"/>
          <w:lang w:val="zh-CN"/>
        </w:rPr>
        <w:t>、</w:t>
      </w:r>
      <w:r>
        <w:rPr>
          <w:rFonts w:cs="宋体"/>
          <w:kern w:val="0"/>
          <w:sz w:val="28"/>
          <w:lang w:val="zh-CN"/>
        </w:rPr>
        <w:t>磋商文件能够详细列明采购标的的技术、服务要求的，磋商结束后，磋商小组应当要求所有</w:t>
      </w:r>
      <w:r>
        <w:rPr>
          <w:rFonts w:hint="eastAsia" w:cs="宋体"/>
          <w:kern w:val="0"/>
          <w:sz w:val="28"/>
          <w:lang w:val="zh-CN"/>
        </w:rPr>
        <w:t>实质性响应</w:t>
      </w:r>
      <w:r>
        <w:rPr>
          <w:rFonts w:cs="宋体"/>
          <w:kern w:val="0"/>
          <w:sz w:val="28"/>
          <w:lang w:val="zh-CN"/>
        </w:rPr>
        <w:t>的供应商在规定时间内提交最后报价，提交最后报价的供应商不得少于3家。</w:t>
      </w:r>
    </w:p>
    <w:p>
      <w:pPr>
        <w:pStyle w:val="70"/>
        <w:snapToGrid w:val="0"/>
        <w:spacing w:line="300" w:lineRule="auto"/>
        <w:ind w:firstLine="560" w:firstLineChars="200"/>
        <w:contextualSpacing/>
        <w:rPr>
          <w:rFonts w:cs="宋体"/>
          <w:kern w:val="0"/>
          <w:sz w:val="28"/>
          <w:lang w:val="zh-CN"/>
        </w:rPr>
      </w:pPr>
      <w:r>
        <w:rPr>
          <w:rFonts w:cs="宋体"/>
          <w:kern w:val="0"/>
          <w:sz w:val="28"/>
          <w:lang w:val="zh-CN"/>
        </w:rPr>
        <w:t>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70"/>
        <w:snapToGrid w:val="0"/>
        <w:spacing w:line="300" w:lineRule="auto"/>
        <w:ind w:firstLine="560" w:firstLineChars="200"/>
        <w:contextualSpacing/>
        <w:rPr>
          <w:rFonts w:cs="宋体"/>
          <w:kern w:val="0"/>
          <w:sz w:val="28"/>
          <w:lang w:val="zh-CN"/>
        </w:rPr>
      </w:pPr>
      <w:r>
        <w:rPr>
          <w:rFonts w:hint="eastAsia" w:cs="宋体"/>
          <w:kern w:val="0"/>
          <w:sz w:val="28"/>
          <w:lang w:val="zh-CN"/>
        </w:rPr>
        <w:t>市场竞争不充分的科研项目，以及需要扶持的科技成果转化项目，</w:t>
      </w:r>
      <w:r>
        <w:rPr>
          <w:rFonts w:cs="宋体"/>
          <w:kern w:val="0"/>
          <w:sz w:val="28"/>
          <w:lang w:val="zh-CN"/>
        </w:rPr>
        <w:t>提交最后报价的供应商</w:t>
      </w:r>
      <w:r>
        <w:rPr>
          <w:rFonts w:hint="eastAsia" w:cs="宋体"/>
          <w:kern w:val="0"/>
          <w:sz w:val="28"/>
          <w:lang w:val="zh-CN"/>
        </w:rPr>
        <w:t>可以是2</w:t>
      </w:r>
      <w:r>
        <w:rPr>
          <w:rFonts w:cs="宋体"/>
          <w:kern w:val="0"/>
          <w:sz w:val="28"/>
          <w:lang w:val="zh-CN"/>
        </w:rPr>
        <w:t>家。</w:t>
      </w:r>
    </w:p>
    <w:p>
      <w:pPr>
        <w:pStyle w:val="70"/>
        <w:snapToGrid w:val="0"/>
        <w:spacing w:line="300" w:lineRule="auto"/>
        <w:ind w:firstLine="560" w:firstLineChars="200"/>
        <w:contextualSpacing/>
        <w:rPr>
          <w:rFonts w:cs="宋体"/>
          <w:kern w:val="0"/>
          <w:sz w:val="28"/>
          <w:lang w:val="zh-CN"/>
        </w:rPr>
      </w:pPr>
      <w:r>
        <w:rPr>
          <w:rFonts w:hint="eastAsia" w:cs="宋体"/>
          <w:kern w:val="0"/>
          <w:sz w:val="28"/>
        </w:rPr>
        <w:t>4</w:t>
      </w:r>
      <w:r>
        <w:rPr>
          <w:rFonts w:hint="eastAsia" w:cs="宋体"/>
          <w:kern w:val="0"/>
          <w:sz w:val="28"/>
          <w:lang w:val="zh-CN"/>
        </w:rPr>
        <w:t>、</w:t>
      </w:r>
      <w:r>
        <w:rPr>
          <w:rFonts w:cs="宋体"/>
          <w:kern w:val="0"/>
          <w:sz w:val="28"/>
          <w:lang w:val="zh-CN"/>
        </w:rPr>
        <w:t>最后报价是供应商响应文件的有效组成部分。</w:t>
      </w:r>
    </w:p>
    <w:p>
      <w:pPr>
        <w:pStyle w:val="70"/>
        <w:snapToGrid w:val="0"/>
        <w:spacing w:line="300" w:lineRule="auto"/>
        <w:ind w:firstLine="560" w:firstLineChars="200"/>
        <w:contextualSpacing/>
        <w:rPr>
          <w:rFonts w:cs="宋体"/>
          <w:kern w:val="0"/>
          <w:sz w:val="28"/>
          <w:lang w:val="zh-CN"/>
        </w:rPr>
      </w:pPr>
      <w:r>
        <w:rPr>
          <w:rFonts w:hint="eastAsia" w:cs="宋体"/>
          <w:kern w:val="0"/>
          <w:sz w:val="28"/>
        </w:rPr>
        <w:t>5</w:t>
      </w:r>
      <w:r>
        <w:rPr>
          <w:rFonts w:hint="eastAsia" w:cs="宋体"/>
          <w:kern w:val="0"/>
          <w:sz w:val="28"/>
          <w:lang w:val="zh-CN"/>
        </w:rPr>
        <w:t>、</w:t>
      </w:r>
      <w:r>
        <w:rPr>
          <w:rFonts w:cs="宋体"/>
          <w:kern w:val="0"/>
          <w:sz w:val="28"/>
          <w:lang w:val="zh-CN"/>
        </w:rPr>
        <w:t>已提交响应文件的供应商，在提交最后报价之前，可以根据磋商情况退出磋商。</w:t>
      </w:r>
    </w:p>
    <w:p>
      <w:pPr>
        <w:pStyle w:val="70"/>
        <w:snapToGrid w:val="0"/>
        <w:spacing w:line="300" w:lineRule="auto"/>
        <w:ind w:firstLine="579"/>
        <w:contextualSpacing/>
        <w:rPr>
          <w:b/>
          <w:sz w:val="28"/>
        </w:rPr>
      </w:pPr>
    </w:p>
    <w:p>
      <w:pPr>
        <w:pStyle w:val="70"/>
        <w:snapToGrid w:val="0"/>
        <w:spacing w:line="300" w:lineRule="auto"/>
        <w:ind w:firstLine="579"/>
        <w:contextualSpacing/>
        <w:rPr>
          <w:b/>
          <w:sz w:val="28"/>
        </w:rPr>
      </w:pPr>
      <w:r>
        <w:rPr>
          <w:rFonts w:hint="eastAsia"/>
          <w:b/>
          <w:sz w:val="28"/>
        </w:rPr>
        <w:t>四、评审方法-综合评分法</w:t>
      </w:r>
    </w:p>
    <w:p>
      <w:pPr>
        <w:pStyle w:val="70"/>
        <w:snapToGrid w:val="0"/>
        <w:spacing w:line="300" w:lineRule="auto"/>
        <w:ind w:firstLine="577"/>
        <w:contextualSpacing/>
        <w:rPr>
          <w:sz w:val="28"/>
        </w:rPr>
      </w:pPr>
      <w:r>
        <w:rPr>
          <w:rFonts w:hint="eastAsia"/>
          <w:sz w:val="28"/>
        </w:rPr>
        <w:t>经磋商确定最终采购需求和提交最后报价的供应商后，由磋商小组采用综合评分法对提交最后报价的供应商的响应文件和最后报价进行综合评分。</w:t>
      </w:r>
    </w:p>
    <w:p>
      <w:pPr>
        <w:pStyle w:val="70"/>
        <w:snapToGrid w:val="0"/>
        <w:spacing w:line="300" w:lineRule="auto"/>
        <w:ind w:firstLine="577"/>
        <w:contextualSpacing/>
        <w:rPr>
          <w:sz w:val="28"/>
        </w:rPr>
      </w:pPr>
      <w:r>
        <w:rPr>
          <w:rFonts w:hint="eastAsia"/>
          <w:sz w:val="28"/>
        </w:rPr>
        <w:t>综合评分法，是指响应文件满足磋商文件全部实质性要求且按评审因素的量化指标评审得分最高的供应商为成交候选供应商的评审方法。</w:t>
      </w:r>
    </w:p>
    <w:p>
      <w:pPr>
        <w:pStyle w:val="70"/>
        <w:snapToGrid w:val="0"/>
        <w:spacing w:line="300" w:lineRule="auto"/>
        <w:ind w:firstLine="577"/>
        <w:contextualSpacing/>
        <w:rPr>
          <w:sz w:val="28"/>
        </w:rPr>
      </w:pPr>
      <w:r>
        <w:rPr>
          <w:rFonts w:hint="eastAsia"/>
          <w:sz w:val="28"/>
        </w:rPr>
        <w:t>评审时，磋商小组各成员应当独立对每个有效响应的文件进行评价、打分，然后汇总每个供应商每项评分因素的得分。</w:t>
      </w:r>
    </w:p>
    <w:p>
      <w:pPr>
        <w:snapToGrid w:val="0"/>
        <w:spacing w:line="30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（一）审查响应文件的有效性、完整性、响应程度</w:t>
      </w:r>
    </w:p>
    <w:p>
      <w:pPr>
        <w:snapToGrid w:val="0"/>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1.供应商资格是否符合;</w:t>
      </w:r>
    </w:p>
    <w:p>
      <w:pPr>
        <w:snapToGrid w:val="0"/>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2.响应文件是否完整；</w:t>
      </w:r>
    </w:p>
    <w:p>
      <w:pPr>
        <w:snapToGrid w:val="0"/>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3.响应文件是否恰当地签署；</w:t>
      </w:r>
    </w:p>
    <w:p>
      <w:pPr>
        <w:snapToGrid w:val="0"/>
        <w:spacing w:line="300" w:lineRule="auto"/>
        <w:ind w:firstLine="540"/>
        <w:rPr>
          <w:rFonts w:ascii="楷体_GB2312" w:hAnsi="宋体" w:eastAsia="楷体_GB2312"/>
          <w:b/>
          <w:sz w:val="28"/>
          <w:szCs w:val="28"/>
        </w:rPr>
      </w:pPr>
      <w:r>
        <w:rPr>
          <w:rFonts w:hint="eastAsia" w:ascii="仿宋_GB2312" w:hAnsi="宋体" w:eastAsia="仿宋_GB2312"/>
          <w:sz w:val="28"/>
          <w:szCs w:val="28"/>
        </w:rPr>
        <w:t>4.是否作出实质性响应（</w:t>
      </w:r>
      <w:r>
        <w:rPr>
          <w:rFonts w:hint="eastAsia" w:ascii="楷体_GB2312" w:hAnsi="宋体" w:eastAsia="楷体_GB2312"/>
          <w:b/>
          <w:sz w:val="28"/>
          <w:szCs w:val="28"/>
        </w:rPr>
        <w:t>是否有实质性响应，只根据响应文件本身，而不寻求外部证据）；</w:t>
      </w:r>
    </w:p>
    <w:p>
      <w:pPr>
        <w:snapToGrid w:val="0"/>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5.是否有计算错误。</w:t>
      </w:r>
    </w:p>
    <w:p>
      <w:pPr>
        <w:snapToGrid w:val="0"/>
        <w:spacing w:line="300" w:lineRule="auto"/>
        <w:ind w:firstLine="562" w:firstLineChars="200"/>
        <w:rPr>
          <w:rFonts w:ascii="仿宋_GB2312" w:hAnsi="宋体" w:eastAsia="仿宋_GB2312"/>
          <w:b/>
          <w:bCs/>
          <w:sz w:val="28"/>
          <w:szCs w:val="28"/>
        </w:rPr>
      </w:pPr>
      <w:r>
        <w:rPr>
          <w:rFonts w:hint="eastAsia" w:ascii="仿宋_GB2312" w:hAnsi="宋体" w:eastAsia="仿宋_GB2312"/>
          <w:b/>
          <w:bCs/>
          <w:sz w:val="28"/>
          <w:szCs w:val="28"/>
        </w:rPr>
        <w:t>（二）误差纠正</w:t>
      </w:r>
    </w:p>
    <w:p>
      <w:pPr>
        <w:snapToGrid w:val="0"/>
        <w:spacing w:line="300" w:lineRule="auto"/>
        <w:ind w:firstLine="560" w:firstLineChars="200"/>
        <w:rPr>
          <w:rFonts w:ascii="仿宋_GB2312" w:hAnsi="宋体" w:eastAsia="仿宋_GB2312"/>
          <w:sz w:val="28"/>
          <w:szCs w:val="28"/>
        </w:rPr>
      </w:pPr>
      <w:r>
        <w:rPr>
          <w:rFonts w:hint="eastAsia" w:ascii="仿宋_GB2312" w:hAnsi="宋体" w:eastAsia="仿宋_GB2312"/>
          <w:bCs/>
          <w:sz w:val="28"/>
          <w:szCs w:val="28"/>
        </w:rPr>
        <w:t>1.</w:t>
      </w:r>
      <w:r>
        <w:rPr>
          <w:rFonts w:hint="eastAsia" w:ascii="仿宋_GB2312" w:hAnsi="宋体" w:eastAsia="仿宋_GB2312"/>
          <w:sz w:val="28"/>
          <w:szCs w:val="28"/>
        </w:rPr>
        <w:t>如果单价汇总金额与总价金额有出入，以单价金额计算结果为准；</w:t>
      </w:r>
    </w:p>
    <w:p>
      <w:pPr>
        <w:snapToGrid w:val="0"/>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2.单价金额小数点有明显错位的，应以总价为准；</w:t>
      </w:r>
    </w:p>
    <w:p>
      <w:pPr>
        <w:snapToGrid w:val="0"/>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3.正本与副本有矛盾的，以正本为准；</w:t>
      </w:r>
    </w:p>
    <w:p>
      <w:pPr>
        <w:snapToGrid w:val="0"/>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4.若文件大写表示的数据与数字表示的有差别，以大写表示的数据为准。</w:t>
      </w:r>
    </w:p>
    <w:p>
      <w:pPr>
        <w:tabs>
          <w:tab w:val="left" w:pos="6555"/>
          <w:tab w:val="right" w:pos="8306"/>
        </w:tabs>
        <w:snapToGrid w:val="0"/>
        <w:spacing w:line="30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（三）出现下列情形之一的，作无效响应处理</w:t>
      </w:r>
      <w:r>
        <w:rPr>
          <w:rFonts w:ascii="仿宋_GB2312" w:hAnsi="宋体" w:eastAsia="仿宋_GB2312"/>
          <w:b/>
          <w:sz w:val="28"/>
          <w:szCs w:val="28"/>
        </w:rPr>
        <w:tab/>
      </w:r>
    </w:p>
    <w:p>
      <w:pPr>
        <w:snapToGrid w:val="0"/>
        <w:spacing w:line="300" w:lineRule="auto"/>
        <w:ind w:firstLine="570"/>
        <w:rPr>
          <w:rFonts w:ascii="仿宋_GB2312" w:hAnsi="宋体" w:eastAsia="仿宋_GB2312"/>
          <w:sz w:val="28"/>
          <w:szCs w:val="28"/>
        </w:rPr>
      </w:pPr>
      <w:r>
        <w:rPr>
          <w:rFonts w:hint="eastAsia" w:ascii="仿宋_GB2312" w:hAnsi="宋体" w:eastAsia="仿宋_GB2312"/>
          <w:sz w:val="28"/>
          <w:szCs w:val="28"/>
        </w:rPr>
        <w:t>1.未按照磋商文件规定要求签署、盖章的；</w:t>
      </w:r>
    </w:p>
    <w:p>
      <w:pPr>
        <w:snapToGrid w:val="0"/>
        <w:spacing w:line="300" w:lineRule="auto"/>
        <w:ind w:firstLine="570"/>
        <w:rPr>
          <w:rFonts w:ascii="仿宋_GB2312" w:hAnsi="宋体" w:eastAsia="仿宋_GB2312"/>
          <w:sz w:val="28"/>
          <w:szCs w:val="28"/>
        </w:rPr>
      </w:pPr>
      <w:r>
        <w:rPr>
          <w:rFonts w:hint="eastAsia" w:ascii="仿宋_GB2312" w:hAnsi="宋体" w:eastAsia="仿宋_GB2312"/>
          <w:sz w:val="28"/>
          <w:szCs w:val="28"/>
        </w:rPr>
        <w:t>2.不具备磋商文件中规定的资格要求的；</w:t>
      </w:r>
    </w:p>
    <w:p>
      <w:pPr>
        <w:snapToGrid w:val="0"/>
        <w:spacing w:line="300" w:lineRule="auto"/>
        <w:ind w:firstLine="570"/>
        <w:rPr>
          <w:rFonts w:ascii="仿宋_GB2312" w:hAnsi="宋体" w:eastAsia="仿宋_GB2312"/>
          <w:sz w:val="28"/>
          <w:szCs w:val="28"/>
        </w:rPr>
      </w:pPr>
      <w:r>
        <w:rPr>
          <w:rFonts w:hint="eastAsia" w:ascii="仿宋_GB2312" w:hAnsi="宋体" w:eastAsia="仿宋_GB2312"/>
          <w:sz w:val="28"/>
          <w:szCs w:val="28"/>
        </w:rPr>
        <w:t>3.响应报价超出预算的；</w:t>
      </w:r>
    </w:p>
    <w:p>
      <w:pPr>
        <w:snapToGrid w:val="0"/>
        <w:spacing w:line="300" w:lineRule="auto"/>
        <w:ind w:firstLine="570"/>
        <w:rPr>
          <w:rFonts w:ascii="仿宋_GB2312" w:hAnsi="宋体" w:eastAsia="仿宋_GB2312"/>
          <w:sz w:val="28"/>
          <w:szCs w:val="28"/>
        </w:rPr>
      </w:pPr>
      <w:r>
        <w:rPr>
          <w:rFonts w:hint="eastAsia" w:ascii="仿宋_GB2312" w:hAnsi="宋体" w:eastAsia="仿宋_GB2312"/>
          <w:sz w:val="28"/>
          <w:szCs w:val="28"/>
        </w:rPr>
        <w:t>4.不符合法律、法规和磋商文件中规定的其他实质性要求的。</w:t>
      </w:r>
    </w:p>
    <w:p>
      <w:pPr>
        <w:snapToGrid w:val="0"/>
        <w:spacing w:line="300" w:lineRule="auto"/>
        <w:ind w:firstLine="570"/>
        <w:rPr>
          <w:rFonts w:ascii="仿宋_GB2312" w:hAnsi="宋体" w:eastAsia="仿宋_GB2312"/>
          <w:b/>
          <w:sz w:val="28"/>
          <w:szCs w:val="28"/>
        </w:rPr>
      </w:pPr>
      <w:r>
        <w:rPr>
          <w:rFonts w:hint="eastAsia" w:ascii="仿宋_GB2312" w:hAnsi="宋体" w:eastAsia="仿宋_GB2312"/>
          <w:b/>
          <w:sz w:val="28"/>
          <w:szCs w:val="28"/>
        </w:rPr>
        <w:t>（四）出现下列情形之一的，磋商失败</w:t>
      </w:r>
    </w:p>
    <w:p>
      <w:pPr>
        <w:snapToGrid w:val="0"/>
        <w:spacing w:line="300" w:lineRule="auto"/>
        <w:ind w:firstLine="570"/>
        <w:rPr>
          <w:rFonts w:ascii="仿宋_GB2312" w:hAnsi="宋体" w:eastAsia="仿宋_GB2312"/>
          <w:sz w:val="28"/>
          <w:szCs w:val="28"/>
        </w:rPr>
      </w:pPr>
      <w:r>
        <w:rPr>
          <w:rFonts w:hint="eastAsia" w:ascii="仿宋_GB2312" w:hAnsi="宋体" w:eastAsia="仿宋_GB2312"/>
          <w:sz w:val="28"/>
          <w:szCs w:val="28"/>
        </w:rPr>
        <w:t>1.符合条件的供应商或者对磋商文件作实质响应的供应商不足3家的（市场竞争不充分的科研项目，以及需要扶持的科技成果转化项目可以是2家）；</w:t>
      </w:r>
    </w:p>
    <w:p>
      <w:pPr>
        <w:snapToGrid w:val="0"/>
        <w:spacing w:line="300" w:lineRule="auto"/>
        <w:ind w:firstLine="555"/>
        <w:rPr>
          <w:rFonts w:ascii="仿宋_GB2312" w:hAnsi="宋体" w:eastAsia="仿宋_GB2312"/>
          <w:sz w:val="28"/>
          <w:szCs w:val="28"/>
        </w:rPr>
      </w:pPr>
      <w:r>
        <w:rPr>
          <w:rFonts w:hint="eastAsia" w:ascii="仿宋_GB2312" w:hAnsi="宋体" w:eastAsia="仿宋_GB2312"/>
          <w:sz w:val="28"/>
          <w:szCs w:val="28"/>
        </w:rPr>
        <w:t>2.出现影响采购公正的违法违规行为的；</w:t>
      </w:r>
    </w:p>
    <w:p>
      <w:pPr>
        <w:snapToGrid w:val="0"/>
        <w:spacing w:line="300" w:lineRule="auto"/>
        <w:ind w:firstLine="555"/>
        <w:rPr>
          <w:rFonts w:ascii="仿宋_GB2312" w:hAnsi="宋体" w:eastAsia="仿宋_GB2312"/>
          <w:sz w:val="28"/>
          <w:szCs w:val="28"/>
        </w:rPr>
      </w:pPr>
      <w:r>
        <w:rPr>
          <w:rFonts w:hint="eastAsia" w:ascii="仿宋_GB2312" w:hAnsi="宋体" w:eastAsia="仿宋_GB2312"/>
          <w:sz w:val="28"/>
          <w:szCs w:val="28"/>
        </w:rPr>
        <w:t>3.供应商的最后报价均超过了采购预算，采购人不能支付的；</w:t>
      </w:r>
    </w:p>
    <w:p>
      <w:pPr>
        <w:snapToGrid w:val="0"/>
        <w:spacing w:line="300" w:lineRule="auto"/>
        <w:ind w:firstLine="555"/>
        <w:rPr>
          <w:rFonts w:ascii="仿宋_GB2312" w:hAnsi="宋体" w:eastAsia="仿宋_GB2312"/>
          <w:sz w:val="28"/>
          <w:szCs w:val="28"/>
        </w:rPr>
      </w:pPr>
      <w:r>
        <w:rPr>
          <w:rFonts w:hint="eastAsia" w:ascii="仿宋_GB2312" w:hAnsi="宋体" w:eastAsia="仿宋_GB2312"/>
          <w:sz w:val="28"/>
          <w:szCs w:val="28"/>
        </w:rPr>
        <w:t>4.因重大变故，采购任务取消的。</w:t>
      </w:r>
    </w:p>
    <w:p>
      <w:pPr>
        <w:pStyle w:val="70"/>
        <w:snapToGrid w:val="0"/>
        <w:spacing w:line="300" w:lineRule="auto"/>
        <w:ind w:firstLine="579"/>
        <w:contextualSpacing/>
        <w:rPr>
          <w:b/>
          <w:sz w:val="28"/>
        </w:rPr>
      </w:pPr>
      <w:r>
        <w:rPr>
          <w:rFonts w:hint="eastAsia"/>
          <w:b/>
          <w:sz w:val="28"/>
        </w:rPr>
        <w:t>五、评审标准</w:t>
      </w:r>
    </w:p>
    <w:p>
      <w:pPr>
        <w:spacing w:after="120" w:afterLines="50" w:line="360" w:lineRule="auto"/>
        <w:ind w:firstLine="544"/>
        <w:rPr>
          <w:rFonts w:ascii="宋体" w:hAnsi="宋体"/>
          <w:kern w:val="0"/>
          <w:sz w:val="24"/>
        </w:rPr>
      </w:pPr>
      <w:r>
        <w:rPr>
          <w:rFonts w:hint="eastAsia" w:ascii="宋体" w:hAnsi="宋体"/>
          <w:kern w:val="0"/>
          <w:sz w:val="24"/>
        </w:rPr>
        <w:t>本项目采用综合评分法：即指在满足招标文件实质性要求的前提下，按照最终投标文件中规定的各项因素进行综合评审后，按评审总得分高低顺序推荐排名靠前供应商作为该项目成交候选人的评审方法。评委对各供应商进行独立打分，所有评委对同一供应商打分的算术平均值为该供应商的最终得分（全部打分保留小数点二位，第三位四舍五入）。具体评分因素、分值和评分标准如下：</w:t>
      </w:r>
    </w:p>
    <w:p>
      <w:pPr>
        <w:pStyle w:val="23"/>
      </w:pPr>
    </w:p>
    <w:tbl>
      <w:tblPr>
        <w:tblStyle w:val="24"/>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851"/>
        <w:gridCol w:w="709"/>
        <w:gridCol w:w="7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3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kern w:val="0"/>
                <w:sz w:val="24"/>
              </w:rPr>
            </w:pPr>
            <w:r>
              <w:rPr>
                <w:rFonts w:hint="eastAsia" w:ascii="宋体" w:hAnsi="宋体"/>
                <w:b/>
                <w:kern w:val="0"/>
                <w:sz w:val="24"/>
              </w:rPr>
              <w:t>评分因素</w:t>
            </w:r>
          </w:p>
        </w:tc>
        <w:tc>
          <w:tcPr>
            <w:tcW w:w="709"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b/>
                <w:kern w:val="0"/>
                <w:sz w:val="24"/>
              </w:rPr>
            </w:pPr>
            <w:r>
              <w:rPr>
                <w:rFonts w:hint="eastAsia" w:ascii="宋体" w:hAnsi="宋体"/>
                <w:b/>
                <w:kern w:val="0"/>
                <w:sz w:val="24"/>
              </w:rPr>
              <w:t>分值</w:t>
            </w:r>
          </w:p>
        </w:tc>
        <w:tc>
          <w:tcPr>
            <w:tcW w:w="7058"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b/>
                <w:kern w:val="0"/>
                <w:sz w:val="24"/>
              </w:rPr>
            </w:pPr>
            <w:r>
              <w:rPr>
                <w:rFonts w:hint="eastAsia" w:ascii="宋体" w:hAnsi="宋体"/>
                <w:b/>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44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kern w:val="0"/>
                <w:sz w:val="24"/>
              </w:rPr>
            </w:pPr>
            <w:r>
              <w:rPr>
                <w:rFonts w:hint="eastAsia" w:ascii="宋体" w:hAnsi="宋体"/>
                <w:kern w:val="0"/>
                <w:sz w:val="24"/>
              </w:rPr>
              <w:t>商务分</w:t>
            </w:r>
          </w:p>
        </w:tc>
        <w:tc>
          <w:tcPr>
            <w:tcW w:w="851" w:type="dxa"/>
            <w:tcBorders>
              <w:top w:val="single" w:color="auto" w:sz="4" w:space="0"/>
              <w:left w:val="nil"/>
              <w:bottom w:val="single" w:color="auto" w:sz="4" w:space="0"/>
              <w:right w:val="single" w:color="auto" w:sz="4" w:space="0"/>
            </w:tcBorders>
            <w:vAlign w:val="center"/>
          </w:tcPr>
          <w:p>
            <w:pPr>
              <w:spacing w:line="360" w:lineRule="exact"/>
              <w:rPr>
                <w:rFonts w:ascii="宋体" w:hAnsi="宋体"/>
                <w:kern w:val="0"/>
                <w:sz w:val="24"/>
              </w:rPr>
            </w:pPr>
            <w:r>
              <w:rPr>
                <w:rFonts w:hint="eastAsia" w:ascii="宋体" w:hAnsi="宋体"/>
                <w:kern w:val="0"/>
                <w:sz w:val="24"/>
              </w:rPr>
              <w:t>价格基准分</w:t>
            </w:r>
          </w:p>
        </w:tc>
        <w:tc>
          <w:tcPr>
            <w:tcW w:w="709"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kern w:val="0"/>
                <w:sz w:val="24"/>
              </w:rPr>
            </w:pPr>
            <w:r>
              <w:rPr>
                <w:rFonts w:ascii="宋体" w:hAnsi="宋体"/>
                <w:kern w:val="0"/>
                <w:sz w:val="24"/>
              </w:rPr>
              <w:t>3</w:t>
            </w:r>
            <w:r>
              <w:rPr>
                <w:rFonts w:hint="eastAsia" w:ascii="宋体" w:hAnsi="宋体"/>
                <w:kern w:val="0"/>
                <w:sz w:val="24"/>
              </w:rPr>
              <w:t>0</w:t>
            </w:r>
          </w:p>
        </w:tc>
        <w:tc>
          <w:tcPr>
            <w:tcW w:w="7058" w:type="dxa"/>
            <w:tcBorders>
              <w:top w:val="single" w:color="auto" w:sz="4" w:space="0"/>
              <w:left w:val="nil"/>
              <w:bottom w:val="single" w:color="auto" w:sz="4" w:space="0"/>
              <w:right w:val="single" w:color="auto" w:sz="4" w:space="0"/>
            </w:tcBorders>
            <w:vAlign w:val="center"/>
          </w:tcPr>
          <w:p>
            <w:pPr>
              <w:spacing w:line="360" w:lineRule="exact"/>
              <w:rPr>
                <w:rFonts w:ascii="宋体" w:hAnsi="宋体"/>
                <w:kern w:val="0"/>
                <w:sz w:val="24"/>
              </w:rPr>
            </w:pPr>
            <w:r>
              <w:rPr>
                <w:rFonts w:hint="eastAsia" w:ascii="宋体" w:hAnsi="宋体"/>
                <w:kern w:val="0"/>
                <w:sz w:val="24"/>
              </w:rPr>
              <w:t>1.在所有单位报价中将每项报价最低单价确定为基准报价，投标单位的价格分按照下列公式计算（计算结果四舍五入保留两位小数）：</w:t>
            </w:r>
          </w:p>
          <w:p>
            <w:pPr>
              <w:spacing w:line="360" w:lineRule="exact"/>
              <w:ind w:firstLine="480" w:firstLineChars="200"/>
              <w:rPr>
                <w:rFonts w:ascii="宋体" w:hAnsi="宋体"/>
                <w:kern w:val="0"/>
                <w:sz w:val="24"/>
              </w:rPr>
            </w:pPr>
            <w:r>
              <w:rPr>
                <w:rFonts w:hint="eastAsia" w:ascii="宋体" w:hAnsi="宋体"/>
                <w:kern w:val="0"/>
                <w:sz w:val="24"/>
              </w:rPr>
              <w:t>投标报价得分=（教学比赛视频评标基准价/投标报价）×</w:t>
            </w:r>
            <w:r>
              <w:rPr>
                <w:rFonts w:ascii="宋体" w:hAnsi="宋体"/>
                <w:kern w:val="0"/>
                <w:sz w:val="24"/>
              </w:rPr>
              <w:t xml:space="preserve">9 </w:t>
            </w:r>
            <w:r>
              <w:rPr>
                <w:rFonts w:hint="eastAsia" w:ascii="宋体" w:hAnsi="宋体"/>
                <w:kern w:val="0"/>
                <w:sz w:val="24"/>
              </w:rPr>
              <w:t>+（微课比赛视频评标基准价/投标报价）×</w:t>
            </w:r>
            <w:r>
              <w:rPr>
                <w:rFonts w:ascii="宋体" w:hAnsi="宋体"/>
                <w:kern w:val="0"/>
                <w:sz w:val="24"/>
              </w:rPr>
              <w:t>6</w:t>
            </w:r>
            <w:r>
              <w:rPr>
                <w:rFonts w:hint="eastAsia" w:ascii="宋体" w:hAnsi="宋体"/>
                <w:kern w:val="0"/>
                <w:sz w:val="24"/>
              </w:rPr>
              <w:t>+（在线开放课程和专业教学资源库视频评标基准价/投标报价）×</w:t>
            </w:r>
            <w:r>
              <w:rPr>
                <w:rFonts w:ascii="宋体" w:hAnsi="宋体"/>
                <w:kern w:val="0"/>
                <w:sz w:val="24"/>
              </w:rPr>
              <w:t xml:space="preserve">6 </w:t>
            </w:r>
            <w:r>
              <w:rPr>
                <w:rFonts w:hint="eastAsia" w:ascii="宋体" w:hAnsi="宋体"/>
                <w:kern w:val="0"/>
                <w:sz w:val="24"/>
              </w:rPr>
              <w:t>+（二维动画制作评标基准价/投标报价）×</w:t>
            </w:r>
            <w:r>
              <w:rPr>
                <w:rFonts w:ascii="宋体" w:hAnsi="宋体"/>
                <w:kern w:val="0"/>
                <w:sz w:val="24"/>
              </w:rPr>
              <w:t>3</w:t>
            </w:r>
            <w:r>
              <w:rPr>
                <w:rFonts w:hint="eastAsia" w:ascii="宋体" w:hAnsi="宋体"/>
                <w:kern w:val="0"/>
                <w:sz w:val="24"/>
              </w:rPr>
              <w:t>+（三维动画制作评标基准价/投标报价）×</w:t>
            </w:r>
            <w:r>
              <w:rPr>
                <w:rFonts w:ascii="宋体" w:hAnsi="宋体"/>
                <w:kern w:val="0"/>
                <w:sz w:val="24"/>
              </w:rPr>
              <w:t>3</w:t>
            </w:r>
            <w:r>
              <w:rPr>
                <w:rFonts w:hint="eastAsia" w:ascii="宋体" w:hAnsi="宋体"/>
                <w:kern w:val="0"/>
                <w:sz w:val="24"/>
              </w:rPr>
              <w:t>+（现场拍摄（直播）活动评标基准价/投标报价）×</w:t>
            </w:r>
            <w:r>
              <w:rPr>
                <w:rFonts w:ascii="宋体" w:hAnsi="宋体"/>
                <w:kern w:val="0"/>
                <w:sz w:val="24"/>
              </w:rPr>
              <w:t>3</w:t>
            </w:r>
            <w:r>
              <w:rPr>
                <w:rFonts w:hint="eastAsia" w:ascii="宋体" w:hAnsi="宋体"/>
                <w:kern w:val="0"/>
                <w:sz w:val="24"/>
              </w:rPr>
              <w:t>。</w:t>
            </w:r>
          </w:p>
          <w:p>
            <w:pPr>
              <w:spacing w:line="360" w:lineRule="exact"/>
              <w:rPr>
                <w:rFonts w:ascii="宋体" w:hAnsi="宋体"/>
                <w:kern w:val="0"/>
                <w:sz w:val="24"/>
              </w:rPr>
            </w:pPr>
            <w:r>
              <w:rPr>
                <w:rFonts w:hint="eastAsia" w:ascii="宋体" w:hAnsi="宋体"/>
                <w:kern w:val="0"/>
                <w:sz w:val="24"/>
              </w:rPr>
              <w:t>2.特别说明：</w:t>
            </w:r>
          </w:p>
          <w:p>
            <w:pPr>
              <w:spacing w:line="360" w:lineRule="exact"/>
              <w:ind w:firstLine="240" w:firstLineChars="100"/>
              <w:rPr>
                <w:rFonts w:ascii="宋体" w:hAnsi="宋体"/>
                <w:kern w:val="0"/>
                <w:sz w:val="24"/>
              </w:rPr>
            </w:pPr>
            <w:r>
              <w:rPr>
                <w:rFonts w:hint="eastAsia" w:ascii="宋体" w:hAnsi="宋体"/>
                <w:kern w:val="0"/>
                <w:sz w:val="24"/>
              </w:rPr>
              <w:t>（</w:t>
            </w:r>
            <w:r>
              <w:rPr>
                <w:rFonts w:ascii="宋体" w:hAnsi="宋体"/>
                <w:kern w:val="0"/>
                <w:sz w:val="24"/>
              </w:rPr>
              <w:t>1</w:t>
            </w:r>
            <w:r>
              <w:rPr>
                <w:rFonts w:hint="eastAsia" w:ascii="宋体" w:hAnsi="宋体"/>
                <w:kern w:val="0"/>
                <w:sz w:val="24"/>
              </w:rPr>
              <w:t>）如果某投标人的投标报价中有漏项，则该项不得分，如果该投标人中标，其中标价不能调整，即漏项部分的制作费用需该投标人自行消化。</w:t>
            </w:r>
          </w:p>
          <w:p>
            <w:pPr>
              <w:pStyle w:val="23"/>
              <w:ind w:left="0" w:leftChars="0" w:firstLine="240" w:firstLineChars="100"/>
              <w:rPr>
                <w:sz w:val="24"/>
              </w:rPr>
            </w:pPr>
            <w:r>
              <w:rPr>
                <w:rFonts w:hint="eastAsia"/>
                <w:sz w:val="24"/>
              </w:rPr>
              <w:t>（2）报价</w:t>
            </w:r>
            <w:r>
              <w:rPr>
                <w:sz w:val="24"/>
              </w:rPr>
              <w:t>不得高于控制价</w:t>
            </w:r>
            <w:r>
              <w:rPr>
                <w:rFonts w:hint="eastAsia"/>
                <w:sz w:val="24"/>
              </w:rPr>
              <w:t>（详见</w:t>
            </w:r>
            <w:r>
              <w:rPr>
                <w:sz w:val="24"/>
              </w:rPr>
              <w:t>附件</w:t>
            </w:r>
            <w:r>
              <w:rPr>
                <w:rFonts w:hint="eastAsia"/>
                <w:sz w:val="24"/>
              </w:rPr>
              <w:t>）</w:t>
            </w:r>
            <w:r>
              <w:rPr>
                <w:sz w:val="24"/>
              </w:rPr>
              <w:t>，高于控制价则视为无效投标。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1" w:hRule="atLeast"/>
          <w:jc w:val="center"/>
        </w:trPr>
        <w:tc>
          <w:tcPr>
            <w:tcW w:w="449" w:type="dxa"/>
            <w:vMerge w:val="restart"/>
            <w:tcBorders>
              <w:top w:val="nil"/>
              <w:left w:val="single" w:color="auto" w:sz="4" w:space="0"/>
              <w:right w:val="single" w:color="auto" w:sz="4" w:space="0"/>
            </w:tcBorders>
            <w:vAlign w:val="center"/>
          </w:tcPr>
          <w:p>
            <w:pPr>
              <w:spacing w:line="360" w:lineRule="exact"/>
              <w:rPr>
                <w:rFonts w:ascii="宋体" w:hAnsi="宋体"/>
                <w:kern w:val="0"/>
                <w:sz w:val="24"/>
              </w:rPr>
            </w:pPr>
            <w:r>
              <w:rPr>
                <w:rFonts w:hint="eastAsia" w:ascii="宋体" w:hAnsi="宋体"/>
                <w:kern w:val="0"/>
                <w:sz w:val="24"/>
              </w:rPr>
              <w:t>技术部分</w:t>
            </w:r>
          </w:p>
        </w:tc>
        <w:tc>
          <w:tcPr>
            <w:tcW w:w="851" w:type="dxa"/>
            <w:tcBorders>
              <w:top w:val="single" w:color="auto" w:sz="4" w:space="0"/>
              <w:left w:val="nil"/>
              <w:bottom w:val="single" w:color="auto" w:sz="4" w:space="0"/>
              <w:right w:val="single" w:color="auto" w:sz="4" w:space="0"/>
            </w:tcBorders>
            <w:vAlign w:val="center"/>
          </w:tcPr>
          <w:p>
            <w:pPr>
              <w:spacing w:line="360" w:lineRule="exact"/>
              <w:rPr>
                <w:rFonts w:ascii="宋体" w:hAnsi="宋体"/>
                <w:kern w:val="0"/>
                <w:sz w:val="24"/>
              </w:rPr>
            </w:pPr>
            <w:r>
              <w:rPr>
                <w:rFonts w:hint="eastAsia" w:ascii="宋体" w:hAnsi="宋体"/>
                <w:kern w:val="0"/>
                <w:sz w:val="24"/>
              </w:rPr>
              <w:t>样片现场演 示</w:t>
            </w:r>
          </w:p>
        </w:tc>
        <w:tc>
          <w:tcPr>
            <w:tcW w:w="709"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kern w:val="0"/>
                <w:sz w:val="24"/>
              </w:rPr>
            </w:pPr>
            <w:r>
              <w:rPr>
                <w:rFonts w:ascii="宋体" w:hAnsi="宋体"/>
                <w:kern w:val="0"/>
                <w:sz w:val="24"/>
              </w:rPr>
              <w:t>15</w:t>
            </w:r>
          </w:p>
        </w:tc>
        <w:tc>
          <w:tcPr>
            <w:tcW w:w="7058" w:type="dxa"/>
            <w:tcBorders>
              <w:top w:val="single" w:color="auto" w:sz="4" w:space="0"/>
              <w:left w:val="nil"/>
              <w:bottom w:val="single" w:color="auto" w:sz="4" w:space="0"/>
              <w:right w:val="single" w:color="auto" w:sz="4" w:space="0"/>
            </w:tcBorders>
            <w:vAlign w:val="center"/>
          </w:tcPr>
          <w:p>
            <w:pPr>
              <w:spacing w:line="360" w:lineRule="exact"/>
              <w:rPr>
                <w:rFonts w:ascii="宋体" w:hAnsi="宋体"/>
                <w:kern w:val="0"/>
                <w:sz w:val="24"/>
              </w:rPr>
            </w:pPr>
            <w:r>
              <w:rPr>
                <w:rFonts w:hint="eastAsia" w:ascii="宋体" w:hAnsi="宋体"/>
                <w:kern w:val="0"/>
                <w:sz w:val="24"/>
              </w:rPr>
              <w:t>针对各报价的视频类型现场演示各样片，同时提供制作类似作品的相关证明材料。评委根据投标人的样片情况进行横向比较，分档评分：评价为A档（</w:t>
            </w:r>
            <w:r>
              <w:rPr>
                <w:rFonts w:ascii="宋体" w:hAnsi="宋体"/>
                <w:kern w:val="0"/>
                <w:sz w:val="24"/>
              </w:rPr>
              <w:t>11</w:t>
            </w:r>
            <w:r>
              <w:rPr>
                <w:rFonts w:hint="eastAsia" w:ascii="宋体" w:hAnsi="宋体"/>
                <w:kern w:val="0"/>
                <w:sz w:val="24"/>
              </w:rPr>
              <w:t>-</w:t>
            </w:r>
            <w:r>
              <w:rPr>
                <w:rFonts w:ascii="宋体" w:hAnsi="宋体"/>
                <w:kern w:val="0"/>
                <w:sz w:val="24"/>
              </w:rPr>
              <w:t>15</w:t>
            </w:r>
            <w:r>
              <w:rPr>
                <w:rFonts w:hint="eastAsia" w:ascii="宋体" w:hAnsi="宋体"/>
                <w:kern w:val="0"/>
                <w:sz w:val="24"/>
              </w:rPr>
              <w:t>分）、B档（</w:t>
            </w:r>
            <w:r>
              <w:rPr>
                <w:rFonts w:ascii="宋体" w:hAnsi="宋体"/>
                <w:kern w:val="0"/>
                <w:sz w:val="24"/>
              </w:rPr>
              <w:t>7</w:t>
            </w:r>
            <w:r>
              <w:rPr>
                <w:rFonts w:hint="eastAsia" w:ascii="宋体" w:hAnsi="宋体"/>
                <w:kern w:val="0"/>
                <w:sz w:val="24"/>
              </w:rPr>
              <w:t>-1</w:t>
            </w:r>
            <w:r>
              <w:rPr>
                <w:rFonts w:ascii="宋体" w:hAnsi="宋体"/>
                <w:kern w:val="0"/>
                <w:sz w:val="24"/>
              </w:rPr>
              <w:t>0</w:t>
            </w:r>
            <w:r>
              <w:rPr>
                <w:rFonts w:hint="eastAsia" w:ascii="宋体" w:hAnsi="宋体"/>
                <w:kern w:val="0"/>
                <w:sz w:val="24"/>
              </w:rPr>
              <w:t>分）、</w:t>
            </w:r>
            <w:r>
              <w:rPr>
                <w:rFonts w:ascii="宋体" w:hAnsi="宋体"/>
                <w:kern w:val="0"/>
                <w:sz w:val="24"/>
              </w:rPr>
              <w:t>C</w:t>
            </w:r>
            <w:r>
              <w:rPr>
                <w:rFonts w:hint="eastAsia" w:ascii="宋体" w:hAnsi="宋体"/>
                <w:kern w:val="0"/>
                <w:sz w:val="24"/>
              </w:rPr>
              <w:t>档（4-</w:t>
            </w:r>
            <w:r>
              <w:rPr>
                <w:rFonts w:ascii="宋体" w:hAnsi="宋体"/>
                <w:kern w:val="0"/>
                <w:sz w:val="24"/>
              </w:rPr>
              <w:t>6</w:t>
            </w:r>
            <w:r>
              <w:rPr>
                <w:rFonts w:hint="eastAsia" w:ascii="宋体" w:hAnsi="宋体"/>
                <w:kern w:val="0"/>
                <w:sz w:val="24"/>
              </w:rPr>
              <w:t>分）、</w:t>
            </w:r>
            <w:r>
              <w:rPr>
                <w:rFonts w:ascii="宋体" w:hAnsi="宋体"/>
                <w:kern w:val="0"/>
                <w:sz w:val="24"/>
              </w:rPr>
              <w:t>D</w:t>
            </w:r>
            <w:r>
              <w:rPr>
                <w:rFonts w:hint="eastAsia" w:ascii="宋体" w:hAnsi="宋体"/>
                <w:kern w:val="0"/>
                <w:sz w:val="24"/>
              </w:rPr>
              <w:t>档（</w:t>
            </w:r>
            <w:r>
              <w:rPr>
                <w:rFonts w:ascii="宋体" w:hAnsi="宋体"/>
                <w:kern w:val="0"/>
                <w:sz w:val="24"/>
              </w:rPr>
              <w:t>0</w:t>
            </w:r>
            <w:r>
              <w:rPr>
                <w:rFonts w:hint="eastAsia" w:ascii="宋体" w:hAnsi="宋体"/>
                <w:kern w:val="0"/>
                <w:sz w:val="24"/>
              </w:rPr>
              <w:t>-</w:t>
            </w:r>
            <w:r>
              <w:rPr>
                <w:rFonts w:ascii="宋体" w:hAnsi="宋体"/>
                <w:kern w:val="0"/>
                <w:sz w:val="24"/>
              </w:rPr>
              <w:t>3</w:t>
            </w:r>
            <w:r>
              <w:rPr>
                <w:rFonts w:hint="eastAsia" w:ascii="宋体" w:hAnsi="宋体"/>
                <w:kern w:val="0"/>
                <w:sz w:val="24"/>
              </w:rPr>
              <w:t>分）。供应商需能使用多种拍摄手法制作课程，提供的演示视频能完全体现推、拉、摇、移、跟等多种拍摄表现手法。演示时间不超过1</w:t>
            </w:r>
            <w:r>
              <w:rPr>
                <w:rFonts w:ascii="宋体" w:hAnsi="宋体"/>
                <w:kern w:val="0"/>
                <w:sz w:val="24"/>
              </w:rPr>
              <w:t>5分钟</w:t>
            </w:r>
            <w:r>
              <w:rPr>
                <w:rFonts w:hint="eastAsia" w:ascii="宋体" w:hAnsi="宋体"/>
                <w:kern w:val="0"/>
                <w:sz w:val="24"/>
              </w:rPr>
              <w:t>。（入围单位样片需提供U盘留存招标方，作为日后验收的依据之一）。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1" w:hRule="atLeast"/>
          <w:jc w:val="center"/>
        </w:trPr>
        <w:tc>
          <w:tcPr>
            <w:tcW w:w="449" w:type="dxa"/>
            <w:vMerge w:val="continue"/>
            <w:tcBorders>
              <w:top w:val="nil"/>
              <w:left w:val="single" w:color="auto" w:sz="4" w:space="0"/>
              <w:bottom w:val="single" w:color="auto" w:sz="4" w:space="0"/>
              <w:right w:val="single" w:color="auto" w:sz="4" w:space="0"/>
            </w:tcBorders>
            <w:vAlign w:val="center"/>
          </w:tcPr>
          <w:p>
            <w:pPr>
              <w:spacing w:line="360" w:lineRule="exact"/>
              <w:ind w:firstLine="542"/>
              <w:rPr>
                <w:rFonts w:ascii="宋体" w:hAnsi="宋体"/>
                <w:kern w:val="0"/>
                <w:sz w:val="24"/>
              </w:rPr>
            </w:pPr>
          </w:p>
        </w:tc>
        <w:tc>
          <w:tcPr>
            <w:tcW w:w="851" w:type="dxa"/>
            <w:tcBorders>
              <w:top w:val="single" w:color="auto" w:sz="4" w:space="0"/>
              <w:left w:val="nil"/>
              <w:bottom w:val="single" w:color="auto" w:sz="4" w:space="0"/>
              <w:right w:val="single" w:color="auto" w:sz="4" w:space="0"/>
            </w:tcBorders>
            <w:vAlign w:val="center"/>
          </w:tcPr>
          <w:p>
            <w:pPr>
              <w:spacing w:line="360" w:lineRule="exact"/>
              <w:rPr>
                <w:rFonts w:ascii="宋体" w:hAnsi="宋体"/>
                <w:kern w:val="0"/>
                <w:sz w:val="24"/>
              </w:rPr>
            </w:pPr>
            <w:r>
              <w:rPr>
                <w:rFonts w:hint="eastAsia" w:ascii="宋体" w:hAnsi="宋体"/>
                <w:kern w:val="0"/>
                <w:sz w:val="24"/>
              </w:rPr>
              <w:t>投标人同类项目业绩情况</w:t>
            </w:r>
          </w:p>
        </w:tc>
        <w:tc>
          <w:tcPr>
            <w:tcW w:w="709"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kern w:val="0"/>
                <w:sz w:val="24"/>
              </w:rPr>
            </w:pPr>
            <w:r>
              <w:rPr>
                <w:rFonts w:ascii="宋体" w:hAnsi="宋体"/>
                <w:kern w:val="0"/>
                <w:sz w:val="24"/>
              </w:rPr>
              <w:t>15</w:t>
            </w:r>
          </w:p>
        </w:tc>
        <w:tc>
          <w:tcPr>
            <w:tcW w:w="7058" w:type="dxa"/>
            <w:tcBorders>
              <w:top w:val="single" w:color="auto" w:sz="4" w:space="0"/>
              <w:left w:val="nil"/>
              <w:bottom w:val="single" w:color="auto" w:sz="4" w:space="0"/>
              <w:right w:val="single" w:color="auto" w:sz="4" w:space="0"/>
            </w:tcBorders>
            <w:vAlign w:val="center"/>
          </w:tcPr>
          <w:p>
            <w:pPr>
              <w:spacing w:line="360" w:lineRule="exact"/>
              <w:rPr>
                <w:rFonts w:ascii="宋体" w:hAnsi="宋体"/>
                <w:kern w:val="0"/>
                <w:sz w:val="24"/>
              </w:rPr>
            </w:pPr>
            <w:r>
              <w:rPr>
                <w:rFonts w:hint="eastAsia" w:ascii="宋体" w:hAnsi="宋体"/>
                <w:kern w:val="0"/>
                <w:sz w:val="24"/>
              </w:rPr>
              <w:t>提供投标人2</w:t>
            </w:r>
            <w:r>
              <w:rPr>
                <w:rFonts w:ascii="宋体" w:hAnsi="宋体"/>
                <w:kern w:val="0"/>
                <w:sz w:val="24"/>
              </w:rPr>
              <w:t>018</w:t>
            </w:r>
            <w:r>
              <w:rPr>
                <w:rFonts w:hint="eastAsia" w:ascii="宋体" w:hAnsi="宋体"/>
                <w:kern w:val="0"/>
                <w:sz w:val="24"/>
              </w:rPr>
              <w:t>年1月1日以后（以合同签订时间为准），完成与本次招标项目类似的业绩。提供所制作的视频在教学能力大赛中的获奖情况及课程获得国家精品在线课程认定情况等的证明材料，拍摄制作的教学比赛作品获得国家级教学能力比赛二等奖业绩的每提供1个得</w:t>
            </w:r>
            <w:r>
              <w:rPr>
                <w:rFonts w:ascii="宋体" w:hAnsi="宋体"/>
                <w:kern w:val="0"/>
                <w:sz w:val="24"/>
              </w:rPr>
              <w:t>1</w:t>
            </w:r>
            <w:r>
              <w:rPr>
                <w:rFonts w:hint="eastAsia" w:ascii="宋体" w:hAnsi="宋体"/>
                <w:kern w:val="0"/>
                <w:sz w:val="24"/>
              </w:rPr>
              <w:t>分、一等奖业绩每提供1个得</w:t>
            </w:r>
            <w:r>
              <w:rPr>
                <w:rFonts w:ascii="宋体" w:hAnsi="宋体"/>
                <w:kern w:val="0"/>
                <w:sz w:val="24"/>
              </w:rPr>
              <w:t>2</w:t>
            </w:r>
            <w:r>
              <w:rPr>
                <w:rFonts w:hint="eastAsia" w:ascii="宋体" w:hAnsi="宋体"/>
                <w:kern w:val="0"/>
                <w:sz w:val="24"/>
              </w:rPr>
              <w:t>分；制作课程获国家精品在线课程认定的每提供1个得</w:t>
            </w:r>
            <w:r>
              <w:rPr>
                <w:rFonts w:ascii="宋体" w:hAnsi="宋体"/>
                <w:kern w:val="0"/>
                <w:sz w:val="24"/>
              </w:rPr>
              <w:t>0.5</w:t>
            </w:r>
            <w:r>
              <w:rPr>
                <w:rFonts w:hint="eastAsia" w:ascii="宋体" w:hAnsi="宋体"/>
                <w:kern w:val="0"/>
                <w:sz w:val="24"/>
              </w:rPr>
              <w:t>分，评委根据业绩计分，本项合计最多得1</w:t>
            </w:r>
            <w:r>
              <w:rPr>
                <w:rFonts w:ascii="宋体" w:hAnsi="宋体"/>
                <w:kern w:val="0"/>
                <w:sz w:val="24"/>
              </w:rPr>
              <w:t>5</w:t>
            </w:r>
            <w:r>
              <w:rPr>
                <w:rFonts w:hint="eastAsia" w:ascii="宋体" w:hAnsi="宋体"/>
                <w:kern w:val="0"/>
                <w:sz w:val="24"/>
              </w:rPr>
              <w:t>分。（同一个业绩所得多个奖项不重复计分，以最高奖项计分一次。提供投标人与采购方签订的项目制作协议或合同或验收通知书复印件，以及证书复印件加盖公章)。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2" w:hRule="atLeast"/>
          <w:jc w:val="center"/>
        </w:trPr>
        <w:tc>
          <w:tcPr>
            <w:tcW w:w="449" w:type="dxa"/>
            <w:vMerge w:val="continue"/>
            <w:tcBorders>
              <w:top w:val="nil"/>
              <w:left w:val="single" w:color="auto" w:sz="4" w:space="0"/>
              <w:bottom w:val="nil"/>
              <w:right w:val="single" w:color="auto" w:sz="4" w:space="0"/>
            </w:tcBorders>
            <w:vAlign w:val="center"/>
          </w:tcPr>
          <w:p>
            <w:pPr>
              <w:spacing w:line="360" w:lineRule="exact"/>
              <w:ind w:firstLine="542"/>
              <w:rPr>
                <w:rFonts w:ascii="宋体" w:hAnsi="宋体"/>
                <w:kern w:val="0"/>
                <w:sz w:val="24"/>
              </w:rPr>
            </w:pPr>
          </w:p>
        </w:tc>
        <w:tc>
          <w:tcPr>
            <w:tcW w:w="851" w:type="dxa"/>
            <w:vMerge w:val="restart"/>
            <w:tcBorders>
              <w:top w:val="single" w:color="auto" w:sz="4" w:space="0"/>
              <w:left w:val="nil"/>
              <w:right w:val="single" w:color="auto" w:sz="4" w:space="0"/>
            </w:tcBorders>
            <w:vAlign w:val="center"/>
          </w:tcPr>
          <w:p>
            <w:pPr>
              <w:spacing w:line="360" w:lineRule="exact"/>
              <w:rPr>
                <w:rFonts w:ascii="宋体" w:hAnsi="宋体"/>
                <w:kern w:val="0"/>
                <w:sz w:val="24"/>
              </w:rPr>
            </w:pPr>
            <w:r>
              <w:rPr>
                <w:rFonts w:hint="eastAsia" w:ascii="宋体" w:hAnsi="宋体"/>
                <w:kern w:val="0"/>
                <w:sz w:val="24"/>
              </w:rPr>
              <w:t>项目服务方 案</w:t>
            </w:r>
          </w:p>
        </w:tc>
        <w:tc>
          <w:tcPr>
            <w:tcW w:w="709" w:type="dxa"/>
            <w:vMerge w:val="restart"/>
            <w:tcBorders>
              <w:top w:val="single" w:color="auto" w:sz="4" w:space="0"/>
              <w:left w:val="nil"/>
              <w:right w:val="single" w:color="auto" w:sz="4" w:space="0"/>
            </w:tcBorders>
            <w:vAlign w:val="center"/>
          </w:tcPr>
          <w:p>
            <w:pPr>
              <w:spacing w:line="360" w:lineRule="exact"/>
              <w:jc w:val="center"/>
              <w:rPr>
                <w:rFonts w:ascii="宋体" w:hAnsi="宋体"/>
                <w:kern w:val="0"/>
                <w:sz w:val="24"/>
              </w:rPr>
            </w:pPr>
            <w:r>
              <w:rPr>
                <w:rFonts w:ascii="宋体" w:hAnsi="宋体"/>
                <w:kern w:val="0"/>
                <w:sz w:val="24"/>
              </w:rPr>
              <w:t>10</w:t>
            </w:r>
          </w:p>
        </w:tc>
        <w:tc>
          <w:tcPr>
            <w:tcW w:w="7058" w:type="dxa"/>
          </w:tcPr>
          <w:p>
            <w:pPr>
              <w:spacing w:line="360" w:lineRule="exact"/>
              <w:rPr>
                <w:rFonts w:ascii="宋体" w:hAnsi="宋体" w:cs="仿宋_GB2312"/>
                <w:kern w:val="0"/>
                <w:sz w:val="24"/>
              </w:rPr>
            </w:pPr>
            <w:r>
              <w:rPr>
                <w:rFonts w:hint="eastAsia" w:ascii="宋体" w:hAnsi="宋体" w:cs="仿宋_GB2312"/>
                <w:kern w:val="0"/>
                <w:sz w:val="24"/>
              </w:rPr>
              <w:t>1.评委综合评审投标人提供的“视频拍摄及制作方案”。“方案”应包含驻点人员配备、场地保障方案、驻点设备配备、工作时间安排、方案合理性和可操作性等因素综合打分。方案合理可操作得</w:t>
            </w:r>
            <w:r>
              <w:rPr>
                <w:rFonts w:ascii="宋体" w:hAnsi="宋体" w:cs="仿宋_GB2312"/>
                <w:kern w:val="0"/>
                <w:sz w:val="24"/>
              </w:rPr>
              <w:t>4</w:t>
            </w:r>
            <w:r>
              <w:rPr>
                <w:rFonts w:hint="eastAsia" w:ascii="宋体" w:hAnsi="宋体" w:cs="仿宋_GB2312"/>
                <w:kern w:val="0"/>
                <w:sz w:val="24"/>
              </w:rPr>
              <w:t>-</w:t>
            </w:r>
            <w:r>
              <w:rPr>
                <w:rFonts w:ascii="宋体" w:hAnsi="宋体" w:cs="仿宋_GB2312"/>
                <w:kern w:val="0"/>
                <w:sz w:val="24"/>
              </w:rPr>
              <w:t>6</w:t>
            </w:r>
            <w:r>
              <w:rPr>
                <w:rFonts w:hint="eastAsia" w:ascii="宋体" w:hAnsi="宋体" w:cs="仿宋_GB2312"/>
                <w:kern w:val="0"/>
                <w:sz w:val="24"/>
              </w:rPr>
              <w:t>分，方案较完整得</w:t>
            </w:r>
            <w:r>
              <w:rPr>
                <w:rFonts w:ascii="宋体" w:hAnsi="宋体" w:cs="仿宋_GB2312"/>
                <w:kern w:val="0"/>
                <w:sz w:val="24"/>
              </w:rPr>
              <w:t>2</w:t>
            </w:r>
            <w:r>
              <w:rPr>
                <w:rFonts w:hint="eastAsia" w:ascii="宋体" w:hAnsi="宋体" w:cs="仿宋_GB2312"/>
                <w:kern w:val="0"/>
                <w:sz w:val="24"/>
              </w:rPr>
              <w:t>-</w:t>
            </w:r>
            <w:r>
              <w:rPr>
                <w:rFonts w:ascii="宋体" w:hAnsi="宋体" w:cs="仿宋_GB2312"/>
                <w:kern w:val="0"/>
                <w:sz w:val="24"/>
              </w:rPr>
              <w:t>3</w:t>
            </w:r>
            <w:r>
              <w:rPr>
                <w:rFonts w:hint="eastAsia" w:ascii="宋体" w:hAnsi="宋体" w:cs="仿宋_GB2312"/>
                <w:kern w:val="0"/>
                <w:sz w:val="24"/>
              </w:rPr>
              <w:t>分，方案一般得</w:t>
            </w:r>
            <w:r>
              <w:rPr>
                <w:rFonts w:ascii="宋体" w:hAnsi="宋体" w:cs="仿宋_GB2312"/>
                <w:kern w:val="0"/>
                <w:sz w:val="24"/>
              </w:rPr>
              <w:t>0</w:t>
            </w:r>
            <w:r>
              <w:rPr>
                <w:rFonts w:hint="eastAsia" w:ascii="宋体" w:hAnsi="宋体" w:cs="仿宋_GB2312"/>
                <w:kern w:val="0"/>
                <w:sz w:val="24"/>
              </w:rPr>
              <w:t>-</w:t>
            </w:r>
            <w:r>
              <w:rPr>
                <w:rFonts w:ascii="宋体" w:hAnsi="宋体" w:cs="仿宋_GB2312"/>
                <w:kern w:val="0"/>
                <w:sz w:val="24"/>
              </w:rPr>
              <w:t>1</w:t>
            </w:r>
            <w:r>
              <w:rPr>
                <w:rFonts w:hint="eastAsia" w:ascii="宋体" w:hAnsi="宋体" w:cs="仿宋_GB2312"/>
                <w:kern w:val="0"/>
                <w:sz w:val="24"/>
              </w:rPr>
              <w:t>分，无方案不得分。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449" w:type="dxa"/>
            <w:vMerge w:val="continue"/>
            <w:tcBorders>
              <w:top w:val="nil"/>
              <w:left w:val="single" w:color="auto" w:sz="4" w:space="0"/>
              <w:bottom w:val="nil"/>
              <w:right w:val="single" w:color="auto" w:sz="4" w:space="0"/>
            </w:tcBorders>
            <w:vAlign w:val="center"/>
          </w:tcPr>
          <w:p>
            <w:pPr>
              <w:spacing w:line="360" w:lineRule="exact"/>
              <w:ind w:firstLine="542"/>
              <w:rPr>
                <w:rFonts w:ascii="宋体" w:hAnsi="宋体"/>
                <w:kern w:val="0"/>
                <w:sz w:val="24"/>
              </w:rPr>
            </w:pPr>
          </w:p>
        </w:tc>
        <w:tc>
          <w:tcPr>
            <w:tcW w:w="851" w:type="dxa"/>
            <w:vMerge w:val="continue"/>
            <w:tcBorders>
              <w:left w:val="nil"/>
              <w:right w:val="single" w:color="auto" w:sz="4" w:space="0"/>
            </w:tcBorders>
            <w:vAlign w:val="center"/>
          </w:tcPr>
          <w:p>
            <w:pPr>
              <w:spacing w:line="360" w:lineRule="exact"/>
              <w:rPr>
                <w:rFonts w:ascii="宋体" w:hAnsi="宋体"/>
                <w:kern w:val="0"/>
                <w:sz w:val="24"/>
              </w:rPr>
            </w:pPr>
          </w:p>
        </w:tc>
        <w:tc>
          <w:tcPr>
            <w:tcW w:w="709" w:type="dxa"/>
            <w:vMerge w:val="continue"/>
            <w:tcBorders>
              <w:left w:val="nil"/>
              <w:right w:val="single" w:color="auto" w:sz="4" w:space="0"/>
            </w:tcBorders>
            <w:vAlign w:val="center"/>
          </w:tcPr>
          <w:p>
            <w:pPr>
              <w:spacing w:line="360" w:lineRule="exact"/>
              <w:jc w:val="center"/>
              <w:rPr>
                <w:rFonts w:ascii="宋体" w:hAnsi="宋体"/>
                <w:kern w:val="0"/>
                <w:sz w:val="24"/>
              </w:rPr>
            </w:pPr>
          </w:p>
        </w:tc>
        <w:tc>
          <w:tcPr>
            <w:tcW w:w="7058" w:type="dxa"/>
          </w:tcPr>
          <w:p>
            <w:pPr>
              <w:spacing w:line="360" w:lineRule="exact"/>
              <w:rPr>
                <w:rFonts w:ascii="宋体" w:hAnsi="宋体" w:cs="仿宋_GB2312"/>
                <w:kern w:val="0"/>
                <w:sz w:val="24"/>
              </w:rPr>
            </w:pPr>
            <w:r>
              <w:rPr>
                <w:rFonts w:hint="eastAsia" w:ascii="宋体" w:hAnsi="宋体" w:cs="仿宋_GB2312"/>
                <w:kern w:val="0"/>
                <w:sz w:val="24"/>
              </w:rPr>
              <w:t>2.培训方案。投标人须提供针对老师关于教学能力比赛、微课比赛、在线开放课程等方面的培训。培训方案可行性好得</w:t>
            </w:r>
            <w:r>
              <w:rPr>
                <w:rFonts w:ascii="宋体" w:hAnsi="宋体" w:cs="仿宋_GB2312"/>
                <w:kern w:val="0"/>
                <w:sz w:val="24"/>
              </w:rPr>
              <w:t>3</w:t>
            </w:r>
            <w:r>
              <w:rPr>
                <w:rFonts w:hint="eastAsia" w:ascii="宋体" w:hAnsi="宋体" w:cs="仿宋_GB2312"/>
                <w:kern w:val="0"/>
                <w:sz w:val="24"/>
              </w:rPr>
              <w:t>分，可行性一般的得2分，可行性差得1分，无方案不得分。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449" w:type="dxa"/>
            <w:vMerge w:val="continue"/>
            <w:tcBorders>
              <w:top w:val="nil"/>
              <w:left w:val="single" w:color="auto" w:sz="4" w:space="0"/>
              <w:bottom w:val="nil"/>
              <w:right w:val="single" w:color="auto" w:sz="4" w:space="0"/>
            </w:tcBorders>
            <w:vAlign w:val="center"/>
          </w:tcPr>
          <w:p>
            <w:pPr>
              <w:spacing w:line="360" w:lineRule="exact"/>
              <w:ind w:firstLine="542"/>
              <w:rPr>
                <w:rFonts w:ascii="宋体" w:hAnsi="宋体"/>
                <w:kern w:val="0"/>
                <w:sz w:val="24"/>
              </w:rPr>
            </w:pPr>
          </w:p>
        </w:tc>
        <w:tc>
          <w:tcPr>
            <w:tcW w:w="851" w:type="dxa"/>
            <w:vMerge w:val="continue"/>
            <w:tcBorders>
              <w:left w:val="nil"/>
              <w:bottom w:val="single" w:color="auto" w:sz="4" w:space="0"/>
              <w:right w:val="single" w:color="auto" w:sz="4" w:space="0"/>
            </w:tcBorders>
            <w:vAlign w:val="center"/>
          </w:tcPr>
          <w:p>
            <w:pPr>
              <w:spacing w:line="360" w:lineRule="exact"/>
              <w:rPr>
                <w:rFonts w:ascii="宋体" w:hAnsi="宋体"/>
                <w:kern w:val="0"/>
                <w:sz w:val="24"/>
              </w:rPr>
            </w:pPr>
          </w:p>
        </w:tc>
        <w:tc>
          <w:tcPr>
            <w:tcW w:w="709" w:type="dxa"/>
            <w:vMerge w:val="continue"/>
            <w:tcBorders>
              <w:left w:val="nil"/>
              <w:bottom w:val="single" w:color="auto" w:sz="4" w:space="0"/>
              <w:right w:val="single" w:color="auto" w:sz="4" w:space="0"/>
            </w:tcBorders>
            <w:vAlign w:val="center"/>
          </w:tcPr>
          <w:p>
            <w:pPr>
              <w:spacing w:line="360" w:lineRule="exact"/>
              <w:jc w:val="center"/>
              <w:rPr>
                <w:rFonts w:ascii="宋体" w:hAnsi="宋体"/>
                <w:kern w:val="0"/>
                <w:sz w:val="24"/>
              </w:rPr>
            </w:pPr>
          </w:p>
        </w:tc>
        <w:tc>
          <w:tcPr>
            <w:tcW w:w="7058" w:type="dxa"/>
          </w:tcPr>
          <w:p>
            <w:pPr>
              <w:spacing w:line="360" w:lineRule="exact"/>
              <w:rPr>
                <w:rFonts w:ascii="宋体" w:hAnsi="宋体" w:cs="仿宋_GB2312"/>
                <w:kern w:val="0"/>
                <w:sz w:val="24"/>
              </w:rPr>
            </w:pPr>
            <w:r>
              <w:rPr>
                <w:rFonts w:ascii="宋体" w:hAnsi="宋体" w:cs="仿宋_GB2312"/>
                <w:kern w:val="0"/>
                <w:sz w:val="24"/>
              </w:rPr>
              <w:t>3</w:t>
            </w:r>
            <w:r>
              <w:rPr>
                <w:rFonts w:hint="eastAsia" w:ascii="宋体" w:hAnsi="宋体" w:cs="仿宋_GB2312"/>
                <w:kern w:val="0"/>
                <w:sz w:val="24"/>
              </w:rPr>
              <w:t xml:space="preserve">.投标人为学校所制作的在线开放课程提供后续推广方案。得1分。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449" w:type="dxa"/>
            <w:vMerge w:val="continue"/>
            <w:tcBorders>
              <w:top w:val="nil"/>
              <w:left w:val="single" w:color="auto" w:sz="4" w:space="0"/>
              <w:bottom w:val="nil"/>
              <w:right w:val="single" w:color="auto" w:sz="4" w:space="0"/>
            </w:tcBorders>
            <w:vAlign w:val="center"/>
          </w:tcPr>
          <w:p>
            <w:pPr>
              <w:spacing w:line="360" w:lineRule="exact"/>
              <w:ind w:firstLine="542"/>
              <w:rPr>
                <w:rFonts w:ascii="宋体" w:hAnsi="宋体"/>
                <w:kern w:val="0"/>
                <w:sz w:val="24"/>
              </w:rPr>
            </w:pPr>
          </w:p>
        </w:tc>
        <w:tc>
          <w:tcPr>
            <w:tcW w:w="851" w:type="dxa"/>
            <w:tcBorders>
              <w:top w:val="single" w:color="auto" w:sz="4" w:space="0"/>
              <w:left w:val="nil"/>
              <w:bottom w:val="single" w:color="auto" w:sz="4" w:space="0"/>
              <w:right w:val="single" w:color="auto" w:sz="4" w:space="0"/>
            </w:tcBorders>
            <w:vAlign w:val="center"/>
          </w:tcPr>
          <w:p>
            <w:pPr>
              <w:spacing w:line="360" w:lineRule="exact"/>
              <w:rPr>
                <w:rFonts w:ascii="宋体" w:hAnsi="宋体"/>
                <w:kern w:val="0"/>
                <w:sz w:val="24"/>
              </w:rPr>
            </w:pPr>
            <w:r>
              <w:rPr>
                <w:rFonts w:hint="eastAsia" w:ascii="宋体" w:hAnsi="宋体"/>
                <w:kern w:val="0"/>
                <w:sz w:val="24"/>
              </w:rPr>
              <w:t>企业实 力</w:t>
            </w:r>
          </w:p>
        </w:tc>
        <w:tc>
          <w:tcPr>
            <w:tcW w:w="709"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kern w:val="0"/>
                <w:sz w:val="24"/>
              </w:rPr>
            </w:pPr>
            <w:r>
              <w:rPr>
                <w:rFonts w:ascii="宋体" w:hAnsi="宋体"/>
                <w:kern w:val="0"/>
                <w:sz w:val="24"/>
              </w:rPr>
              <w:t>10</w:t>
            </w:r>
          </w:p>
        </w:tc>
        <w:tc>
          <w:tcPr>
            <w:tcW w:w="7058" w:type="dxa"/>
            <w:tcBorders>
              <w:top w:val="single" w:color="auto" w:sz="4" w:space="0"/>
              <w:left w:val="nil"/>
              <w:bottom w:val="single" w:color="auto" w:sz="4" w:space="0"/>
              <w:right w:val="single" w:color="auto" w:sz="4" w:space="0"/>
            </w:tcBorders>
            <w:vAlign w:val="center"/>
          </w:tcPr>
          <w:p>
            <w:pPr>
              <w:spacing w:line="360" w:lineRule="exact"/>
              <w:rPr>
                <w:rFonts w:ascii="宋体" w:hAnsi="宋体"/>
                <w:kern w:val="0"/>
                <w:sz w:val="24"/>
              </w:rPr>
            </w:pPr>
            <w:r>
              <w:rPr>
                <w:rFonts w:hint="eastAsia" w:ascii="宋体" w:hAnsi="宋体"/>
                <w:kern w:val="0"/>
                <w:sz w:val="24"/>
              </w:rPr>
              <w:t>企业具有良好的信誉资质，并有以下等级证书：</w:t>
            </w:r>
          </w:p>
          <w:p>
            <w:pPr>
              <w:spacing w:line="360" w:lineRule="exact"/>
              <w:rPr>
                <w:rFonts w:ascii="宋体" w:hAnsi="宋体"/>
                <w:kern w:val="0"/>
                <w:sz w:val="24"/>
              </w:rPr>
            </w:pPr>
            <w:r>
              <w:rPr>
                <w:rFonts w:hint="eastAsia" w:ascii="宋体" w:hAnsi="宋体"/>
                <w:kern w:val="0"/>
                <w:sz w:val="24"/>
              </w:rPr>
              <w:t>1.投标人具有数字化课程出版平台软件著作权登记证书得</w:t>
            </w:r>
            <w:r>
              <w:rPr>
                <w:rFonts w:ascii="宋体" w:hAnsi="宋体"/>
                <w:kern w:val="0"/>
                <w:sz w:val="24"/>
              </w:rPr>
              <w:t>1.5</w:t>
            </w:r>
            <w:r>
              <w:rPr>
                <w:rFonts w:hint="eastAsia" w:ascii="宋体" w:hAnsi="宋体"/>
                <w:kern w:val="0"/>
                <w:sz w:val="24"/>
              </w:rPr>
              <w:t>分。</w:t>
            </w:r>
          </w:p>
          <w:p>
            <w:pPr>
              <w:spacing w:line="360" w:lineRule="exact"/>
              <w:rPr>
                <w:rFonts w:ascii="宋体" w:hAnsi="宋体"/>
                <w:kern w:val="0"/>
                <w:sz w:val="24"/>
              </w:rPr>
            </w:pPr>
            <w:r>
              <w:rPr>
                <w:rFonts w:hint="eastAsia" w:ascii="宋体" w:hAnsi="宋体"/>
                <w:kern w:val="0"/>
                <w:sz w:val="24"/>
              </w:rPr>
              <w:t>2.投标人具有在线虚拟课件制作系统软件著作权登记证书得</w:t>
            </w:r>
            <w:r>
              <w:rPr>
                <w:rFonts w:ascii="宋体" w:hAnsi="宋体"/>
                <w:kern w:val="0"/>
                <w:sz w:val="24"/>
              </w:rPr>
              <w:t>1.5</w:t>
            </w:r>
            <w:r>
              <w:rPr>
                <w:rFonts w:hint="eastAsia" w:ascii="宋体" w:hAnsi="宋体"/>
                <w:kern w:val="0"/>
                <w:sz w:val="24"/>
              </w:rPr>
              <w:t>分。</w:t>
            </w:r>
          </w:p>
          <w:p>
            <w:pPr>
              <w:spacing w:line="360" w:lineRule="exact"/>
              <w:rPr>
                <w:rFonts w:ascii="宋体" w:hAnsi="宋体"/>
                <w:kern w:val="0"/>
                <w:sz w:val="24"/>
              </w:rPr>
            </w:pPr>
            <w:r>
              <w:rPr>
                <w:rFonts w:hint="eastAsia" w:ascii="宋体" w:hAnsi="宋体"/>
                <w:kern w:val="0"/>
                <w:sz w:val="24"/>
              </w:rPr>
              <w:t>3.投标人具有课程全息影像系统软件著作权登记证书得</w:t>
            </w:r>
            <w:r>
              <w:rPr>
                <w:rFonts w:ascii="宋体" w:hAnsi="宋体"/>
                <w:kern w:val="0"/>
                <w:sz w:val="24"/>
              </w:rPr>
              <w:t>1.5</w:t>
            </w:r>
            <w:r>
              <w:rPr>
                <w:rFonts w:hint="eastAsia" w:ascii="宋体" w:hAnsi="宋体"/>
                <w:kern w:val="0"/>
                <w:sz w:val="24"/>
              </w:rPr>
              <w:t>分。</w:t>
            </w:r>
          </w:p>
          <w:p>
            <w:pPr>
              <w:spacing w:line="360" w:lineRule="exact"/>
              <w:rPr>
                <w:rFonts w:ascii="宋体" w:hAnsi="宋体"/>
                <w:kern w:val="0"/>
                <w:sz w:val="24"/>
              </w:rPr>
            </w:pPr>
            <w:r>
              <w:rPr>
                <w:rFonts w:ascii="宋体" w:hAnsi="宋体"/>
                <w:kern w:val="0"/>
                <w:sz w:val="24"/>
              </w:rPr>
              <w:t>4</w:t>
            </w:r>
            <w:r>
              <w:rPr>
                <w:rFonts w:hint="eastAsia" w:ascii="宋体" w:hAnsi="宋体"/>
                <w:kern w:val="0"/>
                <w:sz w:val="24"/>
              </w:rPr>
              <w:t>.投标人具有7</w:t>
            </w:r>
            <w:r>
              <w:rPr>
                <w:rFonts w:ascii="宋体" w:hAnsi="宋体"/>
                <w:kern w:val="0"/>
                <w:sz w:val="24"/>
              </w:rPr>
              <w:t>20</w:t>
            </w:r>
            <w:r>
              <w:rPr>
                <w:rFonts w:hint="eastAsia" w:ascii="宋体" w:hAnsi="宋体"/>
                <w:kern w:val="0"/>
                <w:sz w:val="24"/>
              </w:rPr>
              <w:t>度全景漫游系统软件著作权登记证书得</w:t>
            </w:r>
            <w:r>
              <w:rPr>
                <w:rFonts w:ascii="宋体" w:hAnsi="宋体"/>
                <w:kern w:val="0"/>
                <w:sz w:val="24"/>
              </w:rPr>
              <w:t>1.5</w:t>
            </w:r>
            <w:r>
              <w:rPr>
                <w:rFonts w:hint="eastAsia" w:ascii="宋体" w:hAnsi="宋体"/>
                <w:kern w:val="0"/>
                <w:sz w:val="24"/>
              </w:rPr>
              <w:t>分。</w:t>
            </w:r>
          </w:p>
          <w:p>
            <w:pPr>
              <w:spacing w:line="360" w:lineRule="exact"/>
              <w:rPr>
                <w:rFonts w:ascii="宋体" w:hAnsi="宋体"/>
                <w:kern w:val="0"/>
                <w:sz w:val="24"/>
              </w:rPr>
            </w:pPr>
            <w:r>
              <w:rPr>
                <w:rFonts w:ascii="宋体" w:hAnsi="宋体"/>
                <w:kern w:val="0"/>
                <w:sz w:val="24"/>
              </w:rPr>
              <w:t>5</w:t>
            </w:r>
            <w:r>
              <w:rPr>
                <w:rFonts w:hint="eastAsia" w:ascii="宋体" w:hAnsi="宋体"/>
                <w:kern w:val="0"/>
                <w:sz w:val="24"/>
              </w:rPr>
              <w:t>.投标人具有在有效期内的信息安全管理体系认证证书得</w:t>
            </w:r>
            <w:r>
              <w:rPr>
                <w:rFonts w:ascii="宋体" w:hAnsi="宋体"/>
                <w:kern w:val="0"/>
                <w:sz w:val="24"/>
              </w:rPr>
              <w:t>4</w:t>
            </w:r>
            <w:r>
              <w:rPr>
                <w:rFonts w:hint="eastAsia" w:ascii="宋体" w:hAnsi="宋体"/>
                <w:kern w:val="0"/>
                <w:sz w:val="24"/>
              </w:rPr>
              <w:t>分（证书认证范围须包含：摄影摄像、在线开放课程制作，两项认证范围皆须具备否则不得分）。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5" w:hRule="atLeast"/>
          <w:jc w:val="center"/>
        </w:trPr>
        <w:tc>
          <w:tcPr>
            <w:tcW w:w="449" w:type="dxa"/>
            <w:tcBorders>
              <w:top w:val="nil"/>
              <w:left w:val="single" w:color="auto" w:sz="4" w:space="0"/>
              <w:bottom w:val="nil"/>
              <w:right w:val="single" w:color="auto" w:sz="4" w:space="0"/>
            </w:tcBorders>
            <w:vAlign w:val="center"/>
          </w:tcPr>
          <w:p>
            <w:pPr>
              <w:spacing w:line="360" w:lineRule="exact"/>
              <w:ind w:firstLine="542"/>
              <w:rPr>
                <w:rFonts w:ascii="宋体" w:hAnsi="宋体"/>
                <w:kern w:val="0"/>
                <w:sz w:val="24"/>
              </w:rPr>
            </w:pPr>
          </w:p>
        </w:tc>
        <w:tc>
          <w:tcPr>
            <w:tcW w:w="851" w:type="dxa"/>
            <w:tcBorders>
              <w:top w:val="single" w:color="auto" w:sz="4" w:space="0"/>
              <w:left w:val="nil"/>
              <w:bottom w:val="single" w:color="auto" w:sz="4" w:space="0"/>
              <w:right w:val="single" w:color="auto" w:sz="4" w:space="0"/>
            </w:tcBorders>
            <w:vAlign w:val="center"/>
          </w:tcPr>
          <w:p>
            <w:pPr>
              <w:spacing w:line="360" w:lineRule="exact"/>
              <w:rPr>
                <w:rFonts w:ascii="宋体" w:hAnsi="宋体"/>
                <w:kern w:val="0"/>
                <w:sz w:val="24"/>
              </w:rPr>
            </w:pPr>
            <w:r>
              <w:rPr>
                <w:rFonts w:hint="eastAsia" w:ascii="宋体" w:hAnsi="宋体"/>
                <w:kern w:val="0"/>
                <w:sz w:val="24"/>
              </w:rPr>
              <w:t>拟安排的项目团队情 况</w:t>
            </w:r>
          </w:p>
        </w:tc>
        <w:tc>
          <w:tcPr>
            <w:tcW w:w="709"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kern w:val="0"/>
                <w:sz w:val="24"/>
              </w:rPr>
            </w:pPr>
            <w:r>
              <w:rPr>
                <w:rFonts w:ascii="宋体" w:hAnsi="宋体"/>
                <w:kern w:val="0"/>
                <w:sz w:val="24"/>
              </w:rPr>
              <w:t>10</w:t>
            </w:r>
          </w:p>
        </w:tc>
        <w:tc>
          <w:tcPr>
            <w:tcW w:w="7058" w:type="dxa"/>
            <w:tcBorders>
              <w:top w:val="single" w:color="auto" w:sz="4" w:space="0"/>
              <w:left w:val="nil"/>
              <w:bottom w:val="single" w:color="auto" w:sz="4" w:space="0"/>
              <w:right w:val="single" w:color="auto" w:sz="4" w:space="0"/>
            </w:tcBorders>
            <w:vAlign w:val="center"/>
          </w:tcPr>
          <w:p>
            <w:pPr>
              <w:spacing w:line="360" w:lineRule="exact"/>
              <w:rPr>
                <w:rFonts w:ascii="宋体" w:hAnsi="宋体"/>
                <w:kern w:val="0"/>
                <w:sz w:val="24"/>
              </w:rPr>
            </w:pPr>
            <w:r>
              <w:rPr>
                <w:rFonts w:hint="eastAsia" w:ascii="宋体" w:hAnsi="宋体"/>
                <w:kern w:val="0"/>
                <w:sz w:val="24"/>
              </w:rPr>
              <w:t>团队构成需体现独立完成视频制作的专业能力，包括在线开放课程技术指导、视频制作所需职能，需提供团队负责人及所有成员视频制作能力的证明文件。团队构成基本如下：</w:t>
            </w:r>
          </w:p>
          <w:p>
            <w:pPr>
              <w:spacing w:line="360" w:lineRule="exact"/>
              <w:rPr>
                <w:rFonts w:ascii="宋体" w:hAnsi="宋体"/>
                <w:kern w:val="0"/>
                <w:sz w:val="24"/>
              </w:rPr>
            </w:pPr>
            <w:r>
              <w:rPr>
                <w:rFonts w:hint="eastAsia" w:ascii="宋体" w:hAnsi="宋体"/>
                <w:kern w:val="0"/>
                <w:sz w:val="24"/>
              </w:rPr>
              <w:t>1.编导：能与老师深度沟通，收集材料,起草脚本、拟定分组镜头大纲，要求广播电视编导或广播电视学专业，每提供一人得</w:t>
            </w:r>
            <w:r>
              <w:rPr>
                <w:rFonts w:ascii="宋体" w:hAnsi="宋体"/>
                <w:kern w:val="0"/>
                <w:sz w:val="24"/>
              </w:rPr>
              <w:t>1</w:t>
            </w:r>
            <w:r>
              <w:rPr>
                <w:rFonts w:hint="eastAsia" w:ascii="宋体" w:hAnsi="宋体"/>
                <w:kern w:val="0"/>
                <w:sz w:val="24"/>
              </w:rPr>
              <w:t xml:space="preserve">分，最高 </w:t>
            </w:r>
            <w:r>
              <w:rPr>
                <w:rFonts w:ascii="宋体" w:hAnsi="宋体"/>
                <w:kern w:val="0"/>
                <w:sz w:val="24"/>
              </w:rPr>
              <w:t>2</w:t>
            </w:r>
            <w:r>
              <w:rPr>
                <w:rFonts w:hint="eastAsia" w:ascii="宋体" w:hAnsi="宋体"/>
                <w:kern w:val="0"/>
                <w:sz w:val="24"/>
              </w:rPr>
              <w:t>分；</w:t>
            </w:r>
          </w:p>
          <w:p>
            <w:pPr>
              <w:spacing w:line="360" w:lineRule="exact"/>
              <w:rPr>
                <w:rFonts w:ascii="宋体" w:hAnsi="宋体"/>
                <w:kern w:val="0"/>
                <w:sz w:val="24"/>
              </w:rPr>
            </w:pPr>
            <w:r>
              <w:rPr>
                <w:rFonts w:hint="eastAsia" w:ascii="宋体" w:hAnsi="宋体"/>
                <w:kern w:val="0"/>
                <w:sz w:val="24"/>
              </w:rPr>
              <w:t>2.顾问：要求教育技术专业或编辑出版专业辅助老师作品设计策划，每提供一人得</w:t>
            </w:r>
            <w:r>
              <w:rPr>
                <w:rFonts w:ascii="宋体" w:hAnsi="宋体"/>
                <w:kern w:val="0"/>
                <w:sz w:val="24"/>
              </w:rPr>
              <w:t>1</w:t>
            </w:r>
            <w:r>
              <w:rPr>
                <w:rFonts w:hint="eastAsia" w:ascii="宋体" w:hAnsi="宋体"/>
                <w:kern w:val="0"/>
                <w:sz w:val="24"/>
              </w:rPr>
              <w:t>分，最高</w:t>
            </w:r>
            <w:r>
              <w:rPr>
                <w:rFonts w:ascii="宋体" w:hAnsi="宋体"/>
                <w:kern w:val="0"/>
                <w:sz w:val="24"/>
              </w:rPr>
              <w:t>2</w:t>
            </w:r>
            <w:r>
              <w:rPr>
                <w:rFonts w:hint="eastAsia" w:ascii="宋体" w:hAnsi="宋体"/>
                <w:kern w:val="0"/>
                <w:sz w:val="24"/>
              </w:rPr>
              <w:t>分；</w:t>
            </w:r>
          </w:p>
          <w:p>
            <w:pPr>
              <w:spacing w:line="360" w:lineRule="exact"/>
              <w:rPr>
                <w:rFonts w:ascii="宋体" w:hAnsi="宋体"/>
                <w:kern w:val="0"/>
                <w:sz w:val="24"/>
              </w:rPr>
            </w:pPr>
            <w:r>
              <w:rPr>
                <w:rFonts w:hint="eastAsia" w:ascii="宋体" w:hAnsi="宋体"/>
                <w:kern w:val="0"/>
                <w:sz w:val="24"/>
              </w:rPr>
              <w:t>3.PPT设计及界面设计人员：保证成片的美感，要求艺术设计或视觉传达设计专业，每提供一人得</w:t>
            </w:r>
            <w:r>
              <w:rPr>
                <w:rFonts w:ascii="宋体" w:hAnsi="宋体"/>
                <w:kern w:val="0"/>
                <w:sz w:val="24"/>
              </w:rPr>
              <w:t>1</w:t>
            </w:r>
            <w:r>
              <w:rPr>
                <w:rFonts w:hint="eastAsia" w:ascii="宋体" w:hAnsi="宋体"/>
                <w:kern w:val="0"/>
                <w:sz w:val="24"/>
              </w:rPr>
              <w:t xml:space="preserve">分，最高 </w:t>
            </w:r>
            <w:r>
              <w:rPr>
                <w:rFonts w:ascii="宋体" w:hAnsi="宋体"/>
                <w:kern w:val="0"/>
                <w:sz w:val="24"/>
              </w:rPr>
              <w:t>2</w:t>
            </w:r>
            <w:r>
              <w:rPr>
                <w:rFonts w:hint="eastAsia" w:ascii="宋体" w:hAnsi="宋体"/>
                <w:kern w:val="0"/>
                <w:sz w:val="24"/>
              </w:rPr>
              <w:t>分；</w:t>
            </w:r>
          </w:p>
          <w:p>
            <w:pPr>
              <w:spacing w:line="360" w:lineRule="exact"/>
              <w:rPr>
                <w:rFonts w:ascii="宋体" w:hAnsi="宋体"/>
                <w:kern w:val="0"/>
                <w:sz w:val="24"/>
              </w:rPr>
            </w:pPr>
            <w:r>
              <w:rPr>
                <w:rFonts w:hint="eastAsia" w:ascii="宋体" w:hAnsi="宋体"/>
                <w:kern w:val="0"/>
                <w:sz w:val="24"/>
              </w:rPr>
              <w:t>4.动画制作：要求动画专业，每提供一人得</w:t>
            </w:r>
            <w:r>
              <w:rPr>
                <w:rFonts w:ascii="宋体" w:hAnsi="宋体"/>
                <w:kern w:val="0"/>
                <w:sz w:val="24"/>
              </w:rPr>
              <w:t>1</w:t>
            </w:r>
            <w:r>
              <w:rPr>
                <w:rFonts w:hint="eastAsia" w:ascii="宋体" w:hAnsi="宋体"/>
                <w:kern w:val="0"/>
                <w:sz w:val="24"/>
              </w:rPr>
              <w:t>分，最高</w:t>
            </w:r>
            <w:r>
              <w:rPr>
                <w:rFonts w:ascii="宋体" w:hAnsi="宋体"/>
                <w:kern w:val="0"/>
                <w:sz w:val="24"/>
              </w:rPr>
              <w:t>2</w:t>
            </w:r>
            <w:r>
              <w:rPr>
                <w:rFonts w:hint="eastAsia" w:ascii="宋体" w:hAnsi="宋体"/>
                <w:kern w:val="0"/>
                <w:sz w:val="24"/>
              </w:rPr>
              <w:t>分；</w:t>
            </w:r>
          </w:p>
          <w:p>
            <w:pPr>
              <w:spacing w:line="360" w:lineRule="exact"/>
              <w:rPr>
                <w:rFonts w:ascii="宋体" w:hAnsi="宋体"/>
                <w:kern w:val="0"/>
                <w:sz w:val="24"/>
              </w:rPr>
            </w:pPr>
            <w:r>
              <w:rPr>
                <w:rFonts w:hint="eastAsia" w:ascii="宋体" w:hAnsi="宋体"/>
                <w:kern w:val="0"/>
                <w:sz w:val="24"/>
              </w:rPr>
              <w:t>5.后期制作：要求数字媒体艺术专业，每提供一人</w:t>
            </w:r>
            <w:r>
              <w:rPr>
                <w:rFonts w:ascii="宋体" w:hAnsi="宋体"/>
                <w:kern w:val="0"/>
                <w:sz w:val="24"/>
              </w:rPr>
              <w:t>1</w:t>
            </w:r>
            <w:r>
              <w:rPr>
                <w:rFonts w:hint="eastAsia" w:ascii="宋体" w:hAnsi="宋体"/>
                <w:kern w:val="0"/>
                <w:sz w:val="24"/>
              </w:rPr>
              <w:t>分，最高</w:t>
            </w:r>
            <w:r>
              <w:rPr>
                <w:rFonts w:ascii="宋体" w:hAnsi="宋体"/>
                <w:kern w:val="0"/>
                <w:sz w:val="24"/>
              </w:rPr>
              <w:t>2</w:t>
            </w:r>
            <w:r>
              <w:rPr>
                <w:rFonts w:hint="eastAsia" w:ascii="宋体" w:hAnsi="宋体"/>
                <w:kern w:val="0"/>
                <w:sz w:val="24"/>
              </w:rPr>
              <w:t>分；</w:t>
            </w:r>
          </w:p>
          <w:p>
            <w:pPr>
              <w:spacing w:line="360" w:lineRule="exact"/>
              <w:rPr>
                <w:rFonts w:ascii="宋体" w:hAnsi="宋体"/>
                <w:kern w:val="0"/>
                <w:sz w:val="24"/>
              </w:rPr>
            </w:pPr>
            <w:r>
              <w:rPr>
                <w:rFonts w:hint="eastAsia" w:ascii="宋体" w:hAnsi="宋体"/>
                <w:kern w:val="0"/>
                <w:sz w:val="24"/>
              </w:rPr>
              <w:t>（以上所有人员需提供学历证书原件，并提供社保机构出具的在应标公司缴纳的最近</w:t>
            </w:r>
            <w:r>
              <w:rPr>
                <w:rFonts w:ascii="宋体" w:hAnsi="宋体"/>
                <w:kern w:val="0"/>
                <w:sz w:val="24"/>
              </w:rPr>
              <w:t>2</w:t>
            </w:r>
            <w:r>
              <w:rPr>
                <w:rFonts w:hint="eastAsia" w:ascii="宋体" w:hAnsi="宋体"/>
                <w:kern w:val="0"/>
                <w:sz w:val="24"/>
              </w:rPr>
              <w:t>个月的社保证明原件携带至开标现场核验，核验不通过不得分。）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449" w:type="dxa"/>
            <w:vMerge w:val="restart"/>
            <w:tcBorders>
              <w:top w:val="nil"/>
              <w:left w:val="single" w:color="auto" w:sz="4" w:space="0"/>
              <w:right w:val="single" w:color="auto" w:sz="4" w:space="0"/>
            </w:tcBorders>
            <w:vAlign w:val="center"/>
          </w:tcPr>
          <w:p>
            <w:pPr>
              <w:spacing w:line="360" w:lineRule="exact"/>
              <w:ind w:firstLine="542"/>
              <w:rPr>
                <w:rFonts w:ascii="宋体" w:hAnsi="宋体"/>
                <w:kern w:val="0"/>
                <w:sz w:val="24"/>
              </w:rPr>
            </w:pPr>
          </w:p>
        </w:tc>
        <w:tc>
          <w:tcPr>
            <w:tcW w:w="851" w:type="dxa"/>
            <w:vMerge w:val="restart"/>
            <w:tcBorders>
              <w:top w:val="single" w:color="auto" w:sz="4" w:space="0"/>
              <w:left w:val="nil"/>
              <w:right w:val="single" w:color="auto" w:sz="4" w:space="0"/>
            </w:tcBorders>
            <w:vAlign w:val="center"/>
          </w:tcPr>
          <w:p>
            <w:pPr>
              <w:spacing w:line="360" w:lineRule="exact"/>
              <w:rPr>
                <w:rFonts w:ascii="宋体" w:hAnsi="宋体"/>
                <w:kern w:val="0"/>
                <w:sz w:val="24"/>
              </w:rPr>
            </w:pPr>
            <w:r>
              <w:rPr>
                <w:rFonts w:hint="eastAsia" w:ascii="宋体" w:hAnsi="宋体"/>
                <w:kern w:val="0"/>
                <w:sz w:val="24"/>
              </w:rPr>
              <w:t>服务能 力</w:t>
            </w:r>
          </w:p>
        </w:tc>
        <w:tc>
          <w:tcPr>
            <w:tcW w:w="709" w:type="dxa"/>
            <w:vMerge w:val="restart"/>
            <w:tcBorders>
              <w:top w:val="single" w:color="auto" w:sz="4" w:space="0"/>
              <w:left w:val="nil"/>
              <w:right w:val="single" w:color="auto" w:sz="4" w:space="0"/>
            </w:tcBorders>
            <w:vAlign w:val="center"/>
          </w:tcPr>
          <w:p>
            <w:pPr>
              <w:spacing w:line="360" w:lineRule="exact"/>
              <w:jc w:val="center"/>
              <w:rPr>
                <w:rFonts w:ascii="宋体" w:hAnsi="宋体"/>
                <w:kern w:val="0"/>
                <w:sz w:val="24"/>
              </w:rPr>
            </w:pPr>
            <w:r>
              <w:rPr>
                <w:rFonts w:ascii="宋体" w:hAnsi="宋体"/>
                <w:kern w:val="0"/>
                <w:sz w:val="24"/>
              </w:rPr>
              <w:t>10</w:t>
            </w:r>
          </w:p>
        </w:tc>
        <w:tc>
          <w:tcPr>
            <w:tcW w:w="7058" w:type="dxa"/>
          </w:tcPr>
          <w:p>
            <w:pPr>
              <w:spacing w:line="360" w:lineRule="exact"/>
              <w:jc w:val="left"/>
              <w:rPr>
                <w:rFonts w:ascii="宋体" w:hAnsi="宋体" w:cs="仿宋_GB2312"/>
                <w:kern w:val="0"/>
                <w:sz w:val="24"/>
              </w:rPr>
            </w:pPr>
            <w:r>
              <w:rPr>
                <w:rFonts w:hint="eastAsia" w:ascii="宋体" w:hAnsi="宋体" w:cs="仿宋_GB2312"/>
                <w:kern w:val="0"/>
                <w:sz w:val="24"/>
              </w:rPr>
              <w:t>1.售后服务优惠承诺、服务方案合理、项目维护计划合理（对采购人故障的响应、处理）：（最高</w:t>
            </w:r>
            <w:r>
              <w:rPr>
                <w:rFonts w:ascii="宋体" w:hAnsi="宋体" w:cs="仿宋_GB2312"/>
                <w:kern w:val="0"/>
                <w:sz w:val="24"/>
              </w:rPr>
              <w:t>5</w:t>
            </w:r>
            <w:r>
              <w:rPr>
                <w:rFonts w:hint="eastAsia" w:ascii="宋体" w:hAnsi="宋体" w:cs="仿宋_GB2312"/>
                <w:kern w:val="0"/>
                <w:sz w:val="24"/>
              </w:rPr>
              <w:t>分）</w:t>
            </w:r>
          </w:p>
          <w:p>
            <w:pPr>
              <w:spacing w:line="360" w:lineRule="exact"/>
              <w:jc w:val="left"/>
              <w:rPr>
                <w:rFonts w:ascii="宋体" w:hAnsi="宋体" w:cs="仿宋_GB2312"/>
                <w:kern w:val="0"/>
                <w:sz w:val="24"/>
              </w:rPr>
            </w:pPr>
            <w:r>
              <w:rPr>
                <w:rFonts w:hint="eastAsia" w:ascii="宋体" w:hAnsi="宋体" w:cs="仿宋_GB2312"/>
                <w:kern w:val="0"/>
                <w:sz w:val="24"/>
              </w:rPr>
              <w:t>综合评定优秀，方案最完整全面、科学合理、可操作性最强、最符合本项目实施需求的得</w:t>
            </w:r>
            <w:r>
              <w:rPr>
                <w:rFonts w:ascii="宋体" w:hAnsi="宋体" w:cs="仿宋_GB2312"/>
                <w:kern w:val="0"/>
                <w:sz w:val="24"/>
              </w:rPr>
              <w:t>4</w:t>
            </w:r>
            <w:r>
              <w:rPr>
                <w:rFonts w:hint="eastAsia" w:ascii="宋体" w:hAnsi="宋体" w:cs="仿宋_GB2312"/>
                <w:kern w:val="0"/>
                <w:sz w:val="24"/>
              </w:rPr>
              <w:t>-</w:t>
            </w:r>
            <w:r>
              <w:rPr>
                <w:rFonts w:ascii="宋体" w:hAnsi="宋体" w:cs="仿宋_GB2312"/>
                <w:kern w:val="0"/>
                <w:sz w:val="24"/>
              </w:rPr>
              <w:t>5</w:t>
            </w:r>
            <w:r>
              <w:rPr>
                <w:rFonts w:hint="eastAsia" w:ascii="宋体" w:hAnsi="宋体" w:cs="仿宋_GB2312"/>
                <w:kern w:val="0"/>
                <w:sz w:val="24"/>
              </w:rPr>
              <w:t>分；</w:t>
            </w:r>
          </w:p>
          <w:p>
            <w:pPr>
              <w:spacing w:line="360" w:lineRule="exact"/>
              <w:jc w:val="left"/>
              <w:rPr>
                <w:rFonts w:ascii="宋体" w:hAnsi="宋体" w:cs="仿宋_GB2312"/>
                <w:kern w:val="0"/>
                <w:sz w:val="24"/>
              </w:rPr>
            </w:pPr>
            <w:r>
              <w:rPr>
                <w:rFonts w:hint="eastAsia" w:ascii="宋体" w:hAnsi="宋体" w:cs="仿宋_GB2312"/>
                <w:kern w:val="0"/>
                <w:sz w:val="24"/>
              </w:rPr>
              <w:t>综合评定良好，方案比较完整、比较合理、可操作性较强、比较符合本项目实施需求的得</w:t>
            </w:r>
            <w:r>
              <w:rPr>
                <w:rFonts w:ascii="宋体" w:hAnsi="宋体" w:cs="仿宋_GB2312"/>
                <w:kern w:val="0"/>
                <w:sz w:val="24"/>
              </w:rPr>
              <w:t>2</w:t>
            </w:r>
            <w:r>
              <w:rPr>
                <w:rFonts w:hint="eastAsia" w:ascii="宋体" w:hAnsi="宋体" w:cs="仿宋_GB2312"/>
                <w:kern w:val="0"/>
                <w:sz w:val="24"/>
              </w:rPr>
              <w:t>-</w:t>
            </w:r>
            <w:r>
              <w:rPr>
                <w:rFonts w:ascii="宋体" w:hAnsi="宋体" w:cs="仿宋_GB2312"/>
                <w:kern w:val="0"/>
                <w:sz w:val="24"/>
              </w:rPr>
              <w:t>3</w:t>
            </w:r>
            <w:r>
              <w:rPr>
                <w:rFonts w:hint="eastAsia" w:ascii="宋体" w:hAnsi="宋体" w:cs="仿宋_GB2312"/>
                <w:kern w:val="0"/>
                <w:sz w:val="24"/>
              </w:rPr>
              <w:t>分；</w:t>
            </w:r>
          </w:p>
          <w:p>
            <w:pPr>
              <w:spacing w:line="360" w:lineRule="exact"/>
              <w:rPr>
                <w:rFonts w:ascii="宋体" w:hAnsi="宋体" w:cs="仿宋_GB2312"/>
                <w:kern w:val="0"/>
                <w:sz w:val="24"/>
              </w:rPr>
            </w:pPr>
            <w:r>
              <w:rPr>
                <w:rFonts w:hint="eastAsia" w:ascii="宋体" w:hAnsi="宋体" w:cs="仿宋_GB2312"/>
                <w:kern w:val="0"/>
                <w:sz w:val="24"/>
              </w:rPr>
              <w:t>综合评定一般，方案简单粗糙、不详细、合理性、可操作性一般的得</w:t>
            </w:r>
            <w:r>
              <w:rPr>
                <w:rFonts w:ascii="宋体" w:hAnsi="宋体" w:cs="仿宋_GB2312"/>
                <w:kern w:val="0"/>
                <w:sz w:val="24"/>
              </w:rPr>
              <w:t>0</w:t>
            </w:r>
            <w:r>
              <w:rPr>
                <w:rFonts w:hint="eastAsia" w:ascii="宋体" w:hAnsi="宋体" w:cs="仿宋_GB2312"/>
                <w:kern w:val="0"/>
                <w:sz w:val="24"/>
              </w:rPr>
              <w:t>-</w:t>
            </w:r>
            <w:r>
              <w:rPr>
                <w:rFonts w:ascii="宋体" w:hAnsi="宋体" w:cs="仿宋_GB2312"/>
                <w:kern w:val="0"/>
                <w:sz w:val="24"/>
              </w:rPr>
              <w:t>1</w:t>
            </w:r>
            <w:r>
              <w:rPr>
                <w:rFonts w:hint="eastAsia" w:ascii="宋体" w:hAnsi="宋体" w:cs="仿宋_GB2312"/>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449" w:type="dxa"/>
            <w:vMerge w:val="continue"/>
            <w:tcBorders>
              <w:left w:val="single" w:color="auto" w:sz="4" w:space="0"/>
              <w:right w:val="single" w:color="auto" w:sz="4" w:space="0"/>
            </w:tcBorders>
            <w:vAlign w:val="center"/>
          </w:tcPr>
          <w:p>
            <w:pPr>
              <w:spacing w:line="360" w:lineRule="exact"/>
              <w:ind w:firstLine="542"/>
              <w:rPr>
                <w:rFonts w:ascii="宋体" w:hAnsi="宋体"/>
                <w:kern w:val="0"/>
                <w:sz w:val="24"/>
              </w:rPr>
            </w:pPr>
          </w:p>
        </w:tc>
        <w:tc>
          <w:tcPr>
            <w:tcW w:w="851" w:type="dxa"/>
            <w:vMerge w:val="continue"/>
            <w:tcBorders>
              <w:left w:val="nil"/>
              <w:right w:val="single" w:color="auto" w:sz="4" w:space="0"/>
            </w:tcBorders>
            <w:vAlign w:val="center"/>
          </w:tcPr>
          <w:p>
            <w:pPr>
              <w:spacing w:line="360" w:lineRule="exact"/>
              <w:rPr>
                <w:rFonts w:ascii="宋体" w:hAnsi="宋体"/>
                <w:kern w:val="0"/>
                <w:sz w:val="24"/>
              </w:rPr>
            </w:pPr>
          </w:p>
        </w:tc>
        <w:tc>
          <w:tcPr>
            <w:tcW w:w="709" w:type="dxa"/>
            <w:vMerge w:val="continue"/>
            <w:tcBorders>
              <w:left w:val="nil"/>
              <w:right w:val="single" w:color="auto" w:sz="4" w:space="0"/>
            </w:tcBorders>
            <w:vAlign w:val="center"/>
          </w:tcPr>
          <w:p>
            <w:pPr>
              <w:spacing w:line="360" w:lineRule="exact"/>
              <w:jc w:val="center"/>
              <w:rPr>
                <w:rFonts w:ascii="宋体" w:hAnsi="宋体"/>
                <w:kern w:val="0"/>
                <w:sz w:val="24"/>
              </w:rPr>
            </w:pPr>
          </w:p>
        </w:tc>
        <w:tc>
          <w:tcPr>
            <w:tcW w:w="7058" w:type="dxa"/>
          </w:tcPr>
          <w:p>
            <w:pPr>
              <w:spacing w:line="360" w:lineRule="exact"/>
              <w:jc w:val="left"/>
              <w:rPr>
                <w:rFonts w:ascii="宋体" w:hAnsi="宋体" w:cs="仿宋_GB2312"/>
                <w:kern w:val="0"/>
                <w:sz w:val="24"/>
              </w:rPr>
            </w:pPr>
            <w:r>
              <w:rPr>
                <w:rFonts w:hint="eastAsia" w:ascii="宋体" w:hAnsi="宋体" w:cs="仿宋_GB2312"/>
                <w:kern w:val="0"/>
                <w:sz w:val="24"/>
              </w:rPr>
              <w:t>2.免费质保</w:t>
            </w:r>
            <w:r>
              <w:rPr>
                <w:rFonts w:ascii="宋体" w:hAnsi="宋体" w:cs="仿宋_GB2312"/>
                <w:kern w:val="0"/>
                <w:sz w:val="24"/>
              </w:rPr>
              <w:t>1</w:t>
            </w:r>
            <w:r>
              <w:rPr>
                <w:rFonts w:hint="eastAsia" w:ascii="宋体" w:hAnsi="宋体" w:cs="仿宋_GB2312"/>
                <w:kern w:val="0"/>
                <w:sz w:val="24"/>
              </w:rPr>
              <w:t>年：并承诺免费修改视频量不低于总量的10%。得</w:t>
            </w:r>
            <w:r>
              <w:rPr>
                <w:rFonts w:ascii="宋体" w:hAnsi="宋体" w:cs="仿宋_GB2312"/>
                <w:kern w:val="0"/>
                <w:sz w:val="24"/>
              </w:rPr>
              <w:t>1</w:t>
            </w:r>
            <w:r>
              <w:rPr>
                <w:rFonts w:hint="eastAsia" w:ascii="宋体" w:hAnsi="宋体" w:cs="仿宋_GB2312"/>
                <w:kern w:val="0"/>
                <w:sz w:val="24"/>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449" w:type="dxa"/>
            <w:vMerge w:val="continue"/>
            <w:tcBorders>
              <w:left w:val="single" w:color="auto" w:sz="4" w:space="0"/>
              <w:right w:val="single" w:color="auto" w:sz="4" w:space="0"/>
            </w:tcBorders>
            <w:vAlign w:val="center"/>
          </w:tcPr>
          <w:p>
            <w:pPr>
              <w:spacing w:line="360" w:lineRule="exact"/>
              <w:ind w:firstLine="542"/>
              <w:rPr>
                <w:rFonts w:ascii="宋体" w:hAnsi="宋体"/>
                <w:kern w:val="0"/>
                <w:sz w:val="24"/>
              </w:rPr>
            </w:pPr>
          </w:p>
        </w:tc>
        <w:tc>
          <w:tcPr>
            <w:tcW w:w="851" w:type="dxa"/>
            <w:vMerge w:val="continue"/>
            <w:tcBorders>
              <w:left w:val="nil"/>
              <w:right w:val="single" w:color="auto" w:sz="4" w:space="0"/>
            </w:tcBorders>
            <w:vAlign w:val="center"/>
          </w:tcPr>
          <w:p>
            <w:pPr>
              <w:spacing w:line="360" w:lineRule="exact"/>
              <w:rPr>
                <w:rFonts w:ascii="宋体" w:hAnsi="宋体"/>
                <w:kern w:val="0"/>
                <w:sz w:val="24"/>
              </w:rPr>
            </w:pPr>
          </w:p>
        </w:tc>
        <w:tc>
          <w:tcPr>
            <w:tcW w:w="709" w:type="dxa"/>
            <w:vMerge w:val="continue"/>
            <w:tcBorders>
              <w:left w:val="nil"/>
              <w:right w:val="single" w:color="auto" w:sz="4" w:space="0"/>
            </w:tcBorders>
            <w:vAlign w:val="center"/>
          </w:tcPr>
          <w:p>
            <w:pPr>
              <w:spacing w:line="360" w:lineRule="exact"/>
              <w:jc w:val="center"/>
              <w:rPr>
                <w:rFonts w:ascii="宋体" w:hAnsi="宋体"/>
                <w:kern w:val="0"/>
                <w:sz w:val="24"/>
              </w:rPr>
            </w:pPr>
          </w:p>
        </w:tc>
        <w:tc>
          <w:tcPr>
            <w:tcW w:w="7058" w:type="dxa"/>
          </w:tcPr>
          <w:p>
            <w:pPr>
              <w:spacing w:line="360" w:lineRule="exact"/>
              <w:jc w:val="left"/>
              <w:rPr>
                <w:rFonts w:ascii="宋体" w:hAnsi="宋体" w:cs="仿宋_GB2312"/>
                <w:kern w:val="0"/>
                <w:sz w:val="24"/>
              </w:rPr>
            </w:pPr>
            <w:r>
              <w:rPr>
                <w:rFonts w:hint="eastAsia" w:ascii="宋体" w:hAnsi="宋体" w:cs="仿宋_GB2312"/>
                <w:kern w:val="0"/>
                <w:sz w:val="24"/>
              </w:rPr>
              <w:t>3</w:t>
            </w:r>
            <w:r>
              <w:rPr>
                <w:rFonts w:ascii="宋体" w:hAnsi="宋体" w:cs="仿宋_GB2312"/>
                <w:kern w:val="0"/>
                <w:sz w:val="24"/>
              </w:rPr>
              <w:t>.</w:t>
            </w:r>
            <w:r>
              <w:rPr>
                <w:rFonts w:hint="eastAsia" w:ascii="宋体" w:hAnsi="宋体" w:cs="仿宋_GB2312"/>
                <w:kern w:val="0"/>
                <w:sz w:val="24"/>
              </w:rPr>
              <w:t>投标人须在南通拥有自有的办公场地及拍摄基地，公司购买的提供房产证、租赁的须提供房屋租赁合同（租赁合同须出租方与投标人直接签订，并提供本地化租房合理性说明及场地真实性承诺书）及对应的房产证等材料的复印件，满足得</w:t>
            </w:r>
            <w:r>
              <w:rPr>
                <w:rFonts w:ascii="宋体" w:hAnsi="宋体" w:cs="仿宋_GB2312"/>
                <w:kern w:val="0"/>
                <w:sz w:val="24"/>
              </w:rPr>
              <w:t>4</w:t>
            </w:r>
            <w:r>
              <w:rPr>
                <w:rFonts w:hint="eastAsia" w:ascii="宋体" w:hAnsi="宋体" w:cs="仿宋_GB2312"/>
                <w:kern w:val="0"/>
                <w:sz w:val="24"/>
              </w:rPr>
              <w:t>分，提供不实材料的查证后将取消中标资格。</w:t>
            </w:r>
          </w:p>
        </w:tc>
      </w:tr>
    </w:tbl>
    <w:p>
      <w:pPr>
        <w:autoSpaceDE w:val="0"/>
        <w:autoSpaceDN w:val="0"/>
        <w:adjustRightInd w:val="0"/>
        <w:outlineLvl w:val="0"/>
        <w:rPr>
          <w:rFonts w:ascii="宋体" w:hAnsi="宋体" w:cs="宋体"/>
          <w:b/>
          <w:bCs/>
          <w:sz w:val="28"/>
          <w:szCs w:val="28"/>
        </w:rPr>
      </w:pPr>
    </w:p>
    <w:p>
      <w:pPr>
        <w:autoSpaceDE w:val="0"/>
        <w:autoSpaceDN w:val="0"/>
        <w:adjustRightInd w:val="0"/>
        <w:outlineLvl w:val="0"/>
        <w:rPr>
          <w:rFonts w:ascii="宋体" w:hAnsi="宋体" w:cs="宋体"/>
          <w:b/>
          <w:bCs/>
          <w:sz w:val="28"/>
          <w:szCs w:val="28"/>
        </w:rPr>
      </w:pPr>
      <w:r>
        <w:rPr>
          <w:rFonts w:hint="eastAsia" w:ascii="宋体" w:hAnsi="宋体" w:cs="宋体"/>
          <w:b/>
          <w:bCs/>
          <w:sz w:val="28"/>
          <w:szCs w:val="28"/>
        </w:rPr>
        <w:t>满足磋商文件要求且最后报价最低的供应商的价格为磋商基准价，其商务报价分为满分。其他供应商的商务报价分统一按照下列公式计算：</w:t>
      </w:r>
    </w:p>
    <w:p>
      <w:pPr>
        <w:snapToGrid w:val="0"/>
        <w:spacing w:after="120" w:afterLines="50"/>
        <w:ind w:firstLine="544"/>
        <w:rPr>
          <w:rFonts w:ascii="宋体" w:hAnsi="宋体"/>
          <w:kern w:val="0"/>
          <w:sz w:val="24"/>
        </w:rPr>
      </w:pPr>
      <w:r>
        <w:rPr>
          <w:rFonts w:hint="eastAsia" w:ascii="宋体" w:hAnsi="宋体" w:cs="宋体"/>
          <w:b/>
          <w:bCs/>
          <w:sz w:val="28"/>
          <w:szCs w:val="28"/>
        </w:rPr>
        <w:t>商务报价分 =（磋商基准价/最后磋商报价）×</w:t>
      </w:r>
      <w:r>
        <w:rPr>
          <w:rFonts w:ascii="宋体" w:hAnsi="宋体" w:cs="宋体"/>
          <w:b/>
          <w:bCs/>
          <w:sz w:val="28"/>
          <w:szCs w:val="28"/>
        </w:rPr>
        <w:t>2</w:t>
      </w:r>
      <w:r>
        <w:rPr>
          <w:rFonts w:hint="eastAsia" w:ascii="宋体" w:hAnsi="宋体" w:cs="宋体"/>
          <w:b/>
          <w:bCs/>
          <w:sz w:val="28"/>
          <w:szCs w:val="28"/>
        </w:rPr>
        <w:t>0%×100</w:t>
      </w:r>
    </w:p>
    <w:p>
      <w:pPr>
        <w:autoSpaceDE w:val="0"/>
        <w:autoSpaceDN w:val="0"/>
        <w:adjustRightInd w:val="0"/>
        <w:outlineLvl w:val="0"/>
        <w:rPr>
          <w:rFonts w:ascii="宋体" w:hAnsi="宋体" w:cs="宋体"/>
          <w:b/>
          <w:bCs/>
          <w:sz w:val="28"/>
          <w:szCs w:val="28"/>
        </w:rPr>
      </w:pPr>
      <w:r>
        <w:rPr>
          <w:rFonts w:hint="eastAsia" w:ascii="宋体" w:hAnsi="宋体" w:cs="宋体"/>
          <w:b/>
          <w:bCs/>
          <w:sz w:val="28"/>
          <w:szCs w:val="28"/>
        </w:rPr>
        <w:t>项目评审过程中，不得去掉最后报价中的最高报价和最低报价。</w:t>
      </w:r>
    </w:p>
    <w:p>
      <w:pPr>
        <w:pStyle w:val="70"/>
        <w:snapToGrid w:val="0"/>
        <w:spacing w:before="120" w:beforeLines="50" w:line="300" w:lineRule="auto"/>
        <w:ind w:firstLine="579"/>
        <w:contextualSpacing/>
        <w:rPr>
          <w:sz w:val="28"/>
        </w:rPr>
      </w:pPr>
      <w:r>
        <w:rPr>
          <w:rFonts w:hint="eastAsia"/>
          <w:b/>
          <w:sz w:val="28"/>
        </w:rPr>
        <w:t>六、</w:t>
      </w:r>
      <w:r>
        <w:rPr>
          <w:rFonts w:hint="eastAsia"/>
          <w:sz w:val="28"/>
        </w:rPr>
        <w:t>出现下列情形之一的，竞争性磋商采购活动终止，发布项目终止公告并说明原因，重新开展采购活动：</w:t>
      </w:r>
    </w:p>
    <w:p>
      <w:pPr>
        <w:pStyle w:val="70"/>
        <w:snapToGrid w:val="0"/>
        <w:spacing w:line="300" w:lineRule="auto"/>
        <w:ind w:firstLine="577"/>
        <w:contextualSpacing/>
        <w:rPr>
          <w:sz w:val="28"/>
        </w:rPr>
      </w:pPr>
      <w:r>
        <w:rPr>
          <w:rFonts w:hint="eastAsia"/>
          <w:sz w:val="28"/>
        </w:rPr>
        <w:t>（一）因情况变化，不再符合规定的竞争性磋商采购方式适用情形的；</w:t>
      </w:r>
    </w:p>
    <w:p>
      <w:pPr>
        <w:pStyle w:val="70"/>
        <w:snapToGrid w:val="0"/>
        <w:spacing w:line="300" w:lineRule="auto"/>
        <w:ind w:firstLine="577"/>
        <w:contextualSpacing/>
        <w:rPr>
          <w:sz w:val="28"/>
        </w:rPr>
      </w:pPr>
      <w:r>
        <w:rPr>
          <w:rFonts w:hint="eastAsia"/>
          <w:sz w:val="28"/>
        </w:rPr>
        <w:t>（二）出现影响采购公正的违法、违规行为的；</w:t>
      </w:r>
    </w:p>
    <w:p>
      <w:pPr>
        <w:pStyle w:val="70"/>
        <w:snapToGrid w:val="0"/>
        <w:spacing w:line="300" w:lineRule="auto"/>
        <w:ind w:firstLine="560" w:firstLineChars="200"/>
        <w:contextualSpacing/>
        <w:rPr>
          <w:sz w:val="28"/>
        </w:rPr>
      </w:pPr>
      <w:r>
        <w:rPr>
          <w:rFonts w:hint="eastAsia"/>
          <w:sz w:val="28"/>
        </w:rPr>
        <w:t>（三）在采购过程中符合要求的供应商或者报价未超过采购预算的供应商不足3家的（市场竞争不充分的科研项目，以及需要扶持的科技成果转化项目除外）。</w:t>
      </w:r>
    </w:p>
    <w:p>
      <w:pPr>
        <w:snapToGrid w:val="0"/>
        <w:spacing w:line="300" w:lineRule="auto"/>
        <w:ind w:firstLine="570"/>
        <w:rPr>
          <w:rFonts w:ascii="仿宋_GB2312" w:hAnsi="宋体" w:eastAsia="仿宋_GB2312"/>
          <w:sz w:val="28"/>
          <w:szCs w:val="28"/>
        </w:rPr>
      </w:pPr>
    </w:p>
    <w:p>
      <w:pPr>
        <w:widowControl/>
        <w:jc w:val="left"/>
        <w:rPr>
          <w:rFonts w:ascii="仿宋_GB2312" w:eastAsia="仿宋_GB2312"/>
          <w:b/>
          <w:bCs/>
          <w:sz w:val="44"/>
          <w:szCs w:val="44"/>
          <w:lang w:val="zh-CN"/>
        </w:rPr>
      </w:pPr>
      <w:r>
        <w:rPr>
          <w:rFonts w:ascii="仿宋_GB2312" w:eastAsia="仿宋_GB2312"/>
          <w:b/>
          <w:bCs/>
          <w:sz w:val="44"/>
          <w:szCs w:val="44"/>
          <w:lang w:val="zh-CN"/>
        </w:rPr>
        <w:br w:type="page"/>
      </w:r>
    </w:p>
    <w:p>
      <w:pPr>
        <w:autoSpaceDE w:val="0"/>
        <w:autoSpaceDN w:val="0"/>
        <w:adjustRightInd w:val="0"/>
        <w:snapToGrid w:val="0"/>
        <w:spacing w:line="300" w:lineRule="auto"/>
        <w:jc w:val="center"/>
        <w:outlineLvl w:val="0"/>
        <w:rPr>
          <w:rFonts w:ascii="仿宋_GB2312" w:eastAsia="仿宋_GB2312"/>
          <w:b/>
          <w:bCs/>
          <w:sz w:val="44"/>
          <w:szCs w:val="44"/>
          <w:lang w:val="zh-CN"/>
        </w:rPr>
      </w:pPr>
      <w:r>
        <w:rPr>
          <w:rFonts w:hint="eastAsia" w:ascii="仿宋_GB2312" w:eastAsia="仿宋_GB2312"/>
          <w:b/>
          <w:bCs/>
          <w:sz w:val="44"/>
          <w:szCs w:val="44"/>
          <w:lang w:val="zh-CN"/>
        </w:rPr>
        <w:t>第五部分  响应文件组成</w:t>
      </w:r>
    </w:p>
    <w:p>
      <w:pPr>
        <w:snapToGrid w:val="0"/>
        <w:spacing w:line="300" w:lineRule="auto"/>
        <w:ind w:firstLine="555"/>
        <w:jc w:val="left"/>
        <w:rPr>
          <w:rFonts w:ascii="仿宋_GB2312" w:hAnsi="宋体" w:eastAsia="仿宋_GB2312"/>
          <w:b/>
          <w:sz w:val="28"/>
          <w:szCs w:val="28"/>
        </w:rPr>
      </w:pPr>
      <w:r>
        <w:rPr>
          <w:rFonts w:hint="eastAsia" w:ascii="仿宋_GB2312" w:hAnsi="宋体" w:eastAsia="仿宋_GB2312"/>
          <w:b/>
          <w:sz w:val="28"/>
          <w:szCs w:val="28"/>
        </w:rPr>
        <w:t>响应文件由资格审查证明材料、商务技术响应文件、价格响应文件三部分组成。</w:t>
      </w:r>
    </w:p>
    <w:p>
      <w:pPr>
        <w:snapToGrid w:val="0"/>
        <w:spacing w:line="300" w:lineRule="auto"/>
        <w:ind w:left="549"/>
        <w:contextualSpacing/>
        <w:rPr>
          <w:rFonts w:ascii="仿宋_GB2312" w:eastAsia="仿宋_GB2312"/>
          <w:b/>
          <w:sz w:val="28"/>
          <w:szCs w:val="28"/>
        </w:rPr>
      </w:pPr>
      <w:r>
        <w:rPr>
          <w:rFonts w:hint="eastAsia" w:ascii="仿宋_GB2312" w:eastAsia="仿宋_GB2312"/>
          <w:b/>
          <w:sz w:val="28"/>
          <w:szCs w:val="28"/>
        </w:rPr>
        <w:t>一、资格审查证明材料（不能出现报价、商务技术标）</w:t>
      </w:r>
    </w:p>
    <w:p>
      <w:pPr>
        <w:pStyle w:val="70"/>
        <w:snapToGrid w:val="0"/>
        <w:spacing w:line="300" w:lineRule="auto"/>
        <w:ind w:firstLine="480" w:firstLineChars="200"/>
        <w:rPr>
          <w:sz w:val="24"/>
          <w:szCs w:val="24"/>
        </w:rPr>
      </w:pPr>
      <w:r>
        <w:rPr>
          <w:rFonts w:hint="eastAsia"/>
          <w:sz w:val="24"/>
          <w:szCs w:val="24"/>
        </w:rPr>
        <w:t>1.法定代表人身份证明书（提供复印件并加盖公章）;</w:t>
      </w:r>
    </w:p>
    <w:p>
      <w:pPr>
        <w:tabs>
          <w:tab w:val="left" w:pos="3375"/>
        </w:tabs>
        <w:autoSpaceDE w:val="0"/>
        <w:autoSpaceDN w:val="0"/>
        <w:adjustRightInd w:val="0"/>
        <w:snapToGrid w:val="0"/>
        <w:spacing w:line="300" w:lineRule="auto"/>
        <w:ind w:left="1" w:firstLine="538"/>
        <w:rPr>
          <w:rFonts w:ascii="仿宋_GB2312" w:eastAsia="仿宋_GB2312"/>
          <w:sz w:val="24"/>
          <w:lang w:val="zh-CN"/>
        </w:rPr>
      </w:pPr>
      <w:r>
        <w:rPr>
          <w:rFonts w:hint="eastAsia" w:ascii="仿宋_GB2312" w:eastAsia="仿宋_GB2312"/>
          <w:sz w:val="24"/>
        </w:rPr>
        <w:t>2</w:t>
      </w:r>
      <w:r>
        <w:rPr>
          <w:rFonts w:hint="eastAsia" w:ascii="仿宋_GB2312" w:eastAsia="仿宋_GB2312"/>
          <w:sz w:val="24"/>
          <w:lang w:val="zh-CN"/>
        </w:rPr>
        <w:t>、法定代表人授权委托书原件，磋商代表本人身份证复印件（原件随身备查）；</w:t>
      </w:r>
    </w:p>
    <w:p>
      <w:pPr>
        <w:tabs>
          <w:tab w:val="left" w:pos="3375"/>
        </w:tabs>
        <w:autoSpaceDE w:val="0"/>
        <w:autoSpaceDN w:val="0"/>
        <w:adjustRightInd w:val="0"/>
        <w:snapToGrid w:val="0"/>
        <w:spacing w:line="300" w:lineRule="auto"/>
        <w:ind w:left="1" w:firstLine="538"/>
        <w:rPr>
          <w:rFonts w:ascii="仿宋_GB2312" w:eastAsia="仿宋_GB2312"/>
          <w:sz w:val="24"/>
        </w:rPr>
      </w:pPr>
      <w:r>
        <w:rPr>
          <w:rFonts w:hint="eastAsia" w:ascii="仿宋_GB2312" w:eastAsia="仿宋_GB2312"/>
          <w:sz w:val="24"/>
        </w:rPr>
        <w:t xml:space="preserve">3、请按竞争性磋商公告资格要求提供相应的佐证材料（提供复印件并加盖公章）; </w:t>
      </w:r>
    </w:p>
    <w:p>
      <w:pPr>
        <w:tabs>
          <w:tab w:val="left" w:pos="3375"/>
        </w:tabs>
        <w:autoSpaceDE w:val="0"/>
        <w:autoSpaceDN w:val="0"/>
        <w:adjustRightInd w:val="0"/>
        <w:snapToGrid w:val="0"/>
        <w:spacing w:line="300" w:lineRule="auto"/>
        <w:ind w:left="1" w:firstLine="538"/>
        <w:rPr>
          <w:rFonts w:ascii="仿宋_GB2312" w:eastAsia="仿宋_GB2312"/>
          <w:sz w:val="24"/>
        </w:rPr>
      </w:pPr>
      <w:r>
        <w:rPr>
          <w:rFonts w:hint="eastAsia" w:ascii="仿宋_GB2312" w:eastAsia="仿宋_GB2312"/>
          <w:sz w:val="24"/>
        </w:rPr>
        <w:t>4、其它需要提交的资格审查证明材料，如廉洁承诺书等。</w:t>
      </w:r>
    </w:p>
    <w:p>
      <w:pPr>
        <w:pStyle w:val="70"/>
        <w:snapToGrid w:val="0"/>
        <w:spacing w:line="300" w:lineRule="auto"/>
        <w:ind w:firstLine="579"/>
        <w:rPr>
          <w:rFonts w:ascii="宋体" w:cs="宋体"/>
          <w:b/>
          <w:bCs/>
          <w:kern w:val="0"/>
          <w:sz w:val="28"/>
          <w:lang w:val="zh-CN"/>
        </w:rPr>
      </w:pPr>
      <w:r>
        <w:rPr>
          <w:rFonts w:hint="eastAsia"/>
          <w:b/>
          <w:sz w:val="28"/>
        </w:rPr>
        <w:t>二、商务技术响应文件</w:t>
      </w:r>
      <w:r>
        <w:rPr>
          <w:rFonts w:hint="eastAsia" w:ascii="宋体" w:cs="宋体"/>
          <w:b/>
          <w:bCs/>
          <w:kern w:val="0"/>
          <w:sz w:val="28"/>
          <w:lang w:val="zh-CN"/>
        </w:rPr>
        <w:t>（不能出现报价）</w:t>
      </w:r>
    </w:p>
    <w:p>
      <w:pPr>
        <w:pStyle w:val="70"/>
        <w:snapToGrid w:val="0"/>
        <w:spacing w:line="300" w:lineRule="auto"/>
        <w:ind w:firstLine="480" w:firstLineChars="200"/>
        <w:rPr>
          <w:sz w:val="24"/>
          <w:szCs w:val="24"/>
        </w:rPr>
      </w:pPr>
      <w:r>
        <w:rPr>
          <w:rFonts w:hint="eastAsia"/>
          <w:sz w:val="24"/>
          <w:szCs w:val="24"/>
        </w:rPr>
        <w:t>1、磋商供应商情况一览表</w:t>
      </w:r>
    </w:p>
    <w:p>
      <w:pPr>
        <w:pStyle w:val="70"/>
        <w:snapToGrid w:val="0"/>
        <w:spacing w:line="300" w:lineRule="auto"/>
        <w:ind w:firstLine="480" w:firstLineChars="200"/>
        <w:rPr>
          <w:sz w:val="24"/>
          <w:szCs w:val="24"/>
        </w:rPr>
      </w:pPr>
      <w:r>
        <w:rPr>
          <w:rFonts w:hint="eastAsia"/>
          <w:sz w:val="24"/>
          <w:szCs w:val="24"/>
        </w:rPr>
        <w:t>2、商务部分正负偏离表</w:t>
      </w:r>
    </w:p>
    <w:p>
      <w:pPr>
        <w:pStyle w:val="70"/>
        <w:snapToGrid w:val="0"/>
        <w:spacing w:line="300" w:lineRule="auto"/>
        <w:ind w:firstLine="480" w:firstLineChars="200"/>
        <w:rPr>
          <w:sz w:val="24"/>
          <w:szCs w:val="24"/>
        </w:rPr>
      </w:pPr>
      <w:r>
        <w:rPr>
          <w:rFonts w:hint="eastAsia"/>
          <w:sz w:val="24"/>
          <w:szCs w:val="24"/>
        </w:rPr>
        <w:t>3、技术部分正负偏离表</w:t>
      </w:r>
    </w:p>
    <w:p>
      <w:pPr>
        <w:pStyle w:val="70"/>
        <w:snapToGrid w:val="0"/>
        <w:spacing w:line="300" w:lineRule="auto"/>
        <w:ind w:firstLine="480" w:firstLineChars="200"/>
        <w:rPr>
          <w:sz w:val="24"/>
          <w:szCs w:val="24"/>
        </w:rPr>
      </w:pPr>
      <w:r>
        <w:rPr>
          <w:rFonts w:hint="eastAsia"/>
          <w:sz w:val="24"/>
          <w:szCs w:val="24"/>
        </w:rPr>
        <w:t>填制正负偏离表，完全响应的，请以空白表列示。不完全响应的，必须在偏离表中列示；列示不全的，视同故意隐瞒。</w:t>
      </w:r>
    </w:p>
    <w:p>
      <w:pPr>
        <w:pStyle w:val="70"/>
        <w:snapToGrid w:val="0"/>
        <w:spacing w:line="300" w:lineRule="auto"/>
        <w:ind w:firstLine="480" w:firstLineChars="200"/>
        <w:rPr>
          <w:sz w:val="24"/>
          <w:szCs w:val="24"/>
        </w:rPr>
      </w:pPr>
      <w:r>
        <w:rPr>
          <w:rFonts w:hint="eastAsia"/>
          <w:sz w:val="24"/>
          <w:szCs w:val="24"/>
        </w:rPr>
        <w:t>4、响应方案、货物（服务）清单。具有项目、数量、品牌、型号、配置性能等</w:t>
      </w:r>
    </w:p>
    <w:p>
      <w:pPr>
        <w:pStyle w:val="70"/>
        <w:snapToGrid w:val="0"/>
        <w:spacing w:line="300" w:lineRule="auto"/>
        <w:ind w:firstLine="480" w:firstLineChars="200"/>
        <w:rPr>
          <w:sz w:val="24"/>
          <w:szCs w:val="24"/>
        </w:rPr>
      </w:pPr>
      <w:r>
        <w:rPr>
          <w:rFonts w:hint="eastAsia"/>
          <w:sz w:val="24"/>
          <w:szCs w:val="24"/>
        </w:rPr>
        <w:t>5、为方便评委评审，请供应商按评审办法中所涉及的事项顺序进行编制，可以补充相关材料。</w:t>
      </w:r>
    </w:p>
    <w:p>
      <w:pPr>
        <w:pStyle w:val="70"/>
        <w:snapToGrid w:val="0"/>
        <w:spacing w:line="300" w:lineRule="auto"/>
        <w:ind w:firstLine="480" w:firstLineChars="200"/>
        <w:rPr>
          <w:sz w:val="24"/>
          <w:szCs w:val="24"/>
        </w:rPr>
      </w:pPr>
      <w:r>
        <w:rPr>
          <w:rFonts w:hint="eastAsia"/>
          <w:sz w:val="24"/>
          <w:szCs w:val="24"/>
        </w:rPr>
        <w:t>6、评审办法中未涉及的事项，供应商认为需要提交的其他资料。</w:t>
      </w:r>
    </w:p>
    <w:p>
      <w:pPr>
        <w:pStyle w:val="70"/>
        <w:snapToGrid w:val="0"/>
        <w:spacing w:line="300" w:lineRule="auto"/>
        <w:ind w:firstLine="579"/>
        <w:rPr>
          <w:b/>
          <w:sz w:val="28"/>
        </w:rPr>
      </w:pPr>
      <w:r>
        <w:rPr>
          <w:rFonts w:hint="eastAsia"/>
          <w:b/>
          <w:sz w:val="28"/>
        </w:rPr>
        <w:t>三、价格响应文件</w:t>
      </w:r>
    </w:p>
    <w:p>
      <w:pPr>
        <w:tabs>
          <w:tab w:val="left" w:pos="3375"/>
        </w:tabs>
        <w:autoSpaceDE w:val="0"/>
        <w:autoSpaceDN w:val="0"/>
        <w:adjustRightInd w:val="0"/>
        <w:snapToGrid w:val="0"/>
        <w:spacing w:line="300" w:lineRule="auto"/>
        <w:ind w:left="1" w:firstLine="538"/>
        <w:rPr>
          <w:rFonts w:ascii="宋体" w:hAnsi="宋体" w:cs="宋体"/>
          <w:b/>
          <w:sz w:val="24"/>
        </w:rPr>
      </w:pPr>
      <w:r>
        <w:rPr>
          <w:rFonts w:hint="eastAsia" w:ascii="仿宋_GB2312" w:eastAsia="仿宋_GB2312"/>
          <w:sz w:val="28"/>
          <w:szCs w:val="28"/>
        </w:rPr>
        <w:t>1、</w:t>
      </w:r>
      <w:r>
        <w:rPr>
          <w:rFonts w:hint="eastAsia" w:ascii="宋体" w:hAnsi="宋体" w:cs="宋体"/>
          <w:b/>
          <w:sz w:val="24"/>
        </w:rPr>
        <w:t>竞争性磋商响应报价总表（首次/二次）</w:t>
      </w:r>
    </w:p>
    <w:tbl>
      <w:tblPr>
        <w:tblStyle w:val="24"/>
        <w:tblW w:w="9814" w:type="dxa"/>
        <w:jc w:val="center"/>
        <w:tblLayout w:type="autofit"/>
        <w:tblCellMar>
          <w:top w:w="0" w:type="dxa"/>
          <w:left w:w="108" w:type="dxa"/>
          <w:bottom w:w="0" w:type="dxa"/>
          <w:right w:w="108" w:type="dxa"/>
        </w:tblCellMar>
      </w:tblPr>
      <w:tblGrid>
        <w:gridCol w:w="9814"/>
      </w:tblGrid>
      <w:tr>
        <w:tblPrEx>
          <w:tblCellMar>
            <w:top w:w="0" w:type="dxa"/>
            <w:left w:w="108" w:type="dxa"/>
            <w:bottom w:w="0" w:type="dxa"/>
            <w:right w:w="108" w:type="dxa"/>
          </w:tblCellMar>
        </w:tblPrEx>
        <w:trPr>
          <w:trHeight w:val="612" w:hRule="atLeast"/>
          <w:jc w:val="center"/>
        </w:trPr>
        <w:tc>
          <w:tcPr>
            <w:tcW w:w="9376" w:type="dxa"/>
            <w:tcBorders>
              <w:top w:val="nil"/>
              <w:left w:val="nil"/>
              <w:bottom w:val="nil"/>
              <w:right w:val="nil"/>
            </w:tcBorders>
            <w:noWrap/>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2022</w:t>
            </w:r>
            <w:r>
              <w:rPr>
                <w:rFonts w:ascii="宋体" w:hAnsi="宋体" w:cs="宋体"/>
                <w:b/>
                <w:bCs/>
                <w:kern w:val="0"/>
                <w:sz w:val="28"/>
                <w:szCs w:val="28"/>
              </w:rPr>
              <w:t>-2023</w:t>
            </w:r>
            <w:r>
              <w:rPr>
                <w:rFonts w:hint="eastAsia" w:ascii="宋体" w:hAnsi="宋体" w:cs="宋体"/>
                <w:b/>
                <w:bCs/>
                <w:kern w:val="0"/>
                <w:sz w:val="28"/>
                <w:szCs w:val="28"/>
              </w:rPr>
              <w:t>年度在线课程及教学比赛视频制作服务项目商务报价表</w:t>
            </w:r>
          </w:p>
          <w:tbl>
            <w:tblPr>
              <w:tblStyle w:val="24"/>
              <w:tblpPr w:leftFromText="180" w:rightFromText="180" w:vertAnchor="text" w:horzAnchor="page" w:tblpXSpec="center" w:tblpY="645"/>
              <w:tblOverlap w:val="never"/>
              <w:tblW w:w="8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1787"/>
              <w:gridCol w:w="1899"/>
              <w:gridCol w:w="834"/>
              <w:gridCol w:w="1668"/>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pPr>
                    <w:topLinePunct/>
                    <w:snapToGrid w:val="0"/>
                    <w:spacing w:before="120" w:beforeLines="50"/>
                    <w:jc w:val="center"/>
                    <w:rPr>
                      <w:rFonts w:ascii="宋体" w:hAnsi="宋体"/>
                      <w:b/>
                      <w:sz w:val="22"/>
                    </w:rPr>
                  </w:pPr>
                  <w:r>
                    <w:rPr>
                      <w:rFonts w:hint="eastAsia" w:ascii="宋体" w:hAnsi="宋体"/>
                      <w:b/>
                      <w:sz w:val="22"/>
                    </w:rPr>
                    <w:t>序号</w:t>
                  </w:r>
                </w:p>
              </w:tc>
              <w:tc>
                <w:tcPr>
                  <w:tcW w:w="1787" w:type="dxa"/>
                  <w:vAlign w:val="center"/>
                </w:tcPr>
                <w:p>
                  <w:pPr>
                    <w:spacing w:before="120" w:beforeLines="50"/>
                    <w:jc w:val="center"/>
                    <w:rPr>
                      <w:b/>
                    </w:rPr>
                  </w:pPr>
                  <w:r>
                    <w:rPr>
                      <w:rFonts w:hint="eastAsia" w:ascii="宋体" w:hAnsi="宋体"/>
                      <w:b/>
                      <w:sz w:val="24"/>
                      <w:szCs w:val="22"/>
                    </w:rPr>
                    <w:t>采购内容</w:t>
                  </w:r>
                </w:p>
              </w:tc>
              <w:tc>
                <w:tcPr>
                  <w:tcW w:w="1899" w:type="dxa"/>
                  <w:tcBorders>
                    <w:right w:val="single" w:color="auto" w:sz="4" w:space="0"/>
                  </w:tcBorders>
                  <w:vAlign w:val="center"/>
                </w:tcPr>
                <w:p>
                  <w:pPr>
                    <w:topLinePunct/>
                    <w:snapToGrid w:val="0"/>
                    <w:spacing w:before="120" w:beforeLines="50"/>
                    <w:jc w:val="center"/>
                    <w:rPr>
                      <w:rFonts w:ascii="宋体" w:hAnsi="宋体"/>
                      <w:b/>
                      <w:sz w:val="22"/>
                    </w:rPr>
                  </w:pPr>
                  <w:r>
                    <w:rPr>
                      <w:rFonts w:hint="eastAsia" w:ascii="Verdana" w:hAnsi="Verdana" w:cs="Arial"/>
                      <w:b/>
                      <w:sz w:val="24"/>
                    </w:rPr>
                    <w:t>采购单价预算（控制价）（元）</w:t>
                  </w:r>
                </w:p>
              </w:tc>
              <w:tc>
                <w:tcPr>
                  <w:tcW w:w="834" w:type="dxa"/>
                  <w:tcBorders>
                    <w:top w:val="single" w:color="auto" w:sz="4" w:space="0"/>
                    <w:left w:val="single" w:color="auto" w:sz="4" w:space="0"/>
                    <w:right w:val="single" w:color="auto" w:sz="4" w:space="0"/>
                  </w:tcBorders>
                  <w:vAlign w:val="center"/>
                </w:tcPr>
                <w:p>
                  <w:pPr>
                    <w:topLinePunct/>
                    <w:snapToGrid w:val="0"/>
                    <w:spacing w:before="120" w:beforeLines="50"/>
                    <w:jc w:val="center"/>
                    <w:rPr>
                      <w:rFonts w:ascii="宋体" w:hAnsi="宋体"/>
                      <w:b/>
                      <w:sz w:val="22"/>
                    </w:rPr>
                  </w:pPr>
                  <w:r>
                    <w:rPr>
                      <w:rFonts w:hint="eastAsia" w:ascii="宋体" w:hAnsi="宋体"/>
                      <w:b/>
                      <w:sz w:val="22"/>
                    </w:rPr>
                    <w:t>所占分值</w:t>
                  </w:r>
                </w:p>
              </w:tc>
              <w:tc>
                <w:tcPr>
                  <w:tcW w:w="1668" w:type="dxa"/>
                  <w:tcBorders>
                    <w:top w:val="single" w:color="auto" w:sz="4" w:space="0"/>
                    <w:left w:val="single" w:color="auto" w:sz="4" w:space="0"/>
                    <w:right w:val="single" w:color="auto" w:sz="4" w:space="0"/>
                  </w:tcBorders>
                  <w:vAlign w:val="center"/>
                </w:tcPr>
                <w:p>
                  <w:pPr>
                    <w:topLinePunct/>
                    <w:snapToGrid w:val="0"/>
                    <w:spacing w:before="120" w:beforeLines="50"/>
                    <w:jc w:val="center"/>
                    <w:rPr>
                      <w:rFonts w:ascii="宋体" w:hAnsi="宋体"/>
                      <w:b/>
                      <w:sz w:val="22"/>
                    </w:rPr>
                  </w:pPr>
                  <w:r>
                    <w:rPr>
                      <w:rFonts w:hint="eastAsia" w:ascii="宋体" w:hAnsi="宋体"/>
                      <w:b/>
                      <w:sz w:val="22"/>
                    </w:rPr>
                    <w:t>报价（元）/大写</w:t>
                  </w:r>
                </w:p>
              </w:tc>
              <w:tc>
                <w:tcPr>
                  <w:tcW w:w="2216" w:type="dxa"/>
                  <w:tcBorders>
                    <w:top w:val="single" w:color="auto" w:sz="4" w:space="0"/>
                    <w:left w:val="single" w:color="auto" w:sz="4" w:space="0"/>
                    <w:right w:val="single" w:color="auto" w:sz="4" w:space="0"/>
                  </w:tcBorders>
                  <w:vAlign w:val="center"/>
                </w:tcPr>
                <w:p>
                  <w:pPr>
                    <w:topLinePunct/>
                    <w:snapToGrid w:val="0"/>
                    <w:spacing w:before="120" w:beforeLines="50"/>
                    <w:jc w:val="center"/>
                    <w:rPr>
                      <w:rFonts w:ascii="宋体" w:hAnsi="宋体"/>
                      <w:b/>
                      <w:sz w:val="22"/>
                    </w:rPr>
                  </w:pPr>
                  <w:r>
                    <w:rPr>
                      <w:rFonts w:hint="eastAsia" w:ascii="宋体" w:hAnsi="宋体"/>
                      <w:b/>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pPr>
                    <w:topLinePunct/>
                    <w:snapToGrid w:val="0"/>
                    <w:spacing w:before="120" w:beforeLines="50"/>
                    <w:jc w:val="center"/>
                    <w:rPr>
                      <w:sz w:val="22"/>
                    </w:rPr>
                  </w:pPr>
                  <w:r>
                    <w:rPr>
                      <w:sz w:val="22"/>
                    </w:rPr>
                    <w:t>1</w:t>
                  </w:r>
                </w:p>
              </w:tc>
              <w:tc>
                <w:tcPr>
                  <w:tcW w:w="1787" w:type="dxa"/>
                  <w:vAlign w:val="center"/>
                </w:tcPr>
                <w:p>
                  <w:pPr>
                    <w:spacing w:before="120" w:beforeLines="50"/>
                    <w:jc w:val="center"/>
                  </w:pPr>
                  <w:r>
                    <w:rPr>
                      <w:sz w:val="24"/>
                      <w:szCs w:val="22"/>
                    </w:rPr>
                    <w:t>教学比赛类视频</w:t>
                  </w:r>
                  <w:r>
                    <w:rPr>
                      <w:rFonts w:hint="eastAsia"/>
                      <w:sz w:val="24"/>
                      <w:szCs w:val="22"/>
                    </w:rPr>
                    <w:t>（省赛）</w:t>
                  </w:r>
                </w:p>
              </w:tc>
              <w:tc>
                <w:tcPr>
                  <w:tcW w:w="1899" w:type="dxa"/>
                  <w:tcBorders>
                    <w:right w:val="single" w:color="auto" w:sz="4" w:space="0"/>
                  </w:tcBorders>
                  <w:vAlign w:val="center"/>
                </w:tcPr>
                <w:p>
                  <w:pPr>
                    <w:topLinePunct/>
                    <w:snapToGrid w:val="0"/>
                    <w:spacing w:before="120" w:beforeLines="50"/>
                    <w:jc w:val="center"/>
                    <w:rPr>
                      <w:sz w:val="22"/>
                    </w:rPr>
                  </w:pPr>
                  <w:r>
                    <w:rPr>
                      <w:sz w:val="22"/>
                    </w:rPr>
                    <w:t>10000/项目</w:t>
                  </w:r>
                </w:p>
              </w:tc>
              <w:tc>
                <w:tcPr>
                  <w:tcW w:w="834" w:type="dxa"/>
                  <w:tcBorders>
                    <w:left w:val="single" w:color="auto" w:sz="4" w:space="0"/>
                    <w:right w:val="single" w:color="auto" w:sz="4" w:space="0"/>
                  </w:tcBorders>
                  <w:vAlign w:val="center"/>
                </w:tcPr>
                <w:p>
                  <w:pPr>
                    <w:topLinePunct/>
                    <w:snapToGrid w:val="0"/>
                    <w:spacing w:before="120" w:beforeLines="50"/>
                    <w:jc w:val="center"/>
                    <w:rPr>
                      <w:sz w:val="22"/>
                    </w:rPr>
                  </w:pPr>
                  <w:r>
                    <w:rPr>
                      <w:sz w:val="22"/>
                    </w:rPr>
                    <w:t>6</w:t>
                  </w:r>
                </w:p>
              </w:tc>
              <w:tc>
                <w:tcPr>
                  <w:tcW w:w="1668" w:type="dxa"/>
                  <w:tcBorders>
                    <w:left w:val="single" w:color="auto" w:sz="4" w:space="0"/>
                    <w:right w:val="single" w:color="auto" w:sz="4" w:space="0"/>
                  </w:tcBorders>
                  <w:vAlign w:val="center"/>
                </w:tcPr>
                <w:p>
                  <w:pPr>
                    <w:topLinePunct/>
                    <w:snapToGrid w:val="0"/>
                    <w:spacing w:before="120" w:beforeLines="50"/>
                    <w:jc w:val="center"/>
                    <w:rPr>
                      <w:sz w:val="22"/>
                    </w:rPr>
                  </w:pPr>
                </w:p>
              </w:tc>
              <w:tc>
                <w:tcPr>
                  <w:tcW w:w="2216" w:type="dxa"/>
                  <w:tcBorders>
                    <w:left w:val="single" w:color="auto" w:sz="4" w:space="0"/>
                    <w:right w:val="single" w:color="auto" w:sz="4" w:space="0"/>
                  </w:tcBorders>
                  <w:vAlign w:val="center"/>
                </w:tcPr>
                <w:p>
                  <w:pPr>
                    <w:topLinePunct/>
                    <w:snapToGrid w:val="0"/>
                    <w:spacing w:before="120" w:beforeLines="50"/>
                    <w:jc w:val="center"/>
                    <w:rPr>
                      <w:sz w:val="22"/>
                    </w:rPr>
                  </w:pPr>
                  <w:r>
                    <w:rPr>
                      <w:sz w:val="22"/>
                    </w:rPr>
                    <w:t>一</w:t>
                  </w:r>
                  <w:r>
                    <w:rPr>
                      <w:rFonts w:hint="eastAsia"/>
                      <w:sz w:val="22"/>
                    </w:rPr>
                    <w:t>组省</w:t>
                  </w:r>
                  <w:r>
                    <w:rPr>
                      <w:sz w:val="22"/>
                    </w:rPr>
                    <w:t>赛项目的拍摄制作整体报价</w:t>
                  </w:r>
                  <w:r>
                    <w:rPr>
                      <w:rFonts w:hint="eastAsia"/>
                      <w:sz w:val="22"/>
                    </w:rPr>
                    <w:t>，3</w:t>
                  </w:r>
                  <w:r>
                    <w:rPr>
                      <w:sz w:val="22"/>
                    </w:rPr>
                    <w:t>5</w:t>
                  </w:r>
                  <w:r>
                    <w:rPr>
                      <w:rFonts w:hint="eastAsia"/>
                      <w:sz w:val="22"/>
                    </w:rPr>
                    <w:t>-</w:t>
                  </w:r>
                  <w:r>
                    <w:rPr>
                      <w:sz w:val="22"/>
                    </w:rPr>
                    <w:t>45分钟</w:t>
                  </w:r>
                  <w:r>
                    <w:rPr>
                      <w:rFonts w:hint="eastAsia"/>
                      <w:sz w:val="22"/>
                    </w:rPr>
                    <w:t>（3</w:t>
                  </w:r>
                  <w:r>
                    <w:rPr>
                      <w:sz w:val="22"/>
                    </w:rPr>
                    <w:t>---4个</w:t>
                  </w:r>
                  <w:r>
                    <w:rPr>
                      <w:rFonts w:hint="eastAsia"/>
                      <w:sz w:val="22"/>
                    </w:rPr>
                    <w:t>），参加市赛按5</w:t>
                  </w:r>
                  <w:r>
                    <w:rPr>
                      <w:sz w:val="22"/>
                    </w:rPr>
                    <w:t>0</w:t>
                  </w:r>
                  <w:r>
                    <w:rPr>
                      <w:rFonts w:hint="eastAsia"/>
                      <w:sz w:val="22"/>
                    </w:rPr>
                    <w:t>%费用计算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37" w:type="dxa"/>
                  <w:vAlign w:val="center"/>
                </w:tcPr>
                <w:p>
                  <w:pPr>
                    <w:topLinePunct/>
                    <w:snapToGrid w:val="0"/>
                    <w:spacing w:before="120" w:beforeLines="50"/>
                    <w:jc w:val="center"/>
                    <w:rPr>
                      <w:sz w:val="22"/>
                    </w:rPr>
                  </w:pPr>
                  <w:r>
                    <w:rPr>
                      <w:sz w:val="22"/>
                    </w:rPr>
                    <w:t>2</w:t>
                  </w:r>
                </w:p>
              </w:tc>
              <w:tc>
                <w:tcPr>
                  <w:tcW w:w="1787" w:type="dxa"/>
                  <w:vAlign w:val="center"/>
                </w:tcPr>
                <w:p>
                  <w:pPr>
                    <w:spacing w:before="120" w:beforeLines="50"/>
                    <w:jc w:val="center"/>
                  </w:pPr>
                  <w:r>
                    <w:rPr>
                      <w:sz w:val="24"/>
                      <w:szCs w:val="22"/>
                    </w:rPr>
                    <w:t>在线课程视频</w:t>
                  </w:r>
                </w:p>
              </w:tc>
              <w:tc>
                <w:tcPr>
                  <w:tcW w:w="1899" w:type="dxa"/>
                  <w:tcBorders>
                    <w:right w:val="single" w:color="auto" w:sz="4" w:space="0"/>
                  </w:tcBorders>
                  <w:vAlign w:val="center"/>
                </w:tcPr>
                <w:p>
                  <w:pPr>
                    <w:spacing w:before="120" w:beforeLines="50"/>
                    <w:jc w:val="center"/>
                  </w:pPr>
                  <w:r>
                    <w:t>2000/个</w:t>
                  </w:r>
                </w:p>
              </w:tc>
              <w:tc>
                <w:tcPr>
                  <w:tcW w:w="834" w:type="dxa"/>
                  <w:tcBorders>
                    <w:left w:val="single" w:color="auto" w:sz="4" w:space="0"/>
                    <w:right w:val="single" w:color="auto" w:sz="4" w:space="0"/>
                  </w:tcBorders>
                  <w:vAlign w:val="center"/>
                </w:tcPr>
                <w:p>
                  <w:pPr>
                    <w:topLinePunct/>
                    <w:snapToGrid w:val="0"/>
                    <w:spacing w:before="120" w:beforeLines="50"/>
                    <w:jc w:val="center"/>
                    <w:rPr>
                      <w:sz w:val="22"/>
                    </w:rPr>
                  </w:pPr>
                  <w:r>
                    <w:rPr>
                      <w:rFonts w:hint="eastAsia"/>
                      <w:sz w:val="22"/>
                    </w:rPr>
                    <w:t>3</w:t>
                  </w:r>
                </w:p>
              </w:tc>
              <w:tc>
                <w:tcPr>
                  <w:tcW w:w="1668" w:type="dxa"/>
                  <w:tcBorders>
                    <w:left w:val="single" w:color="auto" w:sz="4" w:space="0"/>
                    <w:right w:val="single" w:color="auto" w:sz="4" w:space="0"/>
                  </w:tcBorders>
                  <w:vAlign w:val="center"/>
                </w:tcPr>
                <w:p>
                  <w:pPr>
                    <w:topLinePunct/>
                    <w:snapToGrid w:val="0"/>
                    <w:spacing w:before="120" w:beforeLines="50"/>
                    <w:jc w:val="center"/>
                    <w:rPr>
                      <w:sz w:val="22"/>
                    </w:rPr>
                  </w:pPr>
                </w:p>
              </w:tc>
              <w:tc>
                <w:tcPr>
                  <w:tcW w:w="2216" w:type="dxa"/>
                  <w:tcBorders>
                    <w:left w:val="single" w:color="auto" w:sz="4" w:space="0"/>
                    <w:right w:val="single" w:color="auto" w:sz="4" w:space="0"/>
                  </w:tcBorders>
                  <w:vAlign w:val="center"/>
                </w:tcPr>
                <w:p>
                  <w:pPr>
                    <w:topLinePunct/>
                    <w:snapToGrid w:val="0"/>
                    <w:spacing w:before="120" w:beforeLines="50"/>
                    <w:jc w:val="center"/>
                    <w:rPr>
                      <w:sz w:val="22"/>
                    </w:rPr>
                  </w:pPr>
                  <w:r>
                    <w:rPr>
                      <w:sz w:val="22"/>
                    </w:rPr>
                    <w:t>视频时长约10-15分钟</w:t>
                  </w:r>
                  <w:r>
                    <w:rPr>
                      <w:rFonts w:hint="eastAsia"/>
                      <w:sz w:val="22"/>
                    </w:rPr>
                    <w:t>，</w:t>
                  </w:r>
                  <w:r>
                    <w:rPr>
                      <w:sz w:val="22"/>
                    </w:rPr>
                    <w:t>一个知识点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pPr>
                    <w:topLinePunct/>
                    <w:snapToGrid w:val="0"/>
                    <w:spacing w:before="120" w:beforeLines="50"/>
                    <w:jc w:val="center"/>
                    <w:rPr>
                      <w:sz w:val="22"/>
                    </w:rPr>
                  </w:pPr>
                  <w:r>
                    <w:rPr>
                      <w:sz w:val="22"/>
                    </w:rPr>
                    <w:t>3</w:t>
                  </w:r>
                </w:p>
              </w:tc>
              <w:tc>
                <w:tcPr>
                  <w:tcW w:w="1787" w:type="dxa"/>
                  <w:vAlign w:val="center"/>
                </w:tcPr>
                <w:p>
                  <w:pPr>
                    <w:spacing w:before="120" w:beforeLines="50"/>
                    <w:jc w:val="center"/>
                  </w:pPr>
                  <w:r>
                    <w:rPr>
                      <w:rFonts w:hint="eastAsia"/>
                      <w:sz w:val="24"/>
                      <w:szCs w:val="22"/>
                    </w:rPr>
                    <w:t>微课比赛</w:t>
                  </w:r>
                  <w:r>
                    <w:rPr>
                      <w:sz w:val="24"/>
                      <w:szCs w:val="22"/>
                    </w:rPr>
                    <w:t>视频</w:t>
                  </w:r>
                </w:p>
              </w:tc>
              <w:tc>
                <w:tcPr>
                  <w:tcW w:w="1899" w:type="dxa"/>
                  <w:tcBorders>
                    <w:right w:val="single" w:color="auto" w:sz="4" w:space="0"/>
                  </w:tcBorders>
                  <w:vAlign w:val="center"/>
                </w:tcPr>
                <w:p>
                  <w:pPr>
                    <w:spacing w:before="120" w:beforeLines="50"/>
                    <w:jc w:val="center"/>
                  </w:pPr>
                  <w:r>
                    <w:t>3000/个</w:t>
                  </w:r>
                </w:p>
              </w:tc>
              <w:tc>
                <w:tcPr>
                  <w:tcW w:w="834" w:type="dxa"/>
                  <w:tcBorders>
                    <w:left w:val="single" w:color="auto" w:sz="4" w:space="0"/>
                    <w:right w:val="single" w:color="auto" w:sz="4" w:space="0"/>
                  </w:tcBorders>
                  <w:vAlign w:val="center"/>
                </w:tcPr>
                <w:p>
                  <w:pPr>
                    <w:topLinePunct/>
                    <w:snapToGrid w:val="0"/>
                    <w:spacing w:before="120" w:beforeLines="50"/>
                    <w:jc w:val="center"/>
                    <w:rPr>
                      <w:sz w:val="22"/>
                    </w:rPr>
                  </w:pPr>
                  <w:r>
                    <w:rPr>
                      <w:rFonts w:hint="eastAsia"/>
                      <w:sz w:val="22"/>
                    </w:rPr>
                    <w:t>6</w:t>
                  </w:r>
                </w:p>
              </w:tc>
              <w:tc>
                <w:tcPr>
                  <w:tcW w:w="1668" w:type="dxa"/>
                  <w:tcBorders>
                    <w:left w:val="single" w:color="auto" w:sz="4" w:space="0"/>
                    <w:right w:val="single" w:color="auto" w:sz="4" w:space="0"/>
                  </w:tcBorders>
                  <w:vAlign w:val="center"/>
                </w:tcPr>
                <w:p>
                  <w:pPr>
                    <w:topLinePunct/>
                    <w:snapToGrid w:val="0"/>
                    <w:spacing w:before="120" w:beforeLines="50"/>
                    <w:jc w:val="center"/>
                    <w:rPr>
                      <w:sz w:val="22"/>
                    </w:rPr>
                  </w:pPr>
                </w:p>
              </w:tc>
              <w:tc>
                <w:tcPr>
                  <w:tcW w:w="2216" w:type="dxa"/>
                  <w:tcBorders>
                    <w:left w:val="single" w:color="auto" w:sz="4" w:space="0"/>
                    <w:right w:val="single" w:color="auto" w:sz="4" w:space="0"/>
                  </w:tcBorders>
                  <w:vAlign w:val="center"/>
                </w:tcPr>
                <w:p>
                  <w:pPr>
                    <w:topLinePunct/>
                    <w:snapToGrid w:val="0"/>
                    <w:spacing w:before="120" w:beforeLines="50"/>
                    <w:jc w:val="center"/>
                    <w:rPr>
                      <w:sz w:val="22"/>
                    </w:rPr>
                  </w:pPr>
                  <w:r>
                    <w:rPr>
                      <w:sz w:val="22"/>
                    </w:rPr>
                    <w:t>8-15分钟的微课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pPr>
                    <w:topLinePunct/>
                    <w:snapToGrid w:val="0"/>
                    <w:spacing w:before="120" w:beforeLines="50"/>
                    <w:jc w:val="center"/>
                    <w:rPr>
                      <w:sz w:val="22"/>
                    </w:rPr>
                  </w:pPr>
                  <w:r>
                    <w:rPr>
                      <w:sz w:val="22"/>
                    </w:rPr>
                    <w:t>4</w:t>
                  </w:r>
                </w:p>
              </w:tc>
              <w:tc>
                <w:tcPr>
                  <w:tcW w:w="1787" w:type="dxa"/>
                  <w:vAlign w:val="center"/>
                </w:tcPr>
                <w:p>
                  <w:pPr>
                    <w:spacing w:before="120" w:beforeLines="50"/>
                    <w:jc w:val="center"/>
                  </w:pPr>
                  <w:r>
                    <w:rPr>
                      <w:sz w:val="24"/>
                      <w:szCs w:val="22"/>
                    </w:rPr>
                    <w:t>二维动画制作</w:t>
                  </w:r>
                </w:p>
              </w:tc>
              <w:tc>
                <w:tcPr>
                  <w:tcW w:w="1899" w:type="dxa"/>
                  <w:tcBorders>
                    <w:right w:val="single" w:color="auto" w:sz="4" w:space="0"/>
                  </w:tcBorders>
                  <w:vAlign w:val="center"/>
                </w:tcPr>
                <w:p>
                  <w:pPr>
                    <w:spacing w:before="120" w:beforeLines="50"/>
                    <w:jc w:val="center"/>
                  </w:pPr>
                  <w:r>
                    <w:t>100/秒</w:t>
                  </w:r>
                </w:p>
              </w:tc>
              <w:tc>
                <w:tcPr>
                  <w:tcW w:w="834" w:type="dxa"/>
                  <w:tcBorders>
                    <w:left w:val="single" w:color="auto" w:sz="4" w:space="0"/>
                    <w:right w:val="single" w:color="auto" w:sz="4" w:space="0"/>
                  </w:tcBorders>
                  <w:vAlign w:val="center"/>
                </w:tcPr>
                <w:p>
                  <w:pPr>
                    <w:topLinePunct/>
                    <w:snapToGrid w:val="0"/>
                    <w:spacing w:before="120" w:beforeLines="50"/>
                    <w:jc w:val="center"/>
                    <w:rPr>
                      <w:sz w:val="22"/>
                    </w:rPr>
                  </w:pPr>
                  <w:r>
                    <w:rPr>
                      <w:rFonts w:hint="eastAsia"/>
                      <w:sz w:val="22"/>
                    </w:rPr>
                    <w:t>2</w:t>
                  </w:r>
                </w:p>
              </w:tc>
              <w:tc>
                <w:tcPr>
                  <w:tcW w:w="1668" w:type="dxa"/>
                  <w:tcBorders>
                    <w:left w:val="single" w:color="auto" w:sz="4" w:space="0"/>
                    <w:right w:val="single" w:color="auto" w:sz="4" w:space="0"/>
                  </w:tcBorders>
                  <w:vAlign w:val="center"/>
                </w:tcPr>
                <w:p>
                  <w:pPr>
                    <w:topLinePunct/>
                    <w:snapToGrid w:val="0"/>
                    <w:spacing w:before="120" w:beforeLines="50"/>
                    <w:jc w:val="center"/>
                    <w:rPr>
                      <w:sz w:val="22"/>
                    </w:rPr>
                  </w:pPr>
                </w:p>
              </w:tc>
              <w:tc>
                <w:tcPr>
                  <w:tcW w:w="2216" w:type="dxa"/>
                  <w:tcBorders>
                    <w:left w:val="single" w:color="auto" w:sz="4" w:space="0"/>
                    <w:right w:val="single" w:color="auto" w:sz="4" w:space="0"/>
                  </w:tcBorders>
                  <w:vAlign w:val="center"/>
                </w:tcPr>
                <w:p>
                  <w:pPr>
                    <w:topLinePunct/>
                    <w:snapToGrid w:val="0"/>
                    <w:spacing w:before="120" w:beforeLines="5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pPr>
                    <w:topLinePunct/>
                    <w:snapToGrid w:val="0"/>
                    <w:spacing w:before="120" w:beforeLines="50"/>
                    <w:jc w:val="center"/>
                    <w:rPr>
                      <w:sz w:val="22"/>
                    </w:rPr>
                  </w:pPr>
                  <w:r>
                    <w:rPr>
                      <w:sz w:val="22"/>
                    </w:rPr>
                    <w:t>5</w:t>
                  </w:r>
                </w:p>
              </w:tc>
              <w:tc>
                <w:tcPr>
                  <w:tcW w:w="1787" w:type="dxa"/>
                  <w:vAlign w:val="center"/>
                </w:tcPr>
                <w:p>
                  <w:pPr>
                    <w:spacing w:before="120" w:beforeLines="50"/>
                    <w:jc w:val="center"/>
                  </w:pPr>
                  <w:r>
                    <w:rPr>
                      <w:sz w:val="24"/>
                      <w:szCs w:val="22"/>
                    </w:rPr>
                    <w:t>三维动画制作</w:t>
                  </w:r>
                </w:p>
              </w:tc>
              <w:tc>
                <w:tcPr>
                  <w:tcW w:w="1899" w:type="dxa"/>
                  <w:tcBorders>
                    <w:right w:val="single" w:color="auto" w:sz="4" w:space="0"/>
                  </w:tcBorders>
                  <w:vAlign w:val="center"/>
                </w:tcPr>
                <w:p>
                  <w:pPr>
                    <w:spacing w:before="120" w:beforeLines="50"/>
                    <w:jc w:val="center"/>
                  </w:pPr>
                  <w:r>
                    <w:t>200/秒</w:t>
                  </w:r>
                </w:p>
              </w:tc>
              <w:tc>
                <w:tcPr>
                  <w:tcW w:w="834" w:type="dxa"/>
                  <w:tcBorders>
                    <w:left w:val="single" w:color="auto" w:sz="4" w:space="0"/>
                    <w:right w:val="single" w:color="auto" w:sz="4" w:space="0"/>
                  </w:tcBorders>
                  <w:vAlign w:val="center"/>
                </w:tcPr>
                <w:p>
                  <w:pPr>
                    <w:topLinePunct/>
                    <w:snapToGrid w:val="0"/>
                    <w:spacing w:before="120" w:beforeLines="50"/>
                    <w:jc w:val="center"/>
                    <w:rPr>
                      <w:sz w:val="22"/>
                    </w:rPr>
                  </w:pPr>
                  <w:r>
                    <w:rPr>
                      <w:rFonts w:hint="eastAsia"/>
                      <w:sz w:val="22"/>
                    </w:rPr>
                    <w:t>2</w:t>
                  </w:r>
                </w:p>
              </w:tc>
              <w:tc>
                <w:tcPr>
                  <w:tcW w:w="1668" w:type="dxa"/>
                  <w:tcBorders>
                    <w:left w:val="single" w:color="auto" w:sz="4" w:space="0"/>
                    <w:right w:val="single" w:color="auto" w:sz="4" w:space="0"/>
                  </w:tcBorders>
                  <w:vAlign w:val="center"/>
                </w:tcPr>
                <w:p>
                  <w:pPr>
                    <w:topLinePunct/>
                    <w:snapToGrid w:val="0"/>
                    <w:spacing w:before="120" w:beforeLines="50"/>
                    <w:jc w:val="center"/>
                    <w:rPr>
                      <w:sz w:val="22"/>
                    </w:rPr>
                  </w:pPr>
                </w:p>
              </w:tc>
              <w:tc>
                <w:tcPr>
                  <w:tcW w:w="2216" w:type="dxa"/>
                  <w:tcBorders>
                    <w:left w:val="single" w:color="auto" w:sz="4" w:space="0"/>
                    <w:right w:val="single" w:color="auto" w:sz="4" w:space="0"/>
                  </w:tcBorders>
                  <w:vAlign w:val="center"/>
                </w:tcPr>
                <w:p>
                  <w:pPr>
                    <w:topLinePunct/>
                    <w:snapToGrid w:val="0"/>
                    <w:spacing w:before="120" w:beforeLines="5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7" w:type="dxa"/>
                  <w:vAlign w:val="center"/>
                </w:tcPr>
                <w:p>
                  <w:pPr>
                    <w:topLinePunct/>
                    <w:snapToGrid w:val="0"/>
                    <w:spacing w:before="120" w:beforeLines="50"/>
                    <w:jc w:val="center"/>
                    <w:rPr>
                      <w:sz w:val="22"/>
                    </w:rPr>
                  </w:pPr>
                  <w:r>
                    <w:rPr>
                      <w:rFonts w:hint="eastAsia"/>
                      <w:sz w:val="22"/>
                    </w:rPr>
                    <w:t>6</w:t>
                  </w:r>
                </w:p>
              </w:tc>
              <w:tc>
                <w:tcPr>
                  <w:tcW w:w="1787" w:type="dxa"/>
                  <w:vAlign w:val="center"/>
                </w:tcPr>
                <w:p>
                  <w:pPr>
                    <w:spacing w:before="120" w:beforeLines="50"/>
                    <w:jc w:val="center"/>
                    <w:rPr>
                      <w:sz w:val="24"/>
                      <w:szCs w:val="22"/>
                    </w:rPr>
                  </w:pPr>
                  <w:r>
                    <w:rPr>
                      <w:rFonts w:hint="eastAsia"/>
                      <w:sz w:val="24"/>
                      <w:szCs w:val="22"/>
                    </w:rPr>
                    <w:t>现场拍摄（直播）活动</w:t>
                  </w:r>
                </w:p>
              </w:tc>
              <w:tc>
                <w:tcPr>
                  <w:tcW w:w="1899" w:type="dxa"/>
                  <w:tcBorders>
                    <w:right w:val="single" w:color="auto" w:sz="4" w:space="0"/>
                  </w:tcBorders>
                  <w:vAlign w:val="center"/>
                </w:tcPr>
                <w:p>
                  <w:pPr>
                    <w:spacing w:before="120" w:beforeLines="50"/>
                    <w:jc w:val="center"/>
                  </w:pPr>
                  <w:r>
                    <w:t>2000</w:t>
                  </w:r>
                  <w:r>
                    <w:rPr>
                      <w:rFonts w:hint="eastAsia"/>
                    </w:rPr>
                    <w:t>元/场</w:t>
                  </w:r>
                </w:p>
              </w:tc>
              <w:tc>
                <w:tcPr>
                  <w:tcW w:w="834" w:type="dxa"/>
                  <w:tcBorders>
                    <w:left w:val="single" w:color="auto" w:sz="4" w:space="0"/>
                    <w:bottom w:val="single" w:color="auto" w:sz="4" w:space="0"/>
                    <w:right w:val="single" w:color="auto" w:sz="4" w:space="0"/>
                  </w:tcBorders>
                  <w:vAlign w:val="center"/>
                </w:tcPr>
                <w:p>
                  <w:pPr>
                    <w:topLinePunct/>
                    <w:snapToGrid w:val="0"/>
                    <w:spacing w:before="120" w:beforeLines="50"/>
                    <w:jc w:val="center"/>
                    <w:rPr>
                      <w:sz w:val="22"/>
                    </w:rPr>
                  </w:pPr>
                  <w:r>
                    <w:rPr>
                      <w:rFonts w:hint="eastAsia"/>
                      <w:sz w:val="22"/>
                    </w:rPr>
                    <w:t>1</w:t>
                  </w:r>
                </w:p>
              </w:tc>
              <w:tc>
                <w:tcPr>
                  <w:tcW w:w="1668" w:type="dxa"/>
                  <w:tcBorders>
                    <w:left w:val="single" w:color="auto" w:sz="4" w:space="0"/>
                    <w:bottom w:val="single" w:color="auto" w:sz="4" w:space="0"/>
                    <w:right w:val="single" w:color="auto" w:sz="4" w:space="0"/>
                  </w:tcBorders>
                  <w:vAlign w:val="center"/>
                </w:tcPr>
                <w:p>
                  <w:pPr>
                    <w:topLinePunct/>
                    <w:snapToGrid w:val="0"/>
                    <w:spacing w:before="120" w:beforeLines="50"/>
                    <w:jc w:val="center"/>
                    <w:rPr>
                      <w:sz w:val="22"/>
                    </w:rPr>
                  </w:pPr>
                </w:p>
              </w:tc>
              <w:tc>
                <w:tcPr>
                  <w:tcW w:w="2216" w:type="dxa"/>
                  <w:tcBorders>
                    <w:left w:val="single" w:color="auto" w:sz="4" w:space="0"/>
                    <w:bottom w:val="single" w:color="auto" w:sz="4" w:space="0"/>
                    <w:right w:val="single" w:color="auto" w:sz="4" w:space="0"/>
                  </w:tcBorders>
                  <w:vAlign w:val="center"/>
                </w:tcPr>
                <w:p>
                  <w:pPr>
                    <w:topLinePunct/>
                    <w:snapToGrid w:val="0"/>
                    <w:spacing w:before="120" w:beforeLines="50"/>
                    <w:jc w:val="center"/>
                    <w:rPr>
                      <w:rFonts w:ascii="仿宋" w:hAnsi="仿宋" w:eastAsia="仿宋"/>
                      <w:b/>
                      <w:bCs/>
                      <w:szCs w:val="21"/>
                    </w:rPr>
                  </w:pPr>
                  <w:r>
                    <w:rPr>
                      <w:rFonts w:hint="eastAsia" w:ascii="仿宋" w:hAnsi="仿宋" w:eastAsia="仿宋" w:cs="宋体"/>
                      <w:b/>
                      <w:bCs/>
                      <w:szCs w:val="21"/>
                    </w:rPr>
                    <w:t>包含前期调试费用</w:t>
                  </w:r>
                </w:p>
              </w:tc>
            </w:tr>
          </w:tbl>
          <w:p>
            <w:pPr>
              <w:pStyle w:val="100"/>
              <w:ind w:firstLine="420"/>
            </w:pPr>
          </w:p>
        </w:tc>
      </w:tr>
    </w:tbl>
    <w:p>
      <w:pPr>
        <w:rPr>
          <w:b/>
          <w:bCs/>
        </w:rPr>
      </w:pPr>
    </w:p>
    <w:p>
      <w:pPr>
        <w:rPr>
          <w:b/>
          <w:bCs/>
          <w:sz w:val="24"/>
        </w:rPr>
      </w:pPr>
      <w:r>
        <w:rPr>
          <w:rFonts w:hint="eastAsia"/>
          <w:b/>
          <w:bCs/>
          <w:sz w:val="24"/>
        </w:rPr>
        <w:t>（此报价为本项目的最终报价，最终报价包含本项目所有费用）</w:t>
      </w:r>
    </w:p>
    <w:p>
      <w:pPr>
        <w:adjustRightInd w:val="0"/>
        <w:snapToGrid w:val="0"/>
        <w:spacing w:line="360" w:lineRule="auto"/>
        <w:ind w:left="480"/>
        <w:jc w:val="left"/>
        <w:rPr>
          <w:rFonts w:ascii="宋体" w:cs="宋体"/>
          <w:sz w:val="24"/>
        </w:rPr>
      </w:pPr>
      <w:r>
        <w:rPr>
          <w:rFonts w:hint="eastAsia" w:ascii="宋体" w:hAnsi="宋体" w:cs="宋体"/>
          <w:sz w:val="24"/>
        </w:rPr>
        <w:t>注：</w:t>
      </w:r>
      <w:r>
        <w:rPr>
          <w:rFonts w:ascii="宋体" w:hAnsi="宋体" w:cs="宋体"/>
          <w:sz w:val="24"/>
        </w:rPr>
        <w:t xml:space="preserve"> 1</w:t>
      </w:r>
      <w:r>
        <w:rPr>
          <w:rFonts w:hint="eastAsia" w:ascii="宋体" w:hAnsi="宋体" w:cs="宋体"/>
          <w:sz w:val="24"/>
        </w:rPr>
        <w:t>、竞争性磋商含有二次报价，且二次价格不得高于首次报价，总价包含本项目所有费用。未按要求填写可视为无效报价。</w:t>
      </w:r>
    </w:p>
    <w:p>
      <w:pPr>
        <w:adjustRightInd w:val="0"/>
        <w:snapToGrid w:val="0"/>
        <w:spacing w:line="360" w:lineRule="auto"/>
        <w:jc w:val="left"/>
        <w:rPr>
          <w:rFonts w:ascii="宋体" w:hAnsi="宋体" w:cs="宋体"/>
          <w:b/>
          <w:sz w:val="24"/>
        </w:rPr>
      </w:pPr>
      <w:r>
        <w:rPr>
          <w:rFonts w:hint="eastAsia" w:ascii="宋体" w:hAnsi="宋体" w:cs="宋体"/>
          <w:b/>
          <w:sz w:val="24"/>
        </w:rPr>
        <w:t>2、本项目评委费由中标供应商支付，请各投标供应商将此费用一并考虑在投标报价中。</w:t>
      </w:r>
    </w:p>
    <w:p>
      <w:pPr>
        <w:adjustRightInd w:val="0"/>
        <w:snapToGrid w:val="0"/>
        <w:spacing w:line="360" w:lineRule="auto"/>
        <w:jc w:val="left"/>
        <w:rPr>
          <w:rFonts w:ascii="宋体" w:hAnsi="宋体" w:cs="宋体"/>
          <w:b/>
          <w:sz w:val="24"/>
        </w:rPr>
      </w:pPr>
      <w:r>
        <w:rPr>
          <w:rFonts w:hint="eastAsia" w:ascii="宋体" w:hAnsi="宋体" w:cs="宋体"/>
          <w:b/>
          <w:sz w:val="24"/>
        </w:rPr>
        <w:t>3、投标单位需在报价单后附一张空报价表作现场二次报价时使用，并加盖公章。</w:t>
      </w:r>
    </w:p>
    <w:p>
      <w:pPr>
        <w:pStyle w:val="100"/>
        <w:ind w:left="0" w:leftChars="0" w:firstLine="0" w:firstLineChars="0"/>
      </w:pPr>
      <w:r>
        <w:rPr>
          <w:rFonts w:hint="eastAsia" w:ascii="宋体" w:hAnsi="宋体" w:cs="宋体"/>
          <w:b/>
          <w:sz w:val="24"/>
        </w:rPr>
        <w:t>4、报价大小写均需要提供，大小写不一致时以大写为准。</w:t>
      </w:r>
    </w:p>
    <w:p>
      <w:pPr>
        <w:snapToGrid w:val="0"/>
        <w:spacing w:line="520" w:lineRule="exact"/>
        <w:outlineLvl w:val="3"/>
        <w:rPr>
          <w:rFonts w:ascii="宋体" w:hAnsi="宋体" w:cs="宋体"/>
          <w:b/>
          <w:sz w:val="24"/>
        </w:rPr>
      </w:pPr>
    </w:p>
    <w:p>
      <w:pPr>
        <w:kinsoku w:val="0"/>
        <w:topLinePunct/>
        <w:snapToGrid w:val="0"/>
        <w:spacing w:line="520" w:lineRule="exact"/>
        <w:rPr>
          <w:rFonts w:ascii="宋体"/>
          <w:sz w:val="24"/>
        </w:rPr>
      </w:pPr>
      <w:r>
        <w:rPr>
          <w:rFonts w:hint="eastAsia" w:ascii="宋体" w:hAnsi="宋体" w:cs="宋体"/>
          <w:sz w:val="24"/>
        </w:rPr>
        <w:t>竞争性磋商响应单位：（盖章）</w:t>
      </w:r>
    </w:p>
    <w:p>
      <w:pPr>
        <w:kinsoku w:val="0"/>
        <w:topLinePunct/>
        <w:snapToGrid w:val="0"/>
        <w:spacing w:line="520" w:lineRule="exact"/>
        <w:rPr>
          <w:rFonts w:ascii="宋体"/>
          <w:sz w:val="24"/>
        </w:rPr>
      </w:pPr>
      <w:r>
        <w:rPr>
          <w:rFonts w:hint="eastAsia" w:ascii="宋体" w:hAnsi="宋体" w:cs="宋体"/>
          <w:sz w:val="24"/>
        </w:rPr>
        <w:t>法定代表人或被授权人（签字或盖章）：</w:t>
      </w:r>
    </w:p>
    <w:p>
      <w:pPr>
        <w:kinsoku w:val="0"/>
        <w:topLinePunct/>
        <w:snapToGrid w:val="0"/>
        <w:spacing w:line="520" w:lineRule="exact"/>
        <w:rPr>
          <w:rFonts w:ascii="宋体" w:hAnsi="宋体" w:cs="宋体"/>
          <w:sz w:val="24"/>
        </w:rPr>
      </w:pPr>
      <w:r>
        <w:rPr>
          <w:rFonts w:hint="eastAsia" w:ascii="宋体" w:hAnsi="宋体" w:cs="宋体"/>
          <w:sz w:val="24"/>
        </w:rPr>
        <w:t>日期：</w:t>
      </w:r>
    </w:p>
    <w:p>
      <w:pPr>
        <w:tabs>
          <w:tab w:val="left" w:pos="3375"/>
        </w:tabs>
        <w:autoSpaceDE w:val="0"/>
        <w:autoSpaceDN w:val="0"/>
        <w:adjustRightInd w:val="0"/>
        <w:snapToGrid w:val="0"/>
        <w:spacing w:line="300" w:lineRule="auto"/>
        <w:ind w:left="1" w:firstLine="538"/>
        <w:rPr>
          <w:rFonts w:ascii="仿宋_GB2312" w:eastAsia="仿宋_GB2312"/>
          <w:sz w:val="28"/>
          <w:szCs w:val="28"/>
        </w:rPr>
      </w:pPr>
    </w:p>
    <w:p>
      <w:pPr>
        <w:tabs>
          <w:tab w:val="left" w:pos="3375"/>
        </w:tabs>
        <w:autoSpaceDE w:val="0"/>
        <w:autoSpaceDN w:val="0"/>
        <w:adjustRightInd w:val="0"/>
        <w:snapToGrid w:val="0"/>
        <w:spacing w:line="300" w:lineRule="auto"/>
        <w:ind w:left="1" w:firstLine="538"/>
        <w:rPr>
          <w:rFonts w:ascii="仿宋_GB2312" w:eastAsia="仿宋_GB2312"/>
          <w:sz w:val="28"/>
          <w:szCs w:val="28"/>
        </w:rPr>
      </w:pPr>
    </w:p>
    <w:p>
      <w:pPr>
        <w:tabs>
          <w:tab w:val="left" w:pos="3375"/>
        </w:tabs>
        <w:autoSpaceDE w:val="0"/>
        <w:autoSpaceDN w:val="0"/>
        <w:adjustRightInd w:val="0"/>
        <w:snapToGrid w:val="0"/>
        <w:spacing w:line="300" w:lineRule="auto"/>
        <w:ind w:left="1" w:firstLine="538"/>
        <w:rPr>
          <w:rFonts w:ascii="仿宋_GB2312" w:eastAsia="仿宋_GB2312"/>
          <w:sz w:val="28"/>
          <w:szCs w:val="28"/>
        </w:rPr>
      </w:pPr>
    </w:p>
    <w:p>
      <w:pPr>
        <w:tabs>
          <w:tab w:val="left" w:pos="3375"/>
        </w:tabs>
        <w:autoSpaceDE w:val="0"/>
        <w:autoSpaceDN w:val="0"/>
        <w:adjustRightInd w:val="0"/>
        <w:snapToGrid w:val="0"/>
        <w:spacing w:line="300" w:lineRule="auto"/>
        <w:rPr>
          <w:rFonts w:ascii="仿宋_GB2312" w:eastAsia="仿宋_GB2312"/>
          <w:sz w:val="28"/>
          <w:szCs w:val="28"/>
        </w:rPr>
      </w:pPr>
    </w:p>
    <w:p>
      <w:pPr>
        <w:snapToGrid w:val="0"/>
        <w:spacing w:line="360" w:lineRule="auto"/>
        <w:ind w:right="-351" w:rightChars="-167" w:firstLine="2891" w:firstLineChars="800"/>
        <w:rPr>
          <w:b/>
          <w:sz w:val="36"/>
          <w:szCs w:val="36"/>
        </w:rPr>
      </w:pPr>
      <w:r>
        <w:rPr>
          <w:rFonts w:hAnsi="宋体"/>
          <w:b/>
          <w:bCs/>
          <w:sz w:val="36"/>
          <w:szCs w:val="36"/>
        </w:rPr>
        <w:br w:type="page"/>
      </w:r>
      <w:r>
        <w:rPr>
          <w:rFonts w:hint="eastAsia" w:hAnsi="宋体"/>
          <w:b/>
          <w:bCs/>
          <w:sz w:val="36"/>
          <w:szCs w:val="36"/>
        </w:rPr>
        <w:t>法定代表人资格证明</w:t>
      </w:r>
    </w:p>
    <w:p>
      <w:pPr>
        <w:spacing w:line="360" w:lineRule="auto"/>
        <w:ind w:left="-137" w:right="-351" w:rightChars="-167"/>
        <w:rPr>
          <w:sz w:val="28"/>
          <w:szCs w:val="28"/>
        </w:rPr>
      </w:pPr>
      <w:r>
        <w:rPr>
          <w:rFonts w:hint="eastAsia"/>
          <w:sz w:val="28"/>
          <w:szCs w:val="28"/>
        </w:rPr>
        <w:t>南通开放大学：</w:t>
      </w:r>
    </w:p>
    <w:p>
      <w:pPr>
        <w:widowControl/>
        <w:snapToGrid w:val="0"/>
        <w:spacing w:line="360" w:lineRule="auto"/>
        <w:ind w:firstLine="700" w:firstLineChars="250"/>
        <w:jc w:val="left"/>
        <w:rPr>
          <w:rFonts w:cs="宋体"/>
          <w:sz w:val="28"/>
          <w:szCs w:val="28"/>
        </w:rPr>
      </w:pPr>
    </w:p>
    <w:p>
      <w:pPr>
        <w:widowControl/>
        <w:snapToGrid w:val="0"/>
        <w:spacing w:line="360" w:lineRule="auto"/>
        <w:ind w:firstLine="560" w:firstLineChars="200"/>
        <w:jc w:val="left"/>
        <w:rPr>
          <w:rFonts w:cs="宋体"/>
          <w:sz w:val="18"/>
          <w:szCs w:val="18"/>
        </w:rPr>
      </w:pPr>
      <w:r>
        <w:rPr>
          <w:rFonts w:hint="eastAsia" w:hAnsi="宋体" w:cs="宋体"/>
          <w:sz w:val="28"/>
          <w:szCs w:val="28"/>
        </w:rPr>
        <w:t>单位名称：</w:t>
      </w:r>
    </w:p>
    <w:p>
      <w:pPr>
        <w:widowControl/>
        <w:snapToGrid w:val="0"/>
        <w:spacing w:line="360" w:lineRule="auto"/>
        <w:ind w:firstLine="560" w:firstLineChars="200"/>
        <w:jc w:val="left"/>
        <w:rPr>
          <w:rFonts w:cs="宋体"/>
          <w:sz w:val="18"/>
          <w:szCs w:val="18"/>
        </w:rPr>
      </w:pPr>
      <w:r>
        <w:rPr>
          <w:rFonts w:hint="eastAsia" w:hAnsi="宋体" w:cs="宋体"/>
          <w:sz w:val="28"/>
          <w:szCs w:val="28"/>
        </w:rPr>
        <w:t>地址：</w:t>
      </w:r>
    </w:p>
    <w:p>
      <w:pPr>
        <w:widowControl/>
        <w:snapToGrid w:val="0"/>
        <w:spacing w:line="360" w:lineRule="auto"/>
        <w:ind w:firstLine="600"/>
        <w:jc w:val="left"/>
        <w:rPr>
          <w:rFonts w:cs="宋体"/>
          <w:sz w:val="18"/>
          <w:szCs w:val="18"/>
        </w:rPr>
      </w:pPr>
      <w:r>
        <w:rPr>
          <w:rFonts w:hint="eastAsia" w:hAnsi="宋体" w:cs="宋体"/>
          <w:sz w:val="28"/>
          <w:szCs w:val="28"/>
        </w:rPr>
        <w:t>姓名：性别：职务：身份证号码：，系</w:t>
      </w:r>
      <w:r>
        <w:rPr>
          <w:rFonts w:hint="eastAsia" w:hAnsi="宋体" w:cs="宋体"/>
          <w:sz w:val="28"/>
          <w:szCs w:val="28"/>
          <w:u w:val="single"/>
        </w:rPr>
        <w:t>（供应商名称）</w:t>
      </w:r>
      <w:r>
        <w:rPr>
          <w:rFonts w:hint="eastAsia" w:hAnsi="宋体" w:cs="宋体"/>
          <w:sz w:val="28"/>
          <w:szCs w:val="28"/>
        </w:rPr>
        <w:t>的法定代表人，</w:t>
      </w:r>
      <w:r>
        <w:rPr>
          <w:rFonts w:hint="eastAsia"/>
          <w:sz w:val="28"/>
          <w:szCs w:val="28"/>
        </w:rPr>
        <w:t>以本公司名义</w:t>
      </w:r>
      <w:r>
        <w:rPr>
          <w:rFonts w:hint="eastAsia" w:hAnsi="宋体" w:cs="宋体"/>
          <w:sz w:val="28"/>
          <w:szCs w:val="28"/>
        </w:rPr>
        <w:t>参加南通开放大学</w:t>
      </w:r>
      <w:r>
        <w:rPr>
          <w:rFonts w:hint="eastAsia" w:hAnsi="宋体" w:cs="宋体"/>
          <w:sz w:val="28"/>
          <w:szCs w:val="28"/>
          <w:u w:val="single"/>
        </w:rPr>
        <w:t>（项目名称）</w:t>
      </w:r>
      <w:r>
        <w:rPr>
          <w:rFonts w:hint="eastAsia" w:hAnsi="宋体" w:cs="宋体"/>
          <w:sz w:val="28"/>
          <w:szCs w:val="28"/>
        </w:rPr>
        <w:t>、项目编号：招标采购的投标活动，代表本公司签署投标文件、进行合同谈判、签订合同和处理与之有关的一切事务。</w:t>
      </w:r>
    </w:p>
    <w:p>
      <w:pPr>
        <w:widowControl/>
        <w:snapToGrid w:val="0"/>
        <w:spacing w:line="360" w:lineRule="auto"/>
        <w:ind w:firstLine="600"/>
        <w:jc w:val="left"/>
        <w:rPr>
          <w:rFonts w:cs="宋体"/>
          <w:sz w:val="18"/>
          <w:szCs w:val="18"/>
        </w:rPr>
      </w:pPr>
      <w:r>
        <w:rPr>
          <w:rFonts w:hint="eastAsia" w:hAnsi="宋体" w:cs="宋体"/>
          <w:sz w:val="28"/>
          <w:szCs w:val="28"/>
        </w:rPr>
        <w:t>特此证明。</w:t>
      </w:r>
    </w:p>
    <w:p>
      <w:pPr>
        <w:widowControl/>
        <w:snapToGrid w:val="0"/>
        <w:spacing w:line="360" w:lineRule="auto"/>
        <w:ind w:firstLine="600"/>
        <w:jc w:val="left"/>
        <w:rPr>
          <w:rFonts w:cs="宋体"/>
          <w:sz w:val="18"/>
          <w:szCs w:val="18"/>
        </w:rPr>
      </w:pPr>
      <w:r>
        <w:rPr>
          <w:rFonts w:hint="eastAsia" w:hAnsi="宋体" w:cs="宋体"/>
          <w:sz w:val="28"/>
          <w:szCs w:val="28"/>
        </w:rPr>
        <w:t>供应商名称：（公章）</w:t>
      </w:r>
    </w:p>
    <w:p>
      <w:pPr>
        <w:widowControl/>
        <w:snapToGrid w:val="0"/>
        <w:spacing w:line="360" w:lineRule="auto"/>
        <w:ind w:firstLine="630"/>
        <w:jc w:val="left"/>
        <w:rPr>
          <w:rFonts w:cs="宋体"/>
          <w:sz w:val="18"/>
          <w:szCs w:val="18"/>
        </w:rPr>
      </w:pPr>
      <w:r>
        <w:rPr>
          <w:rFonts w:hint="eastAsia" w:hAnsi="宋体" w:cs="宋体"/>
          <w:sz w:val="28"/>
          <w:szCs w:val="28"/>
        </w:rPr>
        <w:t>日期：年月日</w:t>
      </w:r>
    </w:p>
    <w:p>
      <w:pPr>
        <w:spacing w:line="360" w:lineRule="auto"/>
        <w:ind w:right="-351" w:rightChars="-167"/>
        <w:rPr>
          <w:sz w:val="28"/>
          <w:szCs w:val="28"/>
        </w:rPr>
      </w:pPr>
    </w:p>
    <w:p>
      <w:pPr>
        <w:spacing w:line="360" w:lineRule="auto"/>
        <w:ind w:right="32"/>
        <w:jc w:val="center"/>
        <w:rPr>
          <w:rFonts w:ascii="楷体_GB2312" w:hAnsi="宋体" w:eastAsia="楷体_GB2312"/>
          <w:sz w:val="22"/>
          <w:szCs w:val="22"/>
        </w:rPr>
      </w:pPr>
      <w: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448310</wp:posOffset>
                </wp:positionV>
                <wp:extent cx="3886200" cy="2080895"/>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3886200" cy="2080895"/>
                        </a:xfrm>
                        <a:prstGeom prst="rect">
                          <a:avLst/>
                        </a:prstGeom>
                        <a:solidFill>
                          <a:srgbClr val="FFFFFF"/>
                        </a:solidFill>
                        <a:ln w="9525">
                          <a:solidFill>
                            <a:srgbClr val="000000"/>
                          </a:solidFill>
                          <a:miter lim="800000"/>
                        </a:ln>
                      </wps:spPr>
                      <wps:txbx>
                        <w:txbxContent>
                          <w:p/>
                          <w:p/>
                          <w:p/>
                          <w:p/>
                          <w:p/>
                          <w:p>
                            <w:pPr>
                              <w:jc w:val="center"/>
                            </w:pPr>
                            <w:r>
                              <w:rPr>
                                <w:rFonts w:hint="eastAsia"/>
                              </w:rPr>
                              <w:t>法人代表身份证复印件粘贴处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54pt;margin-top:35.3pt;height:163.85pt;width:306pt;z-index:251659264;mso-width-relative:page;mso-height-relative:page;" fillcolor="#FFFFFF" filled="t" stroked="t" coordsize="21600,21600" o:gfxdata="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N2ut2dgAAAAKAQAADwAAAAAAAAABACAAAAAiAAAAZHJzL2Rvd25yZXYueG1s&#10;UEsBAhQAFAAAAAgAh07iQP6eMd4xAgAAhwQAAA4AAAAAAAAAAQAgAAAAJwEAAGRycy9lMm9Eb2Mu&#10;eG1sUEsFBgAAAAAGAAYAWQEAAMoFAAAAAA==&#10;">
                <v:fill on="t" focussize="0,0"/>
                <v:stroke color="#000000" miterlimit="8" joinstyle="miter"/>
                <v:imagedata o:title=""/>
                <o:lock v:ext="edit" aspectratio="f"/>
                <v:textbox>
                  <w:txbxContent>
                    <w:p/>
                    <w:p/>
                    <w:p/>
                    <w:p/>
                    <w:p/>
                    <w:p>
                      <w:pPr>
                        <w:jc w:val="center"/>
                      </w:pPr>
                      <w:r>
                        <w:rPr>
                          <w:rFonts w:hint="eastAsia"/>
                        </w:rPr>
                        <w:t>法人代表身份证复印件粘贴处</w:t>
                      </w:r>
                    </w:p>
                  </w:txbxContent>
                </v:textbox>
              </v:shape>
            </w:pict>
          </mc:Fallback>
        </mc:AlternateContent>
      </w:r>
      <w:r>
        <w:rPr>
          <w:b/>
          <w:bCs/>
          <w:sz w:val="30"/>
        </w:rPr>
        <w:br w:type="page"/>
      </w:r>
      <w:r>
        <w:rPr>
          <w:rFonts w:hint="eastAsia" w:hAnsi="宋体"/>
          <w:b/>
          <w:bCs/>
          <w:sz w:val="36"/>
          <w:szCs w:val="36"/>
        </w:rPr>
        <w:t>法定代表人授权书</w:t>
      </w:r>
    </w:p>
    <w:p>
      <w:pPr>
        <w:spacing w:line="360" w:lineRule="auto"/>
        <w:ind w:left="-137" w:right="-351" w:rightChars="-167"/>
        <w:rPr>
          <w:sz w:val="28"/>
          <w:szCs w:val="28"/>
        </w:rPr>
      </w:pPr>
      <w:r>
        <w:rPr>
          <w:rFonts w:hint="eastAsia"/>
          <w:sz w:val="28"/>
          <w:szCs w:val="28"/>
        </w:rPr>
        <w:t>南通开放大学：</w:t>
      </w:r>
    </w:p>
    <w:p>
      <w:pPr>
        <w:spacing w:line="360" w:lineRule="auto"/>
        <w:ind w:right="32"/>
        <w:rPr>
          <w:sz w:val="28"/>
          <w:szCs w:val="28"/>
        </w:rPr>
      </w:pPr>
    </w:p>
    <w:p>
      <w:pPr>
        <w:spacing w:line="360" w:lineRule="auto"/>
        <w:ind w:right="34" w:firstLine="560" w:firstLineChars="20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hint="eastAsia" w:hAnsi="宋体" w:cs="宋体"/>
          <w:sz w:val="28"/>
          <w:szCs w:val="28"/>
        </w:rPr>
        <w:t>身份证号码：</w:t>
      </w:r>
      <w:r>
        <w:rPr>
          <w:rFonts w:cs="宋体"/>
          <w:sz w:val="28"/>
          <w:szCs w:val="28"/>
        </w:rPr>
        <w:t>,</w:t>
      </w:r>
      <w:r>
        <w:rPr>
          <w:rFonts w:hint="eastAsia"/>
          <w:sz w:val="28"/>
          <w:szCs w:val="28"/>
        </w:rPr>
        <w:t>为本公司的合法代理人，参加南通开放大学</w:t>
      </w:r>
      <w:r>
        <w:rPr>
          <w:rFonts w:hint="eastAsia"/>
          <w:sz w:val="28"/>
          <w:szCs w:val="28"/>
          <w:u w:val="single"/>
        </w:rPr>
        <w:t>（项目名称）</w:t>
      </w:r>
      <w:r>
        <w:rPr>
          <w:rFonts w:hint="eastAsia"/>
          <w:sz w:val="28"/>
          <w:szCs w:val="28"/>
        </w:rPr>
        <w:t>、项目编号：的投标，以本公司名义处理与之有关的一切与事务。</w:t>
      </w:r>
    </w:p>
    <w:p>
      <w:pPr>
        <w:spacing w:line="360" w:lineRule="auto"/>
        <w:ind w:right="34" w:firstLine="420"/>
        <w:rPr>
          <w:sz w:val="28"/>
          <w:szCs w:val="28"/>
        </w:rPr>
      </w:pPr>
    </w:p>
    <w:p>
      <w:pPr>
        <w:spacing w:line="360" w:lineRule="auto"/>
        <w:ind w:right="34" w:firstLine="560" w:firstLineChars="200"/>
        <w:rPr>
          <w:sz w:val="28"/>
          <w:szCs w:val="28"/>
        </w:rPr>
      </w:pPr>
      <w:r>
        <w:rPr>
          <w:rFonts w:hint="eastAsia"/>
          <w:sz w:val="28"/>
          <w:szCs w:val="28"/>
        </w:rPr>
        <w:t>本授权书于</w:t>
      </w:r>
      <w:r>
        <w:rPr>
          <w:sz w:val="28"/>
          <w:szCs w:val="28"/>
        </w:rPr>
        <w:t>_______</w:t>
      </w:r>
      <w:r>
        <w:rPr>
          <w:rFonts w:hint="eastAsia"/>
          <w:sz w:val="28"/>
          <w:szCs w:val="28"/>
        </w:rPr>
        <w:t>年</w:t>
      </w:r>
      <w:r>
        <w:rPr>
          <w:sz w:val="28"/>
          <w:szCs w:val="28"/>
        </w:rPr>
        <w:t>____</w:t>
      </w:r>
      <w:r>
        <w:rPr>
          <w:rFonts w:hint="eastAsia"/>
          <w:sz w:val="28"/>
          <w:szCs w:val="28"/>
        </w:rPr>
        <w:t>月</w:t>
      </w:r>
      <w:r>
        <w:rPr>
          <w:sz w:val="28"/>
          <w:szCs w:val="28"/>
        </w:rPr>
        <w:t>____</w:t>
      </w:r>
      <w:r>
        <w:rPr>
          <w:rFonts w:hint="eastAsia"/>
          <w:sz w:val="28"/>
          <w:szCs w:val="28"/>
        </w:rPr>
        <w:t>日签字生效。</w:t>
      </w:r>
    </w:p>
    <w:p>
      <w:pPr>
        <w:spacing w:line="360" w:lineRule="auto"/>
        <w:ind w:right="34"/>
        <w:rPr>
          <w:sz w:val="28"/>
          <w:szCs w:val="28"/>
        </w:rPr>
      </w:pPr>
    </w:p>
    <w:p>
      <w:pPr>
        <w:spacing w:line="360" w:lineRule="auto"/>
        <w:ind w:right="34" w:firstLine="280" w:firstLineChars="100"/>
        <w:rPr>
          <w:sz w:val="28"/>
          <w:szCs w:val="28"/>
        </w:rPr>
      </w:pPr>
      <w:r>
        <w:rPr>
          <w:rFonts w:hint="eastAsia"/>
          <w:sz w:val="28"/>
          <w:szCs w:val="28"/>
        </w:rPr>
        <w:t>法定代表人签字：</w:t>
      </w:r>
      <w:r>
        <w:rPr>
          <w:sz w:val="28"/>
          <w:szCs w:val="28"/>
        </w:rPr>
        <w:t>__________________</w:t>
      </w:r>
    </w:p>
    <w:p>
      <w:pPr>
        <w:spacing w:line="360" w:lineRule="auto"/>
        <w:ind w:right="34" w:firstLine="280" w:firstLineChars="100"/>
        <w:rPr>
          <w:sz w:val="28"/>
          <w:szCs w:val="28"/>
        </w:rPr>
      </w:pPr>
      <w:r>
        <w:rPr>
          <w:rFonts w:hint="eastAsia"/>
          <w:sz w:val="28"/>
          <w:szCs w:val="28"/>
        </w:rPr>
        <w:t>被授权人签字：</w:t>
      </w:r>
      <w:r>
        <w:rPr>
          <w:sz w:val="28"/>
          <w:szCs w:val="28"/>
        </w:rPr>
        <w:t>____________________</w:t>
      </w:r>
    </w:p>
    <w:p>
      <w:pPr>
        <w:spacing w:line="360" w:lineRule="auto"/>
        <w:ind w:right="-351" w:rightChars="-167" w:firstLine="280" w:firstLineChars="100"/>
        <w:rPr>
          <w:sz w:val="28"/>
          <w:szCs w:val="28"/>
        </w:rPr>
      </w:pPr>
      <w:r>
        <w:rPr>
          <w:rFonts w:hint="eastAsia"/>
          <w:sz w:val="28"/>
          <w:szCs w:val="28"/>
        </w:rPr>
        <w:t>供应商名称：（公章）</w:t>
      </w:r>
    </w:p>
    <w:p>
      <w:pPr>
        <w:spacing w:line="360" w:lineRule="auto"/>
        <w:ind w:right="-351" w:rightChars="-167" w:firstLine="280" w:firstLineChars="100"/>
        <w:rPr>
          <w:sz w:val="28"/>
          <w:szCs w:val="28"/>
        </w:rPr>
      </w:pPr>
      <w:r>
        <w:rPr>
          <w:rFonts w:hint="eastAsia" w:hAnsi="宋体" w:cs="宋体"/>
          <w:sz w:val="28"/>
          <w:szCs w:val="28"/>
        </w:rPr>
        <w:t>日期：年月日</w:t>
      </w:r>
    </w:p>
    <w:p>
      <w:pPr>
        <w:spacing w:line="360" w:lineRule="auto"/>
        <w:ind w:right="-351" w:rightChars="-167"/>
        <w:rPr>
          <w:sz w:val="28"/>
          <w:szCs w:val="28"/>
        </w:rPr>
      </w:pPr>
      <w:r>
        <mc:AlternateContent>
          <mc:Choice Requires="wps">
            <w:drawing>
              <wp:anchor distT="0" distB="0" distL="114300" distR="114300" simplePos="0" relativeHeight="251660288" behindDoc="0" locked="0" layoutInCell="1" allowOverlap="1">
                <wp:simplePos x="0" y="0"/>
                <wp:positionH relativeFrom="column">
                  <wp:posOffset>733425</wp:posOffset>
                </wp:positionH>
                <wp:positionV relativeFrom="paragraph">
                  <wp:posOffset>116840</wp:posOffset>
                </wp:positionV>
                <wp:extent cx="3886200" cy="2179320"/>
                <wp:effectExtent l="0" t="0"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3886200" cy="2179320"/>
                        </a:xfrm>
                        <a:prstGeom prst="rect">
                          <a:avLst/>
                        </a:prstGeom>
                        <a:solidFill>
                          <a:srgbClr val="FFFFFF"/>
                        </a:solidFill>
                        <a:ln w="9525">
                          <a:solidFill>
                            <a:srgbClr val="000000"/>
                          </a:solidFill>
                          <a:miter lim="800000"/>
                        </a:ln>
                      </wps:spPr>
                      <wps:txbx>
                        <w:txbxContent>
                          <w:p/>
                          <w:p/>
                          <w:p/>
                          <w:p/>
                          <w:p/>
                          <w:p>
                            <w:pPr>
                              <w:jc w:val="center"/>
                            </w:pPr>
                            <w:r>
                              <w:rPr>
                                <w:rFonts w:hint="eastAsia"/>
                              </w:rPr>
                              <w:t>被授权人身份证复印件粘贴处</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57.75pt;margin-top:9.2pt;height:171.6pt;width:306pt;z-index:251660288;mso-width-relative:page;mso-height-relative:page;" fillcolor="#FFFFFF" filled="t" stroked="t" coordsize="21600,21600" o:gfxdata="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PCKY3ZAAAACgEAAA8AAAAAAAAAAQAgAAAAIgAAAGRycy9kb3ducmV2&#10;LnhtbFBLAQIUABQAAAAIAIdO4kBxCTRGNAIAAIcEAAAOAAAAAAAAAAEAIAAAACgBAABkcnMvZTJv&#10;RG9jLnhtbFBLBQYAAAAABgAGAFkBAADOBQAAAAA=&#10;">
                <v:fill on="t" focussize="0,0"/>
                <v:stroke color="#000000" miterlimit="8" joinstyle="miter"/>
                <v:imagedata o:title=""/>
                <o:lock v:ext="edit" aspectratio="f"/>
                <v:textbox>
                  <w:txbxContent>
                    <w:p/>
                    <w:p/>
                    <w:p/>
                    <w:p/>
                    <w:p/>
                    <w:p>
                      <w:pPr>
                        <w:jc w:val="center"/>
                      </w:pPr>
                      <w:r>
                        <w:rPr>
                          <w:rFonts w:hint="eastAsia"/>
                        </w:rPr>
                        <w:t>被授权人身份证复印件粘贴处</w:t>
                      </w:r>
                    </w:p>
                  </w:txbxContent>
                </v:textbox>
              </v:shape>
            </w:pict>
          </mc:Fallback>
        </mc:AlternateContent>
      </w:r>
    </w:p>
    <w:p>
      <w:pPr>
        <w:spacing w:line="360" w:lineRule="auto"/>
        <w:ind w:right="-351" w:rightChars="-167"/>
        <w:rPr>
          <w:sz w:val="28"/>
          <w:szCs w:val="28"/>
        </w:rPr>
      </w:pPr>
    </w:p>
    <w:p>
      <w:pPr>
        <w:spacing w:line="360" w:lineRule="auto"/>
        <w:ind w:right="-351" w:rightChars="-167"/>
        <w:rPr>
          <w:sz w:val="28"/>
          <w:szCs w:val="28"/>
        </w:rPr>
      </w:pPr>
    </w:p>
    <w:p>
      <w:pPr>
        <w:spacing w:line="360" w:lineRule="auto"/>
        <w:ind w:right="-351" w:rightChars="-167"/>
        <w:rPr>
          <w:sz w:val="28"/>
          <w:szCs w:val="28"/>
        </w:rPr>
      </w:pPr>
    </w:p>
    <w:p>
      <w:pPr>
        <w:spacing w:line="360" w:lineRule="auto"/>
        <w:ind w:right="-351" w:rightChars="-167"/>
        <w:rPr>
          <w:sz w:val="28"/>
          <w:szCs w:val="28"/>
        </w:rPr>
      </w:pPr>
    </w:p>
    <w:p>
      <w:pPr>
        <w:pStyle w:val="9"/>
        <w:spacing w:line="360" w:lineRule="auto"/>
        <w:ind w:firstLine="0"/>
        <w:jc w:val="center"/>
        <w:rPr>
          <w:rFonts w:ascii="仿宋_GB2312" w:eastAsia="仿宋_GB2312"/>
          <w:sz w:val="28"/>
          <w:szCs w:val="28"/>
        </w:rPr>
      </w:pPr>
    </w:p>
    <w:p>
      <w:pPr>
        <w:pStyle w:val="9"/>
        <w:spacing w:line="360" w:lineRule="auto"/>
        <w:ind w:firstLine="0"/>
        <w:jc w:val="center"/>
        <w:rPr>
          <w:rFonts w:hAnsi="宋体"/>
          <w:b/>
          <w:sz w:val="36"/>
          <w:szCs w:val="36"/>
        </w:rPr>
      </w:pPr>
    </w:p>
    <w:p>
      <w:pPr>
        <w:pStyle w:val="9"/>
        <w:spacing w:line="360" w:lineRule="auto"/>
        <w:ind w:firstLine="0"/>
        <w:jc w:val="center"/>
        <w:rPr>
          <w:rFonts w:hAnsi="宋体"/>
          <w:b/>
          <w:sz w:val="36"/>
          <w:szCs w:val="36"/>
        </w:rPr>
      </w:pPr>
    </w:p>
    <w:p>
      <w:pPr>
        <w:pStyle w:val="9"/>
        <w:spacing w:line="360" w:lineRule="auto"/>
        <w:ind w:firstLine="0"/>
        <w:jc w:val="center"/>
        <w:rPr>
          <w:rFonts w:hAnsi="宋体"/>
          <w:b/>
          <w:sz w:val="36"/>
          <w:szCs w:val="36"/>
        </w:rPr>
      </w:pPr>
    </w:p>
    <w:p>
      <w:pPr>
        <w:pStyle w:val="9"/>
        <w:spacing w:line="360" w:lineRule="auto"/>
        <w:ind w:firstLine="0"/>
        <w:jc w:val="center"/>
        <w:rPr>
          <w:rFonts w:hAnsi="宋体"/>
          <w:b/>
          <w:sz w:val="36"/>
          <w:szCs w:val="36"/>
        </w:rPr>
      </w:pPr>
    </w:p>
    <w:p>
      <w:pPr>
        <w:pStyle w:val="9"/>
        <w:spacing w:line="360" w:lineRule="auto"/>
        <w:ind w:firstLine="0"/>
        <w:jc w:val="center"/>
        <w:rPr>
          <w:b/>
          <w:sz w:val="36"/>
          <w:szCs w:val="36"/>
        </w:rPr>
      </w:pPr>
      <w:r>
        <w:rPr>
          <w:rFonts w:hint="eastAsia" w:hAnsi="宋体"/>
          <w:b/>
          <w:sz w:val="36"/>
          <w:szCs w:val="36"/>
        </w:rPr>
        <w:t>廉洁承诺书</w:t>
      </w:r>
    </w:p>
    <w:p>
      <w:pPr>
        <w:widowControl/>
        <w:snapToGrid w:val="0"/>
        <w:spacing w:line="360" w:lineRule="auto"/>
        <w:ind w:firstLine="560" w:firstLineChars="200"/>
        <w:jc w:val="left"/>
        <w:rPr>
          <w:rFonts w:cs="宋体"/>
          <w:sz w:val="28"/>
          <w:szCs w:val="28"/>
        </w:rPr>
      </w:pPr>
      <w:r>
        <w:rPr>
          <w:rFonts w:hint="eastAsia" w:cs="宋体"/>
          <w:sz w:val="28"/>
          <w:szCs w:val="28"/>
        </w:rPr>
        <w:t>一、为了保证采购活动的公平竞争，促进廉政建设，我公司承诺在参加采购活动时做到遵守法纪、法规和廉政建设各项规定，诚实守信，坚决拒绝商业贿赂，不发生如下不当行为：</w:t>
      </w:r>
    </w:p>
    <w:p>
      <w:pPr>
        <w:widowControl/>
        <w:snapToGrid w:val="0"/>
        <w:spacing w:line="360" w:lineRule="auto"/>
        <w:ind w:firstLine="560" w:firstLineChars="200"/>
        <w:jc w:val="left"/>
        <w:rPr>
          <w:rFonts w:cs="宋体"/>
          <w:sz w:val="28"/>
          <w:szCs w:val="28"/>
        </w:rPr>
      </w:pPr>
      <w:r>
        <w:rPr>
          <w:rFonts w:hint="eastAsia" w:cs="宋体"/>
          <w:sz w:val="28"/>
          <w:szCs w:val="28"/>
        </w:rPr>
        <w:t>（一）向采购组织方工作人员及其家庭成员提供以下不正当利益：</w:t>
      </w:r>
    </w:p>
    <w:p>
      <w:pPr>
        <w:widowControl/>
        <w:snapToGrid w:val="0"/>
        <w:spacing w:line="360" w:lineRule="auto"/>
        <w:ind w:firstLine="560" w:firstLineChars="200"/>
        <w:jc w:val="left"/>
        <w:rPr>
          <w:rFonts w:cs="宋体"/>
          <w:sz w:val="28"/>
          <w:szCs w:val="28"/>
        </w:rPr>
      </w:pPr>
      <w:r>
        <w:rPr>
          <w:rFonts w:cs="宋体"/>
          <w:sz w:val="28"/>
          <w:szCs w:val="28"/>
        </w:rPr>
        <w:t>1.</w:t>
      </w:r>
      <w:r>
        <w:rPr>
          <w:rFonts w:hint="eastAsia" w:cs="宋体"/>
          <w:sz w:val="28"/>
          <w:szCs w:val="28"/>
        </w:rPr>
        <w:t>以任何理由送给现金、有价证券、支付凭证和高档礼品；</w:t>
      </w:r>
    </w:p>
    <w:p>
      <w:pPr>
        <w:widowControl/>
        <w:snapToGrid w:val="0"/>
        <w:spacing w:line="360" w:lineRule="auto"/>
        <w:ind w:firstLine="560" w:firstLineChars="200"/>
        <w:jc w:val="left"/>
        <w:rPr>
          <w:rFonts w:cs="宋体"/>
          <w:sz w:val="28"/>
          <w:szCs w:val="28"/>
        </w:rPr>
      </w:pPr>
      <w:r>
        <w:rPr>
          <w:rFonts w:cs="宋体"/>
          <w:sz w:val="28"/>
          <w:szCs w:val="28"/>
        </w:rPr>
        <w:t>2.</w:t>
      </w:r>
      <w:r>
        <w:rPr>
          <w:rFonts w:hint="eastAsia" w:cs="宋体"/>
          <w:sz w:val="28"/>
          <w:szCs w:val="28"/>
        </w:rPr>
        <w:t>报销或支付应由其个人负担的费用；</w:t>
      </w:r>
    </w:p>
    <w:p>
      <w:pPr>
        <w:widowControl/>
        <w:snapToGrid w:val="0"/>
        <w:spacing w:line="360" w:lineRule="auto"/>
        <w:ind w:firstLine="560" w:firstLineChars="200"/>
        <w:jc w:val="left"/>
        <w:rPr>
          <w:rFonts w:cs="宋体"/>
          <w:sz w:val="28"/>
          <w:szCs w:val="28"/>
        </w:rPr>
      </w:pPr>
      <w:r>
        <w:rPr>
          <w:rFonts w:cs="宋体"/>
          <w:sz w:val="28"/>
          <w:szCs w:val="28"/>
        </w:rPr>
        <w:t>3.</w:t>
      </w:r>
      <w:r>
        <w:rPr>
          <w:rFonts w:hint="eastAsia" w:cs="宋体"/>
          <w:sz w:val="28"/>
          <w:szCs w:val="28"/>
        </w:rPr>
        <w:t>宴请或邀请去营业性娱乐场所活动；</w:t>
      </w:r>
      <w:r>
        <w:rPr>
          <w:rFonts w:cs="宋体"/>
          <w:sz w:val="28"/>
          <w:szCs w:val="28"/>
        </w:rPr>
        <w:t> </w:t>
      </w:r>
    </w:p>
    <w:p>
      <w:pPr>
        <w:widowControl/>
        <w:snapToGrid w:val="0"/>
        <w:spacing w:line="360" w:lineRule="auto"/>
        <w:ind w:firstLine="560" w:firstLineChars="200"/>
        <w:jc w:val="left"/>
        <w:rPr>
          <w:rFonts w:cs="宋体"/>
          <w:sz w:val="28"/>
          <w:szCs w:val="28"/>
        </w:rPr>
      </w:pPr>
      <w:r>
        <w:rPr>
          <w:rFonts w:cs="宋体"/>
          <w:sz w:val="28"/>
          <w:szCs w:val="28"/>
        </w:rPr>
        <w:t>4.</w:t>
      </w:r>
      <w:r>
        <w:rPr>
          <w:rFonts w:hint="eastAsia" w:cs="宋体"/>
          <w:sz w:val="28"/>
          <w:szCs w:val="28"/>
        </w:rPr>
        <w:t>其它行贿及提供不正当利益的行为。</w:t>
      </w:r>
    </w:p>
    <w:p>
      <w:pPr>
        <w:widowControl/>
        <w:snapToGrid w:val="0"/>
        <w:spacing w:line="360" w:lineRule="auto"/>
        <w:ind w:firstLine="560" w:firstLineChars="200"/>
        <w:jc w:val="left"/>
        <w:rPr>
          <w:rFonts w:cs="宋体"/>
          <w:sz w:val="28"/>
          <w:szCs w:val="28"/>
        </w:rPr>
      </w:pPr>
      <w:r>
        <w:rPr>
          <w:rFonts w:hint="eastAsia" w:cs="宋体"/>
          <w:sz w:val="28"/>
          <w:szCs w:val="28"/>
        </w:rPr>
        <w:t>（二）和他人串通竞谈，或者利用不正当手段谋求中标。</w:t>
      </w:r>
    </w:p>
    <w:p>
      <w:pPr>
        <w:widowControl/>
        <w:snapToGrid w:val="0"/>
        <w:spacing w:line="360" w:lineRule="auto"/>
        <w:ind w:firstLine="560" w:firstLineChars="200"/>
        <w:jc w:val="left"/>
        <w:rPr>
          <w:rFonts w:cs="宋体"/>
          <w:sz w:val="28"/>
          <w:szCs w:val="28"/>
        </w:rPr>
      </w:pPr>
      <w:r>
        <w:rPr>
          <w:rFonts w:hint="eastAsia" w:cs="宋体"/>
          <w:sz w:val="28"/>
          <w:szCs w:val="28"/>
        </w:rPr>
        <w:t>（三）违反法律、法规和廉政规定，影响工程和供应质量的。</w:t>
      </w:r>
      <w:r>
        <w:rPr>
          <w:rFonts w:cs="宋体"/>
          <w:sz w:val="28"/>
          <w:szCs w:val="28"/>
        </w:rPr>
        <w:t> </w:t>
      </w:r>
    </w:p>
    <w:p>
      <w:pPr>
        <w:widowControl/>
        <w:snapToGrid w:val="0"/>
        <w:spacing w:line="360" w:lineRule="auto"/>
        <w:ind w:firstLine="560" w:firstLineChars="200"/>
        <w:jc w:val="left"/>
        <w:rPr>
          <w:rFonts w:cs="宋体"/>
          <w:sz w:val="28"/>
          <w:szCs w:val="28"/>
        </w:rPr>
      </w:pPr>
      <w:r>
        <w:rPr>
          <w:rFonts w:hint="eastAsia" w:cs="宋体"/>
          <w:sz w:val="28"/>
          <w:szCs w:val="28"/>
        </w:rPr>
        <w:t>二、我公司如实施了上述行为之一，自愿接受采购部门根据《政府采购法》及其相关法规和《南通市市场廉政准入暂行规定》</w:t>
      </w:r>
      <w:r>
        <w:rPr>
          <w:rFonts w:cs="宋体"/>
          <w:sz w:val="28"/>
          <w:szCs w:val="28"/>
        </w:rPr>
        <w:t>(</w:t>
      </w:r>
      <w:r>
        <w:rPr>
          <w:rFonts w:hint="eastAsia" w:cs="宋体"/>
          <w:sz w:val="28"/>
          <w:szCs w:val="28"/>
        </w:rPr>
        <w:t>通纪发〔</w:t>
      </w:r>
      <w:r>
        <w:rPr>
          <w:rFonts w:cs="宋体"/>
          <w:sz w:val="28"/>
          <w:szCs w:val="28"/>
        </w:rPr>
        <w:t>2005</w:t>
      </w:r>
      <w:r>
        <w:rPr>
          <w:rFonts w:hint="eastAsia" w:cs="宋体"/>
          <w:sz w:val="28"/>
          <w:szCs w:val="28"/>
        </w:rPr>
        <w:t>〕</w:t>
      </w:r>
      <w:r>
        <w:rPr>
          <w:rFonts w:cs="宋体"/>
          <w:sz w:val="28"/>
          <w:szCs w:val="28"/>
        </w:rPr>
        <w:t>28</w:t>
      </w:r>
      <w:r>
        <w:rPr>
          <w:rFonts w:hint="eastAsia" w:cs="宋体"/>
          <w:sz w:val="28"/>
          <w:szCs w:val="28"/>
        </w:rPr>
        <w:t>号</w:t>
      </w:r>
      <w:r>
        <w:rPr>
          <w:rFonts w:cs="宋体"/>
          <w:sz w:val="28"/>
          <w:szCs w:val="28"/>
        </w:rPr>
        <w:t>)</w:t>
      </w:r>
      <w:r>
        <w:rPr>
          <w:rFonts w:hint="eastAsia" w:cs="宋体"/>
          <w:sz w:val="28"/>
          <w:szCs w:val="28"/>
        </w:rPr>
        <w:t>给予的如下处罚：</w:t>
      </w:r>
    </w:p>
    <w:p>
      <w:pPr>
        <w:widowControl/>
        <w:snapToGrid w:val="0"/>
        <w:spacing w:line="360" w:lineRule="auto"/>
        <w:ind w:firstLine="560" w:firstLineChars="200"/>
        <w:jc w:val="left"/>
        <w:rPr>
          <w:rFonts w:cs="宋体"/>
          <w:sz w:val="28"/>
          <w:szCs w:val="28"/>
        </w:rPr>
      </w:pPr>
      <w:r>
        <w:rPr>
          <w:rFonts w:cs="宋体"/>
          <w:sz w:val="28"/>
          <w:szCs w:val="28"/>
        </w:rPr>
        <w:t>1.</w:t>
      </w:r>
      <w:r>
        <w:rPr>
          <w:rFonts w:hint="eastAsia" w:cs="宋体"/>
          <w:sz w:val="28"/>
          <w:szCs w:val="28"/>
        </w:rPr>
        <w:t>参加采购的成交无效；</w:t>
      </w:r>
    </w:p>
    <w:p>
      <w:pPr>
        <w:widowControl/>
        <w:snapToGrid w:val="0"/>
        <w:spacing w:line="360" w:lineRule="auto"/>
        <w:ind w:firstLine="560" w:firstLineChars="200"/>
        <w:jc w:val="left"/>
        <w:rPr>
          <w:rFonts w:cs="宋体"/>
          <w:sz w:val="28"/>
          <w:szCs w:val="28"/>
        </w:rPr>
      </w:pPr>
      <w:r>
        <w:rPr>
          <w:rFonts w:cs="宋体"/>
          <w:sz w:val="28"/>
          <w:szCs w:val="28"/>
        </w:rPr>
        <w:t>2.</w:t>
      </w:r>
      <w:r>
        <w:rPr>
          <w:rFonts w:hint="eastAsia" w:cs="宋体"/>
          <w:sz w:val="28"/>
          <w:szCs w:val="28"/>
        </w:rPr>
        <w:t>处以采购金额千分之五以上千分之十以下的罚款；</w:t>
      </w:r>
    </w:p>
    <w:p>
      <w:pPr>
        <w:widowControl/>
        <w:snapToGrid w:val="0"/>
        <w:spacing w:line="360" w:lineRule="auto"/>
        <w:ind w:firstLine="560" w:firstLineChars="200"/>
        <w:jc w:val="left"/>
        <w:rPr>
          <w:rFonts w:cs="宋体"/>
          <w:sz w:val="28"/>
          <w:szCs w:val="28"/>
        </w:rPr>
      </w:pPr>
      <w:r>
        <w:rPr>
          <w:rFonts w:cs="宋体"/>
          <w:sz w:val="28"/>
          <w:szCs w:val="28"/>
        </w:rPr>
        <w:t>3.</w:t>
      </w:r>
      <w:r>
        <w:rPr>
          <w:rFonts w:hint="eastAsia" w:cs="宋体"/>
          <w:sz w:val="28"/>
          <w:szCs w:val="28"/>
        </w:rPr>
        <w:t>采购部门对不良行为予以记录并公告；</w:t>
      </w:r>
    </w:p>
    <w:p>
      <w:pPr>
        <w:widowControl/>
        <w:snapToGrid w:val="0"/>
        <w:spacing w:line="360" w:lineRule="auto"/>
        <w:ind w:firstLine="560" w:firstLineChars="200"/>
        <w:jc w:val="left"/>
        <w:rPr>
          <w:rFonts w:cs="宋体"/>
          <w:sz w:val="28"/>
          <w:szCs w:val="28"/>
        </w:rPr>
      </w:pPr>
      <w:r>
        <w:rPr>
          <w:rFonts w:cs="宋体"/>
          <w:sz w:val="28"/>
          <w:szCs w:val="28"/>
        </w:rPr>
        <w:t>4.</w:t>
      </w:r>
      <w:r>
        <w:rPr>
          <w:rFonts w:hint="eastAsia" w:cs="宋体"/>
          <w:sz w:val="28"/>
          <w:szCs w:val="28"/>
        </w:rPr>
        <w:t>半年至三年内禁止参加集中采购活动；</w:t>
      </w:r>
    </w:p>
    <w:p>
      <w:pPr>
        <w:widowControl/>
        <w:snapToGrid w:val="0"/>
        <w:spacing w:line="360" w:lineRule="auto"/>
        <w:ind w:firstLine="560" w:firstLineChars="200"/>
        <w:jc w:val="left"/>
        <w:rPr>
          <w:rFonts w:cs="宋体"/>
          <w:sz w:val="28"/>
          <w:szCs w:val="28"/>
        </w:rPr>
      </w:pPr>
      <w:r>
        <w:rPr>
          <w:rFonts w:cs="宋体"/>
          <w:sz w:val="28"/>
          <w:szCs w:val="28"/>
        </w:rPr>
        <w:t>5.</w:t>
      </w:r>
      <w:r>
        <w:rPr>
          <w:rFonts w:hint="eastAsia" w:cs="宋体"/>
          <w:sz w:val="28"/>
          <w:szCs w:val="28"/>
        </w:rPr>
        <w:t>情节严重的，报请有关部门依法追究相关责任。</w:t>
      </w:r>
    </w:p>
    <w:p>
      <w:pPr>
        <w:widowControl/>
        <w:snapToGrid w:val="0"/>
        <w:spacing w:line="360" w:lineRule="auto"/>
        <w:ind w:firstLine="3920" w:firstLineChars="1400"/>
        <w:jc w:val="left"/>
        <w:rPr>
          <w:rFonts w:cs="宋体"/>
          <w:sz w:val="28"/>
          <w:szCs w:val="28"/>
        </w:rPr>
      </w:pPr>
    </w:p>
    <w:p>
      <w:pPr>
        <w:widowControl/>
        <w:snapToGrid w:val="0"/>
        <w:spacing w:line="360" w:lineRule="auto"/>
        <w:ind w:firstLine="3920" w:firstLineChars="1400"/>
        <w:jc w:val="left"/>
        <w:rPr>
          <w:rFonts w:cs="宋体"/>
          <w:sz w:val="28"/>
          <w:szCs w:val="28"/>
        </w:rPr>
      </w:pPr>
      <w:r>
        <w:rPr>
          <w:rFonts w:hint="eastAsia" w:cs="宋体"/>
          <w:sz w:val="28"/>
          <w:szCs w:val="28"/>
        </w:rPr>
        <w:t>承诺人：</w:t>
      </w:r>
    </w:p>
    <w:p>
      <w:pPr>
        <w:widowControl/>
        <w:snapToGrid w:val="0"/>
        <w:spacing w:line="360" w:lineRule="auto"/>
        <w:ind w:firstLine="560" w:firstLineChars="200"/>
        <w:jc w:val="left"/>
        <w:rPr>
          <w:rFonts w:cs="宋体"/>
          <w:sz w:val="28"/>
          <w:szCs w:val="28"/>
        </w:rPr>
      </w:pPr>
      <w:r>
        <w:rPr>
          <w:rFonts w:cs="宋体"/>
          <w:sz w:val="28"/>
          <w:szCs w:val="28"/>
        </w:rPr>
        <w:t xml:space="preserve">              </w:t>
      </w:r>
      <w:r>
        <w:rPr>
          <w:rFonts w:hint="eastAsia" w:cs="宋体"/>
          <w:sz w:val="28"/>
          <w:szCs w:val="28"/>
        </w:rPr>
        <w:t xml:space="preserve">          承诺单位：</w:t>
      </w:r>
    </w:p>
    <w:p>
      <w:pPr>
        <w:widowControl/>
        <w:snapToGrid w:val="0"/>
        <w:spacing w:line="360" w:lineRule="auto"/>
        <w:ind w:firstLine="560" w:firstLineChars="200"/>
        <w:jc w:val="left"/>
        <w:rPr>
          <w:rFonts w:cs="宋体"/>
          <w:sz w:val="28"/>
          <w:szCs w:val="28"/>
        </w:rPr>
      </w:pPr>
      <w:r>
        <w:rPr>
          <w:rFonts w:cs="宋体"/>
          <w:sz w:val="28"/>
          <w:szCs w:val="28"/>
        </w:rPr>
        <w:t xml:space="preserve">                                    </w:t>
      </w:r>
      <w:r>
        <w:rPr>
          <w:rFonts w:hint="eastAsia" w:cs="宋体"/>
          <w:sz w:val="28"/>
          <w:szCs w:val="28"/>
        </w:rPr>
        <w:t>年</w:t>
      </w:r>
      <w:r>
        <w:rPr>
          <w:rFonts w:cs="宋体"/>
          <w:sz w:val="28"/>
          <w:szCs w:val="28"/>
        </w:rPr>
        <w:t xml:space="preserve">  </w:t>
      </w:r>
      <w:r>
        <w:rPr>
          <w:rFonts w:hint="eastAsia" w:cs="宋体"/>
          <w:sz w:val="28"/>
          <w:szCs w:val="28"/>
        </w:rPr>
        <w:t>月</w:t>
      </w:r>
      <w:r>
        <w:rPr>
          <w:rFonts w:cs="宋体"/>
          <w:sz w:val="28"/>
          <w:szCs w:val="28"/>
        </w:rPr>
        <w:t xml:space="preserve">  </w:t>
      </w:r>
      <w:r>
        <w:rPr>
          <w:rFonts w:hint="eastAsia" w:cs="宋体"/>
          <w:sz w:val="28"/>
          <w:szCs w:val="28"/>
        </w:rPr>
        <w:t>日</w:t>
      </w:r>
      <w:r>
        <w:rPr>
          <w:rFonts w:cs="宋体"/>
          <w:sz w:val="28"/>
          <w:szCs w:val="28"/>
        </w:rPr>
        <w:t> </w:t>
      </w:r>
    </w:p>
    <w:p>
      <w:pPr>
        <w:tabs>
          <w:tab w:val="left" w:pos="3375"/>
        </w:tabs>
        <w:autoSpaceDE w:val="0"/>
        <w:autoSpaceDN w:val="0"/>
        <w:adjustRightInd w:val="0"/>
        <w:snapToGrid w:val="0"/>
        <w:spacing w:line="300" w:lineRule="auto"/>
        <w:ind w:left="1" w:firstLine="538"/>
        <w:rPr>
          <w:rFonts w:ascii="仿宋_GB2312" w:eastAsia="仿宋_GB2312"/>
          <w:sz w:val="28"/>
          <w:szCs w:val="28"/>
        </w:rPr>
      </w:pPr>
    </w:p>
    <w:p>
      <w:pPr>
        <w:tabs>
          <w:tab w:val="left" w:pos="3375"/>
        </w:tabs>
        <w:autoSpaceDE w:val="0"/>
        <w:autoSpaceDN w:val="0"/>
        <w:adjustRightInd w:val="0"/>
        <w:snapToGrid w:val="0"/>
        <w:spacing w:line="300" w:lineRule="auto"/>
        <w:ind w:left="1" w:firstLine="538"/>
        <w:rPr>
          <w:b/>
          <w:sz w:val="28"/>
        </w:rPr>
      </w:pPr>
    </w:p>
    <w:sectPr>
      <w:footerReference r:id="rId3" w:type="default"/>
      <w:pgSz w:w="11907" w:h="16839"/>
      <w:pgMar w:top="1418" w:right="1418" w:bottom="1418" w:left="1418"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6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17</w:t>
    </w:r>
    <w:r>
      <w:fldChar w:fldCharType="end"/>
    </w:r>
  </w:p>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3BFB92"/>
    <w:multiLevelType w:val="singleLevel"/>
    <w:tmpl w:val="D93BFB92"/>
    <w:lvl w:ilvl="0" w:tentative="0">
      <w:start w:val="1"/>
      <w:numFmt w:val="chineseCounting"/>
      <w:suff w:val="nothing"/>
      <w:lvlText w:val="（%1）"/>
      <w:lvlJc w:val="left"/>
      <w:rPr>
        <w:rFonts w:hint="eastAsia"/>
      </w:rPr>
    </w:lvl>
  </w:abstractNum>
  <w:abstractNum w:abstractNumId="1">
    <w:nsid w:val="3C338D83"/>
    <w:multiLevelType w:val="singleLevel"/>
    <w:tmpl w:val="3C338D83"/>
    <w:lvl w:ilvl="0" w:tentative="0">
      <w:start w:val="3"/>
      <w:numFmt w:val="chineseCounting"/>
      <w:suff w:val="nothing"/>
      <w:lvlText w:val="%1、"/>
      <w:lvlJc w:val="left"/>
      <w:rPr>
        <w:rFonts w:hint="eastAsia"/>
      </w:rPr>
    </w:lvl>
  </w:abstractNum>
  <w:abstractNum w:abstractNumId="2">
    <w:nsid w:val="749A1164"/>
    <w:multiLevelType w:val="multilevel"/>
    <w:tmpl w:val="749A1164"/>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jYWM5NDdiMTdiYWEyYWY0ZjE2NTI2Y2FiZDE1NGQifQ=="/>
  </w:docVars>
  <w:rsids>
    <w:rsidRoot w:val="00E1428C"/>
    <w:rsid w:val="00000582"/>
    <w:rsid w:val="00000DED"/>
    <w:rsid w:val="000011A8"/>
    <w:rsid w:val="00002490"/>
    <w:rsid w:val="00002C66"/>
    <w:rsid w:val="00002D93"/>
    <w:rsid w:val="00003076"/>
    <w:rsid w:val="00003616"/>
    <w:rsid w:val="00004978"/>
    <w:rsid w:val="00004FB3"/>
    <w:rsid w:val="000051D1"/>
    <w:rsid w:val="00006222"/>
    <w:rsid w:val="00006B64"/>
    <w:rsid w:val="00007342"/>
    <w:rsid w:val="000102E4"/>
    <w:rsid w:val="00011F29"/>
    <w:rsid w:val="00012F0F"/>
    <w:rsid w:val="00013DC0"/>
    <w:rsid w:val="00014FEC"/>
    <w:rsid w:val="0001597D"/>
    <w:rsid w:val="00017051"/>
    <w:rsid w:val="00017257"/>
    <w:rsid w:val="00027214"/>
    <w:rsid w:val="00027DA6"/>
    <w:rsid w:val="00027FF2"/>
    <w:rsid w:val="00030296"/>
    <w:rsid w:val="00031B21"/>
    <w:rsid w:val="00032B73"/>
    <w:rsid w:val="00033A03"/>
    <w:rsid w:val="00035CA7"/>
    <w:rsid w:val="00035F29"/>
    <w:rsid w:val="000363E7"/>
    <w:rsid w:val="00036A45"/>
    <w:rsid w:val="00037C07"/>
    <w:rsid w:val="00040BC7"/>
    <w:rsid w:val="000418DB"/>
    <w:rsid w:val="00042F76"/>
    <w:rsid w:val="0004595D"/>
    <w:rsid w:val="00046045"/>
    <w:rsid w:val="0004687B"/>
    <w:rsid w:val="00046AE8"/>
    <w:rsid w:val="00051C4B"/>
    <w:rsid w:val="0005232C"/>
    <w:rsid w:val="00063CF8"/>
    <w:rsid w:val="0006533C"/>
    <w:rsid w:val="000657B6"/>
    <w:rsid w:val="00065B73"/>
    <w:rsid w:val="00066ABD"/>
    <w:rsid w:val="000674BE"/>
    <w:rsid w:val="00067B24"/>
    <w:rsid w:val="000707B4"/>
    <w:rsid w:val="000713C2"/>
    <w:rsid w:val="000733BC"/>
    <w:rsid w:val="000733D5"/>
    <w:rsid w:val="0007545D"/>
    <w:rsid w:val="00077641"/>
    <w:rsid w:val="000811BB"/>
    <w:rsid w:val="000819D6"/>
    <w:rsid w:val="0008288C"/>
    <w:rsid w:val="00082A3E"/>
    <w:rsid w:val="00085197"/>
    <w:rsid w:val="00085CA8"/>
    <w:rsid w:val="000860E4"/>
    <w:rsid w:val="00087FB1"/>
    <w:rsid w:val="00092F9F"/>
    <w:rsid w:val="00096D7E"/>
    <w:rsid w:val="00097216"/>
    <w:rsid w:val="000A646D"/>
    <w:rsid w:val="000A7DDB"/>
    <w:rsid w:val="000B0856"/>
    <w:rsid w:val="000B0AC1"/>
    <w:rsid w:val="000B15EB"/>
    <w:rsid w:val="000B4279"/>
    <w:rsid w:val="000B4D00"/>
    <w:rsid w:val="000C47DF"/>
    <w:rsid w:val="000C5873"/>
    <w:rsid w:val="000C6148"/>
    <w:rsid w:val="000C6432"/>
    <w:rsid w:val="000D0543"/>
    <w:rsid w:val="000D3C5A"/>
    <w:rsid w:val="000D5827"/>
    <w:rsid w:val="000E2CB0"/>
    <w:rsid w:val="000E2F2C"/>
    <w:rsid w:val="000E398F"/>
    <w:rsid w:val="000E3CE8"/>
    <w:rsid w:val="000E401D"/>
    <w:rsid w:val="000F14E6"/>
    <w:rsid w:val="000F2376"/>
    <w:rsid w:val="000F23EA"/>
    <w:rsid w:val="000F28DF"/>
    <w:rsid w:val="000F2DFD"/>
    <w:rsid w:val="000F381E"/>
    <w:rsid w:val="000F41C3"/>
    <w:rsid w:val="000F4926"/>
    <w:rsid w:val="000F5A4D"/>
    <w:rsid w:val="001010A1"/>
    <w:rsid w:val="00101179"/>
    <w:rsid w:val="001016D5"/>
    <w:rsid w:val="00103E4D"/>
    <w:rsid w:val="00104AF2"/>
    <w:rsid w:val="001057E4"/>
    <w:rsid w:val="001104D2"/>
    <w:rsid w:val="00113897"/>
    <w:rsid w:val="00113924"/>
    <w:rsid w:val="00114256"/>
    <w:rsid w:val="00115560"/>
    <w:rsid w:val="001157E6"/>
    <w:rsid w:val="00116E44"/>
    <w:rsid w:val="001224EC"/>
    <w:rsid w:val="001244CE"/>
    <w:rsid w:val="00125535"/>
    <w:rsid w:val="0012592D"/>
    <w:rsid w:val="0012699C"/>
    <w:rsid w:val="00127560"/>
    <w:rsid w:val="00127FA1"/>
    <w:rsid w:val="00132D06"/>
    <w:rsid w:val="00135132"/>
    <w:rsid w:val="001352DB"/>
    <w:rsid w:val="00135871"/>
    <w:rsid w:val="00137F66"/>
    <w:rsid w:val="0014172C"/>
    <w:rsid w:val="001421E0"/>
    <w:rsid w:val="00142E64"/>
    <w:rsid w:val="001463C7"/>
    <w:rsid w:val="001467F4"/>
    <w:rsid w:val="00150D31"/>
    <w:rsid w:val="00154178"/>
    <w:rsid w:val="00154D91"/>
    <w:rsid w:val="00155581"/>
    <w:rsid w:val="00156591"/>
    <w:rsid w:val="001570D4"/>
    <w:rsid w:val="00160273"/>
    <w:rsid w:val="00160309"/>
    <w:rsid w:val="0016109E"/>
    <w:rsid w:val="001639C2"/>
    <w:rsid w:val="00164794"/>
    <w:rsid w:val="001731C5"/>
    <w:rsid w:val="0017390D"/>
    <w:rsid w:val="00173C44"/>
    <w:rsid w:val="0017626E"/>
    <w:rsid w:val="001763C8"/>
    <w:rsid w:val="0017657F"/>
    <w:rsid w:val="001802FD"/>
    <w:rsid w:val="00180FE0"/>
    <w:rsid w:val="001816E3"/>
    <w:rsid w:val="00182A90"/>
    <w:rsid w:val="0018384E"/>
    <w:rsid w:val="00183854"/>
    <w:rsid w:val="00184C8D"/>
    <w:rsid w:val="001869A8"/>
    <w:rsid w:val="001876E0"/>
    <w:rsid w:val="00187BE1"/>
    <w:rsid w:val="001903D4"/>
    <w:rsid w:val="001908AE"/>
    <w:rsid w:val="0019251D"/>
    <w:rsid w:val="00192DB5"/>
    <w:rsid w:val="001934A8"/>
    <w:rsid w:val="001A18AF"/>
    <w:rsid w:val="001A1AC6"/>
    <w:rsid w:val="001A3B6E"/>
    <w:rsid w:val="001A3EDD"/>
    <w:rsid w:val="001A41E8"/>
    <w:rsid w:val="001A67C9"/>
    <w:rsid w:val="001B162B"/>
    <w:rsid w:val="001C110D"/>
    <w:rsid w:val="001C3D61"/>
    <w:rsid w:val="001C5295"/>
    <w:rsid w:val="001C6AFF"/>
    <w:rsid w:val="001D279A"/>
    <w:rsid w:val="001D3646"/>
    <w:rsid w:val="001D4EC2"/>
    <w:rsid w:val="001D5891"/>
    <w:rsid w:val="001D6723"/>
    <w:rsid w:val="001D6C91"/>
    <w:rsid w:val="001D6E15"/>
    <w:rsid w:val="001D7B59"/>
    <w:rsid w:val="001E1433"/>
    <w:rsid w:val="001E2909"/>
    <w:rsid w:val="001E53BC"/>
    <w:rsid w:val="001E6DFB"/>
    <w:rsid w:val="001E7626"/>
    <w:rsid w:val="001E7BEC"/>
    <w:rsid w:val="001F0882"/>
    <w:rsid w:val="001F120D"/>
    <w:rsid w:val="001F3AEC"/>
    <w:rsid w:val="001F3BBC"/>
    <w:rsid w:val="001F4F3E"/>
    <w:rsid w:val="001F77C4"/>
    <w:rsid w:val="001F7EC5"/>
    <w:rsid w:val="002007BF"/>
    <w:rsid w:val="0020446C"/>
    <w:rsid w:val="002046FA"/>
    <w:rsid w:val="00204B7C"/>
    <w:rsid w:val="00204E25"/>
    <w:rsid w:val="002106EA"/>
    <w:rsid w:val="00210712"/>
    <w:rsid w:val="00210774"/>
    <w:rsid w:val="00210847"/>
    <w:rsid w:val="002121BB"/>
    <w:rsid w:val="00212235"/>
    <w:rsid w:val="002131C8"/>
    <w:rsid w:val="00213F0E"/>
    <w:rsid w:val="00214B6D"/>
    <w:rsid w:val="002152AF"/>
    <w:rsid w:val="00215DD8"/>
    <w:rsid w:val="00222818"/>
    <w:rsid w:val="00223407"/>
    <w:rsid w:val="002244DA"/>
    <w:rsid w:val="00227E29"/>
    <w:rsid w:val="002313C4"/>
    <w:rsid w:val="00231582"/>
    <w:rsid w:val="00231C22"/>
    <w:rsid w:val="002330E2"/>
    <w:rsid w:val="00233605"/>
    <w:rsid w:val="00234DAB"/>
    <w:rsid w:val="00241BB8"/>
    <w:rsid w:val="002420D4"/>
    <w:rsid w:val="002468F0"/>
    <w:rsid w:val="00250900"/>
    <w:rsid w:val="002516FE"/>
    <w:rsid w:val="002602DD"/>
    <w:rsid w:val="0026242C"/>
    <w:rsid w:val="00262DD2"/>
    <w:rsid w:val="0026302A"/>
    <w:rsid w:val="00264607"/>
    <w:rsid w:val="00267C11"/>
    <w:rsid w:val="00270410"/>
    <w:rsid w:val="0027128F"/>
    <w:rsid w:val="00271F68"/>
    <w:rsid w:val="0027630B"/>
    <w:rsid w:val="00277A60"/>
    <w:rsid w:val="00280E8A"/>
    <w:rsid w:val="00281197"/>
    <w:rsid w:val="002814A2"/>
    <w:rsid w:val="002834D2"/>
    <w:rsid w:val="002840DC"/>
    <w:rsid w:val="002871A5"/>
    <w:rsid w:val="00287C05"/>
    <w:rsid w:val="00291471"/>
    <w:rsid w:val="00292AE2"/>
    <w:rsid w:val="002931DD"/>
    <w:rsid w:val="00294605"/>
    <w:rsid w:val="00294902"/>
    <w:rsid w:val="0029786A"/>
    <w:rsid w:val="002A1054"/>
    <w:rsid w:val="002A4627"/>
    <w:rsid w:val="002A4CCA"/>
    <w:rsid w:val="002A5216"/>
    <w:rsid w:val="002A7F5E"/>
    <w:rsid w:val="002B1C92"/>
    <w:rsid w:val="002B45A3"/>
    <w:rsid w:val="002B564D"/>
    <w:rsid w:val="002B64B0"/>
    <w:rsid w:val="002C02A7"/>
    <w:rsid w:val="002C221F"/>
    <w:rsid w:val="002C29D9"/>
    <w:rsid w:val="002C43F4"/>
    <w:rsid w:val="002C4C6D"/>
    <w:rsid w:val="002C4DDD"/>
    <w:rsid w:val="002C5EE7"/>
    <w:rsid w:val="002C72A6"/>
    <w:rsid w:val="002C7639"/>
    <w:rsid w:val="002D1E18"/>
    <w:rsid w:val="002D28C1"/>
    <w:rsid w:val="002D2E57"/>
    <w:rsid w:val="002D7CB7"/>
    <w:rsid w:val="002E08B8"/>
    <w:rsid w:val="002E0E57"/>
    <w:rsid w:val="002E1B37"/>
    <w:rsid w:val="002E27F7"/>
    <w:rsid w:val="002E35E4"/>
    <w:rsid w:val="002E42CD"/>
    <w:rsid w:val="002E56B3"/>
    <w:rsid w:val="002E7263"/>
    <w:rsid w:val="002F0CF8"/>
    <w:rsid w:val="002F2498"/>
    <w:rsid w:val="002F3A0D"/>
    <w:rsid w:val="002F4256"/>
    <w:rsid w:val="002F60B7"/>
    <w:rsid w:val="002F6EC6"/>
    <w:rsid w:val="00300698"/>
    <w:rsid w:val="003009D5"/>
    <w:rsid w:val="00300A5F"/>
    <w:rsid w:val="003010C0"/>
    <w:rsid w:val="00302E16"/>
    <w:rsid w:val="0030536B"/>
    <w:rsid w:val="00306EE2"/>
    <w:rsid w:val="003071B6"/>
    <w:rsid w:val="00310100"/>
    <w:rsid w:val="003143EB"/>
    <w:rsid w:val="00314AB0"/>
    <w:rsid w:val="00314C38"/>
    <w:rsid w:val="00315037"/>
    <w:rsid w:val="0031544B"/>
    <w:rsid w:val="00317887"/>
    <w:rsid w:val="00320476"/>
    <w:rsid w:val="00320542"/>
    <w:rsid w:val="00320C34"/>
    <w:rsid w:val="0032187D"/>
    <w:rsid w:val="00321CBF"/>
    <w:rsid w:val="00322B57"/>
    <w:rsid w:val="00322E94"/>
    <w:rsid w:val="003253DE"/>
    <w:rsid w:val="00330146"/>
    <w:rsid w:val="003305E3"/>
    <w:rsid w:val="0033153E"/>
    <w:rsid w:val="003329AF"/>
    <w:rsid w:val="00334C59"/>
    <w:rsid w:val="00342E69"/>
    <w:rsid w:val="0035199B"/>
    <w:rsid w:val="00352658"/>
    <w:rsid w:val="00355DE5"/>
    <w:rsid w:val="003602C3"/>
    <w:rsid w:val="00361079"/>
    <w:rsid w:val="003610F9"/>
    <w:rsid w:val="00371650"/>
    <w:rsid w:val="00372613"/>
    <w:rsid w:val="00374F26"/>
    <w:rsid w:val="003766E0"/>
    <w:rsid w:val="00377BD7"/>
    <w:rsid w:val="00381D8F"/>
    <w:rsid w:val="00385B36"/>
    <w:rsid w:val="0039137F"/>
    <w:rsid w:val="0039402B"/>
    <w:rsid w:val="003953B2"/>
    <w:rsid w:val="00395FAE"/>
    <w:rsid w:val="003965FF"/>
    <w:rsid w:val="00396F1E"/>
    <w:rsid w:val="00397032"/>
    <w:rsid w:val="003A0B75"/>
    <w:rsid w:val="003A3589"/>
    <w:rsid w:val="003A4618"/>
    <w:rsid w:val="003A4CE7"/>
    <w:rsid w:val="003B0A53"/>
    <w:rsid w:val="003B0E7E"/>
    <w:rsid w:val="003B1C66"/>
    <w:rsid w:val="003B5148"/>
    <w:rsid w:val="003B6CFA"/>
    <w:rsid w:val="003C149D"/>
    <w:rsid w:val="003C5BF9"/>
    <w:rsid w:val="003D06E5"/>
    <w:rsid w:val="003D07FA"/>
    <w:rsid w:val="003D0A60"/>
    <w:rsid w:val="003D199E"/>
    <w:rsid w:val="003D3EFE"/>
    <w:rsid w:val="003D4401"/>
    <w:rsid w:val="003D57A3"/>
    <w:rsid w:val="003D64B6"/>
    <w:rsid w:val="003D7120"/>
    <w:rsid w:val="003E2520"/>
    <w:rsid w:val="003E402C"/>
    <w:rsid w:val="003F09C0"/>
    <w:rsid w:val="003F1853"/>
    <w:rsid w:val="003F36A5"/>
    <w:rsid w:val="003F3E0C"/>
    <w:rsid w:val="003F438E"/>
    <w:rsid w:val="003F4B0E"/>
    <w:rsid w:val="003F5D1B"/>
    <w:rsid w:val="003F7620"/>
    <w:rsid w:val="003F7843"/>
    <w:rsid w:val="00400969"/>
    <w:rsid w:val="004038D1"/>
    <w:rsid w:val="00403B9D"/>
    <w:rsid w:val="00403E3B"/>
    <w:rsid w:val="00403F6E"/>
    <w:rsid w:val="00404B3E"/>
    <w:rsid w:val="00407BFC"/>
    <w:rsid w:val="004101B0"/>
    <w:rsid w:val="00410322"/>
    <w:rsid w:val="0041083C"/>
    <w:rsid w:val="00410D0B"/>
    <w:rsid w:val="0041637D"/>
    <w:rsid w:val="00416A9F"/>
    <w:rsid w:val="00417B67"/>
    <w:rsid w:val="0042121F"/>
    <w:rsid w:val="00421DF0"/>
    <w:rsid w:val="00424418"/>
    <w:rsid w:val="00425E47"/>
    <w:rsid w:val="0043104F"/>
    <w:rsid w:val="00432DF2"/>
    <w:rsid w:val="00432F66"/>
    <w:rsid w:val="00432FD1"/>
    <w:rsid w:val="0043329A"/>
    <w:rsid w:val="0043471D"/>
    <w:rsid w:val="00434C1F"/>
    <w:rsid w:val="004358AD"/>
    <w:rsid w:val="00435AA8"/>
    <w:rsid w:val="00437F96"/>
    <w:rsid w:val="00440614"/>
    <w:rsid w:val="00443C88"/>
    <w:rsid w:val="0044543D"/>
    <w:rsid w:val="004460BA"/>
    <w:rsid w:val="00446291"/>
    <w:rsid w:val="004464E9"/>
    <w:rsid w:val="0045089C"/>
    <w:rsid w:val="00450E57"/>
    <w:rsid w:val="00452A22"/>
    <w:rsid w:val="00453A3A"/>
    <w:rsid w:val="004541DF"/>
    <w:rsid w:val="00455071"/>
    <w:rsid w:val="00455680"/>
    <w:rsid w:val="00456B89"/>
    <w:rsid w:val="00460E30"/>
    <w:rsid w:val="00460FE0"/>
    <w:rsid w:val="00461B41"/>
    <w:rsid w:val="00462EA0"/>
    <w:rsid w:val="00464434"/>
    <w:rsid w:val="00464838"/>
    <w:rsid w:val="004651F7"/>
    <w:rsid w:val="0046595E"/>
    <w:rsid w:val="004668D0"/>
    <w:rsid w:val="00471AC7"/>
    <w:rsid w:val="0047245B"/>
    <w:rsid w:val="00472C33"/>
    <w:rsid w:val="00472FA9"/>
    <w:rsid w:val="00476030"/>
    <w:rsid w:val="0048021C"/>
    <w:rsid w:val="00480AC6"/>
    <w:rsid w:val="00481750"/>
    <w:rsid w:val="0048181A"/>
    <w:rsid w:val="004818E8"/>
    <w:rsid w:val="00482671"/>
    <w:rsid w:val="00482D61"/>
    <w:rsid w:val="00483895"/>
    <w:rsid w:val="004906CF"/>
    <w:rsid w:val="004931EA"/>
    <w:rsid w:val="004942B8"/>
    <w:rsid w:val="0049432B"/>
    <w:rsid w:val="00495061"/>
    <w:rsid w:val="00495EB8"/>
    <w:rsid w:val="00496D93"/>
    <w:rsid w:val="00496F5A"/>
    <w:rsid w:val="00496FC3"/>
    <w:rsid w:val="00497322"/>
    <w:rsid w:val="004A5F99"/>
    <w:rsid w:val="004A704F"/>
    <w:rsid w:val="004B4B6D"/>
    <w:rsid w:val="004C0110"/>
    <w:rsid w:val="004C0165"/>
    <w:rsid w:val="004C01A4"/>
    <w:rsid w:val="004C1B27"/>
    <w:rsid w:val="004C385B"/>
    <w:rsid w:val="004D144D"/>
    <w:rsid w:val="004D1CDD"/>
    <w:rsid w:val="004D21FC"/>
    <w:rsid w:val="004D2202"/>
    <w:rsid w:val="004D2E8C"/>
    <w:rsid w:val="004D3773"/>
    <w:rsid w:val="004D5292"/>
    <w:rsid w:val="004D6903"/>
    <w:rsid w:val="004D7508"/>
    <w:rsid w:val="004E152F"/>
    <w:rsid w:val="004E1B79"/>
    <w:rsid w:val="004E2A00"/>
    <w:rsid w:val="004E3AD4"/>
    <w:rsid w:val="004E3BF5"/>
    <w:rsid w:val="004E3E7D"/>
    <w:rsid w:val="004E5F53"/>
    <w:rsid w:val="004F0B7B"/>
    <w:rsid w:val="004F126B"/>
    <w:rsid w:val="004F40DA"/>
    <w:rsid w:val="004F4E9F"/>
    <w:rsid w:val="004F68FD"/>
    <w:rsid w:val="00500325"/>
    <w:rsid w:val="00502305"/>
    <w:rsid w:val="00503BA7"/>
    <w:rsid w:val="00503F1C"/>
    <w:rsid w:val="005047DF"/>
    <w:rsid w:val="005068A8"/>
    <w:rsid w:val="0050700C"/>
    <w:rsid w:val="00507F6B"/>
    <w:rsid w:val="00512632"/>
    <w:rsid w:val="005129F0"/>
    <w:rsid w:val="00513B39"/>
    <w:rsid w:val="00514DE2"/>
    <w:rsid w:val="005154A3"/>
    <w:rsid w:val="00515AFC"/>
    <w:rsid w:val="00515B97"/>
    <w:rsid w:val="0051677C"/>
    <w:rsid w:val="005176BA"/>
    <w:rsid w:val="0052071E"/>
    <w:rsid w:val="00520CF7"/>
    <w:rsid w:val="00521230"/>
    <w:rsid w:val="00521719"/>
    <w:rsid w:val="005237B0"/>
    <w:rsid w:val="00523CC2"/>
    <w:rsid w:val="00530A3C"/>
    <w:rsid w:val="005315C6"/>
    <w:rsid w:val="00534F0F"/>
    <w:rsid w:val="00536098"/>
    <w:rsid w:val="00536EB3"/>
    <w:rsid w:val="00542B48"/>
    <w:rsid w:val="0054329E"/>
    <w:rsid w:val="00546D25"/>
    <w:rsid w:val="00547D72"/>
    <w:rsid w:val="00550BDB"/>
    <w:rsid w:val="00550DCE"/>
    <w:rsid w:val="00551258"/>
    <w:rsid w:val="00554692"/>
    <w:rsid w:val="00555051"/>
    <w:rsid w:val="005559A1"/>
    <w:rsid w:val="00556006"/>
    <w:rsid w:val="00556634"/>
    <w:rsid w:val="005569D2"/>
    <w:rsid w:val="00557B0F"/>
    <w:rsid w:val="005611CD"/>
    <w:rsid w:val="00561A91"/>
    <w:rsid w:val="00564918"/>
    <w:rsid w:val="00565499"/>
    <w:rsid w:val="00566D1A"/>
    <w:rsid w:val="00566FA7"/>
    <w:rsid w:val="005673B9"/>
    <w:rsid w:val="005674BD"/>
    <w:rsid w:val="00574750"/>
    <w:rsid w:val="00574BC3"/>
    <w:rsid w:val="00575801"/>
    <w:rsid w:val="0057769B"/>
    <w:rsid w:val="00580890"/>
    <w:rsid w:val="00580C9B"/>
    <w:rsid w:val="00581010"/>
    <w:rsid w:val="00581AA7"/>
    <w:rsid w:val="00581C67"/>
    <w:rsid w:val="00585DDD"/>
    <w:rsid w:val="00585EF4"/>
    <w:rsid w:val="00585FAF"/>
    <w:rsid w:val="00586712"/>
    <w:rsid w:val="00586D80"/>
    <w:rsid w:val="00586E7E"/>
    <w:rsid w:val="00587878"/>
    <w:rsid w:val="005909CE"/>
    <w:rsid w:val="00591295"/>
    <w:rsid w:val="00594AA2"/>
    <w:rsid w:val="00595785"/>
    <w:rsid w:val="0059621C"/>
    <w:rsid w:val="00597743"/>
    <w:rsid w:val="005977D5"/>
    <w:rsid w:val="005A004D"/>
    <w:rsid w:val="005A1415"/>
    <w:rsid w:val="005A45B1"/>
    <w:rsid w:val="005A5175"/>
    <w:rsid w:val="005A55C5"/>
    <w:rsid w:val="005A57EF"/>
    <w:rsid w:val="005A6000"/>
    <w:rsid w:val="005A7665"/>
    <w:rsid w:val="005B02F9"/>
    <w:rsid w:val="005B0E49"/>
    <w:rsid w:val="005B1F16"/>
    <w:rsid w:val="005B2636"/>
    <w:rsid w:val="005B4B41"/>
    <w:rsid w:val="005B5D7D"/>
    <w:rsid w:val="005B71B9"/>
    <w:rsid w:val="005C06AF"/>
    <w:rsid w:val="005C0BF8"/>
    <w:rsid w:val="005C1518"/>
    <w:rsid w:val="005C20F7"/>
    <w:rsid w:val="005C2ABD"/>
    <w:rsid w:val="005C38A7"/>
    <w:rsid w:val="005C3E7C"/>
    <w:rsid w:val="005C59D1"/>
    <w:rsid w:val="005C6D5D"/>
    <w:rsid w:val="005C71B8"/>
    <w:rsid w:val="005C75B6"/>
    <w:rsid w:val="005D015B"/>
    <w:rsid w:val="005D0C2B"/>
    <w:rsid w:val="005D21C7"/>
    <w:rsid w:val="005D221A"/>
    <w:rsid w:val="005D2438"/>
    <w:rsid w:val="005D2DCB"/>
    <w:rsid w:val="005D603B"/>
    <w:rsid w:val="005E4907"/>
    <w:rsid w:val="005E7AED"/>
    <w:rsid w:val="005F071F"/>
    <w:rsid w:val="005F1266"/>
    <w:rsid w:val="005F16EC"/>
    <w:rsid w:val="005F1EE0"/>
    <w:rsid w:val="005F28D3"/>
    <w:rsid w:val="005F4888"/>
    <w:rsid w:val="005F4B25"/>
    <w:rsid w:val="005F4F51"/>
    <w:rsid w:val="005F60A5"/>
    <w:rsid w:val="005F6F36"/>
    <w:rsid w:val="005F70F9"/>
    <w:rsid w:val="005F748B"/>
    <w:rsid w:val="006001DA"/>
    <w:rsid w:val="00602444"/>
    <w:rsid w:val="00603239"/>
    <w:rsid w:val="00603D1A"/>
    <w:rsid w:val="006047C6"/>
    <w:rsid w:val="006052D8"/>
    <w:rsid w:val="00606BE4"/>
    <w:rsid w:val="006078EC"/>
    <w:rsid w:val="00607C9B"/>
    <w:rsid w:val="00607F8C"/>
    <w:rsid w:val="00613DC0"/>
    <w:rsid w:val="00614C21"/>
    <w:rsid w:val="00615983"/>
    <w:rsid w:val="00615F7F"/>
    <w:rsid w:val="00616192"/>
    <w:rsid w:val="00616BED"/>
    <w:rsid w:val="00616E51"/>
    <w:rsid w:val="00621A95"/>
    <w:rsid w:val="006247D5"/>
    <w:rsid w:val="00625C5D"/>
    <w:rsid w:val="006304A4"/>
    <w:rsid w:val="00631042"/>
    <w:rsid w:val="006331E7"/>
    <w:rsid w:val="0063356E"/>
    <w:rsid w:val="00635E8B"/>
    <w:rsid w:val="00635ECA"/>
    <w:rsid w:val="006367CD"/>
    <w:rsid w:val="00636E1A"/>
    <w:rsid w:val="006405BD"/>
    <w:rsid w:val="006415C4"/>
    <w:rsid w:val="00643F48"/>
    <w:rsid w:val="00645188"/>
    <w:rsid w:val="00646666"/>
    <w:rsid w:val="00650B71"/>
    <w:rsid w:val="00655CAF"/>
    <w:rsid w:val="00655F61"/>
    <w:rsid w:val="0065605E"/>
    <w:rsid w:val="00656208"/>
    <w:rsid w:val="00656588"/>
    <w:rsid w:val="006572F1"/>
    <w:rsid w:val="00663C2D"/>
    <w:rsid w:val="00667586"/>
    <w:rsid w:val="00670CCF"/>
    <w:rsid w:val="00670E4B"/>
    <w:rsid w:val="00672CB5"/>
    <w:rsid w:val="006746C4"/>
    <w:rsid w:val="00676BE1"/>
    <w:rsid w:val="006771C9"/>
    <w:rsid w:val="00677545"/>
    <w:rsid w:val="006839E5"/>
    <w:rsid w:val="0068544F"/>
    <w:rsid w:val="006859D8"/>
    <w:rsid w:val="0068762D"/>
    <w:rsid w:val="00691E61"/>
    <w:rsid w:val="00692277"/>
    <w:rsid w:val="0069299B"/>
    <w:rsid w:val="00695344"/>
    <w:rsid w:val="006959F0"/>
    <w:rsid w:val="00696198"/>
    <w:rsid w:val="00696F65"/>
    <w:rsid w:val="006A4C2F"/>
    <w:rsid w:val="006A5C54"/>
    <w:rsid w:val="006A5D76"/>
    <w:rsid w:val="006B4F4D"/>
    <w:rsid w:val="006B6786"/>
    <w:rsid w:val="006B6DA9"/>
    <w:rsid w:val="006C1E1F"/>
    <w:rsid w:val="006C36AF"/>
    <w:rsid w:val="006C5AA4"/>
    <w:rsid w:val="006C62C7"/>
    <w:rsid w:val="006D12EF"/>
    <w:rsid w:val="006D30B3"/>
    <w:rsid w:val="006D5DF1"/>
    <w:rsid w:val="006D63FF"/>
    <w:rsid w:val="006D6598"/>
    <w:rsid w:val="006D6A87"/>
    <w:rsid w:val="006D6D47"/>
    <w:rsid w:val="006E0BD9"/>
    <w:rsid w:val="006E4886"/>
    <w:rsid w:val="006E5AD6"/>
    <w:rsid w:val="006F04F0"/>
    <w:rsid w:val="006F22F5"/>
    <w:rsid w:val="006F7428"/>
    <w:rsid w:val="007018A7"/>
    <w:rsid w:val="0070686C"/>
    <w:rsid w:val="007076E7"/>
    <w:rsid w:val="00707F7A"/>
    <w:rsid w:val="007110EF"/>
    <w:rsid w:val="00712FD5"/>
    <w:rsid w:val="00714C6D"/>
    <w:rsid w:val="007155C8"/>
    <w:rsid w:val="00715603"/>
    <w:rsid w:val="007170BB"/>
    <w:rsid w:val="00717570"/>
    <w:rsid w:val="00717CC3"/>
    <w:rsid w:val="00721699"/>
    <w:rsid w:val="00721E50"/>
    <w:rsid w:val="0072531C"/>
    <w:rsid w:val="00726914"/>
    <w:rsid w:val="00727B9D"/>
    <w:rsid w:val="007300A3"/>
    <w:rsid w:val="007306B8"/>
    <w:rsid w:val="00731236"/>
    <w:rsid w:val="0073225C"/>
    <w:rsid w:val="00734DB5"/>
    <w:rsid w:val="007362CA"/>
    <w:rsid w:val="00745CE5"/>
    <w:rsid w:val="00745FFB"/>
    <w:rsid w:val="00746927"/>
    <w:rsid w:val="00747E37"/>
    <w:rsid w:val="0075164C"/>
    <w:rsid w:val="007522BF"/>
    <w:rsid w:val="0075320C"/>
    <w:rsid w:val="007536EF"/>
    <w:rsid w:val="00753BF0"/>
    <w:rsid w:val="0075647F"/>
    <w:rsid w:val="00756948"/>
    <w:rsid w:val="0075719F"/>
    <w:rsid w:val="007573D2"/>
    <w:rsid w:val="00760802"/>
    <w:rsid w:val="00760CB0"/>
    <w:rsid w:val="00760DDB"/>
    <w:rsid w:val="0076232E"/>
    <w:rsid w:val="00765BEA"/>
    <w:rsid w:val="0076662E"/>
    <w:rsid w:val="007722C5"/>
    <w:rsid w:val="00772FDA"/>
    <w:rsid w:val="007738FD"/>
    <w:rsid w:val="00773A5D"/>
    <w:rsid w:val="00773E0E"/>
    <w:rsid w:val="00776D95"/>
    <w:rsid w:val="00777873"/>
    <w:rsid w:val="00793250"/>
    <w:rsid w:val="00794B53"/>
    <w:rsid w:val="007975A1"/>
    <w:rsid w:val="007A03D3"/>
    <w:rsid w:val="007A116D"/>
    <w:rsid w:val="007A1E5E"/>
    <w:rsid w:val="007A1F09"/>
    <w:rsid w:val="007A2601"/>
    <w:rsid w:val="007A29EE"/>
    <w:rsid w:val="007A34F2"/>
    <w:rsid w:val="007A4E29"/>
    <w:rsid w:val="007A641F"/>
    <w:rsid w:val="007B03F2"/>
    <w:rsid w:val="007B0654"/>
    <w:rsid w:val="007B0A55"/>
    <w:rsid w:val="007B10D0"/>
    <w:rsid w:val="007B34F5"/>
    <w:rsid w:val="007B4112"/>
    <w:rsid w:val="007B5B52"/>
    <w:rsid w:val="007B682F"/>
    <w:rsid w:val="007B6989"/>
    <w:rsid w:val="007B77F4"/>
    <w:rsid w:val="007C456E"/>
    <w:rsid w:val="007C483B"/>
    <w:rsid w:val="007C4B93"/>
    <w:rsid w:val="007C7103"/>
    <w:rsid w:val="007C726F"/>
    <w:rsid w:val="007D0488"/>
    <w:rsid w:val="007D1696"/>
    <w:rsid w:val="007D49CA"/>
    <w:rsid w:val="007E04C2"/>
    <w:rsid w:val="007E1BF5"/>
    <w:rsid w:val="007E3686"/>
    <w:rsid w:val="007E3A62"/>
    <w:rsid w:val="007E4094"/>
    <w:rsid w:val="007E4448"/>
    <w:rsid w:val="007E6F73"/>
    <w:rsid w:val="007F098A"/>
    <w:rsid w:val="007F19DD"/>
    <w:rsid w:val="007F1A35"/>
    <w:rsid w:val="007F6FA4"/>
    <w:rsid w:val="007F7F83"/>
    <w:rsid w:val="00800257"/>
    <w:rsid w:val="00800DC9"/>
    <w:rsid w:val="0080270D"/>
    <w:rsid w:val="00802D51"/>
    <w:rsid w:val="00803663"/>
    <w:rsid w:val="00806426"/>
    <w:rsid w:val="00811B14"/>
    <w:rsid w:val="00811C64"/>
    <w:rsid w:val="0081539D"/>
    <w:rsid w:val="00820BBA"/>
    <w:rsid w:val="008216E3"/>
    <w:rsid w:val="00822460"/>
    <w:rsid w:val="00822CC8"/>
    <w:rsid w:val="00822E6F"/>
    <w:rsid w:val="0082343A"/>
    <w:rsid w:val="008234FB"/>
    <w:rsid w:val="00824241"/>
    <w:rsid w:val="00824D62"/>
    <w:rsid w:val="00826495"/>
    <w:rsid w:val="00826A8E"/>
    <w:rsid w:val="008272B5"/>
    <w:rsid w:val="008276AF"/>
    <w:rsid w:val="00827AB4"/>
    <w:rsid w:val="008315EF"/>
    <w:rsid w:val="008330A9"/>
    <w:rsid w:val="0083315C"/>
    <w:rsid w:val="008341D0"/>
    <w:rsid w:val="00834E31"/>
    <w:rsid w:val="0083501D"/>
    <w:rsid w:val="00835269"/>
    <w:rsid w:val="00836A7D"/>
    <w:rsid w:val="00841AAD"/>
    <w:rsid w:val="0084291D"/>
    <w:rsid w:val="00843E6D"/>
    <w:rsid w:val="0084496E"/>
    <w:rsid w:val="00851F7D"/>
    <w:rsid w:val="008535D2"/>
    <w:rsid w:val="00854C61"/>
    <w:rsid w:val="00860C3F"/>
    <w:rsid w:val="008619A1"/>
    <w:rsid w:val="00861D87"/>
    <w:rsid w:val="0086246D"/>
    <w:rsid w:val="00862904"/>
    <w:rsid w:val="00863FA9"/>
    <w:rsid w:val="00864A35"/>
    <w:rsid w:val="008660CD"/>
    <w:rsid w:val="0086612F"/>
    <w:rsid w:val="00867136"/>
    <w:rsid w:val="00867735"/>
    <w:rsid w:val="0087299F"/>
    <w:rsid w:val="0087318E"/>
    <w:rsid w:val="00876473"/>
    <w:rsid w:val="008765A1"/>
    <w:rsid w:val="00876928"/>
    <w:rsid w:val="00876E16"/>
    <w:rsid w:val="00881FB4"/>
    <w:rsid w:val="008832BA"/>
    <w:rsid w:val="00884A93"/>
    <w:rsid w:val="00884E88"/>
    <w:rsid w:val="008858B1"/>
    <w:rsid w:val="00885A21"/>
    <w:rsid w:val="00887FD2"/>
    <w:rsid w:val="008918C5"/>
    <w:rsid w:val="008936E0"/>
    <w:rsid w:val="00893980"/>
    <w:rsid w:val="00895657"/>
    <w:rsid w:val="008966C9"/>
    <w:rsid w:val="00896E8F"/>
    <w:rsid w:val="00897A59"/>
    <w:rsid w:val="008A2A50"/>
    <w:rsid w:val="008A4BAB"/>
    <w:rsid w:val="008A5370"/>
    <w:rsid w:val="008A576E"/>
    <w:rsid w:val="008A742F"/>
    <w:rsid w:val="008A778E"/>
    <w:rsid w:val="008B1F96"/>
    <w:rsid w:val="008B7D19"/>
    <w:rsid w:val="008C67B4"/>
    <w:rsid w:val="008C77E8"/>
    <w:rsid w:val="008D099A"/>
    <w:rsid w:val="008D19E0"/>
    <w:rsid w:val="008D4198"/>
    <w:rsid w:val="008D51F9"/>
    <w:rsid w:val="008E05A2"/>
    <w:rsid w:val="008E0F02"/>
    <w:rsid w:val="008E178A"/>
    <w:rsid w:val="008E1CBD"/>
    <w:rsid w:val="008E38D4"/>
    <w:rsid w:val="008E3998"/>
    <w:rsid w:val="008E493B"/>
    <w:rsid w:val="008E4D3A"/>
    <w:rsid w:val="008E61F1"/>
    <w:rsid w:val="008F141B"/>
    <w:rsid w:val="008F4A60"/>
    <w:rsid w:val="008F5E85"/>
    <w:rsid w:val="00900482"/>
    <w:rsid w:val="00900B4B"/>
    <w:rsid w:val="009015EF"/>
    <w:rsid w:val="009019B1"/>
    <w:rsid w:val="00901DB7"/>
    <w:rsid w:val="00904499"/>
    <w:rsid w:val="00904AA6"/>
    <w:rsid w:val="00906B25"/>
    <w:rsid w:val="00906EE0"/>
    <w:rsid w:val="00913E37"/>
    <w:rsid w:val="009140DD"/>
    <w:rsid w:val="00917A33"/>
    <w:rsid w:val="009209D2"/>
    <w:rsid w:val="00920E71"/>
    <w:rsid w:val="00923426"/>
    <w:rsid w:val="009313F0"/>
    <w:rsid w:val="0093501D"/>
    <w:rsid w:val="00935353"/>
    <w:rsid w:val="009357B9"/>
    <w:rsid w:val="0093623A"/>
    <w:rsid w:val="00937D34"/>
    <w:rsid w:val="00941584"/>
    <w:rsid w:val="00941A10"/>
    <w:rsid w:val="00941FC0"/>
    <w:rsid w:val="00943EA7"/>
    <w:rsid w:val="009501A5"/>
    <w:rsid w:val="0095029E"/>
    <w:rsid w:val="009515FE"/>
    <w:rsid w:val="00960265"/>
    <w:rsid w:val="009606F2"/>
    <w:rsid w:val="00964688"/>
    <w:rsid w:val="00966183"/>
    <w:rsid w:val="009666EA"/>
    <w:rsid w:val="00970A22"/>
    <w:rsid w:val="00972698"/>
    <w:rsid w:val="009733BB"/>
    <w:rsid w:val="00973D4B"/>
    <w:rsid w:val="009742DF"/>
    <w:rsid w:val="00974B1E"/>
    <w:rsid w:val="00975449"/>
    <w:rsid w:val="00975E85"/>
    <w:rsid w:val="00981AB2"/>
    <w:rsid w:val="00982AB1"/>
    <w:rsid w:val="009835B6"/>
    <w:rsid w:val="00983B58"/>
    <w:rsid w:val="009841BA"/>
    <w:rsid w:val="0098598E"/>
    <w:rsid w:val="009872D6"/>
    <w:rsid w:val="0099104D"/>
    <w:rsid w:val="00992FEA"/>
    <w:rsid w:val="0099457B"/>
    <w:rsid w:val="009A2102"/>
    <w:rsid w:val="009A233B"/>
    <w:rsid w:val="009A376E"/>
    <w:rsid w:val="009A4DCC"/>
    <w:rsid w:val="009A6905"/>
    <w:rsid w:val="009A76E2"/>
    <w:rsid w:val="009B0D30"/>
    <w:rsid w:val="009B2442"/>
    <w:rsid w:val="009B2562"/>
    <w:rsid w:val="009B2C76"/>
    <w:rsid w:val="009B3A34"/>
    <w:rsid w:val="009B4AAA"/>
    <w:rsid w:val="009B5CED"/>
    <w:rsid w:val="009B630F"/>
    <w:rsid w:val="009C123B"/>
    <w:rsid w:val="009C1E60"/>
    <w:rsid w:val="009C260F"/>
    <w:rsid w:val="009C2B05"/>
    <w:rsid w:val="009C2C16"/>
    <w:rsid w:val="009C403A"/>
    <w:rsid w:val="009C4469"/>
    <w:rsid w:val="009C44F2"/>
    <w:rsid w:val="009C5652"/>
    <w:rsid w:val="009C5FA5"/>
    <w:rsid w:val="009C62C2"/>
    <w:rsid w:val="009C7893"/>
    <w:rsid w:val="009D17AE"/>
    <w:rsid w:val="009D35A2"/>
    <w:rsid w:val="009D3960"/>
    <w:rsid w:val="009D5AD6"/>
    <w:rsid w:val="009D6C42"/>
    <w:rsid w:val="009D76F6"/>
    <w:rsid w:val="009E2076"/>
    <w:rsid w:val="009E25F3"/>
    <w:rsid w:val="009E2A30"/>
    <w:rsid w:val="009E33FD"/>
    <w:rsid w:val="009E46B0"/>
    <w:rsid w:val="009E6A65"/>
    <w:rsid w:val="009F01ED"/>
    <w:rsid w:val="009F0787"/>
    <w:rsid w:val="009F1048"/>
    <w:rsid w:val="009F5507"/>
    <w:rsid w:val="009F59CD"/>
    <w:rsid w:val="009F5D14"/>
    <w:rsid w:val="009F673B"/>
    <w:rsid w:val="009F7861"/>
    <w:rsid w:val="00A005C1"/>
    <w:rsid w:val="00A0083B"/>
    <w:rsid w:val="00A044A5"/>
    <w:rsid w:val="00A05851"/>
    <w:rsid w:val="00A062B5"/>
    <w:rsid w:val="00A06A12"/>
    <w:rsid w:val="00A140A1"/>
    <w:rsid w:val="00A14158"/>
    <w:rsid w:val="00A146A3"/>
    <w:rsid w:val="00A21B17"/>
    <w:rsid w:val="00A22E40"/>
    <w:rsid w:val="00A22E72"/>
    <w:rsid w:val="00A2480A"/>
    <w:rsid w:val="00A27CF9"/>
    <w:rsid w:val="00A31976"/>
    <w:rsid w:val="00A31C8C"/>
    <w:rsid w:val="00A3269B"/>
    <w:rsid w:val="00A34149"/>
    <w:rsid w:val="00A35CFB"/>
    <w:rsid w:val="00A42EE8"/>
    <w:rsid w:val="00A43E5B"/>
    <w:rsid w:val="00A4492E"/>
    <w:rsid w:val="00A45CD1"/>
    <w:rsid w:val="00A467B5"/>
    <w:rsid w:val="00A46CEA"/>
    <w:rsid w:val="00A5669E"/>
    <w:rsid w:val="00A57106"/>
    <w:rsid w:val="00A60435"/>
    <w:rsid w:val="00A60E12"/>
    <w:rsid w:val="00A625D3"/>
    <w:rsid w:val="00A63925"/>
    <w:rsid w:val="00A63EC2"/>
    <w:rsid w:val="00A661B5"/>
    <w:rsid w:val="00A6685E"/>
    <w:rsid w:val="00A66904"/>
    <w:rsid w:val="00A70DDB"/>
    <w:rsid w:val="00A71400"/>
    <w:rsid w:val="00A7182A"/>
    <w:rsid w:val="00A769D3"/>
    <w:rsid w:val="00A82E23"/>
    <w:rsid w:val="00A839D1"/>
    <w:rsid w:val="00A85F9C"/>
    <w:rsid w:val="00A9167C"/>
    <w:rsid w:val="00A962F6"/>
    <w:rsid w:val="00A96F76"/>
    <w:rsid w:val="00A977A4"/>
    <w:rsid w:val="00AA246F"/>
    <w:rsid w:val="00AA2866"/>
    <w:rsid w:val="00AA2A90"/>
    <w:rsid w:val="00AA4E7B"/>
    <w:rsid w:val="00AA5940"/>
    <w:rsid w:val="00AA61DF"/>
    <w:rsid w:val="00AA664D"/>
    <w:rsid w:val="00AA6785"/>
    <w:rsid w:val="00AB07A9"/>
    <w:rsid w:val="00AB0BBE"/>
    <w:rsid w:val="00AB0D81"/>
    <w:rsid w:val="00AB0F6A"/>
    <w:rsid w:val="00AB21DD"/>
    <w:rsid w:val="00AB2834"/>
    <w:rsid w:val="00AB44AD"/>
    <w:rsid w:val="00AB751F"/>
    <w:rsid w:val="00AB7990"/>
    <w:rsid w:val="00AC05F9"/>
    <w:rsid w:val="00AC0D38"/>
    <w:rsid w:val="00AC1A12"/>
    <w:rsid w:val="00AC213D"/>
    <w:rsid w:val="00AC2E15"/>
    <w:rsid w:val="00AC3BE8"/>
    <w:rsid w:val="00AC4147"/>
    <w:rsid w:val="00AC43EC"/>
    <w:rsid w:val="00AC6DCF"/>
    <w:rsid w:val="00AC7DDA"/>
    <w:rsid w:val="00AD03F1"/>
    <w:rsid w:val="00AD1622"/>
    <w:rsid w:val="00AD16CF"/>
    <w:rsid w:val="00AD16F7"/>
    <w:rsid w:val="00AD2CDE"/>
    <w:rsid w:val="00AD333F"/>
    <w:rsid w:val="00AE03D5"/>
    <w:rsid w:val="00AE1883"/>
    <w:rsid w:val="00AE479F"/>
    <w:rsid w:val="00AE4B00"/>
    <w:rsid w:val="00AF035C"/>
    <w:rsid w:val="00AF0BB1"/>
    <w:rsid w:val="00AF201C"/>
    <w:rsid w:val="00AF3DFF"/>
    <w:rsid w:val="00AF400D"/>
    <w:rsid w:val="00AF4C83"/>
    <w:rsid w:val="00AF672F"/>
    <w:rsid w:val="00AF6A6C"/>
    <w:rsid w:val="00B040B5"/>
    <w:rsid w:val="00B04374"/>
    <w:rsid w:val="00B04FC9"/>
    <w:rsid w:val="00B06151"/>
    <w:rsid w:val="00B07E8F"/>
    <w:rsid w:val="00B10635"/>
    <w:rsid w:val="00B127CF"/>
    <w:rsid w:val="00B12DBC"/>
    <w:rsid w:val="00B13F4C"/>
    <w:rsid w:val="00B21218"/>
    <w:rsid w:val="00B21CCB"/>
    <w:rsid w:val="00B231FF"/>
    <w:rsid w:val="00B26673"/>
    <w:rsid w:val="00B26D32"/>
    <w:rsid w:val="00B30803"/>
    <w:rsid w:val="00B31C19"/>
    <w:rsid w:val="00B327DA"/>
    <w:rsid w:val="00B32C8A"/>
    <w:rsid w:val="00B35E0A"/>
    <w:rsid w:val="00B36DB3"/>
    <w:rsid w:val="00B37478"/>
    <w:rsid w:val="00B375E2"/>
    <w:rsid w:val="00B4321F"/>
    <w:rsid w:val="00B45355"/>
    <w:rsid w:val="00B46CB3"/>
    <w:rsid w:val="00B50BC6"/>
    <w:rsid w:val="00B57EF7"/>
    <w:rsid w:val="00B6591A"/>
    <w:rsid w:val="00B65DBF"/>
    <w:rsid w:val="00B70F8B"/>
    <w:rsid w:val="00B7386A"/>
    <w:rsid w:val="00B73F1D"/>
    <w:rsid w:val="00B74502"/>
    <w:rsid w:val="00B76290"/>
    <w:rsid w:val="00B76AF1"/>
    <w:rsid w:val="00B76B46"/>
    <w:rsid w:val="00B76EB7"/>
    <w:rsid w:val="00B771F9"/>
    <w:rsid w:val="00B82361"/>
    <w:rsid w:val="00B8249F"/>
    <w:rsid w:val="00B828DD"/>
    <w:rsid w:val="00B83273"/>
    <w:rsid w:val="00B857C5"/>
    <w:rsid w:val="00B877BE"/>
    <w:rsid w:val="00B92648"/>
    <w:rsid w:val="00B92EB2"/>
    <w:rsid w:val="00B9475C"/>
    <w:rsid w:val="00B970C4"/>
    <w:rsid w:val="00BA4B7B"/>
    <w:rsid w:val="00BA5205"/>
    <w:rsid w:val="00BA582C"/>
    <w:rsid w:val="00BA69A7"/>
    <w:rsid w:val="00BA6BE0"/>
    <w:rsid w:val="00BA6CF0"/>
    <w:rsid w:val="00BA76C0"/>
    <w:rsid w:val="00BB1214"/>
    <w:rsid w:val="00BB1643"/>
    <w:rsid w:val="00BB23A1"/>
    <w:rsid w:val="00BB3E98"/>
    <w:rsid w:val="00BB4ECA"/>
    <w:rsid w:val="00BB542D"/>
    <w:rsid w:val="00BB6266"/>
    <w:rsid w:val="00BC0A00"/>
    <w:rsid w:val="00BC12AF"/>
    <w:rsid w:val="00BC3874"/>
    <w:rsid w:val="00BC617D"/>
    <w:rsid w:val="00BC6CD4"/>
    <w:rsid w:val="00BC7BC3"/>
    <w:rsid w:val="00BD0960"/>
    <w:rsid w:val="00BD3F6A"/>
    <w:rsid w:val="00BD4A81"/>
    <w:rsid w:val="00BD4BED"/>
    <w:rsid w:val="00BD5610"/>
    <w:rsid w:val="00BE40B8"/>
    <w:rsid w:val="00BE6599"/>
    <w:rsid w:val="00BF1260"/>
    <w:rsid w:val="00BF17C4"/>
    <w:rsid w:val="00BF185F"/>
    <w:rsid w:val="00BF1C35"/>
    <w:rsid w:val="00BF2EE1"/>
    <w:rsid w:val="00BF5FB2"/>
    <w:rsid w:val="00BF7E9A"/>
    <w:rsid w:val="00C00ABA"/>
    <w:rsid w:val="00C00D7C"/>
    <w:rsid w:val="00C0231B"/>
    <w:rsid w:val="00C0253A"/>
    <w:rsid w:val="00C03833"/>
    <w:rsid w:val="00C10771"/>
    <w:rsid w:val="00C1265A"/>
    <w:rsid w:val="00C13466"/>
    <w:rsid w:val="00C134F4"/>
    <w:rsid w:val="00C14A8E"/>
    <w:rsid w:val="00C14E6E"/>
    <w:rsid w:val="00C20219"/>
    <w:rsid w:val="00C20D09"/>
    <w:rsid w:val="00C20FDE"/>
    <w:rsid w:val="00C25CA2"/>
    <w:rsid w:val="00C25CBE"/>
    <w:rsid w:val="00C261EA"/>
    <w:rsid w:val="00C274A3"/>
    <w:rsid w:val="00C31B7E"/>
    <w:rsid w:val="00C330AA"/>
    <w:rsid w:val="00C34759"/>
    <w:rsid w:val="00C3671A"/>
    <w:rsid w:val="00C373CF"/>
    <w:rsid w:val="00C37F13"/>
    <w:rsid w:val="00C41942"/>
    <w:rsid w:val="00C423C5"/>
    <w:rsid w:val="00C455C4"/>
    <w:rsid w:val="00C457BB"/>
    <w:rsid w:val="00C46925"/>
    <w:rsid w:val="00C46C10"/>
    <w:rsid w:val="00C51C62"/>
    <w:rsid w:val="00C53C34"/>
    <w:rsid w:val="00C53DCE"/>
    <w:rsid w:val="00C5561F"/>
    <w:rsid w:val="00C558CC"/>
    <w:rsid w:val="00C55A4E"/>
    <w:rsid w:val="00C55FAC"/>
    <w:rsid w:val="00C566CD"/>
    <w:rsid w:val="00C56C16"/>
    <w:rsid w:val="00C56C38"/>
    <w:rsid w:val="00C57228"/>
    <w:rsid w:val="00C574C1"/>
    <w:rsid w:val="00C6161E"/>
    <w:rsid w:val="00C6254A"/>
    <w:rsid w:val="00C62585"/>
    <w:rsid w:val="00C63826"/>
    <w:rsid w:val="00C63986"/>
    <w:rsid w:val="00C6564E"/>
    <w:rsid w:val="00C66860"/>
    <w:rsid w:val="00C67D60"/>
    <w:rsid w:val="00C7020F"/>
    <w:rsid w:val="00C70515"/>
    <w:rsid w:val="00C72F00"/>
    <w:rsid w:val="00C72F75"/>
    <w:rsid w:val="00C77517"/>
    <w:rsid w:val="00C80A26"/>
    <w:rsid w:val="00C83373"/>
    <w:rsid w:val="00C840CD"/>
    <w:rsid w:val="00C84D6D"/>
    <w:rsid w:val="00C85E5E"/>
    <w:rsid w:val="00C86F1B"/>
    <w:rsid w:val="00C911C2"/>
    <w:rsid w:val="00C91BC1"/>
    <w:rsid w:val="00C91D5C"/>
    <w:rsid w:val="00C92908"/>
    <w:rsid w:val="00C93767"/>
    <w:rsid w:val="00C95930"/>
    <w:rsid w:val="00C96E7C"/>
    <w:rsid w:val="00C97B20"/>
    <w:rsid w:val="00CA0953"/>
    <w:rsid w:val="00CA1A4C"/>
    <w:rsid w:val="00CA3A76"/>
    <w:rsid w:val="00CB54E1"/>
    <w:rsid w:val="00CB6600"/>
    <w:rsid w:val="00CB69CB"/>
    <w:rsid w:val="00CB7762"/>
    <w:rsid w:val="00CC0528"/>
    <w:rsid w:val="00CC28DA"/>
    <w:rsid w:val="00CC30E1"/>
    <w:rsid w:val="00CC74FA"/>
    <w:rsid w:val="00CD3768"/>
    <w:rsid w:val="00CD501D"/>
    <w:rsid w:val="00CD5D9B"/>
    <w:rsid w:val="00CD756F"/>
    <w:rsid w:val="00CD7C89"/>
    <w:rsid w:val="00CE0057"/>
    <w:rsid w:val="00CE2881"/>
    <w:rsid w:val="00CE3B6F"/>
    <w:rsid w:val="00CE4392"/>
    <w:rsid w:val="00CE5B60"/>
    <w:rsid w:val="00CE7FB4"/>
    <w:rsid w:val="00CF0DA7"/>
    <w:rsid w:val="00CF3200"/>
    <w:rsid w:val="00CF51D8"/>
    <w:rsid w:val="00CF6B2D"/>
    <w:rsid w:val="00D016D5"/>
    <w:rsid w:val="00D06E50"/>
    <w:rsid w:val="00D10242"/>
    <w:rsid w:val="00D11C98"/>
    <w:rsid w:val="00D11D26"/>
    <w:rsid w:val="00D12914"/>
    <w:rsid w:val="00D12B61"/>
    <w:rsid w:val="00D13C36"/>
    <w:rsid w:val="00D13E9D"/>
    <w:rsid w:val="00D14385"/>
    <w:rsid w:val="00D148F7"/>
    <w:rsid w:val="00D1532B"/>
    <w:rsid w:val="00D15827"/>
    <w:rsid w:val="00D16513"/>
    <w:rsid w:val="00D23F94"/>
    <w:rsid w:val="00D246AB"/>
    <w:rsid w:val="00D30EAF"/>
    <w:rsid w:val="00D33E37"/>
    <w:rsid w:val="00D34756"/>
    <w:rsid w:val="00D34759"/>
    <w:rsid w:val="00D348D3"/>
    <w:rsid w:val="00D37999"/>
    <w:rsid w:val="00D37A26"/>
    <w:rsid w:val="00D37E7C"/>
    <w:rsid w:val="00D408FC"/>
    <w:rsid w:val="00D41370"/>
    <w:rsid w:val="00D41820"/>
    <w:rsid w:val="00D505FA"/>
    <w:rsid w:val="00D50A14"/>
    <w:rsid w:val="00D532E1"/>
    <w:rsid w:val="00D53613"/>
    <w:rsid w:val="00D55D59"/>
    <w:rsid w:val="00D610AA"/>
    <w:rsid w:val="00D65F8D"/>
    <w:rsid w:val="00D71A37"/>
    <w:rsid w:val="00D77B5A"/>
    <w:rsid w:val="00D816AA"/>
    <w:rsid w:val="00D83BDC"/>
    <w:rsid w:val="00D851A1"/>
    <w:rsid w:val="00D85C91"/>
    <w:rsid w:val="00D8773C"/>
    <w:rsid w:val="00D91C31"/>
    <w:rsid w:val="00D92EF6"/>
    <w:rsid w:val="00D96A6E"/>
    <w:rsid w:val="00D96C8D"/>
    <w:rsid w:val="00DA4044"/>
    <w:rsid w:val="00DA58E4"/>
    <w:rsid w:val="00DA5CD0"/>
    <w:rsid w:val="00DA75DD"/>
    <w:rsid w:val="00DA79CE"/>
    <w:rsid w:val="00DB0E66"/>
    <w:rsid w:val="00DB2333"/>
    <w:rsid w:val="00DB3230"/>
    <w:rsid w:val="00DB4F16"/>
    <w:rsid w:val="00DB74F8"/>
    <w:rsid w:val="00DC1C82"/>
    <w:rsid w:val="00DC2653"/>
    <w:rsid w:val="00DC2C44"/>
    <w:rsid w:val="00DC3945"/>
    <w:rsid w:val="00DC4C2A"/>
    <w:rsid w:val="00DC5EA3"/>
    <w:rsid w:val="00DC6890"/>
    <w:rsid w:val="00DC6996"/>
    <w:rsid w:val="00DD0FD7"/>
    <w:rsid w:val="00DD1457"/>
    <w:rsid w:val="00DD3902"/>
    <w:rsid w:val="00DD426E"/>
    <w:rsid w:val="00DD4BC4"/>
    <w:rsid w:val="00DD600D"/>
    <w:rsid w:val="00DD6E72"/>
    <w:rsid w:val="00DE0B3E"/>
    <w:rsid w:val="00DE2FA0"/>
    <w:rsid w:val="00DE4A2D"/>
    <w:rsid w:val="00DE6465"/>
    <w:rsid w:val="00DE6711"/>
    <w:rsid w:val="00DF152D"/>
    <w:rsid w:val="00DF3DE4"/>
    <w:rsid w:val="00DF756F"/>
    <w:rsid w:val="00E000A6"/>
    <w:rsid w:val="00E0036C"/>
    <w:rsid w:val="00E00B2E"/>
    <w:rsid w:val="00E023DF"/>
    <w:rsid w:val="00E03208"/>
    <w:rsid w:val="00E03934"/>
    <w:rsid w:val="00E05508"/>
    <w:rsid w:val="00E0560D"/>
    <w:rsid w:val="00E05B66"/>
    <w:rsid w:val="00E0672E"/>
    <w:rsid w:val="00E11221"/>
    <w:rsid w:val="00E1147E"/>
    <w:rsid w:val="00E13B7F"/>
    <w:rsid w:val="00E1428C"/>
    <w:rsid w:val="00E148A4"/>
    <w:rsid w:val="00E14D08"/>
    <w:rsid w:val="00E1739C"/>
    <w:rsid w:val="00E20AF8"/>
    <w:rsid w:val="00E24871"/>
    <w:rsid w:val="00E30A1A"/>
    <w:rsid w:val="00E31714"/>
    <w:rsid w:val="00E32735"/>
    <w:rsid w:val="00E32B08"/>
    <w:rsid w:val="00E32B89"/>
    <w:rsid w:val="00E35707"/>
    <w:rsid w:val="00E35DD8"/>
    <w:rsid w:val="00E36F73"/>
    <w:rsid w:val="00E37623"/>
    <w:rsid w:val="00E4497D"/>
    <w:rsid w:val="00E46571"/>
    <w:rsid w:val="00E53990"/>
    <w:rsid w:val="00E5538B"/>
    <w:rsid w:val="00E572A9"/>
    <w:rsid w:val="00E60777"/>
    <w:rsid w:val="00E62A7C"/>
    <w:rsid w:val="00E64C57"/>
    <w:rsid w:val="00E6751B"/>
    <w:rsid w:val="00E708A5"/>
    <w:rsid w:val="00E70EF2"/>
    <w:rsid w:val="00E7103C"/>
    <w:rsid w:val="00E72DEE"/>
    <w:rsid w:val="00E7360D"/>
    <w:rsid w:val="00E74F32"/>
    <w:rsid w:val="00E7725D"/>
    <w:rsid w:val="00E82F27"/>
    <w:rsid w:val="00E846EF"/>
    <w:rsid w:val="00E84B4C"/>
    <w:rsid w:val="00E85112"/>
    <w:rsid w:val="00E85F40"/>
    <w:rsid w:val="00E86621"/>
    <w:rsid w:val="00E93AC5"/>
    <w:rsid w:val="00E93FAE"/>
    <w:rsid w:val="00E9459D"/>
    <w:rsid w:val="00E9463D"/>
    <w:rsid w:val="00E97330"/>
    <w:rsid w:val="00EA016A"/>
    <w:rsid w:val="00EA5D83"/>
    <w:rsid w:val="00EB1DC5"/>
    <w:rsid w:val="00EB2E5C"/>
    <w:rsid w:val="00EB340B"/>
    <w:rsid w:val="00EB5C12"/>
    <w:rsid w:val="00EC014B"/>
    <w:rsid w:val="00EC32AF"/>
    <w:rsid w:val="00EC410B"/>
    <w:rsid w:val="00EC4DA7"/>
    <w:rsid w:val="00EC6740"/>
    <w:rsid w:val="00ED0372"/>
    <w:rsid w:val="00ED2EED"/>
    <w:rsid w:val="00ED4D48"/>
    <w:rsid w:val="00ED652E"/>
    <w:rsid w:val="00ED660E"/>
    <w:rsid w:val="00EE0103"/>
    <w:rsid w:val="00EE06E3"/>
    <w:rsid w:val="00EE0940"/>
    <w:rsid w:val="00EE0BE9"/>
    <w:rsid w:val="00EE2198"/>
    <w:rsid w:val="00EE241C"/>
    <w:rsid w:val="00EE3A0B"/>
    <w:rsid w:val="00EE4D1B"/>
    <w:rsid w:val="00EE55AE"/>
    <w:rsid w:val="00EE5ADB"/>
    <w:rsid w:val="00EE627E"/>
    <w:rsid w:val="00EF0F24"/>
    <w:rsid w:val="00EF17C7"/>
    <w:rsid w:val="00EF32E8"/>
    <w:rsid w:val="00EF3880"/>
    <w:rsid w:val="00EF5385"/>
    <w:rsid w:val="00EF7B3C"/>
    <w:rsid w:val="00F0054A"/>
    <w:rsid w:val="00F027D7"/>
    <w:rsid w:val="00F02CFF"/>
    <w:rsid w:val="00F06325"/>
    <w:rsid w:val="00F1106D"/>
    <w:rsid w:val="00F11D02"/>
    <w:rsid w:val="00F11E42"/>
    <w:rsid w:val="00F1226F"/>
    <w:rsid w:val="00F12347"/>
    <w:rsid w:val="00F15265"/>
    <w:rsid w:val="00F16018"/>
    <w:rsid w:val="00F16253"/>
    <w:rsid w:val="00F16830"/>
    <w:rsid w:val="00F22B66"/>
    <w:rsid w:val="00F24DD9"/>
    <w:rsid w:val="00F2528C"/>
    <w:rsid w:val="00F25D75"/>
    <w:rsid w:val="00F34599"/>
    <w:rsid w:val="00F348A6"/>
    <w:rsid w:val="00F35942"/>
    <w:rsid w:val="00F35B9F"/>
    <w:rsid w:val="00F36AF0"/>
    <w:rsid w:val="00F36F9F"/>
    <w:rsid w:val="00F41E9B"/>
    <w:rsid w:val="00F42EF2"/>
    <w:rsid w:val="00F43309"/>
    <w:rsid w:val="00F433FF"/>
    <w:rsid w:val="00F4414C"/>
    <w:rsid w:val="00F44A7E"/>
    <w:rsid w:val="00F44F9B"/>
    <w:rsid w:val="00F44F9D"/>
    <w:rsid w:val="00F473B3"/>
    <w:rsid w:val="00F5102B"/>
    <w:rsid w:val="00F53CB4"/>
    <w:rsid w:val="00F549CF"/>
    <w:rsid w:val="00F573F4"/>
    <w:rsid w:val="00F577A0"/>
    <w:rsid w:val="00F63016"/>
    <w:rsid w:val="00F63670"/>
    <w:rsid w:val="00F65276"/>
    <w:rsid w:val="00F653CA"/>
    <w:rsid w:val="00F721D0"/>
    <w:rsid w:val="00F73A29"/>
    <w:rsid w:val="00F73F1B"/>
    <w:rsid w:val="00F742B5"/>
    <w:rsid w:val="00F75B19"/>
    <w:rsid w:val="00F80721"/>
    <w:rsid w:val="00F809B9"/>
    <w:rsid w:val="00F80CE5"/>
    <w:rsid w:val="00F815AF"/>
    <w:rsid w:val="00F82C93"/>
    <w:rsid w:val="00F86AF9"/>
    <w:rsid w:val="00F87371"/>
    <w:rsid w:val="00F87E90"/>
    <w:rsid w:val="00F9388E"/>
    <w:rsid w:val="00F93ED5"/>
    <w:rsid w:val="00F94705"/>
    <w:rsid w:val="00F94A0B"/>
    <w:rsid w:val="00F9563E"/>
    <w:rsid w:val="00F95688"/>
    <w:rsid w:val="00F95C58"/>
    <w:rsid w:val="00FA292D"/>
    <w:rsid w:val="00FA335C"/>
    <w:rsid w:val="00FA365C"/>
    <w:rsid w:val="00FA6167"/>
    <w:rsid w:val="00FA73BE"/>
    <w:rsid w:val="00FB157B"/>
    <w:rsid w:val="00FB2B6E"/>
    <w:rsid w:val="00FB48B5"/>
    <w:rsid w:val="00FC15DB"/>
    <w:rsid w:val="00FC4C5B"/>
    <w:rsid w:val="00FD0A4D"/>
    <w:rsid w:val="00FD5867"/>
    <w:rsid w:val="00FD66B0"/>
    <w:rsid w:val="00FD7633"/>
    <w:rsid w:val="00FE1227"/>
    <w:rsid w:val="00FE177D"/>
    <w:rsid w:val="00FE21A8"/>
    <w:rsid w:val="00FE35DA"/>
    <w:rsid w:val="00FE4859"/>
    <w:rsid w:val="00FE4936"/>
    <w:rsid w:val="00FE4B54"/>
    <w:rsid w:val="00FE628B"/>
    <w:rsid w:val="00FF2E19"/>
    <w:rsid w:val="00FF36F8"/>
    <w:rsid w:val="00FF3F0A"/>
    <w:rsid w:val="00FF4BFE"/>
    <w:rsid w:val="00FF7076"/>
    <w:rsid w:val="012873D3"/>
    <w:rsid w:val="02F30FA1"/>
    <w:rsid w:val="049D0715"/>
    <w:rsid w:val="06F91383"/>
    <w:rsid w:val="09694699"/>
    <w:rsid w:val="09E8138B"/>
    <w:rsid w:val="0C652590"/>
    <w:rsid w:val="0D1814FF"/>
    <w:rsid w:val="0D57008A"/>
    <w:rsid w:val="0DA56F93"/>
    <w:rsid w:val="0E5927CD"/>
    <w:rsid w:val="0E7E1C83"/>
    <w:rsid w:val="0EA0228A"/>
    <w:rsid w:val="0F2048C9"/>
    <w:rsid w:val="0F9E7C5A"/>
    <w:rsid w:val="11E96009"/>
    <w:rsid w:val="12FA67BA"/>
    <w:rsid w:val="142011A6"/>
    <w:rsid w:val="14D57288"/>
    <w:rsid w:val="16277A0B"/>
    <w:rsid w:val="16852D6C"/>
    <w:rsid w:val="17B24919"/>
    <w:rsid w:val="17B4163D"/>
    <w:rsid w:val="18AF29F3"/>
    <w:rsid w:val="1E097B16"/>
    <w:rsid w:val="20027204"/>
    <w:rsid w:val="20EE6FC1"/>
    <w:rsid w:val="21606878"/>
    <w:rsid w:val="22027AEB"/>
    <w:rsid w:val="23A42D0F"/>
    <w:rsid w:val="24462A2D"/>
    <w:rsid w:val="25467257"/>
    <w:rsid w:val="26B36D0C"/>
    <w:rsid w:val="26C70FC3"/>
    <w:rsid w:val="278E20F9"/>
    <w:rsid w:val="292A07D3"/>
    <w:rsid w:val="2A4E3D69"/>
    <w:rsid w:val="2C102611"/>
    <w:rsid w:val="2C29369E"/>
    <w:rsid w:val="2D2F2CFF"/>
    <w:rsid w:val="2E4A46A0"/>
    <w:rsid w:val="2EF72DA2"/>
    <w:rsid w:val="2F3515C3"/>
    <w:rsid w:val="2FA501BC"/>
    <w:rsid w:val="317407C0"/>
    <w:rsid w:val="32583CAC"/>
    <w:rsid w:val="326E7D53"/>
    <w:rsid w:val="35564E50"/>
    <w:rsid w:val="398B7F95"/>
    <w:rsid w:val="3A990BD3"/>
    <w:rsid w:val="3BB367AF"/>
    <w:rsid w:val="3C024B7D"/>
    <w:rsid w:val="3C7F4EBC"/>
    <w:rsid w:val="3F23643C"/>
    <w:rsid w:val="3F676452"/>
    <w:rsid w:val="3FFC7424"/>
    <w:rsid w:val="40DC5980"/>
    <w:rsid w:val="40E26775"/>
    <w:rsid w:val="41655958"/>
    <w:rsid w:val="435528D9"/>
    <w:rsid w:val="441962C2"/>
    <w:rsid w:val="466E7C8E"/>
    <w:rsid w:val="48374FFD"/>
    <w:rsid w:val="487E1EBD"/>
    <w:rsid w:val="48A37E61"/>
    <w:rsid w:val="49602681"/>
    <w:rsid w:val="49894DF8"/>
    <w:rsid w:val="4AFA3073"/>
    <w:rsid w:val="4C46012D"/>
    <w:rsid w:val="4EE942B4"/>
    <w:rsid w:val="52B753C1"/>
    <w:rsid w:val="55985036"/>
    <w:rsid w:val="573D3418"/>
    <w:rsid w:val="57FD3B20"/>
    <w:rsid w:val="597C1F53"/>
    <w:rsid w:val="5A170196"/>
    <w:rsid w:val="5BEF76E9"/>
    <w:rsid w:val="5CC70097"/>
    <w:rsid w:val="5CE337FB"/>
    <w:rsid w:val="5DB43B5A"/>
    <w:rsid w:val="5F1662FE"/>
    <w:rsid w:val="60464B44"/>
    <w:rsid w:val="623730A2"/>
    <w:rsid w:val="62D10EFB"/>
    <w:rsid w:val="65C92FEA"/>
    <w:rsid w:val="66AB22D9"/>
    <w:rsid w:val="66D41533"/>
    <w:rsid w:val="672E52CC"/>
    <w:rsid w:val="68226616"/>
    <w:rsid w:val="68693D9A"/>
    <w:rsid w:val="69005E96"/>
    <w:rsid w:val="6B6A2FF0"/>
    <w:rsid w:val="6C98134B"/>
    <w:rsid w:val="6CDA7624"/>
    <w:rsid w:val="6CE81713"/>
    <w:rsid w:val="6D070BEB"/>
    <w:rsid w:val="6D0B6015"/>
    <w:rsid w:val="6D7B76B4"/>
    <w:rsid w:val="6DB932C1"/>
    <w:rsid w:val="6DC53455"/>
    <w:rsid w:val="6E1F0847"/>
    <w:rsid w:val="6E3A43BC"/>
    <w:rsid w:val="73A07A74"/>
    <w:rsid w:val="74DD1DA7"/>
    <w:rsid w:val="7504175C"/>
    <w:rsid w:val="765E095D"/>
    <w:rsid w:val="788D4480"/>
    <w:rsid w:val="78A32008"/>
    <w:rsid w:val="79865D37"/>
    <w:rsid w:val="7B4A6DD9"/>
    <w:rsid w:val="7BA15761"/>
    <w:rsid w:val="7D3A560F"/>
    <w:rsid w:val="7E1F194A"/>
    <w:rsid w:val="7E591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nhideWhenUsed="0" w:uiPriority="39" w:semiHidden="0" w:name="toc 2"/>
    <w:lsdException w:unhideWhenUsed="0" w:uiPriority="0"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nhideWhenUsed="0" w:uiPriority="99" w:semiHidden="0"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2"/>
    <w:qFormat/>
    <w:uiPriority w:val="0"/>
    <w:pPr>
      <w:keepNext/>
      <w:keepLines/>
      <w:spacing w:before="260" w:after="260" w:line="416" w:lineRule="auto"/>
      <w:outlineLvl w:val="2"/>
    </w:pPr>
    <w:rPr>
      <w:b/>
      <w:bCs/>
      <w:sz w:val="32"/>
      <w:szCs w:val="32"/>
    </w:rPr>
  </w:style>
  <w:style w:type="paragraph" w:styleId="6">
    <w:name w:val="heading 4"/>
    <w:basedOn w:val="1"/>
    <w:next w:val="1"/>
    <w:link w:val="33"/>
    <w:qFormat/>
    <w:uiPriority w:val="9"/>
    <w:pPr>
      <w:keepNext/>
      <w:jc w:val="center"/>
      <w:outlineLvl w:val="3"/>
    </w:pPr>
    <w:rPr>
      <w:rFonts w:eastAsia="新宋体"/>
      <w:sz w:val="30"/>
      <w:szCs w:val="21"/>
    </w:rPr>
  </w:style>
  <w:style w:type="paragraph" w:styleId="7">
    <w:name w:val="heading 5"/>
    <w:basedOn w:val="1"/>
    <w:next w:val="1"/>
    <w:link w:val="34"/>
    <w:qFormat/>
    <w:uiPriority w:val="9"/>
    <w:pPr>
      <w:widowControl/>
      <w:spacing w:before="100" w:beforeAutospacing="1" w:after="100" w:afterAutospacing="1"/>
      <w:jc w:val="left"/>
      <w:outlineLvl w:val="4"/>
    </w:pPr>
    <w:rPr>
      <w:rFonts w:ascii="宋体" w:hAnsi="宋体"/>
      <w:b/>
      <w:bCs/>
      <w:kern w:val="0"/>
      <w:sz w:val="20"/>
      <w:szCs w:val="20"/>
    </w:rPr>
  </w:style>
  <w:style w:type="paragraph" w:styleId="8">
    <w:name w:val="heading 6"/>
    <w:basedOn w:val="1"/>
    <w:next w:val="1"/>
    <w:link w:val="35"/>
    <w:qFormat/>
    <w:uiPriority w:val="9"/>
    <w:pPr>
      <w:keepNext/>
      <w:keepLines/>
      <w:spacing w:before="240" w:after="64" w:line="320" w:lineRule="auto"/>
      <w:outlineLvl w:val="5"/>
    </w:pPr>
    <w:rPr>
      <w:rFonts w:ascii="Cambria" w:hAnsi="Cambria"/>
      <w:b/>
      <w:bCs/>
      <w:sz w:val="24"/>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2">
    <w:name w:val="Body Text"/>
    <w:basedOn w:val="1"/>
    <w:link w:val="103"/>
    <w:unhideWhenUsed/>
    <w:qFormat/>
    <w:uiPriority w:val="0"/>
    <w:pPr>
      <w:spacing w:after="120"/>
    </w:pPr>
    <w:rPr>
      <w:kern w:val="0"/>
      <w:sz w:val="20"/>
    </w:rPr>
  </w:style>
  <w:style w:type="paragraph" w:styleId="9">
    <w:name w:val="Normal Indent"/>
    <w:basedOn w:val="1"/>
    <w:link w:val="37"/>
    <w:qFormat/>
    <w:uiPriority w:val="0"/>
    <w:pPr>
      <w:ind w:firstLine="420"/>
    </w:pPr>
    <w:rPr>
      <w:szCs w:val="20"/>
    </w:rPr>
  </w:style>
  <w:style w:type="paragraph" w:styleId="10">
    <w:name w:val="Document Map"/>
    <w:basedOn w:val="1"/>
    <w:link w:val="38"/>
    <w:uiPriority w:val="99"/>
    <w:pPr>
      <w:shd w:val="clear" w:color="auto" w:fill="000080"/>
    </w:pPr>
  </w:style>
  <w:style w:type="paragraph" w:styleId="11">
    <w:name w:val="annotation text"/>
    <w:basedOn w:val="1"/>
    <w:link w:val="39"/>
    <w:qFormat/>
    <w:uiPriority w:val="0"/>
    <w:pPr>
      <w:jc w:val="left"/>
    </w:pPr>
    <w:rPr>
      <w:szCs w:val="21"/>
    </w:rPr>
  </w:style>
  <w:style w:type="paragraph" w:styleId="12">
    <w:name w:val="Body Text Indent"/>
    <w:basedOn w:val="1"/>
    <w:link w:val="40"/>
    <w:qFormat/>
    <w:uiPriority w:val="99"/>
    <w:pPr>
      <w:spacing w:after="120"/>
      <w:ind w:left="420" w:leftChars="200"/>
    </w:pPr>
  </w:style>
  <w:style w:type="paragraph" w:styleId="13">
    <w:name w:val="Plain Text"/>
    <w:basedOn w:val="1"/>
    <w:link w:val="43"/>
    <w:qFormat/>
    <w:uiPriority w:val="99"/>
    <w:rPr>
      <w:rFonts w:ascii="宋体" w:hAnsi="Courier New"/>
      <w:szCs w:val="21"/>
    </w:rPr>
  </w:style>
  <w:style w:type="paragraph" w:styleId="14">
    <w:name w:val="Date"/>
    <w:basedOn w:val="1"/>
    <w:next w:val="1"/>
    <w:link w:val="45"/>
    <w:qFormat/>
    <w:uiPriority w:val="0"/>
    <w:pPr>
      <w:ind w:left="100" w:leftChars="2500"/>
    </w:pPr>
  </w:style>
  <w:style w:type="paragraph" w:styleId="15">
    <w:name w:val="Balloon Text"/>
    <w:basedOn w:val="1"/>
    <w:link w:val="46"/>
    <w:uiPriority w:val="99"/>
    <w:rPr>
      <w:sz w:val="18"/>
      <w:szCs w:val="18"/>
    </w:rPr>
  </w:style>
  <w:style w:type="paragraph" w:styleId="16">
    <w:name w:val="footer"/>
    <w:basedOn w:val="1"/>
    <w:link w:val="47"/>
    <w:qFormat/>
    <w:uiPriority w:val="0"/>
    <w:pPr>
      <w:tabs>
        <w:tab w:val="center" w:pos="4153"/>
        <w:tab w:val="right" w:pos="8306"/>
      </w:tabs>
      <w:snapToGrid w:val="0"/>
      <w:jc w:val="left"/>
    </w:pPr>
    <w:rPr>
      <w:sz w:val="18"/>
      <w:szCs w:val="18"/>
    </w:rPr>
  </w:style>
  <w:style w:type="paragraph" w:styleId="17">
    <w:name w:val="envelope return"/>
    <w:basedOn w:val="1"/>
    <w:unhideWhenUsed/>
    <w:qFormat/>
    <w:uiPriority w:val="99"/>
    <w:pPr>
      <w:snapToGrid w:val="0"/>
    </w:pPr>
    <w:rPr>
      <w:rFonts w:ascii="Arial" w:hAnsi="Arial"/>
      <w:szCs w:val="20"/>
    </w:rPr>
  </w:style>
  <w:style w:type="paragraph" w:styleId="18">
    <w:name w:val="header"/>
    <w:basedOn w:val="1"/>
    <w:link w:val="48"/>
    <w:qFormat/>
    <w:uiPriority w:val="0"/>
    <w:pPr>
      <w:pBdr>
        <w:bottom w:val="single" w:color="auto" w:sz="6" w:space="1"/>
      </w:pBdr>
      <w:tabs>
        <w:tab w:val="center" w:pos="4153"/>
        <w:tab w:val="right" w:pos="8306"/>
      </w:tabs>
      <w:snapToGrid w:val="0"/>
      <w:jc w:val="center"/>
    </w:pPr>
    <w:rPr>
      <w:sz w:val="18"/>
      <w:szCs w:val="18"/>
    </w:rPr>
  </w:style>
  <w:style w:type="paragraph" w:styleId="19">
    <w:name w:val="Body Text Indent 3"/>
    <w:basedOn w:val="1"/>
    <w:link w:val="52"/>
    <w:qFormat/>
    <w:uiPriority w:val="0"/>
    <w:pPr>
      <w:spacing w:line="520" w:lineRule="exact"/>
      <w:ind w:firstLine="539" w:firstLineChars="184"/>
    </w:pPr>
    <w:rPr>
      <w:rFonts w:ascii="宋体"/>
      <w:b/>
      <w:spacing w:val="6"/>
      <w:sz w:val="28"/>
    </w:rPr>
  </w:style>
  <w:style w:type="paragraph" w:styleId="20">
    <w:name w:val="HTML Preformatted"/>
    <w:basedOn w:val="1"/>
    <w:link w:val="5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2">
    <w:name w:val="Title"/>
    <w:basedOn w:val="1"/>
    <w:next w:val="1"/>
    <w:link w:val="113"/>
    <w:qFormat/>
    <w:uiPriority w:val="10"/>
    <w:pPr>
      <w:spacing w:before="240" w:after="60"/>
      <w:jc w:val="center"/>
      <w:outlineLvl w:val="0"/>
    </w:pPr>
    <w:rPr>
      <w:rFonts w:ascii="等线 Light" w:hAnsi="等线 Light"/>
      <w:b/>
      <w:bCs/>
      <w:sz w:val="32"/>
      <w:szCs w:val="32"/>
    </w:rPr>
  </w:style>
  <w:style w:type="paragraph" w:styleId="23">
    <w:name w:val="Body Text First Indent 2"/>
    <w:basedOn w:val="12"/>
    <w:link w:val="99"/>
    <w:semiHidden/>
    <w:unhideWhenUsed/>
    <w:uiPriority w:val="99"/>
    <w:pPr>
      <w:ind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uiPriority w:val="0"/>
  </w:style>
  <w:style w:type="character" w:styleId="29">
    <w:name w:val="Hyperlink"/>
    <w:qFormat/>
    <w:uiPriority w:val="0"/>
    <w:rPr>
      <w:color w:val="333333"/>
      <w:u w:val="none"/>
    </w:rPr>
  </w:style>
  <w:style w:type="character" w:customStyle="1" w:styleId="30">
    <w:name w:val="标题 1 字符"/>
    <w:link w:val="3"/>
    <w:qFormat/>
    <w:uiPriority w:val="0"/>
    <w:rPr>
      <w:b/>
      <w:bCs/>
      <w:kern w:val="44"/>
      <w:sz w:val="44"/>
      <w:szCs w:val="44"/>
    </w:rPr>
  </w:style>
  <w:style w:type="character" w:customStyle="1" w:styleId="31">
    <w:name w:val="标题 2 字符"/>
    <w:link w:val="4"/>
    <w:qFormat/>
    <w:uiPriority w:val="0"/>
    <w:rPr>
      <w:rFonts w:ascii="Arial" w:hAnsi="Arial" w:eastAsia="黑体"/>
      <w:b/>
      <w:bCs/>
      <w:kern w:val="2"/>
      <w:sz w:val="32"/>
      <w:szCs w:val="32"/>
    </w:rPr>
  </w:style>
  <w:style w:type="character" w:customStyle="1" w:styleId="32">
    <w:name w:val="标题 3 字符"/>
    <w:link w:val="5"/>
    <w:qFormat/>
    <w:uiPriority w:val="0"/>
    <w:rPr>
      <w:b/>
      <w:bCs/>
      <w:kern w:val="2"/>
      <w:sz w:val="32"/>
      <w:szCs w:val="32"/>
    </w:rPr>
  </w:style>
  <w:style w:type="character" w:customStyle="1" w:styleId="33">
    <w:name w:val="标题 4 字符"/>
    <w:link w:val="6"/>
    <w:uiPriority w:val="9"/>
    <w:rPr>
      <w:rFonts w:eastAsia="新宋体"/>
      <w:kern w:val="2"/>
      <w:sz w:val="30"/>
      <w:szCs w:val="21"/>
    </w:rPr>
  </w:style>
  <w:style w:type="character" w:customStyle="1" w:styleId="34">
    <w:name w:val="标题 5 字符"/>
    <w:link w:val="7"/>
    <w:uiPriority w:val="9"/>
    <w:rPr>
      <w:rFonts w:ascii="宋体" w:hAnsi="宋体" w:cs="宋体"/>
      <w:b/>
      <w:bCs/>
    </w:rPr>
  </w:style>
  <w:style w:type="character" w:customStyle="1" w:styleId="35">
    <w:name w:val="标题 6 字符"/>
    <w:link w:val="8"/>
    <w:locked/>
    <w:uiPriority w:val="9"/>
    <w:rPr>
      <w:rFonts w:hint="default" w:ascii="Cambria" w:hAnsi="Cambria" w:eastAsia="宋体" w:cs="Times New Roman"/>
      <w:b/>
      <w:bCs/>
      <w:kern w:val="2"/>
      <w:sz w:val="24"/>
      <w:szCs w:val="24"/>
    </w:rPr>
  </w:style>
  <w:style w:type="paragraph" w:customStyle="1" w:styleId="36">
    <w:name w:val="目录 71"/>
    <w:basedOn w:val="1"/>
    <w:next w:val="1"/>
    <w:uiPriority w:val="39"/>
    <w:pPr>
      <w:ind w:left="1260"/>
      <w:jc w:val="left"/>
    </w:pPr>
    <w:rPr>
      <w:rFonts w:ascii="Calibri" w:hAnsi="Calibri" w:cs="宋体"/>
      <w:sz w:val="18"/>
      <w:szCs w:val="18"/>
    </w:rPr>
  </w:style>
  <w:style w:type="character" w:customStyle="1" w:styleId="37">
    <w:name w:val="正文缩进 字符"/>
    <w:link w:val="9"/>
    <w:uiPriority w:val="0"/>
    <w:rPr>
      <w:kern w:val="2"/>
      <w:sz w:val="21"/>
    </w:rPr>
  </w:style>
  <w:style w:type="character" w:customStyle="1" w:styleId="38">
    <w:name w:val="文档结构图 字符"/>
    <w:link w:val="10"/>
    <w:uiPriority w:val="99"/>
    <w:rPr>
      <w:kern w:val="2"/>
      <w:sz w:val="21"/>
      <w:szCs w:val="24"/>
      <w:shd w:val="clear" w:color="auto" w:fill="000080"/>
    </w:rPr>
  </w:style>
  <w:style w:type="character" w:customStyle="1" w:styleId="39">
    <w:name w:val="批注文字 字符"/>
    <w:link w:val="11"/>
    <w:qFormat/>
    <w:uiPriority w:val="99"/>
    <w:rPr>
      <w:kern w:val="2"/>
      <w:sz w:val="21"/>
      <w:szCs w:val="21"/>
    </w:rPr>
  </w:style>
  <w:style w:type="character" w:customStyle="1" w:styleId="40">
    <w:name w:val="正文文本缩进 字符"/>
    <w:link w:val="12"/>
    <w:uiPriority w:val="0"/>
    <w:rPr>
      <w:kern w:val="2"/>
      <w:sz w:val="21"/>
      <w:szCs w:val="24"/>
    </w:rPr>
  </w:style>
  <w:style w:type="paragraph" w:customStyle="1" w:styleId="41">
    <w:name w:val="目录 51"/>
    <w:basedOn w:val="1"/>
    <w:next w:val="1"/>
    <w:uiPriority w:val="39"/>
    <w:pPr>
      <w:ind w:left="840"/>
      <w:jc w:val="left"/>
    </w:pPr>
    <w:rPr>
      <w:rFonts w:ascii="Calibri" w:hAnsi="Calibri" w:cs="宋体"/>
      <w:sz w:val="18"/>
      <w:szCs w:val="18"/>
    </w:rPr>
  </w:style>
  <w:style w:type="paragraph" w:customStyle="1" w:styleId="42">
    <w:name w:val="目录 31"/>
    <w:basedOn w:val="1"/>
    <w:next w:val="1"/>
    <w:uiPriority w:val="0"/>
    <w:pPr>
      <w:ind w:left="420"/>
      <w:jc w:val="left"/>
    </w:pPr>
    <w:rPr>
      <w:rFonts w:ascii="Calibri" w:hAnsi="Calibri" w:cs="宋体"/>
      <w:i/>
      <w:iCs/>
      <w:sz w:val="20"/>
      <w:szCs w:val="20"/>
    </w:rPr>
  </w:style>
  <w:style w:type="character" w:customStyle="1" w:styleId="43">
    <w:name w:val="纯文本 字符"/>
    <w:link w:val="13"/>
    <w:uiPriority w:val="99"/>
    <w:rPr>
      <w:rFonts w:ascii="宋体" w:hAnsi="Courier New" w:cs="Courier New"/>
      <w:kern w:val="2"/>
      <w:sz w:val="21"/>
      <w:szCs w:val="21"/>
    </w:rPr>
  </w:style>
  <w:style w:type="paragraph" w:customStyle="1" w:styleId="44">
    <w:name w:val="目录 81"/>
    <w:basedOn w:val="1"/>
    <w:next w:val="1"/>
    <w:qFormat/>
    <w:uiPriority w:val="39"/>
    <w:pPr>
      <w:ind w:left="1470"/>
      <w:jc w:val="left"/>
    </w:pPr>
    <w:rPr>
      <w:rFonts w:ascii="Calibri" w:hAnsi="Calibri" w:cs="宋体"/>
      <w:sz w:val="18"/>
      <w:szCs w:val="18"/>
    </w:rPr>
  </w:style>
  <w:style w:type="character" w:customStyle="1" w:styleId="45">
    <w:name w:val="日期 字符"/>
    <w:link w:val="14"/>
    <w:qFormat/>
    <w:uiPriority w:val="0"/>
    <w:rPr>
      <w:kern w:val="2"/>
      <w:sz w:val="21"/>
      <w:szCs w:val="24"/>
    </w:rPr>
  </w:style>
  <w:style w:type="character" w:customStyle="1" w:styleId="46">
    <w:name w:val="批注框文本 字符"/>
    <w:link w:val="15"/>
    <w:qFormat/>
    <w:uiPriority w:val="99"/>
    <w:rPr>
      <w:kern w:val="2"/>
      <w:sz w:val="18"/>
      <w:szCs w:val="18"/>
    </w:rPr>
  </w:style>
  <w:style w:type="character" w:customStyle="1" w:styleId="47">
    <w:name w:val="页脚 字符"/>
    <w:link w:val="16"/>
    <w:qFormat/>
    <w:uiPriority w:val="0"/>
    <w:rPr>
      <w:kern w:val="2"/>
      <w:sz w:val="18"/>
      <w:szCs w:val="18"/>
    </w:rPr>
  </w:style>
  <w:style w:type="character" w:customStyle="1" w:styleId="48">
    <w:name w:val="页眉 字符"/>
    <w:link w:val="18"/>
    <w:qFormat/>
    <w:uiPriority w:val="0"/>
    <w:rPr>
      <w:kern w:val="2"/>
      <w:sz w:val="18"/>
      <w:szCs w:val="18"/>
    </w:rPr>
  </w:style>
  <w:style w:type="paragraph" w:customStyle="1" w:styleId="49">
    <w:name w:val="目录 11"/>
    <w:basedOn w:val="1"/>
    <w:next w:val="1"/>
    <w:qFormat/>
    <w:uiPriority w:val="0"/>
    <w:pPr>
      <w:spacing w:before="120" w:after="120"/>
      <w:jc w:val="left"/>
    </w:pPr>
    <w:rPr>
      <w:rFonts w:ascii="Calibri" w:hAnsi="Calibri" w:cs="宋体"/>
      <w:b/>
      <w:bCs/>
      <w:caps/>
      <w:sz w:val="20"/>
      <w:szCs w:val="20"/>
    </w:rPr>
  </w:style>
  <w:style w:type="paragraph" w:customStyle="1" w:styleId="50">
    <w:name w:val="目录 41"/>
    <w:basedOn w:val="1"/>
    <w:next w:val="1"/>
    <w:qFormat/>
    <w:uiPriority w:val="39"/>
    <w:pPr>
      <w:ind w:left="630"/>
      <w:jc w:val="left"/>
    </w:pPr>
    <w:rPr>
      <w:rFonts w:ascii="Calibri" w:hAnsi="Calibri" w:cs="宋体"/>
      <w:sz w:val="18"/>
      <w:szCs w:val="18"/>
    </w:rPr>
  </w:style>
  <w:style w:type="paragraph" w:customStyle="1" w:styleId="51">
    <w:name w:val="目录 61"/>
    <w:basedOn w:val="1"/>
    <w:next w:val="1"/>
    <w:qFormat/>
    <w:uiPriority w:val="39"/>
    <w:pPr>
      <w:ind w:left="1050"/>
      <w:jc w:val="left"/>
    </w:pPr>
    <w:rPr>
      <w:rFonts w:ascii="Calibri" w:hAnsi="Calibri" w:cs="宋体"/>
      <w:sz w:val="18"/>
      <w:szCs w:val="18"/>
    </w:rPr>
  </w:style>
  <w:style w:type="character" w:customStyle="1" w:styleId="52">
    <w:name w:val="正文文本缩进 3 字符"/>
    <w:link w:val="19"/>
    <w:qFormat/>
    <w:uiPriority w:val="0"/>
    <w:rPr>
      <w:rFonts w:ascii="宋体"/>
      <w:b/>
      <w:spacing w:val="6"/>
      <w:kern w:val="2"/>
      <w:sz w:val="28"/>
      <w:szCs w:val="24"/>
    </w:rPr>
  </w:style>
  <w:style w:type="paragraph" w:customStyle="1" w:styleId="53">
    <w:name w:val="目录 21"/>
    <w:basedOn w:val="1"/>
    <w:next w:val="1"/>
    <w:qFormat/>
    <w:uiPriority w:val="39"/>
    <w:pPr>
      <w:ind w:left="210"/>
      <w:jc w:val="left"/>
    </w:pPr>
    <w:rPr>
      <w:rFonts w:ascii="Calibri" w:hAnsi="Calibri" w:cs="宋体"/>
      <w:smallCaps/>
      <w:sz w:val="20"/>
      <w:szCs w:val="20"/>
    </w:rPr>
  </w:style>
  <w:style w:type="paragraph" w:customStyle="1" w:styleId="54">
    <w:name w:val="目录 91"/>
    <w:basedOn w:val="1"/>
    <w:next w:val="1"/>
    <w:qFormat/>
    <w:uiPriority w:val="39"/>
    <w:pPr>
      <w:ind w:left="1680"/>
      <w:jc w:val="left"/>
    </w:pPr>
    <w:rPr>
      <w:rFonts w:ascii="Calibri" w:hAnsi="Calibri" w:cs="宋体"/>
      <w:sz w:val="18"/>
      <w:szCs w:val="18"/>
    </w:rPr>
  </w:style>
  <w:style w:type="character" w:customStyle="1" w:styleId="55">
    <w:name w:val="HTML 预设格式 字符"/>
    <w:link w:val="20"/>
    <w:qFormat/>
    <w:uiPriority w:val="99"/>
    <w:rPr>
      <w:rFonts w:ascii="宋体" w:hAnsi="宋体" w:cs="宋体"/>
      <w:sz w:val="24"/>
      <w:szCs w:val="24"/>
    </w:rPr>
  </w:style>
  <w:style w:type="character" w:customStyle="1" w:styleId="56">
    <w:name w:val="15"/>
    <w:qFormat/>
    <w:uiPriority w:val="0"/>
    <w:rPr>
      <w:rFonts w:hint="default" w:ascii="Times New Roman" w:hAnsi="Times New Roman" w:cs="Times New Roman"/>
      <w:color w:val="0000FF"/>
    </w:rPr>
  </w:style>
  <w:style w:type="character" w:customStyle="1" w:styleId="57">
    <w:name w:val="标题 3.1 Char"/>
    <w:link w:val="58"/>
    <w:qFormat/>
    <w:locked/>
    <w:uiPriority w:val="0"/>
    <w:rPr>
      <w:rFonts w:ascii="宋体" w:hAnsi="宋体"/>
      <w:b/>
      <w:bCs/>
      <w:color w:val="000000"/>
      <w:kern w:val="2"/>
      <w:sz w:val="32"/>
      <w:szCs w:val="32"/>
    </w:rPr>
  </w:style>
  <w:style w:type="paragraph" w:customStyle="1" w:styleId="58">
    <w:name w:val="标题 3.1"/>
    <w:basedOn w:val="5"/>
    <w:link w:val="57"/>
    <w:qFormat/>
    <w:uiPriority w:val="0"/>
    <w:pPr>
      <w:tabs>
        <w:tab w:val="left" w:pos="1440"/>
        <w:tab w:val="left" w:pos="1620"/>
      </w:tabs>
      <w:spacing w:line="600" w:lineRule="exact"/>
    </w:pPr>
    <w:rPr>
      <w:rFonts w:ascii="宋体" w:hAnsi="宋体"/>
      <w:color w:val="000000"/>
    </w:rPr>
  </w:style>
  <w:style w:type="character" w:customStyle="1" w:styleId="59">
    <w:name w:val="标题 6 Char1"/>
    <w:semiHidden/>
    <w:qFormat/>
    <w:uiPriority w:val="0"/>
    <w:rPr>
      <w:rFonts w:ascii="Cambria" w:hAnsi="Cambria" w:eastAsia="宋体" w:cs="Times New Roman"/>
      <w:b/>
      <w:bCs/>
      <w:kern w:val="2"/>
      <w:sz w:val="24"/>
      <w:szCs w:val="24"/>
    </w:rPr>
  </w:style>
  <w:style w:type="character" w:customStyle="1" w:styleId="60">
    <w:name w:val="16"/>
    <w:qFormat/>
    <w:uiPriority w:val="0"/>
    <w:rPr>
      <w:rFonts w:hint="default" w:ascii="Times New Roman" w:hAnsi="Times New Roman" w:cs="Times New Roman"/>
    </w:rPr>
  </w:style>
  <w:style w:type="character" w:customStyle="1" w:styleId="61">
    <w:name w:val="19"/>
    <w:qFormat/>
    <w:uiPriority w:val="0"/>
    <w:rPr>
      <w:rFonts w:hint="default" w:ascii="Times New Roman" w:hAnsi="Times New Roman" w:cs="Times New Roman"/>
      <w:b/>
      <w:bCs/>
      <w:vanish/>
    </w:rPr>
  </w:style>
  <w:style w:type="character" w:customStyle="1" w:styleId="62">
    <w:name w:val="18"/>
    <w:qFormat/>
    <w:uiPriority w:val="0"/>
    <w:rPr>
      <w:rFonts w:hint="eastAsia" w:ascii="宋体" w:hAnsi="宋体" w:eastAsia="宋体"/>
      <w:kern w:val="2"/>
      <w:sz w:val="18"/>
      <w:szCs w:val="18"/>
    </w:rPr>
  </w:style>
  <w:style w:type="character" w:customStyle="1" w:styleId="63">
    <w:name w:val="普通正文 Char"/>
    <w:link w:val="64"/>
    <w:qFormat/>
    <w:uiPriority w:val="0"/>
    <w:rPr>
      <w:rFonts w:ascii="Arial" w:hAnsi="Arial"/>
      <w:sz w:val="24"/>
      <w:szCs w:val="24"/>
    </w:rPr>
  </w:style>
  <w:style w:type="paragraph" w:customStyle="1" w:styleId="64">
    <w:name w:val="普通正文"/>
    <w:basedOn w:val="1"/>
    <w:link w:val="63"/>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65">
    <w:name w:val="24"/>
    <w:qFormat/>
    <w:uiPriority w:val="0"/>
    <w:rPr>
      <w:rFonts w:hint="default" w:ascii="Courier New" w:hAnsi="Courier New" w:cs="Courier New"/>
    </w:rPr>
  </w:style>
  <w:style w:type="character" w:customStyle="1" w:styleId="66">
    <w:name w:val="33"/>
    <w:qFormat/>
    <w:uiPriority w:val="0"/>
    <w:rPr>
      <w:rFonts w:hint="default" w:ascii="Times New Roman" w:hAnsi="Times New Roman" w:cs="Times New Roman"/>
      <w:shd w:val="clear" w:color="auto" w:fill="FFFFFF"/>
    </w:rPr>
  </w:style>
  <w:style w:type="character" w:customStyle="1" w:styleId="67">
    <w:name w:val="30"/>
    <w:qFormat/>
    <w:uiPriority w:val="0"/>
    <w:rPr>
      <w:rFonts w:hint="default" w:ascii="Times New Roman" w:hAnsi="Times New Roman" w:cs="Times New Roman"/>
    </w:rPr>
  </w:style>
  <w:style w:type="character" w:customStyle="1" w:styleId="68">
    <w:name w:val="10"/>
    <w:qFormat/>
    <w:uiPriority w:val="0"/>
    <w:rPr>
      <w:rFonts w:hint="default" w:ascii="Times New Roman" w:hAnsi="Times New Roman" w:cs="Times New Roman"/>
    </w:rPr>
  </w:style>
  <w:style w:type="character" w:customStyle="1" w:styleId="69">
    <w:name w:val="正文缩进2格 Char"/>
    <w:link w:val="70"/>
    <w:qFormat/>
    <w:locked/>
    <w:uiPriority w:val="0"/>
    <w:rPr>
      <w:rFonts w:ascii="仿宋_GB2312" w:hAnsi="宋体" w:eastAsia="仿宋_GB2312"/>
      <w:kern w:val="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sz w:val="31"/>
      <w:szCs w:val="28"/>
    </w:rPr>
  </w:style>
  <w:style w:type="character" w:customStyle="1" w:styleId="71">
    <w:name w:val="25"/>
    <w:qFormat/>
    <w:uiPriority w:val="0"/>
    <w:rPr>
      <w:rFonts w:hint="default" w:ascii="Times New Roman" w:hAnsi="Times New Roman" w:cs="Times New Roman"/>
      <w:b/>
      <w:bCs/>
    </w:rPr>
  </w:style>
  <w:style w:type="character" w:customStyle="1" w:styleId="72">
    <w:name w:val="28"/>
    <w:qFormat/>
    <w:uiPriority w:val="0"/>
    <w:rPr>
      <w:rFonts w:hint="default" w:ascii="Courier New" w:hAnsi="Courier New" w:cs="Courier New"/>
      <w:sz w:val="20"/>
      <w:szCs w:val="20"/>
    </w:rPr>
  </w:style>
  <w:style w:type="character" w:customStyle="1" w:styleId="73">
    <w:name w:val="27"/>
    <w:qFormat/>
    <w:uiPriority w:val="0"/>
    <w:rPr>
      <w:rFonts w:hint="default" w:ascii="Cambria" w:hAnsi="Cambria" w:eastAsia="宋体" w:cs="Times New Roman"/>
      <w:b/>
      <w:bCs/>
      <w:kern w:val="2"/>
      <w:sz w:val="28"/>
      <w:szCs w:val="28"/>
    </w:rPr>
  </w:style>
  <w:style w:type="character" w:customStyle="1" w:styleId="74">
    <w:name w:val="20"/>
    <w:qFormat/>
    <w:uiPriority w:val="0"/>
    <w:rPr>
      <w:rFonts w:hint="default" w:ascii="Times New Roman" w:hAnsi="Times New Roman" w:cs="Times New Roman"/>
    </w:rPr>
  </w:style>
  <w:style w:type="character" w:customStyle="1" w:styleId="75">
    <w:name w:val="31"/>
    <w:qFormat/>
    <w:uiPriority w:val="0"/>
    <w:rPr>
      <w:rFonts w:hint="default" w:ascii="Courier New" w:hAnsi="Courier New" w:cs="Courier New"/>
      <w:sz w:val="20"/>
      <w:szCs w:val="20"/>
    </w:rPr>
  </w:style>
  <w:style w:type="character" w:customStyle="1" w:styleId="76">
    <w:name w:val="17"/>
    <w:qFormat/>
    <w:uiPriority w:val="0"/>
    <w:rPr>
      <w:rFonts w:hint="default" w:ascii="Times New Roman" w:hAnsi="Times New Roman" w:cs="Times New Roman"/>
    </w:rPr>
  </w:style>
  <w:style w:type="character" w:customStyle="1" w:styleId="77">
    <w:name w:val="21"/>
    <w:qFormat/>
    <w:uiPriority w:val="0"/>
    <w:rPr>
      <w:rFonts w:hint="default" w:ascii="Times New Roman" w:hAnsi="Times New Roman" w:cs="Times New Roman"/>
      <w:kern w:val="2"/>
      <w:sz w:val="18"/>
      <w:szCs w:val="18"/>
    </w:rPr>
  </w:style>
  <w:style w:type="character" w:customStyle="1" w:styleId="78">
    <w:name w:val="22"/>
    <w:qFormat/>
    <w:uiPriority w:val="0"/>
    <w:rPr>
      <w:rFonts w:hint="default" w:ascii="Times New Roman" w:hAnsi="Times New Roman" w:cs="Times New Roman"/>
    </w:rPr>
  </w:style>
  <w:style w:type="character" w:customStyle="1" w:styleId="79">
    <w:name w:val="23"/>
    <w:qFormat/>
    <w:uiPriority w:val="0"/>
    <w:rPr>
      <w:rFonts w:hint="default" w:ascii="Courier New" w:hAnsi="Courier New" w:cs="Courier New"/>
      <w:sz w:val="20"/>
      <w:szCs w:val="20"/>
    </w:rPr>
  </w:style>
  <w:style w:type="character" w:customStyle="1" w:styleId="80">
    <w:name w:val="26"/>
    <w:qFormat/>
    <w:uiPriority w:val="0"/>
    <w:rPr>
      <w:rFonts w:hint="default" w:ascii="Times New Roman" w:hAnsi="Times New Roman" w:cs="Times New Roman"/>
      <w:color w:val="800080"/>
    </w:rPr>
  </w:style>
  <w:style w:type="character" w:customStyle="1" w:styleId="81">
    <w:name w:val="29"/>
    <w:qFormat/>
    <w:uiPriority w:val="0"/>
    <w:rPr>
      <w:rFonts w:hint="default" w:ascii="Times New Roman" w:hAnsi="Times New Roman" w:cs="Times New Roman"/>
      <w:kern w:val="2"/>
      <w:sz w:val="18"/>
      <w:szCs w:val="18"/>
    </w:rPr>
  </w:style>
  <w:style w:type="character" w:customStyle="1" w:styleId="82">
    <w:name w:val="32"/>
    <w:qFormat/>
    <w:uiPriority w:val="0"/>
    <w:rPr>
      <w:rFonts w:hint="default" w:ascii="Times New Roman" w:hAnsi="Times New Roman" w:cs="Times New Roman"/>
    </w:rPr>
  </w:style>
  <w:style w:type="paragraph" w:customStyle="1" w:styleId="83">
    <w:name w:val="Char Char Char Char"/>
    <w:basedOn w:val="1"/>
    <w:qFormat/>
    <w:uiPriority w:val="0"/>
    <w:rPr>
      <w:rFonts w:ascii="Tahoma" w:hAnsi="Tahoma"/>
      <w:sz w:val="24"/>
      <w:szCs w:val="20"/>
    </w:rPr>
  </w:style>
  <w:style w:type="paragraph" w:customStyle="1" w:styleId="84">
    <w:name w:val="列出段落1"/>
    <w:basedOn w:val="1"/>
    <w:qFormat/>
    <w:uiPriority w:val="99"/>
    <w:pPr>
      <w:widowControl/>
      <w:ind w:left="720"/>
      <w:contextualSpacing/>
      <w:jc w:val="left"/>
    </w:pPr>
    <w:rPr>
      <w:rFonts w:ascii="Calibri" w:hAnsi="Calibri" w:cs="宋体"/>
      <w:kern w:val="0"/>
      <w:sz w:val="24"/>
    </w:rPr>
  </w:style>
  <w:style w:type="paragraph" w:customStyle="1" w:styleId="85">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6">
    <w:name w:val="Char"/>
    <w:basedOn w:val="1"/>
    <w:qFormat/>
    <w:uiPriority w:val="99"/>
    <w:rPr>
      <w:rFonts w:ascii="Tahoma" w:hAnsi="Tahoma"/>
      <w:sz w:val="24"/>
      <w:szCs w:val="20"/>
    </w:rPr>
  </w:style>
  <w:style w:type="paragraph" w:customStyle="1" w:styleId="87">
    <w:name w:val="Char Char 字元 字元 字元 Char Char Char Char"/>
    <w:basedOn w:val="1"/>
    <w:qFormat/>
    <w:uiPriority w:val="0"/>
    <w:pPr>
      <w:adjustRightInd w:val="0"/>
      <w:spacing w:line="360" w:lineRule="auto"/>
    </w:pPr>
    <w:rPr>
      <w:kern w:val="0"/>
      <w:sz w:val="24"/>
      <w:szCs w:val="20"/>
    </w:rPr>
  </w:style>
  <w:style w:type="paragraph" w:customStyle="1" w:styleId="88">
    <w:name w:val="171"/>
    <w:basedOn w:val="1"/>
    <w:qFormat/>
    <w:uiPriority w:val="99"/>
    <w:pPr>
      <w:widowControl/>
      <w:spacing w:before="100" w:beforeAutospacing="1" w:after="100" w:afterAutospacing="1"/>
      <w:jc w:val="left"/>
    </w:pPr>
    <w:rPr>
      <w:rFonts w:ascii="宋体" w:hAnsi="宋体" w:cs="宋体"/>
      <w:kern w:val="0"/>
      <w:sz w:val="24"/>
    </w:rPr>
  </w:style>
  <w:style w:type="paragraph" w:customStyle="1" w:styleId="89">
    <w:name w:val="Char11"/>
    <w:basedOn w:val="1"/>
    <w:qFormat/>
    <w:uiPriority w:val="0"/>
    <w:rPr>
      <w:rFonts w:ascii="Tahoma" w:hAnsi="Tahoma"/>
      <w:sz w:val="24"/>
      <w:szCs w:val="20"/>
    </w:rPr>
  </w:style>
  <w:style w:type="paragraph" w:customStyle="1" w:styleId="90">
    <w:name w:val="正文缩进4格"/>
    <w:basedOn w:val="70"/>
    <w:qFormat/>
    <w:uiPriority w:val="0"/>
    <w:pPr>
      <w:ind w:left="2" w:firstLine="538" w:firstLineChars="192"/>
    </w:pPr>
    <w:rPr>
      <w:color w:val="000000"/>
      <w:sz w:val="28"/>
    </w:rPr>
  </w:style>
  <w:style w:type="paragraph" w:customStyle="1" w:styleId="91">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92">
    <w:name w:val="标题 61"/>
    <w:basedOn w:val="1"/>
    <w:next w:val="1"/>
    <w:qFormat/>
    <w:uiPriority w:val="9"/>
    <w:pPr>
      <w:widowControl/>
      <w:spacing w:before="100" w:beforeAutospacing="1" w:after="100" w:afterAutospacing="1"/>
      <w:jc w:val="left"/>
      <w:outlineLvl w:val="5"/>
    </w:pPr>
    <w:rPr>
      <w:rFonts w:ascii="宋体" w:hAnsi="宋体" w:cs="宋体"/>
      <w:b/>
      <w:bCs/>
      <w:kern w:val="0"/>
      <w:sz w:val="15"/>
      <w:szCs w:val="15"/>
    </w:rPr>
  </w:style>
  <w:style w:type="paragraph" w:customStyle="1" w:styleId="93">
    <w:name w:val="181"/>
    <w:basedOn w:val="1"/>
    <w:qFormat/>
    <w:uiPriority w:val="99"/>
    <w:pPr>
      <w:widowControl/>
      <w:spacing w:before="100" w:beforeAutospacing="1" w:after="100" w:afterAutospacing="1"/>
      <w:jc w:val="left"/>
    </w:pPr>
    <w:rPr>
      <w:rFonts w:ascii="宋体" w:hAnsi="宋体" w:cs="宋体"/>
      <w:kern w:val="0"/>
      <w:sz w:val="24"/>
    </w:rPr>
  </w:style>
  <w:style w:type="paragraph" w:customStyle="1" w:styleId="94">
    <w:name w:val="Char1"/>
    <w:basedOn w:val="1"/>
    <w:qFormat/>
    <w:uiPriority w:val="0"/>
    <w:pPr>
      <w:tabs>
        <w:tab w:val="left" w:pos="840"/>
      </w:tabs>
      <w:ind w:left="840" w:hanging="420"/>
    </w:pPr>
    <w:rPr>
      <w:sz w:val="24"/>
    </w:rPr>
  </w:style>
  <w:style w:type="paragraph" w:customStyle="1" w:styleId="95">
    <w:name w:val="161"/>
    <w:basedOn w:val="1"/>
    <w:qFormat/>
    <w:uiPriority w:val="99"/>
    <w:pPr>
      <w:widowControl/>
      <w:spacing w:before="100" w:beforeAutospacing="1" w:after="100" w:afterAutospacing="1"/>
      <w:jc w:val="left"/>
    </w:pPr>
    <w:rPr>
      <w:rFonts w:ascii="宋体" w:hAnsi="宋体" w:cs="宋体"/>
      <w:kern w:val="0"/>
      <w:sz w:val="24"/>
    </w:rPr>
  </w:style>
  <w:style w:type="paragraph" w:customStyle="1" w:styleId="96">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97">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98">
    <w:name w:val="列出段落"/>
    <w:basedOn w:val="1"/>
    <w:qFormat/>
    <w:uiPriority w:val="34"/>
    <w:pPr>
      <w:ind w:firstLine="420" w:firstLineChars="200"/>
    </w:pPr>
  </w:style>
  <w:style w:type="character" w:customStyle="1" w:styleId="99">
    <w:name w:val="正文文本首行缩进 2 字符"/>
    <w:basedOn w:val="40"/>
    <w:link w:val="23"/>
    <w:semiHidden/>
    <w:qFormat/>
    <w:uiPriority w:val="99"/>
    <w:rPr>
      <w:kern w:val="2"/>
      <w:sz w:val="21"/>
      <w:szCs w:val="24"/>
    </w:rPr>
  </w:style>
  <w:style w:type="paragraph" w:customStyle="1" w:styleId="100">
    <w:name w:val="_Style 96"/>
    <w:basedOn w:val="12"/>
    <w:next w:val="23"/>
    <w:unhideWhenUsed/>
    <w:qFormat/>
    <w:uiPriority w:val="99"/>
    <w:pPr>
      <w:ind w:firstLine="200" w:firstLineChars="200"/>
    </w:pPr>
    <w:rPr>
      <w:rFonts w:ascii="Calibri" w:hAnsi="Calibri"/>
    </w:rPr>
  </w:style>
  <w:style w:type="character" w:customStyle="1" w:styleId="101">
    <w:name w:val="标题 1 Char1"/>
    <w:qFormat/>
    <w:uiPriority w:val="0"/>
    <w:rPr>
      <w:rFonts w:ascii="Times New Roman" w:hAnsi="Times New Roman" w:eastAsia="楷体_GB2312" w:cs="Times New Roman"/>
      <w:b/>
      <w:kern w:val="44"/>
      <w:sz w:val="44"/>
      <w:szCs w:val="20"/>
    </w:rPr>
  </w:style>
  <w:style w:type="character" w:customStyle="1" w:styleId="102">
    <w:name w:val="正文缩进 Char1"/>
    <w:qFormat/>
    <w:uiPriority w:val="0"/>
    <w:rPr>
      <w:rFonts w:eastAsia="楷体_GB2312"/>
      <w:sz w:val="24"/>
    </w:rPr>
  </w:style>
  <w:style w:type="character" w:customStyle="1" w:styleId="103">
    <w:name w:val="正文文本 字符"/>
    <w:link w:val="2"/>
    <w:qFormat/>
    <w:uiPriority w:val="0"/>
    <w:rPr>
      <w:szCs w:val="24"/>
    </w:rPr>
  </w:style>
  <w:style w:type="character" w:customStyle="1" w:styleId="104">
    <w:name w:val="日期 Char2"/>
    <w:qFormat/>
    <w:uiPriority w:val="0"/>
    <w:rPr>
      <w:szCs w:val="24"/>
    </w:rPr>
  </w:style>
  <w:style w:type="character" w:customStyle="1" w:styleId="105">
    <w:name w:val="批注框文本 Char1"/>
    <w:semiHidden/>
    <w:uiPriority w:val="99"/>
    <w:rPr>
      <w:rFonts w:ascii="Times New Roman" w:hAnsi="Times New Roman" w:eastAsia="宋体" w:cs="Times New Roman"/>
      <w:sz w:val="18"/>
      <w:szCs w:val="18"/>
    </w:rPr>
  </w:style>
  <w:style w:type="character" w:customStyle="1" w:styleId="106">
    <w:name w:val="页脚 Char2"/>
    <w:uiPriority w:val="0"/>
    <w:rPr>
      <w:sz w:val="18"/>
      <w:szCs w:val="18"/>
    </w:rPr>
  </w:style>
  <w:style w:type="character" w:customStyle="1" w:styleId="107">
    <w:name w:val="页眉 Char2"/>
    <w:qFormat/>
    <w:uiPriority w:val="0"/>
    <w:rPr>
      <w:sz w:val="18"/>
      <w:szCs w:val="18"/>
    </w:rPr>
  </w:style>
  <w:style w:type="character" w:customStyle="1" w:styleId="108">
    <w:name w:val="font01"/>
    <w:qFormat/>
    <w:uiPriority w:val="0"/>
    <w:rPr>
      <w:rFonts w:hint="eastAsia" w:ascii="微软雅黑" w:hAnsi="微软雅黑" w:eastAsia="微软雅黑" w:cs="微软雅黑"/>
      <w:b/>
      <w:color w:val="000000"/>
      <w:sz w:val="24"/>
      <w:szCs w:val="24"/>
      <w:u w:val="none"/>
    </w:rPr>
  </w:style>
  <w:style w:type="character" w:customStyle="1" w:styleId="109">
    <w:name w:val="日期 Char1"/>
    <w:semiHidden/>
    <w:qFormat/>
    <w:uiPriority w:val="99"/>
    <w:rPr>
      <w:rFonts w:ascii="Times New Roman" w:hAnsi="Times New Roman" w:eastAsia="宋体" w:cs="Times New Roman"/>
      <w:szCs w:val="20"/>
    </w:rPr>
  </w:style>
  <w:style w:type="character" w:customStyle="1" w:styleId="110">
    <w:name w:val="页眉 Char1"/>
    <w:semiHidden/>
    <w:qFormat/>
    <w:uiPriority w:val="99"/>
    <w:rPr>
      <w:rFonts w:ascii="Times New Roman" w:hAnsi="Times New Roman" w:eastAsia="宋体" w:cs="Times New Roman"/>
      <w:sz w:val="18"/>
      <w:szCs w:val="18"/>
    </w:rPr>
  </w:style>
  <w:style w:type="character" w:customStyle="1" w:styleId="111">
    <w:name w:val="页脚 Char1"/>
    <w:semiHidden/>
    <w:qFormat/>
    <w:uiPriority w:val="99"/>
    <w:rPr>
      <w:rFonts w:ascii="Times New Roman" w:hAnsi="Times New Roman" w:eastAsia="宋体" w:cs="Times New Roman"/>
      <w:sz w:val="18"/>
      <w:szCs w:val="18"/>
    </w:rPr>
  </w:style>
  <w:style w:type="paragraph" w:customStyle="1" w:styleId="112">
    <w:name w:val="z-正文"/>
    <w:basedOn w:val="1"/>
    <w:qFormat/>
    <w:uiPriority w:val="0"/>
    <w:pPr>
      <w:spacing w:line="360" w:lineRule="auto"/>
      <w:ind w:firstLine="200" w:firstLineChars="200"/>
    </w:pPr>
    <w:rPr>
      <w:sz w:val="24"/>
      <w:szCs w:val="20"/>
    </w:rPr>
  </w:style>
  <w:style w:type="character" w:customStyle="1" w:styleId="113">
    <w:name w:val="标题 字符"/>
    <w:basedOn w:val="26"/>
    <w:link w:val="22"/>
    <w:qFormat/>
    <w:uiPriority w:val="10"/>
    <w:rPr>
      <w:rFonts w:ascii="等线 Light" w:hAnsi="等线 Light"/>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13817</Words>
  <Characters>14662</Characters>
  <Lines>110</Lines>
  <Paragraphs>31</Paragraphs>
  <TotalTime>8</TotalTime>
  <ScaleCrop>false</ScaleCrop>
  <LinksUpToDate>false</LinksUpToDate>
  <CharactersWithSpaces>15008</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2022-03-01T06:59:00Z</dcterms:created>
  <dc:creator>User</dc:creator>
  <cp:lastModifiedBy>姜忠敏</cp:lastModifiedBy>
  <cp:lastPrinted>2021-01-15T01:22:00Z</cp:lastPrinted>
  <dcterms:modified xsi:type="dcterms:W3CDTF">2022-05-18T06:44:53Z</dcterms:modified>
  <dc:title>南通市环境监测中心站火焰原子吸收光谱仪项目</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77A3E9FE11BB42999C33DFC753F65A4A</vt:lpwstr>
  </property>
</Properties>
</file>