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ABE00">
      <w:pPr>
        <w:keepNext w:val="0"/>
        <w:keepLines w:val="0"/>
        <w:pageBreakBefore w:val="0"/>
        <w:overflowPunct/>
        <w:bidi w:val="0"/>
        <w:spacing w:line="360" w:lineRule="auto"/>
        <w:ind w:left="0" w:leftChars="0" w:firstLine="883" w:firstLineChars="200"/>
        <w:jc w:val="both"/>
        <w:rPr>
          <w:rFonts w:ascii="宋体" w:hAnsi="宋体" w:cs="宋体"/>
          <w:b/>
          <w:bCs/>
          <w:color w:val="auto"/>
          <w:sz w:val="44"/>
          <w:szCs w:val="44"/>
        </w:rPr>
      </w:pPr>
    </w:p>
    <w:p w14:paraId="25BFA495">
      <w:pPr>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rPr>
          <w:rFonts w:hint="eastAsia" w:ascii="宋体" w:hAnsi="宋体" w:cs="宋体"/>
          <w:b/>
          <w:bCs/>
          <w:color w:val="auto"/>
          <w:sz w:val="48"/>
          <w:szCs w:val="48"/>
        </w:rPr>
      </w:pPr>
      <w:r>
        <w:rPr>
          <w:rFonts w:hint="eastAsia" w:ascii="宋体" w:hAnsi="宋体" w:cs="宋体"/>
          <w:b/>
          <w:bCs/>
          <w:color w:val="auto"/>
          <w:sz w:val="48"/>
          <w:szCs w:val="48"/>
        </w:rPr>
        <w:t>江苏省南通第一中学</w:t>
      </w:r>
    </w:p>
    <w:p w14:paraId="21B7DE7E">
      <w:pPr>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rPr>
          <w:rFonts w:ascii="宋体" w:hAnsi="宋体" w:cs="宋体"/>
          <w:b/>
          <w:bCs/>
          <w:color w:val="auto"/>
          <w:sz w:val="48"/>
          <w:szCs w:val="48"/>
        </w:rPr>
      </w:pPr>
      <w:r>
        <w:rPr>
          <w:rFonts w:hint="eastAsia" w:ascii="宋体" w:hAnsi="宋体" w:cs="宋体"/>
          <w:b/>
          <w:bCs/>
          <w:color w:val="auto"/>
          <w:sz w:val="48"/>
          <w:szCs w:val="48"/>
          <w:lang w:val="en-US" w:eastAsia="zh-CN"/>
        </w:rPr>
        <w:t>钱学森科创中心</w:t>
      </w:r>
      <w:r>
        <w:rPr>
          <w:rFonts w:hint="eastAsia" w:ascii="宋体" w:hAnsi="宋体" w:cs="宋体"/>
          <w:b/>
          <w:bCs/>
          <w:color w:val="auto"/>
          <w:sz w:val="48"/>
          <w:szCs w:val="48"/>
        </w:rPr>
        <w:t>装修设计服务采购项目</w:t>
      </w:r>
    </w:p>
    <w:p w14:paraId="25DF4F1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b/>
          <w:bCs/>
          <w:color w:val="auto"/>
          <w:sz w:val="48"/>
          <w:szCs w:val="48"/>
        </w:rPr>
      </w:pPr>
    </w:p>
    <w:p w14:paraId="02EA95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b/>
          <w:bCs/>
          <w:color w:val="auto"/>
          <w:sz w:val="44"/>
          <w:szCs w:val="44"/>
        </w:rPr>
      </w:pPr>
    </w:p>
    <w:p w14:paraId="7C7BEF2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b/>
          <w:bCs/>
          <w:color w:val="auto"/>
          <w:sz w:val="44"/>
          <w:szCs w:val="44"/>
        </w:rPr>
      </w:pPr>
    </w:p>
    <w:p w14:paraId="399269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b/>
          <w:bCs/>
          <w:color w:val="auto"/>
          <w:sz w:val="72"/>
          <w:szCs w:val="72"/>
        </w:rPr>
      </w:pPr>
      <w:r>
        <w:rPr>
          <w:rFonts w:hint="eastAsia" w:ascii="宋体" w:hAnsi="宋体" w:cs="宋体"/>
          <w:b/>
          <w:bCs/>
          <w:color w:val="auto"/>
          <w:sz w:val="72"/>
          <w:szCs w:val="72"/>
        </w:rPr>
        <w:t>比选文件</w:t>
      </w:r>
    </w:p>
    <w:p w14:paraId="575689C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36"/>
          <w:szCs w:val="36"/>
          <w:lang w:val="en-US" w:eastAsia="zh-CN"/>
        </w:rPr>
      </w:pPr>
      <w:r>
        <w:rPr>
          <w:rFonts w:hint="eastAsia" w:ascii="宋体" w:hAnsi="宋体" w:cs="宋体"/>
          <w:b/>
          <w:bCs/>
          <w:color w:val="auto"/>
          <w:sz w:val="36"/>
          <w:szCs w:val="36"/>
        </w:rPr>
        <w:t>项目编号：</w:t>
      </w:r>
      <w:r>
        <w:rPr>
          <w:rFonts w:hint="eastAsia" w:ascii="宋体" w:hAnsi="宋体" w:cs="宋体"/>
          <w:b/>
          <w:bCs/>
          <w:color w:val="auto"/>
          <w:sz w:val="36"/>
          <w:szCs w:val="36"/>
          <w:lang w:val="en-US" w:eastAsia="zh-CN"/>
        </w:rPr>
        <w:t>20260511</w:t>
      </w:r>
    </w:p>
    <w:p w14:paraId="6046F887">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Ansi="宋体" w:cs="宋体"/>
          <w:color w:val="auto"/>
          <w:sz w:val="36"/>
          <w:szCs w:val="36"/>
        </w:rPr>
      </w:pPr>
      <w:r>
        <w:rPr>
          <w:rFonts w:hint="eastAsia" w:hAnsi="宋体" w:cs="宋体"/>
          <w:color w:val="auto"/>
          <w:sz w:val="36"/>
          <w:szCs w:val="36"/>
        </w:rPr>
        <w:t>（资格后审）</w:t>
      </w:r>
    </w:p>
    <w:p w14:paraId="1DB92E62">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435292F">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679EA21">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E17F011">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2761B496">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A59B46F">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5F5AE70D">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5D7A864C">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407EF2B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b/>
          <w:bCs/>
          <w:color w:val="auto"/>
          <w:sz w:val="36"/>
          <w:szCs w:val="36"/>
        </w:rPr>
      </w:pPr>
      <w:r>
        <w:rPr>
          <w:rFonts w:hint="eastAsia" w:ascii="宋体" w:hAnsi="宋体" w:cs="宋体"/>
          <w:b/>
          <w:bCs/>
          <w:color w:val="auto"/>
          <w:sz w:val="36"/>
          <w:szCs w:val="36"/>
        </w:rPr>
        <w:t>采购人：江苏省南通第一中学</w:t>
      </w:r>
    </w:p>
    <w:p w14:paraId="5FCA70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b/>
          <w:bCs/>
          <w:color w:val="auto"/>
          <w:sz w:val="36"/>
          <w:szCs w:val="36"/>
        </w:rPr>
      </w:pPr>
      <w:r>
        <w:rPr>
          <w:rFonts w:hint="eastAsia" w:ascii="宋体" w:hAnsi="宋体" w:cs="宋体"/>
          <w:b/>
          <w:bCs/>
          <w:color w:val="auto"/>
          <w:sz w:val="36"/>
          <w:szCs w:val="36"/>
        </w:rPr>
        <w:t>日期：2026年</w:t>
      </w:r>
      <w:r>
        <w:rPr>
          <w:rFonts w:hint="eastAsia" w:ascii="宋体" w:hAnsi="宋体" w:cs="宋体"/>
          <w:b/>
          <w:bCs/>
          <w:color w:val="auto"/>
          <w:sz w:val="36"/>
          <w:szCs w:val="36"/>
          <w:lang w:val="en-US" w:eastAsia="zh-CN"/>
        </w:rPr>
        <w:t>4</w:t>
      </w:r>
      <w:r>
        <w:rPr>
          <w:rFonts w:hint="eastAsia" w:ascii="宋体" w:hAnsi="宋体" w:cs="宋体"/>
          <w:b/>
          <w:bCs/>
          <w:color w:val="auto"/>
          <w:sz w:val="36"/>
          <w:szCs w:val="36"/>
        </w:rPr>
        <w:t>月</w:t>
      </w:r>
    </w:p>
    <w:p w14:paraId="744D1083">
      <w:pPr>
        <w:rPr>
          <w:rFonts w:ascii="宋体" w:hAnsi="宋体" w:cs="宋体"/>
          <w:color w:val="auto"/>
          <w:sz w:val="36"/>
          <w:szCs w:val="36"/>
        </w:rPr>
      </w:pPr>
      <w:r>
        <w:rPr>
          <w:rFonts w:ascii="宋体" w:hAnsi="宋体" w:cs="宋体"/>
          <w:color w:val="auto"/>
          <w:sz w:val="36"/>
          <w:szCs w:val="36"/>
        </w:rPr>
        <w:br w:type="page"/>
      </w:r>
    </w:p>
    <w:p w14:paraId="647CD1EF">
      <w:pPr>
        <w:keepNext w:val="0"/>
        <w:keepLines w:val="0"/>
        <w:pageBreakBefore w:val="0"/>
        <w:overflowPunct/>
        <w:bidi w:val="0"/>
        <w:spacing w:line="360" w:lineRule="auto"/>
        <w:ind w:left="0" w:leftChars="0" w:firstLine="720" w:firstLineChars="200"/>
        <w:jc w:val="both"/>
        <w:rPr>
          <w:rFonts w:ascii="宋体" w:hAnsi="宋体" w:cs="宋体"/>
          <w:color w:val="auto"/>
          <w:sz w:val="36"/>
          <w:szCs w:val="36"/>
        </w:rPr>
      </w:pPr>
    </w:p>
    <w:p w14:paraId="31214576">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bCs/>
          <w:color w:val="auto"/>
          <w:sz w:val="44"/>
          <w:szCs w:val="44"/>
        </w:rPr>
      </w:pPr>
      <w:r>
        <w:rPr>
          <w:rFonts w:hint="eastAsia" w:ascii="宋体" w:hAnsi="宋体" w:cs="宋体"/>
          <w:b/>
          <w:bCs/>
          <w:color w:val="auto"/>
          <w:sz w:val="44"/>
          <w:szCs w:val="44"/>
        </w:rPr>
        <w:t>目</w:t>
      </w:r>
      <w:r>
        <w:rPr>
          <w:rFonts w:hint="eastAsia" w:ascii="宋体" w:hAnsi="宋体" w:cs="宋体"/>
          <w:b/>
          <w:bCs/>
          <w:color w:val="auto"/>
          <w:sz w:val="44"/>
          <w:szCs w:val="44"/>
          <w:lang w:val="en-US" w:eastAsia="zh-CN"/>
        </w:rPr>
        <w:t xml:space="preserve"> </w:t>
      </w:r>
      <w:r>
        <w:rPr>
          <w:rFonts w:hint="eastAsia" w:ascii="宋体" w:hAnsi="宋体" w:cs="宋体"/>
          <w:b/>
          <w:bCs/>
          <w:color w:val="auto"/>
          <w:sz w:val="44"/>
          <w:szCs w:val="44"/>
        </w:rPr>
        <w:t>录</w:t>
      </w:r>
    </w:p>
    <w:p w14:paraId="35525E23">
      <w:pPr>
        <w:pStyle w:val="50"/>
        <w:rPr>
          <w:color w:val="auto"/>
        </w:rPr>
      </w:pPr>
    </w:p>
    <w:p w14:paraId="64728087">
      <w:pPr>
        <w:pStyle w:val="31"/>
        <w:keepNext w:val="0"/>
        <w:keepLines w:val="0"/>
        <w:pageBreakBefore w:val="0"/>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TOC \o "1-1" \h \u </w:instrText>
      </w:r>
      <w:r>
        <w:rPr>
          <w:rFonts w:hint="eastAsia" w:ascii="宋体" w:hAnsi="宋体" w:cs="宋体"/>
          <w:color w:val="auto"/>
          <w:sz w:val="36"/>
          <w:szCs w:val="36"/>
        </w:rPr>
        <w:fldChar w:fldCharType="separate"/>
      </w:r>
      <w:r>
        <w:rPr>
          <w:color w:val="auto"/>
          <w:sz w:val="36"/>
          <w:szCs w:val="36"/>
        </w:rPr>
        <w:fldChar w:fldCharType="begin"/>
      </w:r>
      <w:r>
        <w:rPr>
          <w:color w:val="auto"/>
          <w:sz w:val="36"/>
          <w:szCs w:val="36"/>
        </w:rPr>
        <w:instrText xml:space="preserve"> HYPERLINK \l "_Toc1938" </w:instrText>
      </w:r>
      <w:r>
        <w:rPr>
          <w:color w:val="auto"/>
          <w:sz w:val="36"/>
          <w:szCs w:val="36"/>
        </w:rPr>
        <w:fldChar w:fldCharType="separate"/>
      </w:r>
      <w:r>
        <w:rPr>
          <w:rFonts w:hint="eastAsia" w:ascii="宋体" w:hAnsi="宋体" w:cs="宋体"/>
          <w:color w:val="auto"/>
          <w:sz w:val="36"/>
          <w:szCs w:val="36"/>
        </w:rPr>
        <w:t>第一章  比选公告</w:t>
      </w:r>
      <w:r>
        <w:rPr>
          <w:rFonts w:hint="eastAsia" w:ascii="宋体" w:hAnsi="宋体" w:cs="宋体"/>
          <w:color w:val="auto"/>
          <w:sz w:val="36"/>
          <w:szCs w:val="36"/>
        </w:rPr>
        <w:fldChar w:fldCharType="end"/>
      </w:r>
    </w:p>
    <w:p w14:paraId="17B9B1E2">
      <w:pPr>
        <w:pStyle w:val="31"/>
        <w:keepNext w:val="0"/>
        <w:keepLines w:val="0"/>
        <w:pageBreakBefore w:val="0"/>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"_Toc18907" </w:instrText>
      </w:r>
      <w:r>
        <w:rPr>
          <w:color w:val="auto"/>
          <w:sz w:val="36"/>
          <w:szCs w:val="36"/>
        </w:rPr>
        <w:fldChar w:fldCharType="separate"/>
      </w:r>
      <w:r>
        <w:rPr>
          <w:rFonts w:hint="eastAsia" w:ascii="宋体" w:hAnsi="宋体" w:cs="宋体"/>
          <w:color w:val="auto"/>
          <w:sz w:val="36"/>
          <w:szCs w:val="36"/>
        </w:rPr>
        <w:t>第二章  比选须知</w:t>
      </w:r>
      <w:r>
        <w:rPr>
          <w:rFonts w:hint="eastAsia" w:ascii="宋体" w:hAnsi="宋体" w:cs="宋体"/>
          <w:color w:val="auto"/>
          <w:sz w:val="36"/>
          <w:szCs w:val="36"/>
        </w:rPr>
        <w:fldChar w:fldCharType="end"/>
      </w:r>
    </w:p>
    <w:p w14:paraId="49E9E1B9">
      <w:pPr>
        <w:pStyle w:val="31"/>
        <w:keepNext w:val="0"/>
        <w:keepLines w:val="0"/>
        <w:pageBreakBefore w:val="0"/>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"_Toc5043" </w:instrText>
      </w:r>
      <w:r>
        <w:rPr>
          <w:color w:val="auto"/>
          <w:sz w:val="36"/>
          <w:szCs w:val="36"/>
        </w:rPr>
        <w:fldChar w:fldCharType="separate"/>
      </w:r>
      <w:r>
        <w:rPr>
          <w:rFonts w:hint="eastAsia" w:ascii="宋体" w:hAnsi="宋体" w:cs="宋体"/>
          <w:color w:val="auto"/>
          <w:sz w:val="36"/>
          <w:szCs w:val="36"/>
        </w:rPr>
        <w:t>第三章  项目需求</w:t>
      </w:r>
      <w:r>
        <w:rPr>
          <w:rFonts w:hint="eastAsia" w:ascii="宋体" w:hAnsi="宋体" w:cs="宋体"/>
          <w:color w:val="auto"/>
          <w:sz w:val="36"/>
          <w:szCs w:val="36"/>
        </w:rPr>
        <w:fldChar w:fldCharType="end"/>
      </w:r>
    </w:p>
    <w:p w14:paraId="2C856002">
      <w:pPr>
        <w:pStyle w:val="31"/>
        <w:keepNext w:val="0"/>
        <w:keepLines w:val="0"/>
        <w:pageBreakBefore w:val="0"/>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"_Toc24193" </w:instrText>
      </w:r>
      <w:r>
        <w:rPr>
          <w:color w:val="auto"/>
          <w:sz w:val="36"/>
          <w:szCs w:val="36"/>
        </w:rPr>
        <w:fldChar w:fldCharType="separate"/>
      </w:r>
      <w:r>
        <w:rPr>
          <w:rFonts w:hint="eastAsia" w:ascii="宋体" w:hAnsi="宋体" w:cs="宋体"/>
          <w:color w:val="auto"/>
          <w:sz w:val="36"/>
          <w:szCs w:val="36"/>
        </w:rPr>
        <w:t>第四章  开</w:t>
      </w:r>
      <w:r>
        <w:rPr>
          <w:rFonts w:hint="eastAsia" w:ascii="宋体" w:hAnsi="宋体" w:cs="宋体"/>
          <w:color w:val="auto"/>
          <w:sz w:val="36"/>
          <w:szCs w:val="36"/>
          <w:lang w:val="en-US" w:eastAsia="zh-CN"/>
        </w:rPr>
        <w:t>启</w:t>
      </w:r>
      <w:r>
        <w:rPr>
          <w:rFonts w:hint="eastAsia" w:ascii="宋体" w:hAnsi="宋体" w:cs="宋体"/>
          <w:color w:val="auto"/>
          <w:sz w:val="36"/>
          <w:szCs w:val="36"/>
        </w:rPr>
        <w:t>和评</w:t>
      </w:r>
      <w:r>
        <w:rPr>
          <w:rFonts w:hint="eastAsia" w:ascii="宋体" w:hAnsi="宋体" w:cs="宋体"/>
          <w:color w:val="auto"/>
          <w:sz w:val="36"/>
          <w:szCs w:val="36"/>
          <w:lang w:val="en-US" w:eastAsia="zh-CN"/>
        </w:rPr>
        <w:t>审</w:t>
      </w:r>
      <w:r>
        <w:rPr>
          <w:rFonts w:hint="eastAsia" w:ascii="宋体" w:hAnsi="宋体" w:cs="宋体"/>
          <w:color w:val="auto"/>
          <w:sz w:val="36"/>
          <w:szCs w:val="36"/>
        </w:rPr>
        <w:fldChar w:fldCharType="end"/>
      </w:r>
    </w:p>
    <w:p w14:paraId="13C0F27D">
      <w:pPr>
        <w:pStyle w:val="31"/>
        <w:keepNext w:val="0"/>
        <w:keepLines w:val="0"/>
        <w:pageBreakBefore w:val="0"/>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"_Toc13768" </w:instrText>
      </w:r>
      <w:r>
        <w:rPr>
          <w:color w:val="auto"/>
          <w:sz w:val="36"/>
          <w:szCs w:val="36"/>
        </w:rPr>
        <w:fldChar w:fldCharType="separate"/>
      </w:r>
      <w:r>
        <w:rPr>
          <w:rFonts w:hint="eastAsia" w:ascii="宋体" w:hAnsi="宋体" w:cs="宋体"/>
          <w:color w:val="auto"/>
          <w:sz w:val="36"/>
          <w:szCs w:val="36"/>
        </w:rPr>
        <w:t>第五章  合同签订与验收付款</w:t>
      </w:r>
      <w:r>
        <w:rPr>
          <w:rFonts w:hint="eastAsia" w:ascii="宋体" w:hAnsi="宋体" w:cs="宋体"/>
          <w:color w:val="auto"/>
          <w:sz w:val="36"/>
          <w:szCs w:val="36"/>
        </w:rPr>
        <w:fldChar w:fldCharType="end"/>
      </w:r>
    </w:p>
    <w:p w14:paraId="6C235D01">
      <w:pPr>
        <w:pStyle w:val="31"/>
        <w:keepNext w:val="0"/>
        <w:keepLines w:val="0"/>
        <w:pageBreakBefore w:val="0"/>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"_Toc21870" </w:instrText>
      </w:r>
      <w:r>
        <w:rPr>
          <w:color w:val="auto"/>
          <w:sz w:val="36"/>
          <w:szCs w:val="36"/>
        </w:rPr>
        <w:fldChar w:fldCharType="separate"/>
      </w:r>
      <w:r>
        <w:rPr>
          <w:rFonts w:hint="eastAsia" w:ascii="宋体" w:hAnsi="宋体" w:cs="宋体"/>
          <w:color w:val="auto"/>
          <w:sz w:val="36"/>
          <w:szCs w:val="36"/>
        </w:rPr>
        <w:t>第六章  响应文件组成</w:t>
      </w:r>
      <w:r>
        <w:rPr>
          <w:rFonts w:hint="eastAsia" w:ascii="宋体" w:hAnsi="宋体" w:cs="宋体"/>
          <w:color w:val="auto"/>
          <w:sz w:val="36"/>
          <w:szCs w:val="36"/>
        </w:rPr>
        <w:fldChar w:fldCharType="end"/>
      </w:r>
    </w:p>
    <w:p w14:paraId="23B3E707">
      <w:pPr>
        <w:pStyle w:val="17"/>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r>
        <w:rPr>
          <w:rFonts w:hint="eastAsia" w:hAnsi="宋体" w:cs="宋体"/>
          <w:color w:val="auto"/>
          <w:sz w:val="36"/>
          <w:szCs w:val="36"/>
        </w:rPr>
        <w:fldChar w:fldCharType="end"/>
      </w:r>
    </w:p>
    <w:p w14:paraId="47B2AE2A">
      <w:pPr>
        <w:pStyle w:val="17"/>
        <w:keepNext w:val="0"/>
        <w:keepLines w:val="0"/>
        <w:pageBreakBefore w:val="0"/>
        <w:overflowPunct/>
        <w:bidi w:val="0"/>
        <w:spacing w:line="360" w:lineRule="auto"/>
        <w:ind w:left="0" w:leftChars="0" w:firstLine="747" w:firstLineChars="200"/>
        <w:jc w:val="both"/>
        <w:rPr>
          <w:rFonts w:hAnsi="宋体" w:cs="宋体"/>
          <w:color w:val="auto"/>
          <w:sz w:val="36"/>
          <w:szCs w:val="36"/>
        </w:rPr>
      </w:pPr>
    </w:p>
    <w:p w14:paraId="2CD06B0F">
      <w:pPr>
        <w:pStyle w:val="17"/>
        <w:keepNext w:val="0"/>
        <w:keepLines w:val="0"/>
        <w:pageBreakBefore w:val="0"/>
        <w:overflowPunct/>
        <w:bidi w:val="0"/>
        <w:spacing w:line="360" w:lineRule="auto"/>
        <w:ind w:left="0" w:leftChars="0" w:firstLine="747" w:firstLineChars="200"/>
        <w:jc w:val="both"/>
        <w:rPr>
          <w:rFonts w:hAnsi="宋体" w:cs="宋体"/>
          <w:color w:val="auto"/>
          <w:sz w:val="36"/>
          <w:szCs w:val="36"/>
        </w:rPr>
      </w:pPr>
    </w:p>
    <w:p w14:paraId="52A7E435">
      <w:pPr>
        <w:pStyle w:val="17"/>
        <w:keepNext w:val="0"/>
        <w:keepLines w:val="0"/>
        <w:pageBreakBefore w:val="0"/>
        <w:overflowPunct/>
        <w:bidi w:val="0"/>
        <w:spacing w:line="360" w:lineRule="auto"/>
        <w:ind w:left="0" w:leftChars="0" w:firstLine="747" w:firstLineChars="200"/>
        <w:jc w:val="both"/>
        <w:rPr>
          <w:rFonts w:hAnsi="宋体" w:cs="宋体"/>
          <w:color w:val="auto"/>
          <w:sz w:val="36"/>
          <w:szCs w:val="36"/>
        </w:rPr>
      </w:pPr>
    </w:p>
    <w:p w14:paraId="0DEAA338">
      <w:pPr>
        <w:pStyle w:val="17"/>
        <w:keepNext w:val="0"/>
        <w:keepLines w:val="0"/>
        <w:pageBreakBefore w:val="0"/>
        <w:overflowPunct/>
        <w:bidi w:val="0"/>
        <w:spacing w:line="360" w:lineRule="auto"/>
        <w:ind w:left="0" w:leftChars="0" w:firstLine="747" w:firstLineChars="200"/>
        <w:jc w:val="both"/>
        <w:rPr>
          <w:rFonts w:hAnsi="宋体" w:cs="宋体"/>
          <w:color w:val="auto"/>
          <w:sz w:val="36"/>
          <w:szCs w:val="36"/>
        </w:rPr>
      </w:pPr>
    </w:p>
    <w:p w14:paraId="7D844646">
      <w:pPr>
        <w:pStyle w:val="17"/>
        <w:keepNext w:val="0"/>
        <w:keepLines w:val="0"/>
        <w:pageBreakBefore w:val="0"/>
        <w:overflowPunct/>
        <w:bidi w:val="0"/>
        <w:spacing w:line="360" w:lineRule="auto"/>
        <w:ind w:left="0" w:leftChars="0" w:firstLine="747" w:firstLineChars="200"/>
        <w:jc w:val="both"/>
        <w:rPr>
          <w:rFonts w:hAnsi="宋体" w:cs="宋体"/>
          <w:color w:val="auto"/>
          <w:sz w:val="36"/>
          <w:szCs w:val="36"/>
        </w:rPr>
      </w:pPr>
    </w:p>
    <w:p w14:paraId="5688EEB4">
      <w:pPr>
        <w:pStyle w:val="17"/>
        <w:keepNext w:val="0"/>
        <w:keepLines w:val="0"/>
        <w:pageBreakBefore w:val="0"/>
        <w:overflowPunct/>
        <w:bidi w:val="0"/>
        <w:spacing w:line="360" w:lineRule="auto"/>
        <w:ind w:left="0" w:leftChars="0" w:firstLine="747" w:firstLineChars="200"/>
        <w:jc w:val="both"/>
        <w:rPr>
          <w:rFonts w:hAnsi="宋体" w:cs="宋体"/>
          <w:color w:val="auto"/>
          <w:sz w:val="36"/>
          <w:szCs w:val="36"/>
        </w:rPr>
      </w:pPr>
    </w:p>
    <w:p w14:paraId="5E3A5238">
      <w:pPr>
        <w:pStyle w:val="17"/>
        <w:keepNext w:val="0"/>
        <w:keepLines w:val="0"/>
        <w:pageBreakBefore w:val="0"/>
        <w:numPr>
          <w:ilvl w:val="0"/>
          <w:numId w:val="2"/>
        </w:numPr>
        <w:overflowPunct/>
        <w:bidi w:val="0"/>
        <w:spacing w:line="360" w:lineRule="auto"/>
        <w:ind w:left="0" w:leftChars="0" w:firstLine="506" w:firstLineChars="200"/>
        <w:jc w:val="both"/>
        <w:outlineLvl w:val="0"/>
        <w:rPr>
          <w:rFonts w:hAnsi="宋体" w:cs="宋体"/>
          <w:color w:val="auto"/>
          <w:sz w:val="24"/>
          <w:szCs w:val="24"/>
        </w:rPr>
        <w:sectPr>
          <w:footerReference r:id="rId3" w:type="default"/>
          <w:pgSz w:w="11906" w:h="16838"/>
          <w:pgMar w:top="1440" w:right="1800" w:bottom="1440" w:left="1800" w:header="851" w:footer="992" w:gutter="0"/>
          <w:cols w:space="425" w:num="1"/>
          <w:docGrid w:type="lines" w:linePitch="312" w:charSpace="0"/>
        </w:sectPr>
      </w:pPr>
    </w:p>
    <w:p w14:paraId="7E711E95">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Ansi="宋体" w:cs="宋体"/>
          <w:color w:val="auto"/>
          <w:sz w:val="36"/>
          <w:szCs w:val="36"/>
        </w:rPr>
      </w:pPr>
      <w:r>
        <w:rPr>
          <w:rFonts w:hint="eastAsia" w:ascii="宋体" w:hAnsi="宋体" w:eastAsia="宋体" w:cs="宋体"/>
          <w:b/>
          <w:color w:val="auto"/>
          <w:spacing w:val="6"/>
          <w:kern w:val="2"/>
          <w:sz w:val="36"/>
          <w:szCs w:val="36"/>
          <w:lang w:val="en-US" w:eastAsia="zh-CN" w:bidi="ar-SA"/>
        </w:rPr>
        <w:t>第一章</w:t>
      </w:r>
      <w:r>
        <w:rPr>
          <w:rFonts w:hint="eastAsia" w:hAnsi="宋体" w:cs="宋体"/>
          <w:color w:val="auto"/>
          <w:sz w:val="36"/>
          <w:szCs w:val="36"/>
        </w:rPr>
        <w:t xml:space="preserve">  比选公告</w:t>
      </w:r>
    </w:p>
    <w:p w14:paraId="61ED5A28">
      <w:pPr>
        <w:keepNext w:val="0"/>
        <w:keepLines w:val="0"/>
        <w:pageBreakBefore w:val="0"/>
        <w:pBdr>
          <w:top w:val="single" w:color="auto" w:sz="4" w:space="1"/>
          <w:left w:val="single" w:color="auto" w:sz="4" w:space="4"/>
          <w:bottom w:val="single" w:color="auto" w:sz="4" w:space="1"/>
          <w:right w:val="single" w:color="auto" w:sz="4" w:space="4"/>
        </w:pBdr>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u w:val="single"/>
          <w:lang w:eastAsia="zh-CN"/>
        </w:rPr>
        <w:t>江苏省南通第一中学钱学森科创中心装修设计服务采购项目</w:t>
      </w:r>
      <w:r>
        <w:rPr>
          <w:rFonts w:hint="eastAsia" w:ascii="宋体" w:hAnsi="宋体" w:cs="宋体"/>
          <w:color w:val="auto"/>
          <w:sz w:val="24"/>
          <w:szCs w:val="24"/>
        </w:rPr>
        <w:t>的潜在供应商应在</w:t>
      </w:r>
      <w:r>
        <w:rPr>
          <w:rFonts w:hint="eastAsia" w:ascii="宋体" w:hAnsi="宋体" w:cs="宋体"/>
          <w:color w:val="auto"/>
          <w:sz w:val="24"/>
          <w:szCs w:val="24"/>
          <w:u w:val="single"/>
        </w:rPr>
        <w:t>南通市教育局</w:t>
      </w:r>
      <w:r>
        <w:rPr>
          <w:rFonts w:hint="eastAsia" w:ascii="宋体" w:hAnsi="宋体" w:cs="宋体"/>
          <w:color w:val="auto"/>
          <w:sz w:val="24"/>
          <w:szCs w:val="24"/>
          <w:u w:val="single"/>
          <w:lang w:eastAsia="zh-CN"/>
        </w:rPr>
        <w:t>网</w:t>
      </w:r>
      <w:r>
        <w:rPr>
          <w:rFonts w:hint="eastAsia" w:ascii="宋体" w:hAnsi="宋体" w:cs="宋体"/>
          <w:color w:val="auto"/>
          <w:sz w:val="24"/>
          <w:szCs w:val="24"/>
        </w:rPr>
        <w:t>获取比选文件，并于</w:t>
      </w:r>
      <w:r>
        <w:rPr>
          <w:rFonts w:hint="eastAsia" w:ascii="宋体" w:hAnsi="宋体" w:cs="宋体"/>
          <w:color w:val="auto"/>
          <w:sz w:val="24"/>
          <w:szCs w:val="24"/>
          <w:u w:val="single"/>
          <w:lang w:eastAsia="zh-CN"/>
        </w:rPr>
        <w:t>2026年5月11日9点00分</w:t>
      </w:r>
      <w:r>
        <w:rPr>
          <w:rFonts w:hint="eastAsia" w:ascii="宋体" w:hAnsi="宋体" w:cs="宋体"/>
          <w:bCs/>
          <w:color w:val="auto"/>
          <w:sz w:val="24"/>
          <w:szCs w:val="24"/>
        </w:rPr>
        <w:t>（北京时间）前提交响应文件</w:t>
      </w:r>
      <w:r>
        <w:rPr>
          <w:rFonts w:hint="eastAsia" w:ascii="宋体" w:hAnsi="宋体" w:cs="宋体"/>
          <w:color w:val="auto"/>
          <w:sz w:val="24"/>
          <w:szCs w:val="24"/>
        </w:rPr>
        <w:t>。</w:t>
      </w:r>
    </w:p>
    <w:p w14:paraId="69A8A90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ascii="宋体" w:hAnsi="宋体" w:cs="宋体"/>
          <w:b/>
          <w:bCs/>
          <w:color w:val="auto"/>
          <w:sz w:val="24"/>
          <w:szCs w:val="24"/>
        </w:rPr>
      </w:pPr>
      <w:bookmarkStart w:id="0" w:name="_Toc35393798"/>
      <w:bookmarkStart w:id="1" w:name="_Toc28359089"/>
      <w:bookmarkStart w:id="2" w:name="_Toc35393629"/>
      <w:bookmarkStart w:id="3" w:name="_Toc28359012"/>
      <w:r>
        <w:rPr>
          <w:rFonts w:hint="eastAsia" w:ascii="宋体" w:hAnsi="宋体" w:cs="宋体"/>
          <w:b/>
          <w:bCs/>
          <w:color w:val="auto"/>
          <w:sz w:val="24"/>
          <w:szCs w:val="24"/>
        </w:rPr>
        <w:t>一、</w:t>
      </w:r>
      <w:bookmarkEnd w:id="0"/>
      <w:bookmarkEnd w:id="1"/>
      <w:bookmarkEnd w:id="2"/>
      <w:bookmarkEnd w:id="3"/>
      <w:r>
        <w:rPr>
          <w:rFonts w:hint="eastAsia" w:ascii="宋体" w:hAnsi="宋体" w:cs="宋体"/>
          <w:b/>
          <w:bCs/>
          <w:color w:val="auto"/>
          <w:sz w:val="24"/>
          <w:szCs w:val="24"/>
        </w:rPr>
        <w:t>项目基本信息</w:t>
      </w:r>
    </w:p>
    <w:p w14:paraId="0668DB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项目编号：</w:t>
      </w:r>
      <w:r>
        <w:rPr>
          <w:rFonts w:hint="eastAsia" w:ascii="宋体" w:hAnsi="宋体" w:cs="宋体"/>
          <w:color w:val="auto"/>
          <w:sz w:val="24"/>
          <w:szCs w:val="24"/>
          <w:lang w:val="en-US" w:eastAsia="zh-CN"/>
        </w:rPr>
        <w:t xml:space="preserve"> 20260511</w:t>
      </w:r>
    </w:p>
    <w:p w14:paraId="7FB181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项目名称：</w:t>
      </w:r>
      <w:r>
        <w:rPr>
          <w:rFonts w:hint="eastAsia" w:ascii="宋体" w:hAnsi="宋体" w:cs="宋体"/>
          <w:color w:val="auto"/>
          <w:sz w:val="24"/>
          <w:szCs w:val="24"/>
          <w:lang w:val="en-US" w:eastAsia="zh-CN"/>
        </w:rPr>
        <w:t>江苏省南通第一中学钱学森科创中心装修设计服务采购项目</w:t>
      </w:r>
    </w:p>
    <w:p w14:paraId="57CB4A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bookmarkStart w:id="4" w:name="_Toc28359013"/>
      <w:bookmarkStart w:id="5" w:name="_Toc35393630"/>
      <w:bookmarkStart w:id="6" w:name="_Toc35393799"/>
      <w:bookmarkStart w:id="7" w:name="_Toc28359090"/>
      <w:r>
        <w:rPr>
          <w:rFonts w:hint="eastAsia" w:ascii="宋体" w:hAnsi="宋体" w:cs="宋体"/>
          <w:color w:val="auto"/>
          <w:sz w:val="24"/>
          <w:szCs w:val="24"/>
          <w:lang w:val="en-US" w:eastAsia="zh-CN"/>
        </w:rPr>
        <w:t>3.</w:t>
      </w:r>
      <w:r>
        <w:rPr>
          <w:rFonts w:hint="eastAsia" w:ascii="宋体" w:hAnsi="宋体" w:cs="宋体"/>
          <w:color w:val="auto"/>
          <w:sz w:val="24"/>
          <w:szCs w:val="24"/>
        </w:rPr>
        <w:t>采购方式：比选</w:t>
      </w:r>
    </w:p>
    <w:p w14:paraId="5209EFB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最高限价：本项目设计费最高限价为</w:t>
      </w:r>
      <w:bookmarkStart w:id="41" w:name="_GoBack"/>
      <w:bookmarkEnd w:id="41"/>
      <w:r>
        <w:rPr>
          <w:rFonts w:hint="eastAsia" w:ascii="宋体" w:hAnsi="宋体" w:cs="宋体"/>
          <w:color w:val="auto"/>
          <w:sz w:val="24"/>
          <w:szCs w:val="24"/>
        </w:rPr>
        <w:t>工程标底价的</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w:t>
      </w:r>
      <w:r>
        <w:rPr>
          <w:rFonts w:hint="eastAsia" w:ascii="宋体" w:hAnsi="宋体" w:cs="宋体"/>
          <w:color w:val="auto"/>
          <w:sz w:val="24"/>
          <w:szCs w:val="24"/>
          <w:lang w:val="en-US" w:eastAsia="zh-CN"/>
        </w:rPr>
        <w:t>响应</w:t>
      </w:r>
      <w:r>
        <w:rPr>
          <w:rFonts w:hint="eastAsia" w:ascii="宋体" w:hAnsi="宋体" w:cs="宋体"/>
          <w:color w:val="auto"/>
          <w:sz w:val="24"/>
          <w:szCs w:val="24"/>
        </w:rPr>
        <w:t>费率超过最高限价的作无效</w:t>
      </w:r>
      <w:r>
        <w:rPr>
          <w:rFonts w:hint="eastAsia" w:ascii="宋体" w:hAnsi="宋体" w:cs="宋体"/>
          <w:color w:val="auto"/>
          <w:sz w:val="24"/>
          <w:szCs w:val="24"/>
          <w:lang w:val="en-US" w:eastAsia="zh-CN"/>
        </w:rPr>
        <w:t>响应</w:t>
      </w:r>
      <w:r>
        <w:rPr>
          <w:rFonts w:hint="eastAsia" w:ascii="宋体" w:hAnsi="宋体" w:cs="宋体"/>
          <w:color w:val="auto"/>
          <w:sz w:val="24"/>
          <w:szCs w:val="24"/>
        </w:rPr>
        <w:t>处理。</w:t>
      </w:r>
    </w:p>
    <w:p w14:paraId="177E249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采购需求：详见</w:t>
      </w:r>
      <w:r>
        <w:rPr>
          <w:rFonts w:hint="eastAsia" w:ascii="宋体" w:hAnsi="宋体" w:cs="宋体"/>
          <w:color w:val="auto"/>
          <w:sz w:val="24"/>
          <w:szCs w:val="24"/>
          <w:lang w:val="en-US" w:eastAsia="zh-CN"/>
        </w:rPr>
        <w:t>比选文件第三章</w:t>
      </w:r>
      <w:r>
        <w:rPr>
          <w:rFonts w:hint="eastAsia" w:ascii="宋体" w:hAnsi="宋体" w:cs="宋体"/>
          <w:color w:val="auto"/>
          <w:sz w:val="24"/>
          <w:szCs w:val="24"/>
        </w:rPr>
        <w:t>，请仔细研究。</w:t>
      </w:r>
    </w:p>
    <w:p w14:paraId="7349F24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6.设计周期时间：</w:t>
      </w:r>
      <w:r>
        <w:rPr>
          <w:rFonts w:hint="eastAsia" w:ascii="宋体" w:hAnsi="宋体" w:cs="宋体"/>
          <w:color w:val="auto"/>
          <w:sz w:val="24"/>
          <w:szCs w:val="24"/>
        </w:rPr>
        <w:t>自合同</w:t>
      </w:r>
      <w:r>
        <w:rPr>
          <w:rFonts w:hint="eastAsia" w:ascii="宋体" w:hAnsi="宋体" w:cs="宋体"/>
          <w:color w:val="auto"/>
          <w:sz w:val="24"/>
          <w:szCs w:val="24"/>
          <w:lang w:val="en-US" w:eastAsia="zh-CN"/>
        </w:rPr>
        <w:t>签订</w:t>
      </w:r>
      <w:r>
        <w:rPr>
          <w:rFonts w:hint="eastAsia" w:ascii="宋体" w:hAnsi="宋体" w:cs="宋体"/>
          <w:color w:val="auto"/>
          <w:sz w:val="24"/>
          <w:szCs w:val="24"/>
        </w:rPr>
        <w:t>之日起30日历天内完成（方案设计5日历天，施工图设计25日历天）。需完成所有设计图纸和设计说明。包含改造设计说明、平面布置图、顶面布置图、剖面图、立面图、局部节点大样图、装修材料表、各区域装修做法说明、水电专业施工图（包含二次装修消防设计）及主要材料设备清单等。</w:t>
      </w:r>
    </w:p>
    <w:p w14:paraId="2D623A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本项目（是/否）接受联合体：否。</w:t>
      </w:r>
    </w:p>
    <w:bookmarkEnd w:id="4"/>
    <w:bookmarkEnd w:id="5"/>
    <w:bookmarkEnd w:id="6"/>
    <w:bookmarkEnd w:id="7"/>
    <w:p w14:paraId="7790C7C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二</w:t>
      </w:r>
      <w:r>
        <w:rPr>
          <w:rFonts w:hint="eastAsia" w:ascii="宋体" w:hAnsi="宋体" w:cs="宋体"/>
          <w:b/>
          <w:bCs/>
          <w:color w:val="auto"/>
          <w:sz w:val="24"/>
          <w:szCs w:val="24"/>
        </w:rPr>
        <w:t>、供应商资格要求</w:t>
      </w:r>
    </w:p>
    <w:p w14:paraId="6641AEE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1.</w:t>
      </w:r>
      <w:bookmarkStart w:id="8" w:name="_Toc35393631"/>
      <w:bookmarkStart w:id="9" w:name="_Toc28359091"/>
      <w:bookmarkStart w:id="10" w:name="_Toc35393800"/>
      <w:bookmarkStart w:id="11" w:name="_Toc28359014"/>
      <w:r>
        <w:rPr>
          <w:rFonts w:hint="eastAsia" w:ascii="宋体" w:hAnsi="宋体" w:cs="宋体"/>
          <w:color w:val="auto"/>
          <w:sz w:val="24"/>
          <w:szCs w:val="24"/>
        </w:rPr>
        <w:t>满足以下要求，并提供声明函：</w:t>
      </w:r>
    </w:p>
    <w:p w14:paraId="34B1DD8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276E262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343907E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3F1938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135B5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（5）参加</w:t>
      </w:r>
      <w:r>
        <w:rPr>
          <w:rFonts w:hint="eastAsia" w:ascii="宋体" w:hAnsi="宋体" w:cs="宋体"/>
          <w:color w:val="auto"/>
          <w:sz w:val="24"/>
          <w:szCs w:val="24"/>
          <w:lang w:val="en-US" w:eastAsia="zh-CN"/>
        </w:rPr>
        <w:t>本次</w:t>
      </w:r>
      <w:r>
        <w:rPr>
          <w:rFonts w:hint="eastAsia" w:ascii="宋体" w:hAnsi="宋体" w:cs="宋体"/>
          <w:color w:val="auto"/>
          <w:sz w:val="24"/>
          <w:szCs w:val="24"/>
        </w:rPr>
        <w:t>采购活动前三年内，在经营活动中没有重大违法记录；</w:t>
      </w:r>
    </w:p>
    <w:p w14:paraId="6C35C4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4ABCD95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cs="宋体"/>
          <w:b/>
          <w:bCs/>
          <w:color w:val="auto"/>
          <w:sz w:val="24"/>
          <w:szCs w:val="24"/>
        </w:rPr>
      </w:pPr>
      <w:r>
        <w:rPr>
          <w:rFonts w:hint="eastAsia" w:ascii="宋体" w:hAnsi="宋体" w:cs="宋体"/>
          <w:b/>
          <w:bCs/>
          <w:color w:val="auto"/>
          <w:sz w:val="24"/>
          <w:szCs w:val="24"/>
        </w:rPr>
        <w:t>2.特定资格要求</w:t>
      </w:r>
    </w:p>
    <w:p w14:paraId="78AB807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（1）供应商须具有</w:t>
      </w:r>
      <w:r>
        <w:rPr>
          <w:rFonts w:hint="eastAsia" w:ascii="宋体" w:hAnsi="宋体" w:cs="宋体"/>
          <w:b/>
          <w:bCs/>
          <w:color w:val="auto"/>
          <w:sz w:val="24"/>
          <w:szCs w:val="24"/>
        </w:rPr>
        <w:t>工程设计综合甲级资质或建筑行业设计乙级及以上资质或建筑行业（建筑工程）专业设计乙级及以上资质。</w:t>
      </w:r>
    </w:p>
    <w:p w14:paraId="308EFA7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cs="宋体"/>
          <w:b/>
          <w:bCs/>
          <w:color w:val="auto"/>
          <w:sz w:val="24"/>
          <w:szCs w:val="24"/>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lang w:eastAsia="zh-CN"/>
        </w:rPr>
        <w:t>）</w:t>
      </w:r>
      <w:r>
        <w:rPr>
          <w:rFonts w:hint="eastAsia" w:ascii="宋体" w:hAnsi="宋体" w:cs="宋体"/>
          <w:b/>
          <w:bCs/>
          <w:color w:val="auto"/>
          <w:sz w:val="24"/>
          <w:szCs w:val="24"/>
        </w:rPr>
        <w:t>项目负责人</w:t>
      </w:r>
      <w:r>
        <w:rPr>
          <w:rFonts w:hint="eastAsia" w:ascii="宋体" w:hAnsi="宋体" w:cs="宋体"/>
          <w:b/>
          <w:bCs/>
          <w:color w:val="auto"/>
          <w:sz w:val="24"/>
          <w:szCs w:val="24"/>
          <w:lang w:val="en-US" w:eastAsia="zh-CN"/>
        </w:rPr>
        <w:t>须</w:t>
      </w:r>
      <w:r>
        <w:rPr>
          <w:rFonts w:hint="eastAsia" w:ascii="宋体" w:hAnsi="宋体" w:cs="宋体"/>
          <w:b/>
          <w:bCs/>
          <w:color w:val="auto"/>
          <w:sz w:val="24"/>
          <w:szCs w:val="24"/>
        </w:rPr>
        <w:t>具备国家注册一级建筑师执业资格（须在注册有效期内且注册单位为</w:t>
      </w:r>
      <w:r>
        <w:rPr>
          <w:rFonts w:hint="eastAsia" w:ascii="宋体" w:hAnsi="宋体" w:cs="宋体"/>
          <w:b/>
          <w:bCs/>
          <w:color w:val="auto"/>
          <w:sz w:val="24"/>
          <w:szCs w:val="24"/>
          <w:lang w:val="en-US" w:eastAsia="zh-CN"/>
        </w:rPr>
        <w:t>响应供应商</w:t>
      </w:r>
      <w:r>
        <w:rPr>
          <w:rFonts w:hint="eastAsia" w:ascii="宋体" w:hAnsi="宋体" w:cs="宋体"/>
          <w:b/>
          <w:bCs/>
          <w:color w:val="auto"/>
          <w:sz w:val="24"/>
          <w:szCs w:val="24"/>
        </w:rPr>
        <w:t>单位）或建筑工程相关专业高级建筑师及以上职称, 须为参选人正式人员并提供</w:t>
      </w:r>
      <w:r>
        <w:rPr>
          <w:rFonts w:hint="eastAsia" w:ascii="宋体" w:hAnsi="宋体" w:cs="宋体"/>
          <w:b/>
          <w:bCs/>
          <w:color w:val="auto"/>
          <w:sz w:val="24"/>
          <w:szCs w:val="24"/>
          <w:lang w:val="en-US" w:eastAsia="zh-CN"/>
        </w:rPr>
        <w:t>供应商</w:t>
      </w:r>
      <w:r>
        <w:rPr>
          <w:rFonts w:hint="eastAsia" w:ascii="宋体" w:hAnsi="宋体" w:cs="宋体"/>
          <w:b/>
          <w:bCs/>
          <w:color w:val="auto"/>
          <w:sz w:val="24"/>
          <w:szCs w:val="24"/>
        </w:rPr>
        <w:t>与项目负责人双方签订的有效劳动合同书及社保机构出具的</w:t>
      </w:r>
      <w:r>
        <w:rPr>
          <w:rFonts w:hint="eastAsia" w:ascii="宋体" w:hAnsi="宋体" w:cs="宋体"/>
          <w:b/>
          <w:bCs/>
          <w:color w:val="auto"/>
          <w:sz w:val="24"/>
          <w:szCs w:val="24"/>
          <w:lang w:val="en-US" w:eastAsia="zh-CN"/>
        </w:rPr>
        <w:t>供应商</w:t>
      </w:r>
      <w:r>
        <w:rPr>
          <w:rFonts w:hint="eastAsia" w:ascii="宋体" w:hAnsi="宋体" w:cs="宋体"/>
          <w:b/>
          <w:bCs/>
          <w:color w:val="auto"/>
          <w:sz w:val="24"/>
          <w:szCs w:val="24"/>
        </w:rPr>
        <w:t>为其缴纳的2026年</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月以来任意一个月的社保缴费证明。</w:t>
      </w:r>
    </w:p>
    <w:p w14:paraId="59C3D2F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rPr>
        <w:t>未被“信用中国”网站列入失信被执行人、重大税收违法案件当事人名单、采购严重失信行为记录名单。</w:t>
      </w:r>
    </w:p>
    <w:p w14:paraId="7EC5FC1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4.其他要求：</w:t>
      </w:r>
    </w:p>
    <w:p w14:paraId="7E14A29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企业信誉要求：企业未处于被责令停业、投标资格被取消或者财产被接管、冻结和破产状态、没有因骗取中标或者严重违约以及因设计原因发生重大工程质量事故等问题，被有关部门暂停投标资格并在暂停期内。</w:t>
      </w:r>
    </w:p>
    <w:p w14:paraId="30B697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供应商单位负责人为同一人或者存在直接控股、管理关系的不同供应商，不得参加一标段或者未划分标段的同一</w:t>
      </w:r>
      <w:r>
        <w:rPr>
          <w:rFonts w:hint="eastAsia" w:ascii="宋体" w:hAnsi="宋体" w:cs="宋体"/>
          <w:color w:val="auto"/>
          <w:sz w:val="24"/>
          <w:szCs w:val="24"/>
          <w:lang w:val="en-US" w:eastAsia="zh-CN"/>
        </w:rPr>
        <w:t>采购</w:t>
      </w:r>
      <w:r>
        <w:rPr>
          <w:rFonts w:hint="eastAsia" w:ascii="宋体" w:hAnsi="宋体" w:cs="宋体"/>
          <w:color w:val="auto"/>
          <w:sz w:val="24"/>
          <w:szCs w:val="24"/>
        </w:rPr>
        <w:t>项目的采购活动</w:t>
      </w:r>
      <w:r>
        <w:rPr>
          <w:rFonts w:hint="eastAsia" w:ascii="宋体" w:hAnsi="宋体" w:cs="宋体"/>
          <w:color w:val="auto"/>
          <w:sz w:val="24"/>
          <w:szCs w:val="24"/>
          <w:lang w:eastAsia="zh-CN"/>
        </w:rPr>
        <w:t>。</w:t>
      </w:r>
    </w:p>
    <w:p w14:paraId="3BB926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u w:val="none" w:color="auto"/>
        </w:rPr>
      </w:pPr>
      <w:r>
        <w:rPr>
          <w:rFonts w:hint="eastAsia" w:ascii="宋体" w:hAnsi="宋体" w:cs="宋体"/>
          <w:color w:val="auto"/>
          <w:sz w:val="24"/>
          <w:szCs w:val="24"/>
          <w:u w:val="none" w:color="auto"/>
        </w:rPr>
        <w:t>其他具体资格要求详见“第六章响应文件组成”。</w:t>
      </w:r>
    </w:p>
    <w:p w14:paraId="4902276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ascii="宋体" w:hAnsi="宋体" w:cs="宋体"/>
          <w:b/>
          <w:bCs/>
          <w:color w:val="auto"/>
          <w:sz w:val="24"/>
          <w:szCs w:val="24"/>
        </w:rPr>
      </w:pPr>
      <w:r>
        <w:rPr>
          <w:rFonts w:hint="eastAsia" w:ascii="宋体" w:hAnsi="宋体" w:cs="宋体"/>
          <w:b/>
          <w:bCs/>
          <w:color w:val="auto"/>
          <w:sz w:val="24"/>
          <w:szCs w:val="24"/>
        </w:rPr>
        <w:t>四、获取</w:t>
      </w:r>
      <w:bookmarkEnd w:id="8"/>
      <w:bookmarkEnd w:id="9"/>
      <w:bookmarkEnd w:id="10"/>
      <w:bookmarkEnd w:id="11"/>
      <w:r>
        <w:rPr>
          <w:rFonts w:hint="eastAsia" w:ascii="宋体" w:hAnsi="宋体" w:cs="宋体"/>
          <w:b/>
          <w:bCs/>
          <w:color w:val="auto"/>
          <w:sz w:val="24"/>
          <w:szCs w:val="24"/>
        </w:rPr>
        <w:t>比选文件</w:t>
      </w:r>
    </w:p>
    <w:p w14:paraId="72AECE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bookmarkStart w:id="12" w:name="_Toc35393632"/>
      <w:bookmarkStart w:id="13" w:name="_Toc28359092"/>
      <w:bookmarkStart w:id="14" w:name="_Toc35393801"/>
      <w:bookmarkStart w:id="15" w:name="_Toc28359015"/>
      <w:r>
        <w:rPr>
          <w:rFonts w:hint="eastAsia" w:ascii="宋体" w:hAnsi="宋体" w:cs="宋体"/>
          <w:color w:val="auto"/>
          <w:sz w:val="24"/>
          <w:szCs w:val="24"/>
        </w:rPr>
        <w:t>1.时间：自本公告发布之日起至</w:t>
      </w:r>
      <w:r>
        <w:rPr>
          <w:rFonts w:hint="eastAsia" w:ascii="宋体" w:hAnsi="宋体" w:cs="宋体"/>
          <w:color w:val="auto"/>
          <w:sz w:val="24"/>
          <w:szCs w:val="24"/>
          <w:u w:val="single"/>
          <w:lang w:eastAsia="zh-CN"/>
        </w:rPr>
        <w:t>2026年5月11日9点00分</w:t>
      </w:r>
    </w:p>
    <w:p w14:paraId="37397DA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r>
        <w:rPr>
          <w:rFonts w:hint="eastAsia" w:ascii="宋体" w:hAnsi="宋体" w:cs="宋体"/>
          <w:color w:val="auto"/>
          <w:sz w:val="24"/>
          <w:szCs w:val="24"/>
        </w:rPr>
        <w:t>2.地点：南通市教育局网站自行下载</w:t>
      </w:r>
    </w:p>
    <w:p w14:paraId="339766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r>
        <w:rPr>
          <w:rFonts w:hint="eastAsia" w:ascii="宋体" w:hAnsi="宋体" w:cs="宋体"/>
          <w:color w:val="auto"/>
          <w:sz w:val="24"/>
          <w:szCs w:val="24"/>
        </w:rPr>
        <w:t>3.有关本次采购的事项若存在变动或修改，敬请及时关注“南通市教育局网”发布的信息更正公告，恕不另行通知，如有遗漏采购人概不负责。</w:t>
      </w:r>
    </w:p>
    <w:p w14:paraId="6EA62B2F">
      <w:pPr>
        <w:keepNext w:val="0"/>
        <w:keepLines w:val="0"/>
        <w:pageBreakBefore w:val="0"/>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五、响应文件提交</w:t>
      </w:r>
      <w:bookmarkEnd w:id="12"/>
      <w:bookmarkEnd w:id="13"/>
      <w:bookmarkEnd w:id="14"/>
      <w:bookmarkEnd w:id="15"/>
    </w:p>
    <w:p w14:paraId="77D38AE1">
      <w:pPr>
        <w:keepNext w:val="0"/>
        <w:keepLines w:val="0"/>
        <w:pageBreakBefore w:val="0"/>
        <w:overflowPunct/>
        <w:bidi w:val="0"/>
        <w:spacing w:line="360" w:lineRule="auto"/>
        <w:ind w:left="0" w:leftChars="0" w:firstLine="480" w:firstLineChars="200"/>
        <w:jc w:val="both"/>
        <w:rPr>
          <w:rFonts w:ascii="宋体" w:hAnsi="宋体" w:cs="宋体"/>
          <w:color w:val="auto"/>
          <w:sz w:val="24"/>
          <w:szCs w:val="24"/>
        </w:rPr>
      </w:pPr>
      <w:bookmarkStart w:id="16" w:name="_Toc28359093"/>
      <w:bookmarkStart w:id="17" w:name="_Toc28359016"/>
      <w:bookmarkStart w:id="18" w:name="_Toc35393633"/>
      <w:bookmarkStart w:id="19" w:name="_Toc35393802"/>
      <w:r>
        <w:rPr>
          <w:rFonts w:hint="eastAsia" w:ascii="宋体" w:hAnsi="宋体" w:cs="宋体"/>
          <w:color w:val="auto"/>
          <w:sz w:val="24"/>
          <w:szCs w:val="24"/>
        </w:rPr>
        <w:t>响应文件接收截止时间：</w:t>
      </w:r>
      <w:r>
        <w:rPr>
          <w:rFonts w:hint="eastAsia" w:ascii="宋体" w:hAnsi="宋体" w:cs="宋体"/>
          <w:b/>
          <w:bCs/>
          <w:color w:val="auto"/>
          <w:sz w:val="24"/>
          <w:szCs w:val="24"/>
          <w:u w:val="none"/>
          <w:lang w:eastAsia="zh-CN"/>
        </w:rPr>
        <w:t>2026年5月11日9点00分</w:t>
      </w:r>
      <w:r>
        <w:rPr>
          <w:rFonts w:hint="eastAsia" w:ascii="宋体" w:hAnsi="宋体" w:cs="宋体"/>
          <w:b/>
          <w:bCs/>
          <w:color w:val="auto"/>
          <w:sz w:val="24"/>
          <w:szCs w:val="24"/>
        </w:rPr>
        <w:t>（北京时间），</w:t>
      </w:r>
      <w:r>
        <w:rPr>
          <w:rFonts w:hint="eastAsia" w:ascii="宋体" w:hAnsi="宋体" w:cs="宋体"/>
          <w:color w:val="auto"/>
          <w:sz w:val="24"/>
          <w:szCs w:val="24"/>
        </w:rPr>
        <w:t>逾时拒绝接收响应文件。</w:t>
      </w:r>
    </w:p>
    <w:p w14:paraId="0DDC92F5">
      <w:pPr>
        <w:keepNext w:val="0"/>
        <w:keepLines w:val="0"/>
        <w:pageBreakBefore w:val="0"/>
        <w:overflowPunct/>
        <w:bidi w:val="0"/>
        <w:spacing w:line="360" w:lineRule="auto"/>
        <w:ind w:left="0" w:leftChars="0" w:firstLine="480" w:firstLineChars="200"/>
        <w:jc w:val="both"/>
        <w:rPr>
          <w:rFonts w:hint="eastAsia" w:ascii="宋体" w:hAnsi="宋体" w:cs="宋体"/>
          <w:b w:val="0"/>
          <w:bCs w:val="0"/>
          <w:color w:val="auto"/>
          <w:sz w:val="24"/>
          <w:szCs w:val="24"/>
          <w:u w:val="none"/>
        </w:rPr>
      </w:pPr>
      <w:r>
        <w:rPr>
          <w:rFonts w:hint="eastAsia" w:ascii="宋体" w:hAnsi="宋体" w:cs="宋体"/>
          <w:color w:val="auto"/>
          <w:sz w:val="24"/>
          <w:szCs w:val="24"/>
        </w:rPr>
        <w:t>地点：</w:t>
      </w:r>
      <w:r>
        <w:rPr>
          <w:rFonts w:hint="eastAsia" w:ascii="宋体" w:hAnsi="宋体" w:cs="宋体"/>
          <w:b/>
          <w:bCs/>
          <w:color w:val="auto"/>
          <w:sz w:val="24"/>
          <w:szCs w:val="24"/>
          <w:lang w:val="en-US" w:eastAsia="zh-CN"/>
        </w:rPr>
        <w:t>崇川区人民西路38号江苏省南通第一中学俯仰楼122会议室</w:t>
      </w:r>
      <w:r>
        <w:rPr>
          <w:rFonts w:hint="eastAsia" w:ascii="宋体" w:hAnsi="宋体" w:cs="宋体"/>
          <w:b/>
          <w:bCs/>
          <w:color w:val="auto"/>
          <w:sz w:val="24"/>
          <w:szCs w:val="24"/>
          <w:u w:val="none"/>
        </w:rPr>
        <w:t>，如有变动另行通知。</w:t>
      </w:r>
    </w:p>
    <w:p w14:paraId="4222BDBD">
      <w:pPr>
        <w:keepNext w:val="0"/>
        <w:keepLines w:val="0"/>
        <w:pageBreakBefore w:val="0"/>
        <w:overflowPunct/>
        <w:bidi w:val="0"/>
        <w:spacing w:line="360" w:lineRule="auto"/>
        <w:ind w:left="0" w:leftChars="0" w:firstLine="480" w:firstLineChars="200"/>
        <w:jc w:val="both"/>
        <w:rPr>
          <w:rFonts w:hint="eastAsia" w:ascii="宋体" w:hAnsi="宋体" w:cs="宋体"/>
          <w:b w:val="0"/>
          <w:bCs w:val="0"/>
          <w:color w:val="auto"/>
          <w:sz w:val="24"/>
          <w:szCs w:val="24"/>
          <w:u w:val="none"/>
        </w:rPr>
      </w:pPr>
      <w:r>
        <w:rPr>
          <w:rFonts w:hint="eastAsia" w:ascii="宋体" w:hAnsi="宋体" w:cs="宋体"/>
          <w:b w:val="0"/>
          <w:bCs w:val="0"/>
          <w:color w:val="auto"/>
          <w:sz w:val="24"/>
          <w:szCs w:val="24"/>
          <w:u w:val="none"/>
        </w:rPr>
        <w:t>3.</w:t>
      </w:r>
      <w:r>
        <w:rPr>
          <w:rFonts w:hint="eastAsia" w:ascii="宋体" w:hAnsi="宋体" w:cs="宋体"/>
          <w:b w:val="0"/>
          <w:bCs w:val="0"/>
          <w:color w:val="auto"/>
          <w:sz w:val="24"/>
          <w:szCs w:val="24"/>
          <w:u w:val="none"/>
          <w:lang w:val="en-US" w:eastAsia="zh-CN"/>
        </w:rPr>
        <w:t>提</w:t>
      </w:r>
      <w:r>
        <w:rPr>
          <w:rFonts w:hint="eastAsia" w:ascii="宋体" w:hAnsi="宋体" w:cs="宋体"/>
          <w:b w:val="0"/>
          <w:bCs w:val="0"/>
          <w:color w:val="auto"/>
          <w:sz w:val="24"/>
          <w:szCs w:val="24"/>
          <w:u w:val="none"/>
        </w:rPr>
        <w:t>交方式：现场纸质</w:t>
      </w:r>
      <w:r>
        <w:rPr>
          <w:rFonts w:hint="eastAsia" w:ascii="宋体" w:hAnsi="宋体" w:cs="宋体"/>
          <w:b w:val="0"/>
          <w:bCs w:val="0"/>
          <w:color w:val="auto"/>
          <w:sz w:val="24"/>
          <w:szCs w:val="24"/>
          <w:u w:val="none"/>
          <w:lang w:val="en-US" w:eastAsia="zh-CN"/>
        </w:rPr>
        <w:t>提</w:t>
      </w:r>
      <w:r>
        <w:rPr>
          <w:rFonts w:hint="eastAsia" w:ascii="宋体" w:hAnsi="宋体" w:cs="宋体"/>
          <w:b w:val="0"/>
          <w:bCs w:val="0"/>
          <w:color w:val="auto"/>
          <w:sz w:val="24"/>
          <w:szCs w:val="24"/>
          <w:u w:val="none"/>
        </w:rPr>
        <w:t>交。</w:t>
      </w:r>
    </w:p>
    <w:p w14:paraId="20755982">
      <w:pPr>
        <w:keepNext w:val="0"/>
        <w:keepLines w:val="0"/>
        <w:pageBreakBefore w:val="0"/>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六、</w:t>
      </w:r>
      <w:bookmarkEnd w:id="16"/>
      <w:bookmarkEnd w:id="17"/>
      <w:bookmarkEnd w:id="18"/>
      <w:bookmarkEnd w:id="19"/>
      <w:r>
        <w:rPr>
          <w:rFonts w:hint="eastAsia" w:ascii="宋体" w:hAnsi="宋体" w:cs="宋体"/>
          <w:b/>
          <w:bCs/>
          <w:color w:val="auto"/>
          <w:sz w:val="24"/>
          <w:szCs w:val="24"/>
        </w:rPr>
        <w:t>响应文件开启</w:t>
      </w:r>
    </w:p>
    <w:p w14:paraId="50F7A1E6">
      <w:pPr>
        <w:keepNext w:val="0"/>
        <w:keepLines w:val="0"/>
        <w:pageBreakBefore w:val="0"/>
        <w:overflowPunct/>
        <w:bidi w:val="0"/>
        <w:spacing w:line="360" w:lineRule="auto"/>
        <w:ind w:left="0" w:leftChars="0" w:firstLine="480" w:firstLineChars="200"/>
        <w:jc w:val="both"/>
        <w:rPr>
          <w:rFonts w:ascii="宋体" w:hAnsi="宋体" w:cs="宋体"/>
          <w:color w:val="auto"/>
          <w:sz w:val="24"/>
          <w:szCs w:val="24"/>
        </w:rPr>
      </w:pPr>
      <w:bookmarkStart w:id="20" w:name="_Toc28359017"/>
      <w:bookmarkStart w:id="21" w:name="_Toc28359094"/>
      <w:bookmarkStart w:id="22" w:name="_Toc35393803"/>
      <w:bookmarkStart w:id="23" w:name="_Toc35393634"/>
      <w:r>
        <w:rPr>
          <w:rFonts w:hint="eastAsia" w:ascii="宋体" w:hAnsi="宋体" w:cs="宋体"/>
          <w:color w:val="auto"/>
          <w:sz w:val="24"/>
          <w:szCs w:val="24"/>
        </w:rPr>
        <w:t>截止时间：</w:t>
      </w:r>
      <w:r>
        <w:rPr>
          <w:rFonts w:hint="eastAsia" w:ascii="宋体" w:hAnsi="宋体" w:cs="宋体"/>
          <w:b/>
          <w:bCs/>
          <w:color w:val="auto"/>
          <w:sz w:val="24"/>
          <w:szCs w:val="24"/>
          <w:u w:val="none"/>
          <w:lang w:eastAsia="zh-CN"/>
        </w:rPr>
        <w:t>2026年5月11日9点00分</w:t>
      </w:r>
      <w:r>
        <w:rPr>
          <w:rFonts w:hint="eastAsia" w:ascii="宋体" w:hAnsi="宋体" w:cs="宋体"/>
          <w:b/>
          <w:bCs/>
          <w:color w:val="auto"/>
          <w:sz w:val="24"/>
          <w:szCs w:val="24"/>
        </w:rPr>
        <w:t>（北京时间）。</w:t>
      </w:r>
    </w:p>
    <w:p w14:paraId="470ACDF2">
      <w:pPr>
        <w:keepNext w:val="0"/>
        <w:keepLines w:val="0"/>
        <w:pageBreakBefore w:val="0"/>
        <w:overflowPunct/>
        <w:bidi w:val="0"/>
        <w:spacing w:line="360" w:lineRule="auto"/>
        <w:ind w:left="0" w:leftChars="0" w:firstLine="480" w:firstLineChars="200"/>
        <w:jc w:val="both"/>
        <w:rPr>
          <w:rFonts w:hint="eastAsia" w:ascii="宋体" w:hAnsi="宋体" w:cs="宋体"/>
          <w:b/>
          <w:bCs/>
          <w:color w:val="auto"/>
          <w:sz w:val="24"/>
          <w:szCs w:val="24"/>
          <w:u w:val="none"/>
        </w:rPr>
      </w:pPr>
      <w:r>
        <w:rPr>
          <w:rFonts w:hint="eastAsia" w:ascii="宋体" w:hAnsi="宋体" w:cs="宋体"/>
          <w:color w:val="auto"/>
          <w:sz w:val="24"/>
          <w:szCs w:val="24"/>
        </w:rPr>
        <w:t>地点：</w:t>
      </w:r>
      <w:r>
        <w:rPr>
          <w:rFonts w:hint="eastAsia" w:ascii="宋体" w:hAnsi="宋体" w:cs="宋体"/>
          <w:b/>
          <w:bCs/>
          <w:color w:val="auto"/>
          <w:sz w:val="24"/>
          <w:szCs w:val="24"/>
          <w:u w:val="none"/>
        </w:rPr>
        <w:t>崇川区人民西路38号江苏省南通第一中学俯仰楼122会议室，如有变动另行通知。</w:t>
      </w:r>
    </w:p>
    <w:p w14:paraId="048B8B25">
      <w:pPr>
        <w:keepNext w:val="0"/>
        <w:keepLines w:val="0"/>
        <w:pageBreakBefore w:val="0"/>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七、比选公告期限</w:t>
      </w:r>
      <w:bookmarkEnd w:id="20"/>
      <w:bookmarkEnd w:id="21"/>
      <w:bookmarkEnd w:id="22"/>
      <w:bookmarkEnd w:id="23"/>
    </w:p>
    <w:p w14:paraId="7865AFD4">
      <w:pPr>
        <w:keepNext w:val="0"/>
        <w:keepLines w:val="0"/>
        <w:pageBreakBefore w:val="0"/>
        <w:overflowPunct/>
        <w:bidi w:val="0"/>
        <w:spacing w:line="360" w:lineRule="auto"/>
        <w:ind w:left="0" w:leftChars="0" w:firstLine="480" w:firstLineChars="200"/>
        <w:jc w:val="both"/>
        <w:rPr>
          <w:rFonts w:ascii="宋体" w:hAnsi="宋体" w:cs="宋体"/>
          <w:color w:val="auto"/>
          <w:sz w:val="24"/>
          <w:szCs w:val="24"/>
        </w:rPr>
      </w:pPr>
      <w:bookmarkStart w:id="24" w:name="_Toc35393804"/>
      <w:bookmarkStart w:id="25" w:name="_Toc35393635"/>
      <w:r>
        <w:rPr>
          <w:rFonts w:hint="eastAsia" w:ascii="宋体" w:hAnsi="宋体" w:cs="宋体"/>
          <w:color w:val="auto"/>
          <w:sz w:val="24"/>
          <w:szCs w:val="24"/>
        </w:rPr>
        <w:t>自比选公告发布之日起3个工作日。</w:t>
      </w:r>
    </w:p>
    <w:p w14:paraId="70174A5B">
      <w:pPr>
        <w:keepNext w:val="0"/>
        <w:keepLines w:val="0"/>
        <w:pageBreakBefore w:val="0"/>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八、</w:t>
      </w:r>
      <w:bookmarkEnd w:id="24"/>
      <w:bookmarkEnd w:id="25"/>
      <w:bookmarkStart w:id="26" w:name="_Toc35393805"/>
      <w:bookmarkStart w:id="27" w:name="_Toc28359095"/>
      <w:bookmarkStart w:id="28" w:name="_Toc28359018"/>
      <w:bookmarkStart w:id="29" w:name="_Toc35393636"/>
      <w:r>
        <w:rPr>
          <w:rFonts w:hint="eastAsia" w:ascii="宋体" w:hAnsi="宋体" w:cs="宋体"/>
          <w:b/>
          <w:bCs/>
          <w:color w:val="auto"/>
          <w:sz w:val="24"/>
          <w:szCs w:val="24"/>
        </w:rPr>
        <w:t>凡对本次采购提出询问，请按以下方式联系。</w:t>
      </w:r>
      <w:bookmarkEnd w:id="26"/>
      <w:bookmarkEnd w:id="27"/>
      <w:bookmarkEnd w:id="28"/>
      <w:bookmarkEnd w:id="29"/>
    </w:p>
    <w:p w14:paraId="4D3562E3">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bookmarkStart w:id="30" w:name="_Toc18907"/>
      <w:r>
        <w:rPr>
          <w:rFonts w:hint="eastAsia" w:ascii="宋体" w:hAnsi="宋体" w:cs="宋体"/>
          <w:color w:val="auto"/>
          <w:sz w:val="24"/>
          <w:szCs w:val="24"/>
        </w:rPr>
        <w:t>名称：江苏省南通第一中学</w:t>
      </w:r>
    </w:p>
    <w:p w14:paraId="542F397C">
      <w:pPr>
        <w:keepNext w:val="0"/>
        <w:keepLines w:val="0"/>
        <w:pageBreakBefore w:val="0"/>
        <w:overflowPunct/>
        <w:bidi w:val="0"/>
        <w:snapToGrid w:val="0"/>
        <w:spacing w:line="360" w:lineRule="auto"/>
        <w:ind w:left="0" w:leftChars="0" w:firstLine="480" w:firstLineChars="200"/>
        <w:jc w:val="both"/>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地址：南通市崇川区人民西路38号</w:t>
      </w:r>
    </w:p>
    <w:p w14:paraId="141F72D6">
      <w:pPr>
        <w:keepNext w:val="0"/>
        <w:keepLines w:val="0"/>
        <w:pageBreakBefore w:val="0"/>
        <w:overflowPunct/>
        <w:bidi w:val="0"/>
        <w:snapToGrid w:val="0"/>
        <w:spacing w:line="360" w:lineRule="auto"/>
        <w:ind w:left="0" w:leftChars="0"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唐老师</w:t>
      </w:r>
    </w:p>
    <w:p w14:paraId="15854374">
      <w:pPr>
        <w:keepNext w:val="0"/>
        <w:keepLines w:val="0"/>
        <w:pageBreakBefore w:val="0"/>
        <w:overflowPunct/>
        <w:bidi w:val="0"/>
        <w:snapToGrid w:val="0"/>
        <w:spacing w:line="360" w:lineRule="auto"/>
        <w:ind w:left="0" w:leftChars="0"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13515206019</w:t>
      </w:r>
    </w:p>
    <w:p w14:paraId="44405C96">
      <w:pPr>
        <w:keepNext w:val="0"/>
        <w:keepLines w:val="0"/>
        <w:pageBreakBefore w:val="0"/>
        <w:overflowPunct/>
        <w:bidi w:val="0"/>
        <w:snapToGrid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br w:type="page"/>
      </w:r>
    </w:p>
    <w:p w14:paraId="742CCE6A">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第二章  比选须知</w:t>
      </w:r>
      <w:bookmarkEnd w:id="30"/>
    </w:p>
    <w:p w14:paraId="75F7B63C">
      <w:pPr>
        <w:keepNext w:val="0"/>
        <w:keepLines w:val="0"/>
        <w:pageBreakBefore w:val="0"/>
        <w:overflowPunct/>
        <w:bidi w:val="0"/>
        <w:snapToGrid w:val="0"/>
        <w:spacing w:line="360" w:lineRule="auto"/>
        <w:ind w:left="0" w:leftChars="0" w:firstLine="482" w:firstLineChars="200"/>
        <w:jc w:val="both"/>
        <w:outlineLvl w:val="9"/>
        <w:rPr>
          <w:rFonts w:ascii="宋体" w:hAnsi="宋体" w:cs="宋体"/>
          <w:color w:val="auto"/>
          <w:sz w:val="24"/>
          <w:szCs w:val="24"/>
        </w:rPr>
      </w:pPr>
      <w:r>
        <w:rPr>
          <w:rFonts w:hint="eastAsia" w:ascii="宋体" w:hAnsi="宋体" w:cs="宋体"/>
          <w:b/>
          <w:color w:val="auto"/>
          <w:sz w:val="24"/>
          <w:szCs w:val="24"/>
        </w:rPr>
        <w:t>一、比选文件由采购人解释</w:t>
      </w:r>
      <w:r>
        <w:rPr>
          <w:rFonts w:hint="eastAsia" w:ascii="宋体" w:hAnsi="宋体" w:cs="宋体"/>
          <w:color w:val="auto"/>
          <w:sz w:val="24"/>
          <w:szCs w:val="24"/>
        </w:rPr>
        <w:t>。</w:t>
      </w:r>
    </w:p>
    <w:p w14:paraId="3B171435">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供应商下载比选文件后，应仔细检查比选文件的所有内容，如对采购项目活动事项有疑问的，应在下载比选文件开始之日起3日内以书面形式提出询问或疑问，未在规定的3日内提出询问或疑问的，视同供应商理解并接受本比选文件所有内容，由此引起的比选损失自负。</w:t>
      </w:r>
    </w:p>
    <w:p w14:paraId="7F6F0B31">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2.供应商应认真审阅比选文件中所有的事项、格式、条款和规范要求等，如果供应商没有按照比选文件要求提交响应文件，或者响应文件没有对比选文件做出实质性响应，其比选将被拒绝，供应商自行承担责任。</w:t>
      </w:r>
    </w:p>
    <w:p w14:paraId="620D641D">
      <w:pPr>
        <w:keepNext w:val="0"/>
        <w:keepLines w:val="0"/>
        <w:pageBreakBefore w:val="0"/>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rPr>
        <w:t>二、比选文件的澄清、修改、答疑</w:t>
      </w:r>
    </w:p>
    <w:p w14:paraId="36C69C8E">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1.采购人有权对发出的比选文件进行必要的澄清或修改。</w:t>
      </w:r>
    </w:p>
    <w:p w14:paraId="7C70BC43">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2.采购人可视情取消、延长相关时间。</w:t>
      </w:r>
    </w:p>
    <w:p w14:paraId="0BF35DE3">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3.采购人对比选文件的澄清、修改将构成比选文件的一部分，对供应商具有约束力。</w:t>
      </w:r>
    </w:p>
    <w:p w14:paraId="12659792">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4.供应商由于对比选文件的任何推论和误解以及采购人对有关问题的口头解释所造成的后果，均由供应商自负。</w:t>
      </w:r>
    </w:p>
    <w:p w14:paraId="5E74882A">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5.采购人视情组织答疑会。</w:t>
      </w:r>
    </w:p>
    <w:p w14:paraId="3798A214">
      <w:pPr>
        <w:keepNext w:val="0"/>
        <w:keepLines w:val="0"/>
        <w:pageBreakBefore w:val="0"/>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rPr>
        <w:t>三、</w:t>
      </w:r>
      <w:r>
        <w:rPr>
          <w:rFonts w:hint="eastAsia" w:ascii="宋体" w:hAnsi="宋体" w:cs="宋体"/>
          <w:b/>
          <w:color w:val="auto"/>
          <w:sz w:val="24"/>
          <w:szCs w:val="24"/>
          <w:lang w:val="en-US" w:eastAsia="zh-CN"/>
        </w:rPr>
        <w:t>响应</w:t>
      </w:r>
      <w:r>
        <w:rPr>
          <w:rFonts w:hint="eastAsia" w:ascii="宋体" w:hAnsi="宋体" w:cs="宋体"/>
          <w:b/>
          <w:color w:val="auto"/>
          <w:sz w:val="24"/>
          <w:szCs w:val="24"/>
        </w:rPr>
        <w:t>报价</w:t>
      </w:r>
    </w:p>
    <w:p w14:paraId="758EA58A">
      <w:pPr>
        <w:keepNext w:val="0"/>
        <w:keepLines w:val="0"/>
        <w:pageBreakBefore w:val="0"/>
        <w:overflowPunct/>
        <w:bidi w:val="0"/>
        <w:snapToGrid w:val="0"/>
        <w:spacing w:line="360" w:lineRule="auto"/>
        <w:ind w:left="0" w:leftChars="0" w:firstLine="480" w:firstLineChars="200"/>
        <w:jc w:val="both"/>
        <w:rPr>
          <w:rFonts w:hint="eastAsia" w:ascii="宋体" w:hAnsi="宋体" w:cs="宋体"/>
          <w:b/>
          <w:bCs/>
          <w:color w:val="auto"/>
          <w:sz w:val="24"/>
          <w:szCs w:val="24"/>
        </w:rPr>
      </w:pPr>
      <w:r>
        <w:rPr>
          <w:rFonts w:hint="eastAsia" w:ascii="宋体" w:hAnsi="宋体" w:cs="宋体"/>
          <w:color w:val="auto"/>
          <w:sz w:val="24"/>
          <w:szCs w:val="24"/>
        </w:rPr>
        <w:t>一个标的只允许一个报价，不接受任何有选择性的报价。</w:t>
      </w:r>
      <w:r>
        <w:rPr>
          <w:rFonts w:hint="eastAsia" w:ascii="宋体" w:hAnsi="宋体" w:cs="宋体"/>
          <w:b/>
          <w:bCs/>
          <w:color w:val="auto"/>
          <w:sz w:val="24"/>
          <w:szCs w:val="24"/>
        </w:rPr>
        <w:t>本项目</w:t>
      </w:r>
      <w:r>
        <w:rPr>
          <w:rFonts w:hint="eastAsia" w:ascii="宋体" w:hAnsi="宋体" w:cs="宋体"/>
          <w:b/>
          <w:bCs/>
          <w:color w:val="auto"/>
          <w:sz w:val="24"/>
          <w:szCs w:val="24"/>
          <w:lang w:val="en-US" w:eastAsia="zh-CN"/>
        </w:rPr>
        <w:t>仅</w:t>
      </w:r>
      <w:r>
        <w:rPr>
          <w:rFonts w:hint="eastAsia" w:ascii="宋体" w:hAnsi="宋体" w:cs="宋体"/>
          <w:b/>
          <w:bCs/>
          <w:color w:val="auto"/>
          <w:sz w:val="24"/>
          <w:szCs w:val="24"/>
        </w:rPr>
        <w:t>一次报价。</w:t>
      </w:r>
    </w:p>
    <w:p w14:paraId="2D9174D6">
      <w:pPr>
        <w:spacing w:line="360" w:lineRule="auto"/>
        <w:ind w:firstLine="482"/>
        <w:rPr>
          <w:rFonts w:ascii="Times New Roman" w:hAnsi="Times New Roman" w:cs="宋体"/>
          <w:b/>
          <w:color w:val="auto"/>
          <w:sz w:val="24"/>
          <w:szCs w:val="24"/>
        </w:rPr>
      </w:pPr>
      <w:r>
        <w:rPr>
          <w:rFonts w:hint="eastAsia" w:ascii="Times New Roman" w:hAnsi="Times New Roman" w:cs="宋体"/>
          <w:b/>
          <w:color w:val="auto"/>
          <w:sz w:val="24"/>
          <w:szCs w:val="24"/>
        </w:rPr>
        <w:t>四、响应文件的编制及装订</w:t>
      </w:r>
    </w:p>
    <w:p w14:paraId="22319129">
      <w:pPr>
        <w:spacing w:line="360" w:lineRule="auto"/>
        <w:ind w:firstLine="485"/>
        <w:rPr>
          <w:rFonts w:ascii="Times New Roman" w:hAnsi="Times New Roman" w:cs="宋体"/>
          <w:color w:val="auto"/>
          <w:sz w:val="24"/>
          <w:szCs w:val="24"/>
        </w:rPr>
      </w:pPr>
      <w:r>
        <w:rPr>
          <w:rFonts w:hint="eastAsia" w:ascii="Times New Roman" w:hAnsi="Times New Roman" w:cs="宋体"/>
          <w:color w:val="auto"/>
          <w:sz w:val="24"/>
          <w:szCs w:val="24"/>
        </w:rPr>
        <w:t>供应商按</w:t>
      </w:r>
      <w:r>
        <w:rPr>
          <w:rFonts w:hint="eastAsia" w:ascii="Times New Roman" w:hAnsi="Times New Roman" w:cs="宋体"/>
          <w:color w:val="auto"/>
          <w:sz w:val="24"/>
          <w:szCs w:val="24"/>
          <w:lang w:val="en-US" w:eastAsia="zh-CN"/>
        </w:rPr>
        <w:t>比选</w:t>
      </w:r>
      <w:r>
        <w:rPr>
          <w:rFonts w:hint="eastAsia" w:ascii="Times New Roman" w:hAnsi="Times New Roman" w:cs="宋体"/>
          <w:color w:val="auto"/>
          <w:sz w:val="24"/>
          <w:szCs w:val="24"/>
        </w:rPr>
        <w:t>文件要求编写响应文件，并装订成册。响应文件不得行间插字、涂改、增删，如修改错漏处，须经响应文件签署人签字并加盖公章。</w:t>
      </w:r>
    </w:p>
    <w:p w14:paraId="7C719BE3">
      <w:pPr>
        <w:keepNext w:val="0"/>
        <w:keepLines w:val="0"/>
        <w:pageBreakBefore w:val="0"/>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lang w:val="en-US" w:eastAsia="zh-CN"/>
        </w:rPr>
        <w:t>五</w:t>
      </w:r>
      <w:r>
        <w:rPr>
          <w:rFonts w:hint="eastAsia" w:ascii="宋体" w:hAnsi="宋体" w:cs="宋体"/>
          <w:b/>
          <w:color w:val="auto"/>
          <w:sz w:val="24"/>
          <w:szCs w:val="24"/>
        </w:rPr>
        <w:t>、响应文件的份数和签署</w:t>
      </w:r>
    </w:p>
    <w:p w14:paraId="0C17B10F">
      <w:pPr>
        <w:keepNext w:val="0"/>
        <w:keepLines w:val="0"/>
        <w:pageBreakBefore w:val="0"/>
        <w:overflowPunct/>
        <w:bidi w:val="0"/>
        <w:snapToGrid w:val="0"/>
        <w:spacing w:line="360" w:lineRule="auto"/>
        <w:ind w:left="0" w:leftChars="0" w:firstLine="480" w:firstLineChars="200"/>
        <w:contextualSpacing/>
        <w:jc w:val="both"/>
        <w:rPr>
          <w:rFonts w:hint="eastAsia" w:ascii="宋体" w:hAnsi="宋体" w:cs="宋体"/>
          <w:color w:val="auto"/>
          <w:sz w:val="24"/>
          <w:szCs w:val="24"/>
        </w:rPr>
      </w:pPr>
      <w:r>
        <w:rPr>
          <w:rFonts w:hint="eastAsia" w:ascii="宋体" w:hAnsi="宋体" w:cs="宋体"/>
          <w:color w:val="auto"/>
          <w:sz w:val="24"/>
          <w:szCs w:val="24"/>
        </w:rPr>
        <w:t>1.响应文件由：①资格后审材料文件、②</w:t>
      </w:r>
      <w:r>
        <w:rPr>
          <w:rFonts w:hint="eastAsia" w:ascii="宋体" w:hAnsi="宋体" w:cs="宋体"/>
          <w:color w:val="auto"/>
          <w:sz w:val="24"/>
          <w:szCs w:val="24"/>
          <w:lang w:val="en-US" w:eastAsia="zh-CN"/>
        </w:rPr>
        <w:t>商务</w:t>
      </w:r>
      <w:r>
        <w:rPr>
          <w:rFonts w:hint="eastAsia" w:ascii="宋体" w:hAnsi="宋体" w:cs="宋体"/>
          <w:color w:val="auto"/>
          <w:sz w:val="24"/>
          <w:szCs w:val="24"/>
        </w:rPr>
        <w:t>技术</w:t>
      </w:r>
      <w:r>
        <w:rPr>
          <w:rFonts w:hint="eastAsia" w:ascii="宋体" w:hAnsi="宋体" w:cs="宋体"/>
          <w:color w:val="auto"/>
          <w:sz w:val="24"/>
          <w:szCs w:val="24"/>
          <w:lang w:val="en-US" w:eastAsia="zh-CN"/>
        </w:rPr>
        <w:t>标</w:t>
      </w:r>
      <w:r>
        <w:rPr>
          <w:rFonts w:hint="eastAsia" w:ascii="宋体" w:hAnsi="宋体" w:cs="宋体"/>
          <w:color w:val="auto"/>
          <w:sz w:val="24"/>
          <w:szCs w:val="24"/>
        </w:rPr>
        <w:t>响应文件、③价格标响应文件、④电子响应文件，共4部分组成（以下由文件序号代称）。</w:t>
      </w:r>
    </w:p>
    <w:p w14:paraId="2C32FE60">
      <w:pPr>
        <w:keepNext w:val="0"/>
        <w:keepLines w:val="0"/>
        <w:pageBreakBefore w:val="0"/>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2.纸质响应文件①、②、③均为一式三份，其中“正本”一份和“副本”两份。</w:t>
      </w:r>
    </w:p>
    <w:p w14:paraId="3B5568B7">
      <w:pPr>
        <w:keepNext w:val="0"/>
        <w:keepLines w:val="0"/>
        <w:pageBreakBefore w:val="0"/>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3.电子响应文件一份，电子响应文件的内容为“资格后审材料文件、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响应文件、价格标响应文件”的打印盖章或电子签章后的响应文件的扫描件（资格后审材料文件、技术标响应文件、价格标响应文件需分别逐页连续扫描为三个独立的PDF文件），采取U盘方式单独密封提交。</w:t>
      </w:r>
    </w:p>
    <w:p w14:paraId="569F0507">
      <w:pPr>
        <w:keepNext w:val="0"/>
        <w:keepLines w:val="0"/>
        <w:pageBreakBefore w:val="0"/>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4.在每份响应文件上要明确标注项目名称、对应的响应文件名称、供应商的全称、日期、“正本”“副本”字样。“正本”和“副本”若有差异，概以“正本”为准。</w:t>
      </w:r>
    </w:p>
    <w:p w14:paraId="2D90C180">
      <w:pPr>
        <w:keepNext w:val="0"/>
        <w:keepLines w:val="0"/>
        <w:pageBreakBefore w:val="0"/>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5.纸质响应文件中的所有“正本”，其正文内容须按比选文件要求由供应商法定代表人或被授权人签字（或盖章）并加盖单位公章。“副本”可复印，但须加盖单位公章。</w:t>
      </w:r>
    </w:p>
    <w:p w14:paraId="255C0AD1">
      <w:pPr>
        <w:keepNext w:val="0"/>
        <w:keepLines w:val="0"/>
        <w:pageBreakBefore w:val="0"/>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cs="宋体"/>
          <w:b/>
          <w:color w:val="auto"/>
          <w:sz w:val="24"/>
          <w:szCs w:val="24"/>
        </w:rPr>
        <w:t>、响应文件的密封及标记</w:t>
      </w:r>
    </w:p>
    <w:p w14:paraId="5717BA0F">
      <w:pPr>
        <w:keepNext w:val="0"/>
        <w:keepLines w:val="0"/>
        <w:pageBreakBefore w:val="0"/>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1.供应商须将本项目响应文件：</w:t>
      </w:r>
      <w:r>
        <w:rPr>
          <w:rFonts w:hint="eastAsia" w:ascii="宋体" w:hAnsi="宋体" w:eastAsia="宋体" w:cs="宋体"/>
          <w:color w:val="auto"/>
          <w:sz w:val="24"/>
          <w:szCs w:val="24"/>
        </w:rPr>
        <w:t>①</w:t>
      </w:r>
      <w:r>
        <w:rPr>
          <w:rFonts w:hint="eastAsia" w:ascii="宋体" w:hAnsi="宋体" w:cs="宋体"/>
          <w:color w:val="auto"/>
          <w:sz w:val="24"/>
          <w:szCs w:val="24"/>
        </w:rPr>
        <w:t>、</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2 \* GB3 </w:instrText>
      </w:r>
      <w:r>
        <w:rPr>
          <w:rFonts w:hint="eastAsia" w:ascii="宋体" w:hAnsi="宋体" w:cs="宋体"/>
          <w:color w:val="auto"/>
          <w:sz w:val="24"/>
          <w:szCs w:val="24"/>
        </w:rPr>
        <w:fldChar w:fldCharType="separate"/>
      </w:r>
      <w:r>
        <w:rPr>
          <w:rFonts w:hint="eastAsia" w:ascii="宋体" w:hAnsi="宋体" w:cs="宋体"/>
          <w:color w:val="auto"/>
          <w:sz w:val="24"/>
          <w:szCs w:val="24"/>
        </w:rPr>
        <w:t>②</w:t>
      </w:r>
      <w:r>
        <w:rPr>
          <w:rFonts w:hint="eastAsia" w:ascii="宋体" w:hAnsi="宋体" w:cs="宋体"/>
          <w:color w:val="auto"/>
          <w:sz w:val="24"/>
          <w:szCs w:val="24"/>
        </w:rPr>
        <w:fldChar w:fldCharType="end"/>
      </w:r>
      <w:r>
        <w:rPr>
          <w:rFonts w:hint="eastAsia" w:ascii="宋体" w:hAnsi="宋体" w:cs="宋体"/>
          <w:color w:val="auto"/>
          <w:sz w:val="24"/>
          <w:szCs w:val="24"/>
        </w:rPr>
        <w:t>、③、④</w:t>
      </w:r>
      <w:r>
        <w:rPr>
          <w:rFonts w:hint="eastAsia" w:ascii="宋体" w:hAnsi="宋体" w:cs="宋体"/>
          <w:b/>
          <w:bCs/>
          <w:color w:val="auto"/>
          <w:sz w:val="24"/>
          <w:szCs w:val="24"/>
        </w:rPr>
        <w:t>单独密封。</w:t>
      </w:r>
      <w:r>
        <w:rPr>
          <w:rFonts w:hint="eastAsia" w:ascii="宋体" w:hAnsi="宋体" w:cs="宋体"/>
          <w:b w:val="0"/>
          <w:bCs w:val="0"/>
          <w:color w:val="auto"/>
          <w:sz w:val="24"/>
          <w:szCs w:val="24"/>
          <w:lang w:val="en-US" w:eastAsia="zh-CN"/>
        </w:rPr>
        <w:t>供应商</w:t>
      </w:r>
      <w:r>
        <w:rPr>
          <w:rFonts w:hint="eastAsia" w:ascii="宋体" w:hAnsi="宋体" w:cs="宋体"/>
          <w:b w:val="0"/>
          <w:bCs w:val="0"/>
          <w:color w:val="auto"/>
          <w:sz w:val="24"/>
          <w:szCs w:val="24"/>
        </w:rPr>
        <w:t>应将商务技术标正本、副本及图纸类等（如需提供图纸等其它资料的话）合并密封，统一装在一个密封袋或密封箱内（如有A3大小的图纸类，可单独密封）。</w:t>
      </w:r>
    </w:p>
    <w:p w14:paraId="4449ABE3">
      <w:pPr>
        <w:keepNext w:val="0"/>
        <w:keepLines w:val="0"/>
        <w:pageBreakBefore w:val="0"/>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2.密封后，应在每一密封的响应文件上明确标注采购项目名称、标段号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w:t>
      </w:r>
      <w:r>
        <w:rPr>
          <w:rFonts w:hint="eastAsia" w:ascii="宋体" w:hAnsi="宋体" w:cs="宋体"/>
          <w:color w:val="auto"/>
          <w:sz w:val="24"/>
          <w:szCs w:val="24"/>
          <w:lang w:eastAsia="zh-CN"/>
        </w:rPr>
        <w:t>）</w:t>
      </w:r>
      <w:r>
        <w:rPr>
          <w:rFonts w:hint="eastAsia" w:ascii="宋体" w:hAnsi="宋体" w:cs="宋体"/>
          <w:color w:val="auto"/>
          <w:sz w:val="24"/>
          <w:szCs w:val="24"/>
        </w:rPr>
        <w:t>、响应文件各自对应的名称、供应商的全称及日期。</w:t>
      </w:r>
    </w:p>
    <w:p w14:paraId="59540685">
      <w:pPr>
        <w:keepNext w:val="0"/>
        <w:keepLines w:val="0"/>
        <w:pageBreakBefore w:val="0"/>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3.在边缝处加盖供应商公章或骑缝签字。</w:t>
      </w:r>
    </w:p>
    <w:p w14:paraId="078AFB1B">
      <w:pPr>
        <w:keepNext w:val="0"/>
        <w:keepLines w:val="0"/>
        <w:pageBreakBefore w:val="0"/>
        <w:overflowPunct/>
        <w:bidi w:val="0"/>
        <w:snapToGrid w:val="0"/>
        <w:spacing w:line="360" w:lineRule="auto"/>
        <w:ind w:left="0" w:leftChars="0" w:firstLine="482" w:firstLineChars="200"/>
        <w:contextualSpacing/>
        <w:jc w:val="both"/>
        <w:rPr>
          <w:rFonts w:ascii="宋体" w:hAnsi="宋体" w:cs="宋体"/>
          <w:b/>
          <w:bCs/>
          <w:color w:val="auto"/>
          <w:sz w:val="24"/>
          <w:szCs w:val="24"/>
        </w:rPr>
      </w:pPr>
      <w:r>
        <w:rPr>
          <w:rFonts w:hint="eastAsia" w:ascii="宋体" w:hAnsi="宋体" w:cs="宋体"/>
          <w:b/>
          <w:bCs/>
          <w:color w:val="auto"/>
          <w:sz w:val="24"/>
          <w:szCs w:val="24"/>
        </w:rPr>
        <w:t>【特别提醒】响应文件中的</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1 \* GB3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①</w:t>
      </w:r>
      <w:r>
        <w:rPr>
          <w:rFonts w:hint="eastAsia" w:ascii="宋体" w:hAnsi="宋体" w:cs="宋体"/>
          <w:b/>
          <w:bCs/>
          <w:color w:val="auto"/>
          <w:sz w:val="24"/>
          <w:szCs w:val="24"/>
        </w:rPr>
        <w:fldChar w:fldCharType="end"/>
      </w:r>
      <w:r>
        <w:rPr>
          <w:rFonts w:hint="eastAsia" w:ascii="宋体" w:hAnsi="宋体" w:cs="宋体"/>
          <w:b/>
          <w:bCs/>
          <w:color w:val="auto"/>
          <w:sz w:val="24"/>
          <w:szCs w:val="24"/>
        </w:rPr>
        <w:t>和</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2 \* GB3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②</w:t>
      </w:r>
      <w:r>
        <w:rPr>
          <w:rFonts w:hint="eastAsia" w:ascii="宋体" w:hAnsi="宋体" w:cs="宋体"/>
          <w:b/>
          <w:bCs/>
          <w:color w:val="auto"/>
          <w:sz w:val="24"/>
          <w:szCs w:val="24"/>
        </w:rPr>
        <w:fldChar w:fldCharType="end"/>
      </w:r>
      <w:r>
        <w:rPr>
          <w:rFonts w:hint="eastAsia" w:ascii="宋体" w:hAnsi="宋体" w:cs="宋体"/>
          <w:b/>
          <w:bCs/>
          <w:color w:val="auto"/>
          <w:sz w:val="24"/>
          <w:szCs w:val="24"/>
        </w:rPr>
        <w:t>的“正本”或“副本”中，均不得含有报价响应文件中报价表（报价单）内的任何项目价格，否则作无效响应处理。</w:t>
      </w:r>
    </w:p>
    <w:p w14:paraId="44E99F5B">
      <w:pPr>
        <w:spacing w:line="360" w:lineRule="auto"/>
        <w:ind w:firstLine="482"/>
        <w:contextualSpacing/>
        <w:rPr>
          <w:rFonts w:ascii="Times New Roman" w:hAnsi="Times New Roman"/>
          <w:b/>
          <w:bCs/>
          <w:color w:val="auto"/>
          <w:sz w:val="24"/>
          <w:szCs w:val="24"/>
        </w:rPr>
      </w:pPr>
      <w:r>
        <w:rPr>
          <w:rFonts w:hint="eastAsia" w:ascii="宋体" w:hAnsi="宋体" w:cs="宋体"/>
          <w:b/>
          <w:color w:val="auto"/>
          <w:sz w:val="24"/>
          <w:szCs w:val="24"/>
          <w:lang w:val="en-US" w:eastAsia="zh-CN"/>
        </w:rPr>
        <w:t>七</w:t>
      </w:r>
      <w:r>
        <w:rPr>
          <w:rFonts w:hint="eastAsia" w:ascii="宋体" w:hAnsi="宋体" w:cs="宋体"/>
          <w:b/>
          <w:color w:val="auto"/>
          <w:sz w:val="24"/>
          <w:szCs w:val="24"/>
        </w:rPr>
        <w:t>、</w:t>
      </w:r>
      <w:r>
        <w:rPr>
          <w:rFonts w:hint="eastAsia" w:ascii="Times New Roman" w:hAnsi="Times New Roman"/>
          <w:b/>
          <w:bCs/>
          <w:color w:val="auto"/>
          <w:sz w:val="24"/>
          <w:szCs w:val="24"/>
        </w:rPr>
        <w:t>响应</w:t>
      </w:r>
      <w:r>
        <w:rPr>
          <w:rFonts w:ascii="Times New Roman" w:hAnsi="Times New Roman"/>
          <w:b/>
          <w:bCs/>
          <w:color w:val="auto"/>
          <w:sz w:val="24"/>
          <w:szCs w:val="24"/>
        </w:rPr>
        <w:t>文件的有效期</w:t>
      </w:r>
    </w:p>
    <w:p w14:paraId="52692EF5">
      <w:pPr>
        <w:spacing w:line="360" w:lineRule="auto"/>
        <w:ind w:firstLine="480"/>
        <w:contextualSpacing/>
        <w:rPr>
          <w:rFonts w:ascii="Times New Roman" w:hAnsi="Times New Roman"/>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lang w:val="en-US" w:eastAsia="zh-CN"/>
        </w:rPr>
        <w:t>.</w:t>
      </w:r>
      <w:r>
        <w:rPr>
          <w:rFonts w:ascii="Times New Roman" w:hAnsi="Times New Roman"/>
          <w:color w:val="auto"/>
          <w:sz w:val="24"/>
          <w:szCs w:val="24"/>
        </w:rPr>
        <w:t>从</w:t>
      </w:r>
      <w:r>
        <w:rPr>
          <w:rFonts w:hint="eastAsia" w:ascii="Times New Roman" w:hAnsi="Times New Roman"/>
          <w:color w:val="auto"/>
          <w:sz w:val="24"/>
          <w:szCs w:val="24"/>
        </w:rPr>
        <w:t>响应</w:t>
      </w:r>
      <w:r>
        <w:rPr>
          <w:rFonts w:ascii="Times New Roman" w:hAnsi="Times New Roman"/>
          <w:color w:val="auto"/>
          <w:sz w:val="24"/>
          <w:szCs w:val="24"/>
        </w:rPr>
        <w:t>文件接收截止之日起</w:t>
      </w:r>
      <w:r>
        <w:rPr>
          <w:rFonts w:hint="eastAsia" w:ascii="Times New Roman" w:hAnsi="Times New Roman"/>
          <w:color w:val="auto"/>
          <w:sz w:val="24"/>
          <w:szCs w:val="24"/>
        </w:rPr>
        <w:t>算</w:t>
      </w:r>
      <w:r>
        <w:rPr>
          <w:rFonts w:ascii="Times New Roman" w:hAnsi="Times New Roman"/>
          <w:color w:val="auto"/>
          <w:sz w:val="24"/>
          <w:szCs w:val="24"/>
        </w:rPr>
        <w:t>，</w:t>
      </w:r>
      <w:r>
        <w:rPr>
          <w:rFonts w:hint="eastAsia" w:ascii="Times New Roman" w:hAnsi="Times New Roman"/>
          <w:color w:val="auto"/>
          <w:sz w:val="24"/>
          <w:szCs w:val="24"/>
          <w:u w:val="single"/>
        </w:rPr>
        <w:t>60</w:t>
      </w:r>
      <w:r>
        <w:rPr>
          <w:rFonts w:ascii="Times New Roman" w:hAnsi="Times New Roman"/>
          <w:color w:val="auto"/>
          <w:sz w:val="24"/>
          <w:szCs w:val="24"/>
        </w:rPr>
        <w:t>个日历天内</w:t>
      </w:r>
      <w:r>
        <w:rPr>
          <w:rFonts w:hint="eastAsia" w:ascii="Times New Roman" w:hAnsi="Times New Roman"/>
          <w:color w:val="auto"/>
          <w:sz w:val="24"/>
          <w:szCs w:val="24"/>
        </w:rPr>
        <w:t>响应文件</w:t>
      </w:r>
      <w:r>
        <w:rPr>
          <w:rFonts w:ascii="Times New Roman" w:hAnsi="Times New Roman"/>
          <w:color w:val="auto"/>
          <w:sz w:val="24"/>
          <w:szCs w:val="24"/>
        </w:rPr>
        <w:t>应保持有效。</w:t>
      </w:r>
      <w:r>
        <w:rPr>
          <w:rFonts w:hint="eastAsia" w:ascii="Times New Roman" w:hAnsi="Times New Roman"/>
          <w:color w:val="auto"/>
          <w:sz w:val="24"/>
          <w:szCs w:val="24"/>
        </w:rPr>
        <w:t>响应文件中承诺的响应文件有效期应当不少于</w:t>
      </w:r>
      <w:r>
        <w:rPr>
          <w:rFonts w:hint="eastAsia" w:ascii="Times New Roman" w:hAnsi="Times New Roman"/>
          <w:color w:val="auto"/>
          <w:sz w:val="24"/>
          <w:szCs w:val="24"/>
          <w:lang w:val="en-US" w:eastAsia="zh-CN"/>
        </w:rPr>
        <w:t>比选</w:t>
      </w:r>
      <w:r>
        <w:rPr>
          <w:rFonts w:hint="eastAsia" w:ascii="Times New Roman" w:hAnsi="Times New Roman"/>
          <w:color w:val="auto"/>
          <w:sz w:val="24"/>
          <w:szCs w:val="24"/>
        </w:rPr>
        <w:t>文件中载明的响应文件有效期</w:t>
      </w:r>
      <w:r>
        <w:rPr>
          <w:rFonts w:ascii="Times New Roman" w:hAnsi="Times New Roman"/>
          <w:color w:val="auto"/>
          <w:sz w:val="24"/>
          <w:szCs w:val="24"/>
        </w:rPr>
        <w:t>。</w:t>
      </w:r>
    </w:p>
    <w:p w14:paraId="447DB3C2">
      <w:pPr>
        <w:spacing w:line="360" w:lineRule="auto"/>
        <w:ind w:firstLine="480"/>
        <w:contextualSpacing/>
        <w:rPr>
          <w:rFonts w:ascii="Times New Roman" w:hAnsi="Times New Roman"/>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lang w:val="en-US" w:eastAsia="zh-CN"/>
        </w:rPr>
        <w:t>.</w:t>
      </w:r>
      <w:r>
        <w:rPr>
          <w:rFonts w:ascii="Times New Roman" w:hAnsi="Times New Roman"/>
          <w:color w:val="auto"/>
          <w:sz w:val="24"/>
          <w:szCs w:val="24"/>
        </w:rPr>
        <w:t>在特殊情况下，</w:t>
      </w:r>
      <w:r>
        <w:rPr>
          <w:rFonts w:hint="eastAsia"/>
          <w:color w:val="auto"/>
          <w:sz w:val="24"/>
          <w:szCs w:val="24"/>
          <w:lang w:val="en-US" w:eastAsia="zh-CN"/>
        </w:rPr>
        <w:t>采购人</w:t>
      </w:r>
      <w:r>
        <w:rPr>
          <w:rFonts w:ascii="Times New Roman" w:hAnsi="Times New Roman"/>
          <w:color w:val="auto"/>
          <w:sz w:val="24"/>
          <w:szCs w:val="24"/>
        </w:rPr>
        <w:t>可与供应商协商延长</w:t>
      </w:r>
      <w:r>
        <w:rPr>
          <w:rFonts w:hint="eastAsia" w:ascii="Times New Roman" w:hAnsi="Times New Roman"/>
          <w:color w:val="auto"/>
          <w:sz w:val="24"/>
          <w:szCs w:val="24"/>
        </w:rPr>
        <w:t>响应文件</w:t>
      </w:r>
      <w:r>
        <w:rPr>
          <w:rFonts w:ascii="Times New Roman" w:hAnsi="Times New Roman"/>
          <w:color w:val="auto"/>
          <w:sz w:val="24"/>
          <w:szCs w:val="24"/>
        </w:rPr>
        <w:t>的有效期。这种要求和答复都应以书面、传真</w:t>
      </w:r>
      <w:r>
        <w:rPr>
          <w:rFonts w:hint="eastAsia" w:ascii="Times New Roman" w:hAnsi="Times New Roman"/>
          <w:color w:val="auto"/>
          <w:sz w:val="24"/>
          <w:szCs w:val="24"/>
          <w:lang w:eastAsia="zh-CN"/>
        </w:rPr>
        <w:t>或</w:t>
      </w:r>
      <w:r>
        <w:rPr>
          <w:rFonts w:ascii="Times New Roman" w:hAnsi="Times New Roman"/>
          <w:color w:val="auto"/>
          <w:sz w:val="24"/>
          <w:szCs w:val="24"/>
        </w:rPr>
        <w:t>电报的形式进行。</w:t>
      </w:r>
      <w:r>
        <w:rPr>
          <w:rFonts w:hint="eastAsia" w:ascii="Times New Roman" w:hAnsi="Times New Roman"/>
          <w:color w:val="auto"/>
          <w:sz w:val="24"/>
          <w:szCs w:val="24"/>
        </w:rPr>
        <w:t>同意延长响应文件有效期的供应商既不能要求也不允许修改其响应文件，同时受响应文件有效期约束的所有权利与义务均延长至新的有效期。供应商可以拒绝</w:t>
      </w:r>
      <w:r>
        <w:rPr>
          <w:rFonts w:hint="eastAsia"/>
          <w:color w:val="auto"/>
          <w:sz w:val="24"/>
          <w:szCs w:val="24"/>
          <w:lang w:val="en-US" w:eastAsia="zh-CN"/>
        </w:rPr>
        <w:t>采购人</w:t>
      </w:r>
      <w:r>
        <w:rPr>
          <w:rFonts w:hint="eastAsia" w:ascii="Times New Roman" w:hAnsi="Times New Roman"/>
          <w:color w:val="auto"/>
          <w:sz w:val="24"/>
          <w:szCs w:val="24"/>
        </w:rPr>
        <w:t>的这一要求而放弃响应。</w:t>
      </w:r>
    </w:p>
    <w:p w14:paraId="28D7F7D7">
      <w:pPr>
        <w:keepNext w:val="0"/>
        <w:keepLines w:val="0"/>
        <w:pageBreakBefore w:val="0"/>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cs="宋体"/>
          <w:b/>
          <w:color w:val="auto"/>
          <w:sz w:val="24"/>
          <w:szCs w:val="24"/>
        </w:rPr>
        <w:t>、</w:t>
      </w:r>
      <w:r>
        <w:rPr>
          <w:rFonts w:hint="eastAsia" w:ascii="宋体" w:hAnsi="宋体" w:cs="宋体"/>
          <w:b/>
          <w:color w:val="auto"/>
          <w:sz w:val="24"/>
          <w:szCs w:val="24"/>
          <w:lang w:val="en-US" w:eastAsia="zh-CN"/>
        </w:rPr>
        <w:t>响应文件及</w:t>
      </w:r>
      <w:r>
        <w:rPr>
          <w:rFonts w:hint="eastAsia" w:ascii="宋体" w:hAnsi="宋体" w:cs="宋体"/>
          <w:b/>
          <w:color w:val="auto"/>
          <w:sz w:val="24"/>
          <w:szCs w:val="24"/>
        </w:rPr>
        <w:t>相关费用</w:t>
      </w:r>
    </w:p>
    <w:p w14:paraId="02878CD3">
      <w:pPr>
        <w:keepNext w:val="0"/>
        <w:keepLines w:val="0"/>
        <w:pageBreakBefore w:val="0"/>
        <w:overflowPunct/>
        <w:autoSpaceDE w:val="0"/>
        <w:autoSpaceDN w:val="0"/>
        <w:bidi w:val="0"/>
        <w:adjustRightInd w:val="0"/>
        <w:spacing w:line="360" w:lineRule="auto"/>
        <w:ind w:left="0" w:leftChars="0" w:firstLine="480" w:firstLineChars="200"/>
        <w:jc w:val="both"/>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zh-CN"/>
        </w:rPr>
        <w:t>无论</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过程和结果如何，参加</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的响应</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lang w:val="zh-CN"/>
        </w:rPr>
        <w:t>自行承担与本次项目有关的全部费用。</w:t>
      </w:r>
    </w:p>
    <w:p w14:paraId="51D36C8D">
      <w:pPr>
        <w:keepNext w:val="0"/>
        <w:keepLines w:val="0"/>
        <w:pageBreakBefore w:val="0"/>
        <w:overflowPunct/>
        <w:autoSpaceDE w:val="0"/>
        <w:autoSpaceDN w:val="0"/>
        <w:bidi w:val="0"/>
        <w:adjustRightInd w:val="0"/>
        <w:spacing w:line="360" w:lineRule="auto"/>
        <w:ind w:left="0" w:leftChars="0" w:firstLine="480" w:firstLineChars="200"/>
        <w:jc w:val="both"/>
        <w:rPr>
          <w:rFonts w:hint="eastAsia" w:ascii="宋体" w:hAnsi="宋体" w:cs="宋体"/>
          <w:color w:val="auto"/>
          <w:kern w:val="0"/>
          <w:sz w:val="24"/>
          <w:szCs w:val="24"/>
          <w:lang w:val="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文件未列明，而</w:t>
      </w:r>
      <w:r>
        <w:rPr>
          <w:rFonts w:hint="eastAsia" w:ascii="宋体" w:hAnsi="宋体" w:cs="宋体"/>
          <w:color w:val="auto"/>
          <w:kern w:val="0"/>
          <w:sz w:val="24"/>
          <w:szCs w:val="24"/>
        </w:rPr>
        <w:t>响应</w:t>
      </w:r>
      <w:r>
        <w:rPr>
          <w:rFonts w:hint="eastAsia" w:ascii="宋体" w:hAnsi="宋体" w:cs="宋体"/>
          <w:color w:val="auto"/>
          <w:kern w:val="0"/>
          <w:sz w:val="24"/>
          <w:szCs w:val="24"/>
          <w:lang w:val="zh-CN"/>
        </w:rPr>
        <w:t>供应商认为必需的费用也需</w:t>
      </w:r>
      <w:r>
        <w:rPr>
          <w:rFonts w:hint="eastAsia" w:ascii="宋体" w:hAnsi="宋体" w:cs="宋体"/>
          <w:color w:val="auto"/>
          <w:kern w:val="0"/>
          <w:sz w:val="24"/>
          <w:szCs w:val="24"/>
        </w:rPr>
        <w:t>考虑进</w:t>
      </w:r>
      <w:r>
        <w:rPr>
          <w:rFonts w:hint="eastAsia" w:ascii="宋体" w:hAnsi="宋体" w:cs="宋体"/>
          <w:color w:val="auto"/>
          <w:kern w:val="0"/>
          <w:sz w:val="24"/>
          <w:szCs w:val="24"/>
          <w:lang w:val="zh-CN"/>
        </w:rPr>
        <w:t>报价（</w:t>
      </w:r>
      <w:r>
        <w:rPr>
          <w:rFonts w:hint="eastAsia" w:ascii="宋体" w:hAnsi="宋体" w:cs="宋体"/>
          <w:color w:val="auto"/>
          <w:kern w:val="0"/>
          <w:sz w:val="24"/>
          <w:szCs w:val="24"/>
        </w:rPr>
        <w:t>不单列）</w:t>
      </w:r>
      <w:r>
        <w:rPr>
          <w:rFonts w:hint="eastAsia" w:ascii="宋体" w:hAnsi="宋体" w:cs="宋体"/>
          <w:color w:val="auto"/>
          <w:kern w:val="0"/>
          <w:sz w:val="24"/>
          <w:szCs w:val="24"/>
          <w:lang w:val="zh-CN"/>
        </w:rPr>
        <w:t>。</w:t>
      </w:r>
    </w:p>
    <w:p w14:paraId="0BD88FFB">
      <w:pPr>
        <w:keepNext w:val="0"/>
        <w:keepLines w:val="0"/>
        <w:pageBreakBefore w:val="0"/>
        <w:overflowPunct/>
        <w:autoSpaceDE w:val="0"/>
        <w:autoSpaceDN w:val="0"/>
        <w:bidi w:val="0"/>
        <w:adjustRightInd w:val="0"/>
        <w:spacing w:line="360" w:lineRule="auto"/>
        <w:ind w:left="0" w:leftChars="0" w:firstLine="480" w:firstLineChars="200"/>
        <w:jc w:val="both"/>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3.评审进行后所有的响应文件都将作为档案保存，不论成交与否，采购人均不退回。</w:t>
      </w:r>
    </w:p>
    <w:p w14:paraId="7B92FF80">
      <w:pPr>
        <w:pStyle w:val="21"/>
        <w:keepNext w:val="0"/>
        <w:keepLines w:val="0"/>
        <w:pageBreakBefore w:val="0"/>
        <w:numPr>
          <w:ilvl w:val="0"/>
          <w:numId w:val="3"/>
        </w:numPr>
        <w:overflowPunct/>
        <w:bidi w:val="0"/>
        <w:spacing w:after="0" w:line="360" w:lineRule="auto"/>
        <w:ind w:left="0" w:leftChars="0" w:firstLine="482" w:firstLineChars="200"/>
        <w:jc w:val="both"/>
        <w:rPr>
          <w:rFonts w:ascii="宋体" w:hAnsi="宋体" w:cs="宋体"/>
          <w:b/>
          <w:bCs/>
          <w:color w:val="auto"/>
        </w:rPr>
      </w:pPr>
      <w:bookmarkStart w:id="31" w:name="_Toc5043"/>
      <w:r>
        <w:rPr>
          <w:rFonts w:hint="eastAsia" w:ascii="宋体" w:hAnsi="宋体" w:cs="宋体"/>
          <w:b/>
          <w:bCs/>
          <w:color w:val="auto"/>
        </w:rPr>
        <w:t>履约保证金</w:t>
      </w:r>
    </w:p>
    <w:p w14:paraId="5160C2B7">
      <w:pPr>
        <w:pStyle w:val="21"/>
        <w:keepNext w:val="0"/>
        <w:keepLines w:val="0"/>
        <w:pageBreakBefore w:val="0"/>
        <w:numPr>
          <w:ilvl w:val="255"/>
          <w:numId w:val="0"/>
        </w:numPr>
        <w:overflowPunct/>
        <w:bidi w:val="0"/>
        <w:spacing w:after="0" w:line="360" w:lineRule="auto"/>
        <w:ind w:left="0" w:leftChars="0" w:firstLine="480" w:firstLineChars="200"/>
        <w:jc w:val="both"/>
        <w:rPr>
          <w:rFonts w:ascii="宋体" w:hAnsi="宋体" w:cs="宋体"/>
          <w:color w:val="auto"/>
          <w:highlight w:val="none"/>
        </w:rPr>
      </w:pPr>
      <w:r>
        <w:rPr>
          <w:rFonts w:hint="eastAsia" w:ascii="宋体" w:hAnsi="宋体" w:cs="宋体"/>
          <w:color w:val="auto"/>
          <w:highlight w:val="none"/>
        </w:rPr>
        <w:t>本项目</w:t>
      </w:r>
      <w:r>
        <w:rPr>
          <w:rFonts w:hint="eastAsia" w:ascii="宋体" w:hAnsi="宋体" w:cs="宋体"/>
          <w:color w:val="auto"/>
          <w:highlight w:val="none"/>
          <w:lang w:val="en-US" w:eastAsia="zh-CN"/>
        </w:rPr>
        <w:t>不</w:t>
      </w:r>
      <w:r>
        <w:rPr>
          <w:rFonts w:hint="eastAsia" w:ascii="宋体" w:hAnsi="宋体" w:cs="宋体"/>
          <w:color w:val="auto"/>
          <w:highlight w:val="none"/>
        </w:rPr>
        <w:t>收取履约保证金。</w:t>
      </w:r>
    </w:p>
    <w:p w14:paraId="6FE33B9C">
      <w:pPr>
        <w:keepNext w:val="0"/>
        <w:keepLines w:val="0"/>
        <w:pageBreakBefore w:val="0"/>
        <w:kinsoku/>
        <w:wordWrap/>
        <w:overflowPunct/>
        <w:topLinePunct w:val="0"/>
        <w:autoSpaceDE/>
        <w:autoSpaceDN/>
        <w:bidi w:val="0"/>
        <w:adjustRightInd/>
        <w:snapToGrid/>
        <w:spacing w:line="360" w:lineRule="auto"/>
        <w:ind w:left="0" w:right="0" w:firstLine="482"/>
        <w:contextualSpacing/>
        <w:textAlignment w:val="auto"/>
        <w:rPr>
          <w:rFonts w:ascii="Times New Roman" w:hAnsi="Times New Roman"/>
          <w:b/>
          <w:bCs/>
          <w:color w:val="auto"/>
          <w:sz w:val="24"/>
          <w:szCs w:val="24"/>
        </w:rPr>
      </w:pPr>
      <w:r>
        <w:rPr>
          <w:rFonts w:hint="eastAsia" w:ascii="Times New Roman" w:hAnsi="Times New Roman" w:cs="宋体"/>
          <w:b/>
          <w:color w:val="auto"/>
          <w:sz w:val="24"/>
          <w:szCs w:val="24"/>
        </w:rPr>
        <w:t>十、</w:t>
      </w:r>
      <w:r>
        <w:rPr>
          <w:rFonts w:ascii="Times New Roman" w:hAnsi="Times New Roman"/>
          <w:b/>
          <w:bCs/>
          <w:color w:val="auto"/>
          <w:sz w:val="24"/>
          <w:szCs w:val="24"/>
        </w:rPr>
        <w:t>追加、减少和添购。</w:t>
      </w:r>
    </w:p>
    <w:p w14:paraId="6B90A2CF">
      <w:pPr>
        <w:keepNext w:val="0"/>
        <w:keepLines w:val="0"/>
        <w:pageBreakBefore w:val="0"/>
        <w:kinsoku/>
        <w:wordWrap/>
        <w:overflowPunct/>
        <w:topLinePunct w:val="0"/>
        <w:autoSpaceDE/>
        <w:autoSpaceDN/>
        <w:bidi w:val="0"/>
        <w:adjustRightInd/>
        <w:snapToGrid/>
        <w:spacing w:line="360" w:lineRule="auto"/>
        <w:ind w:left="0" w:right="0" w:firstLine="480"/>
        <w:contextualSpacing/>
        <w:textAlignment w:val="auto"/>
        <w:rPr>
          <w:rFonts w:ascii="Times New Roman" w:hAnsi="Times New Roman"/>
          <w:bCs/>
          <w:color w:val="auto"/>
          <w:sz w:val="24"/>
          <w:szCs w:val="24"/>
        </w:rPr>
      </w:pPr>
      <w:r>
        <w:rPr>
          <w:rFonts w:ascii="Times New Roman" w:hAnsi="Times New Roman"/>
          <w:bCs/>
          <w:color w:val="auto"/>
          <w:sz w:val="24"/>
          <w:szCs w:val="24"/>
        </w:rPr>
        <w:t>采购合同履行中，采购人需追加与</w:t>
      </w:r>
      <w:r>
        <w:rPr>
          <w:rFonts w:hint="eastAsia" w:ascii="Times New Roman" w:hAnsi="Times New Roman"/>
          <w:bCs/>
          <w:color w:val="auto"/>
          <w:sz w:val="24"/>
          <w:szCs w:val="24"/>
        </w:rPr>
        <w:t>采购合同</w:t>
      </w:r>
      <w:r>
        <w:rPr>
          <w:rFonts w:ascii="Times New Roman" w:hAnsi="Times New Roman"/>
          <w:bCs/>
          <w:color w:val="auto"/>
          <w:sz w:val="24"/>
          <w:szCs w:val="24"/>
        </w:rPr>
        <w:t>相同</w:t>
      </w:r>
      <w:r>
        <w:rPr>
          <w:rFonts w:hint="eastAsia" w:ascii="Times New Roman" w:hAnsi="Times New Roman"/>
          <w:bCs/>
          <w:color w:val="auto"/>
          <w:sz w:val="24"/>
          <w:szCs w:val="24"/>
          <w:lang w:val="en-US" w:eastAsia="zh-CN"/>
        </w:rPr>
        <w:t>标的</w:t>
      </w:r>
      <w:r>
        <w:rPr>
          <w:rFonts w:ascii="Times New Roman" w:hAnsi="Times New Roman"/>
          <w:bCs/>
          <w:color w:val="auto"/>
          <w:sz w:val="24"/>
          <w:szCs w:val="24"/>
        </w:rPr>
        <w:t>的，在不改变合同其他条款的前提下，可以与成交供应商协商签订补充合同，但所有补充合同的采购金额不超过原合同金额10%。</w:t>
      </w:r>
    </w:p>
    <w:p w14:paraId="422081B0">
      <w:pPr>
        <w:spacing w:line="360" w:lineRule="auto"/>
        <w:ind w:firstLine="496"/>
        <w:rPr>
          <w:rFonts w:ascii="Times New Roman" w:hAnsi="Times New Roman" w:cs="宋体"/>
          <w:b/>
          <w:color w:val="auto"/>
          <w:sz w:val="24"/>
          <w:szCs w:val="24"/>
        </w:rPr>
      </w:pPr>
      <w:r>
        <w:rPr>
          <w:rFonts w:hint="eastAsia" w:ascii="Times New Roman" w:hAnsi="Times New Roman" w:cs="宋体"/>
          <w:b/>
          <w:color w:val="auto"/>
          <w:sz w:val="24"/>
          <w:szCs w:val="24"/>
        </w:rPr>
        <w:t>十</w:t>
      </w:r>
      <w:r>
        <w:rPr>
          <w:rFonts w:hint="eastAsia" w:ascii="Times New Roman" w:hAnsi="Times New Roman" w:cs="宋体"/>
          <w:b/>
          <w:color w:val="auto"/>
          <w:sz w:val="24"/>
          <w:szCs w:val="24"/>
          <w:lang w:val="en-US" w:eastAsia="zh-CN"/>
        </w:rPr>
        <w:t>一</w:t>
      </w:r>
      <w:r>
        <w:rPr>
          <w:rFonts w:hint="eastAsia" w:ascii="Times New Roman" w:hAnsi="Times New Roman" w:cs="宋体"/>
          <w:b/>
          <w:color w:val="auto"/>
          <w:sz w:val="24"/>
          <w:szCs w:val="24"/>
        </w:rPr>
        <w:t>、未尽事宜</w:t>
      </w:r>
    </w:p>
    <w:p w14:paraId="2E6ACE0B">
      <w:pPr>
        <w:spacing w:line="360" w:lineRule="auto"/>
        <w:ind w:firstLine="494"/>
        <w:rPr>
          <w:rFonts w:ascii="Times New Roman" w:hAnsi="Times New Roman" w:cs="宋体"/>
          <w:color w:val="auto"/>
          <w:sz w:val="24"/>
          <w:szCs w:val="24"/>
        </w:rPr>
      </w:pPr>
      <w:r>
        <w:rPr>
          <w:rFonts w:hint="eastAsia" w:ascii="Times New Roman" w:hAnsi="Times New Roman" w:cs="宋体"/>
          <w:color w:val="auto"/>
          <w:sz w:val="24"/>
          <w:szCs w:val="24"/>
        </w:rPr>
        <w:t>无</w:t>
      </w:r>
    </w:p>
    <w:p w14:paraId="081AD202">
      <w:pPr>
        <w:keepNext w:val="0"/>
        <w:keepLines w:val="0"/>
        <w:pageBreakBefore w:val="0"/>
        <w:overflowPunct/>
        <w:bidi w:val="0"/>
        <w:spacing w:line="360" w:lineRule="auto"/>
        <w:ind w:left="0" w:leftChars="0" w:firstLine="420" w:firstLineChars="200"/>
        <w:jc w:val="both"/>
        <w:rPr>
          <w:rFonts w:ascii="宋体" w:hAnsi="宋体" w:cs="宋体"/>
          <w:color w:val="auto"/>
        </w:rPr>
      </w:pPr>
      <w:r>
        <w:rPr>
          <w:rFonts w:ascii="宋体" w:hAnsi="宋体" w:cs="宋体"/>
          <w:color w:val="auto"/>
        </w:rPr>
        <w:br w:type="page"/>
      </w:r>
    </w:p>
    <w:p w14:paraId="07F73CF2">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第三章  项目需求</w:t>
      </w:r>
      <w:bookmarkEnd w:id="31"/>
    </w:p>
    <w:p w14:paraId="786C442E">
      <w:pPr>
        <w:keepNext w:val="0"/>
        <w:keepLines w:val="0"/>
        <w:pageBreakBefore w:val="0"/>
        <w:widowControl/>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bookmarkStart w:id="32" w:name="_Toc24193"/>
      <w:r>
        <w:rPr>
          <w:rFonts w:hint="eastAsia" w:ascii="宋体" w:hAnsi="宋体" w:eastAsia="宋体" w:cs="宋体"/>
          <w:color w:val="auto"/>
          <w:kern w:val="0"/>
          <w:sz w:val="24"/>
          <w:szCs w:val="24"/>
        </w:rPr>
        <w:t>项目属性：</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rPr>
        <w:t>类</w:t>
      </w:r>
    </w:p>
    <w:p w14:paraId="1145B5F3">
      <w:pPr>
        <w:keepNext w:val="0"/>
        <w:keepLines w:val="0"/>
        <w:pageBreakBefore w:val="0"/>
        <w:widowControl/>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采购需求包括拟采购的标的及其需要满足的技术、商务要求。</w:t>
      </w:r>
    </w:p>
    <w:p w14:paraId="41622D20">
      <w:pPr>
        <w:keepNext w:val="0"/>
        <w:keepLines w:val="0"/>
        <w:pageBreakBefore w:val="0"/>
        <w:widowControl/>
        <w:kinsoku/>
        <w:wordWrap/>
        <w:overflowPunct/>
        <w:topLinePunct w:val="0"/>
        <w:autoSpaceDE/>
        <w:autoSpaceDN/>
        <w:bidi w:val="0"/>
        <w:snapToGrid/>
        <w:spacing w:line="360" w:lineRule="auto"/>
        <w:ind w:left="0" w:leftChars="0" w:firstLine="482" w:firstLineChars="200"/>
        <w:jc w:val="both"/>
        <w:textAlignment w:val="auto"/>
        <w:outlineLvl w:val="9"/>
        <w:rPr>
          <w:rFonts w:hint="eastAsia" w:ascii="宋体" w:hAnsi="宋体" w:eastAsia="宋体" w:cs="宋体"/>
          <w:b/>
          <w:bCs/>
          <w:color w:val="FF0000"/>
          <w:kern w:val="0"/>
          <w:sz w:val="24"/>
          <w:szCs w:val="24"/>
        </w:rPr>
      </w:pPr>
      <w:r>
        <w:rPr>
          <w:rFonts w:hint="eastAsia" w:ascii="宋体" w:hAnsi="宋体" w:eastAsia="宋体" w:cs="宋体"/>
          <w:b/>
          <w:bCs/>
          <w:color w:val="FF0000"/>
          <w:kern w:val="0"/>
          <w:sz w:val="24"/>
          <w:szCs w:val="24"/>
        </w:rPr>
        <w:t>本章采购需求中所有条款均为实质性响应条款，供应商不得负偏离响应，如负偏离响应认定为无效响应文件。</w:t>
      </w:r>
    </w:p>
    <w:p w14:paraId="294432DD">
      <w:pPr>
        <w:keepNext w:val="0"/>
        <w:keepLines w:val="0"/>
        <w:pageBreakBefore w:val="0"/>
        <w:widowControl/>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（一）技术要求是指对采购标的功能和质量要求，包括服务内容和标准等。</w:t>
      </w:r>
    </w:p>
    <w:p w14:paraId="281A4ED2">
      <w:pPr>
        <w:keepNext w:val="0"/>
        <w:keepLines w:val="0"/>
        <w:pageBreakBefore w:val="0"/>
        <w:widowControl/>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（二）商务要求是指取得采购标的的时间、地点、财务和服务要求，包括交付（实施）的时间（期限）和地点（范围），付款条件（进度和方法）等。</w:t>
      </w:r>
    </w:p>
    <w:p w14:paraId="24CFEB88">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其内容包含但不限于以下内容：</w:t>
      </w:r>
    </w:p>
    <w:p w14:paraId="29F13FF1">
      <w:pPr>
        <w:pStyle w:val="2"/>
        <w:keepNext w:val="0"/>
        <w:keepLines w:val="0"/>
        <w:pageBreakBefore w:val="0"/>
        <w:widowControl w:val="0"/>
        <w:numPr>
          <w:ilvl w:val="0"/>
          <w:numId w:val="0"/>
        </w:numPr>
        <w:kinsoku/>
        <w:wordWrap/>
        <w:overflowPunct/>
        <w:topLinePunct w:val="0"/>
        <w:autoSpaceDE/>
        <w:autoSpaceDN/>
        <w:bidi w:val="0"/>
        <w:adjustRightInd/>
        <w:spacing w:after="0" w:line="360" w:lineRule="auto"/>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一、项目概况</w:t>
      </w:r>
    </w:p>
    <w:p w14:paraId="27030034">
      <w:pPr>
        <w:pStyle w:val="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sz w:val="24"/>
          <w:szCs w:val="24"/>
          <w:lang w:val="en-US" w:eastAsia="zh-CN"/>
        </w:rPr>
        <w:t>地理位置：</w:t>
      </w:r>
      <w:r>
        <w:rPr>
          <w:rFonts w:hint="eastAsia" w:ascii="宋体" w:hAnsi="宋体" w:eastAsia="宋体" w:cs="宋体"/>
          <w:color w:val="auto"/>
          <w:sz w:val="24"/>
          <w:szCs w:val="24"/>
          <w:lang w:val="zh-CN"/>
        </w:rPr>
        <w:t>江苏省南通第一中学</w:t>
      </w:r>
      <w:r>
        <w:rPr>
          <w:rFonts w:hint="eastAsia" w:ascii="宋体" w:hAnsi="宋体" w:eastAsia="宋体" w:cs="宋体"/>
          <w:color w:val="auto"/>
          <w:sz w:val="24"/>
          <w:szCs w:val="24"/>
          <w:lang w:val="en-US" w:eastAsia="zh-CN"/>
        </w:rPr>
        <w:t>校园内（</w:t>
      </w:r>
      <w:r>
        <w:rPr>
          <w:rFonts w:hint="eastAsia" w:ascii="宋体" w:hAnsi="宋体" w:cs="宋体"/>
          <w:color w:val="auto"/>
          <w:sz w:val="24"/>
          <w:szCs w:val="24"/>
          <w:lang w:val="en-US" w:eastAsia="zh-CN"/>
        </w:rPr>
        <w:t>地铁</w:t>
      </w:r>
      <w:r>
        <w:rPr>
          <w:rFonts w:hint="eastAsia" w:ascii="宋体" w:hAnsi="宋体" w:eastAsia="宋体" w:cs="宋体"/>
          <w:color w:val="auto"/>
          <w:sz w:val="24"/>
          <w:szCs w:val="24"/>
          <w:lang w:val="en-US" w:eastAsia="zh-CN"/>
        </w:rPr>
        <w:t>结建楼）</w:t>
      </w:r>
    </w:p>
    <w:p w14:paraId="6DCB03BB">
      <w:pPr>
        <w:pStyle w:val="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sz w:val="24"/>
          <w:szCs w:val="24"/>
          <w:lang w:val="en-US" w:eastAsia="zh-CN"/>
        </w:rPr>
        <w:t>项目规模：结建楼一至二层，总设计面积为1647㎡。</w:t>
      </w:r>
    </w:p>
    <w:p w14:paraId="182C86A3">
      <w:pPr>
        <w:pStyle w:val="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zh-CN"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sz w:val="24"/>
          <w:szCs w:val="24"/>
          <w:lang w:val="en-US" w:eastAsia="zh-CN"/>
        </w:rPr>
        <w:t>主要设计内容：</w:t>
      </w:r>
    </w:p>
    <w:p w14:paraId="436231B5">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一层需设置钱学森科创</w:t>
      </w:r>
      <w:r>
        <w:rPr>
          <w:rFonts w:hint="eastAsia" w:ascii="宋体" w:hAnsi="宋体" w:cs="宋体"/>
          <w:color w:val="auto"/>
          <w:sz w:val="24"/>
          <w:szCs w:val="24"/>
          <w:lang w:val="en-US" w:eastAsia="zh-CN"/>
        </w:rPr>
        <w:t>中心文化交流空间</w:t>
      </w:r>
      <w:r>
        <w:rPr>
          <w:rFonts w:hint="eastAsia" w:ascii="宋体" w:hAnsi="宋体" w:eastAsia="宋体" w:cs="宋体"/>
          <w:color w:val="auto"/>
          <w:sz w:val="24"/>
          <w:szCs w:val="24"/>
          <w:lang w:val="en-US" w:eastAsia="zh-CN"/>
        </w:rPr>
        <w:t>，1间脑机科学探究室/具身智能机器人实践室，1间机器人与传感器实践室，1间人工智能实践室，其他辅助配套用房；</w:t>
      </w:r>
    </w:p>
    <w:p w14:paraId="6775CE81">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val="en-US" w:eastAsia="zh-CN"/>
        </w:rPr>
        <w:t>二层需设置7间专用教室（创客教室、基本物理量实验室/物理仪器与测量室、传感器实验/大学先修部分实验、图形计算器实验室、太空探索智能机器人实践室、航模实验室、3D打印实验室、休闲区、其他辅助配套用房）；</w:t>
      </w:r>
    </w:p>
    <w:p w14:paraId="64A58072">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lang w:val="en-US" w:eastAsia="zh-CN"/>
        </w:rPr>
        <w:t>增设科创</w:t>
      </w:r>
      <w:r>
        <w:rPr>
          <w:rFonts w:hint="eastAsia" w:ascii="宋体" w:hAnsi="宋体" w:cs="宋体"/>
          <w:color w:val="auto"/>
          <w:sz w:val="24"/>
          <w:szCs w:val="24"/>
          <w:lang w:val="en-US" w:eastAsia="zh-CN"/>
        </w:rPr>
        <w:t>中心</w:t>
      </w:r>
      <w:r>
        <w:rPr>
          <w:rFonts w:hint="eastAsia" w:ascii="宋体" w:hAnsi="宋体" w:eastAsia="宋体" w:cs="宋体"/>
          <w:color w:val="auto"/>
          <w:sz w:val="24"/>
          <w:szCs w:val="24"/>
          <w:lang w:val="en-US" w:eastAsia="zh-CN"/>
        </w:rPr>
        <w:t>入口门头；</w:t>
      </w:r>
    </w:p>
    <w:p w14:paraId="06C053A2">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lang w:val="en-US" w:eastAsia="zh-CN"/>
        </w:rPr>
        <w:t>沿孩儿巷路一侧建筑顶面增设一组发光字（具体内容需与校方沟通确认）；</w:t>
      </w:r>
    </w:p>
    <w:p w14:paraId="133EC037">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（5）增加过道顶棚设计；</w:t>
      </w:r>
    </w:p>
    <w:p w14:paraId="3D43A091">
      <w:pPr>
        <w:pStyle w:val="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val="0"/>
          <w:bCs w:val="0"/>
          <w:color w:val="auto"/>
          <w:kern w:val="2"/>
          <w:sz w:val="24"/>
          <w:szCs w:val="24"/>
          <w:lang w:val="en-US" w:eastAsia="zh-CN" w:bidi="ar-SA"/>
        </w:rPr>
        <w:t>4.</w:t>
      </w:r>
      <w:r>
        <w:rPr>
          <w:rFonts w:hint="eastAsia" w:ascii="宋体" w:hAnsi="宋体" w:eastAsia="宋体" w:cs="宋体"/>
          <w:b w:val="0"/>
          <w:bCs w:val="0"/>
          <w:color w:val="auto"/>
          <w:sz w:val="24"/>
          <w:szCs w:val="24"/>
          <w:lang w:val="en-US" w:eastAsia="zh-CN"/>
        </w:rPr>
        <w:t>工程造</w:t>
      </w:r>
      <w:r>
        <w:rPr>
          <w:rFonts w:hint="eastAsia" w:ascii="宋体" w:hAnsi="宋体" w:eastAsia="宋体" w:cs="宋体"/>
          <w:color w:val="auto"/>
          <w:sz w:val="24"/>
          <w:szCs w:val="24"/>
          <w:lang w:val="en-US" w:eastAsia="zh-CN"/>
        </w:rPr>
        <w:t>价：约</w:t>
      </w:r>
      <w:r>
        <w:rPr>
          <w:rFonts w:hint="eastAsia" w:ascii="宋体" w:hAnsi="宋体" w:eastAsia="宋体" w:cs="宋体"/>
          <w:color w:val="auto"/>
          <w:sz w:val="24"/>
          <w:szCs w:val="24"/>
          <w:u w:val="single"/>
          <w:lang w:val="en-US" w:eastAsia="zh-CN"/>
        </w:rPr>
        <w:t>180</w:t>
      </w:r>
      <w:r>
        <w:rPr>
          <w:rFonts w:hint="eastAsia" w:ascii="宋体" w:hAnsi="宋体" w:eastAsia="宋体" w:cs="宋体"/>
          <w:color w:val="auto"/>
          <w:sz w:val="24"/>
          <w:szCs w:val="24"/>
          <w:lang w:val="en-US" w:eastAsia="zh-CN"/>
        </w:rPr>
        <w:t>万元左右；</w:t>
      </w:r>
    </w:p>
    <w:p w14:paraId="48224AE3">
      <w:pPr>
        <w:pStyle w:val="3"/>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Chars="0"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设计内容</w:t>
      </w:r>
    </w:p>
    <w:p w14:paraId="281CADDA">
      <w:pPr>
        <w:pStyle w:val="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供应商</w:t>
      </w:r>
      <w:r>
        <w:rPr>
          <w:rFonts w:hint="eastAsia" w:ascii="宋体" w:hAnsi="宋体" w:eastAsia="宋体" w:cs="宋体"/>
          <w:color w:val="auto"/>
          <w:kern w:val="0"/>
          <w:sz w:val="24"/>
          <w:szCs w:val="24"/>
          <w:lang w:val="en-US" w:eastAsia="zh-CN" w:bidi="ar-SA"/>
        </w:rPr>
        <w:t>成交</w:t>
      </w:r>
      <w:r>
        <w:rPr>
          <w:rFonts w:hint="eastAsia" w:ascii="宋体" w:hAnsi="宋体" w:eastAsia="宋体" w:cs="宋体"/>
          <w:color w:val="auto"/>
          <w:kern w:val="0"/>
          <w:sz w:val="24"/>
          <w:szCs w:val="24"/>
          <w:lang w:val="zh-CN" w:eastAsia="zh-CN" w:bidi="ar-SA"/>
        </w:rPr>
        <w:t>后承担本工程设计所需的方案</w:t>
      </w:r>
      <w:r>
        <w:rPr>
          <w:rFonts w:hint="eastAsia" w:ascii="宋体" w:hAnsi="宋体" w:eastAsia="宋体" w:cs="宋体"/>
          <w:color w:val="auto"/>
          <w:kern w:val="0"/>
          <w:sz w:val="24"/>
          <w:szCs w:val="24"/>
          <w:lang w:val="en-US" w:eastAsia="zh-CN" w:bidi="ar-SA"/>
        </w:rPr>
        <w:t>设计</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工程</w:t>
      </w:r>
      <w:r>
        <w:rPr>
          <w:rFonts w:hint="eastAsia" w:ascii="宋体" w:hAnsi="宋体" w:eastAsia="宋体" w:cs="宋体"/>
          <w:color w:val="auto"/>
          <w:kern w:val="0"/>
          <w:sz w:val="24"/>
          <w:szCs w:val="24"/>
          <w:lang w:val="zh-CN" w:eastAsia="zh-CN" w:bidi="ar-SA"/>
        </w:rPr>
        <w:t>概算</w:t>
      </w:r>
      <w:r>
        <w:rPr>
          <w:rFonts w:hint="eastAsia" w:ascii="宋体" w:hAnsi="宋体" w:eastAsia="宋体" w:cs="宋体"/>
          <w:color w:val="auto"/>
          <w:kern w:val="0"/>
          <w:sz w:val="24"/>
          <w:szCs w:val="24"/>
          <w:lang w:val="en-US" w:eastAsia="zh-CN" w:bidi="ar-SA"/>
        </w:rPr>
        <w:t>编制</w:t>
      </w:r>
      <w:r>
        <w:rPr>
          <w:rFonts w:hint="eastAsia" w:ascii="宋体" w:hAnsi="宋体" w:eastAsia="宋体" w:cs="宋体"/>
          <w:color w:val="auto"/>
          <w:kern w:val="0"/>
          <w:sz w:val="24"/>
          <w:szCs w:val="24"/>
          <w:lang w:val="zh-CN" w:eastAsia="zh-CN" w:bidi="ar-SA"/>
        </w:rPr>
        <w:t>、施工图设计、施工图电子文件等本工程所需的设计成果文件；施工过程</w:t>
      </w:r>
      <w:r>
        <w:rPr>
          <w:rFonts w:hint="eastAsia" w:ascii="宋体" w:hAnsi="宋体" w:eastAsia="宋体" w:cs="宋体"/>
          <w:color w:val="auto"/>
          <w:kern w:val="0"/>
          <w:sz w:val="24"/>
          <w:szCs w:val="24"/>
          <w:lang w:val="en-US" w:eastAsia="zh-CN" w:bidi="ar-SA"/>
        </w:rPr>
        <w:t>中的技术交底、技术指导、</w:t>
      </w:r>
      <w:r>
        <w:rPr>
          <w:rFonts w:hint="eastAsia" w:ascii="宋体" w:hAnsi="宋体" w:eastAsia="宋体" w:cs="宋体"/>
          <w:color w:val="auto"/>
          <w:kern w:val="0"/>
          <w:sz w:val="24"/>
          <w:szCs w:val="24"/>
          <w:lang w:val="zh-CN" w:eastAsia="zh-CN" w:bidi="ar-SA"/>
        </w:rPr>
        <w:t>现场配合等后</w:t>
      </w:r>
      <w:r>
        <w:rPr>
          <w:rFonts w:hint="eastAsia" w:ascii="宋体" w:hAnsi="宋体" w:eastAsia="宋体" w:cs="宋体"/>
          <w:color w:val="auto"/>
          <w:kern w:val="0"/>
          <w:sz w:val="24"/>
          <w:szCs w:val="24"/>
          <w:lang w:val="en-US" w:eastAsia="zh-CN" w:bidi="ar-SA"/>
        </w:rPr>
        <w:t>期</w:t>
      </w:r>
      <w:r>
        <w:rPr>
          <w:rFonts w:hint="eastAsia" w:ascii="宋体" w:hAnsi="宋体" w:eastAsia="宋体" w:cs="宋体"/>
          <w:color w:val="auto"/>
          <w:kern w:val="0"/>
          <w:sz w:val="24"/>
          <w:szCs w:val="24"/>
          <w:lang w:val="zh-CN" w:eastAsia="zh-CN" w:bidi="ar-SA"/>
        </w:rPr>
        <w:t>服务；还包括其它设计服务内容：须委派专人</w:t>
      </w:r>
      <w:r>
        <w:rPr>
          <w:rFonts w:hint="eastAsia" w:ascii="宋体" w:hAnsi="宋体" w:eastAsia="宋体" w:cs="宋体"/>
          <w:color w:val="auto"/>
          <w:kern w:val="0"/>
          <w:sz w:val="24"/>
          <w:szCs w:val="24"/>
          <w:lang w:val="en-US" w:eastAsia="zh-CN" w:bidi="ar-SA"/>
        </w:rPr>
        <w:t>配合</w:t>
      </w:r>
      <w:r>
        <w:rPr>
          <w:rFonts w:hint="eastAsia" w:ascii="宋体" w:hAnsi="宋体" w:eastAsia="宋体" w:cs="宋体"/>
          <w:color w:val="auto"/>
          <w:kern w:val="0"/>
          <w:sz w:val="24"/>
          <w:szCs w:val="24"/>
          <w:lang w:val="zh-CN" w:eastAsia="zh-CN" w:bidi="ar-SA"/>
        </w:rPr>
        <w:t>设计各阶段的报批、各类评审等技术服务工作。</w:t>
      </w:r>
    </w:p>
    <w:p w14:paraId="31C73AB3">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zh-CN" w:eastAsia="zh-CN" w:bidi="ar-SA"/>
        </w:rPr>
        <w:t>三、项目设计技术要求</w:t>
      </w:r>
    </w:p>
    <w:p w14:paraId="424C7AF7">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zh-CN" w:eastAsia="zh-CN" w:bidi="ar-SA"/>
        </w:rPr>
        <w:t>本工程改造后建筑、安装、消防等均应满足现行设计规范要求，本次改造投资额总计</w:t>
      </w:r>
      <w:r>
        <w:rPr>
          <w:rFonts w:hint="eastAsia" w:ascii="宋体" w:hAnsi="宋体" w:cs="宋体"/>
          <w:color w:val="auto"/>
          <w:kern w:val="0"/>
          <w:sz w:val="24"/>
          <w:szCs w:val="24"/>
          <w:lang w:val="en-US" w:eastAsia="zh-CN" w:bidi="ar-SA"/>
        </w:rPr>
        <w:t>约180</w:t>
      </w:r>
      <w:r>
        <w:rPr>
          <w:rFonts w:hint="eastAsia" w:ascii="宋体" w:hAnsi="宋体" w:eastAsia="宋体" w:cs="宋体"/>
          <w:color w:val="auto"/>
          <w:kern w:val="0"/>
          <w:sz w:val="24"/>
          <w:szCs w:val="24"/>
          <w:lang w:val="zh-CN" w:eastAsia="zh-CN" w:bidi="ar-SA"/>
        </w:rPr>
        <w:t>万</w:t>
      </w:r>
      <w:r>
        <w:rPr>
          <w:rFonts w:hint="eastAsia" w:ascii="宋体" w:hAnsi="宋体" w:eastAsia="宋体" w:cs="宋体"/>
          <w:color w:val="auto"/>
          <w:kern w:val="0"/>
          <w:sz w:val="24"/>
          <w:szCs w:val="24"/>
          <w:lang w:val="en-US" w:eastAsia="zh-CN" w:bidi="ar-SA"/>
        </w:rPr>
        <w:t>元左右</w:t>
      </w:r>
      <w:r>
        <w:rPr>
          <w:rFonts w:hint="eastAsia" w:ascii="宋体" w:hAnsi="宋体" w:cs="宋体"/>
          <w:color w:val="auto"/>
          <w:kern w:val="0"/>
          <w:sz w:val="24"/>
          <w:szCs w:val="24"/>
          <w:lang w:val="en-US" w:eastAsia="zh-CN" w:bidi="ar-SA"/>
        </w:rPr>
        <w:t>，具体以上级财政部门下达的金额为准</w:t>
      </w:r>
      <w:r>
        <w:rPr>
          <w:rFonts w:hint="eastAsia" w:ascii="宋体" w:hAnsi="宋体" w:eastAsia="宋体" w:cs="宋体"/>
          <w:color w:val="auto"/>
          <w:kern w:val="0"/>
          <w:sz w:val="24"/>
          <w:szCs w:val="24"/>
          <w:lang w:val="zh-CN" w:eastAsia="zh-CN" w:bidi="ar-SA"/>
        </w:rPr>
        <w:t>。</w:t>
      </w:r>
    </w:p>
    <w:p w14:paraId="63D1E694">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1.装修</w:t>
      </w:r>
      <w:r>
        <w:rPr>
          <w:rFonts w:hint="eastAsia" w:ascii="宋体" w:hAnsi="宋体" w:eastAsia="宋体" w:cs="宋体"/>
          <w:color w:val="auto"/>
          <w:kern w:val="0"/>
          <w:sz w:val="24"/>
          <w:szCs w:val="24"/>
          <w:lang w:val="zh-CN" w:eastAsia="zh-CN" w:bidi="ar-SA"/>
        </w:rPr>
        <w:t>：（1）</w:t>
      </w:r>
      <w:r>
        <w:rPr>
          <w:rFonts w:hint="eastAsia" w:ascii="宋体" w:hAnsi="宋体" w:eastAsia="宋体" w:cs="宋体"/>
          <w:color w:val="auto"/>
          <w:kern w:val="0"/>
          <w:sz w:val="24"/>
          <w:szCs w:val="24"/>
          <w:lang w:val="en-US" w:eastAsia="zh-CN" w:bidi="ar-SA"/>
        </w:rPr>
        <w:t>设计说明</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建筑原状平面图</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平面图（含吊顶平面布置图）</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4</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立面/剖面图</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5</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局部大样详图</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6</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门窗表及大样图</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7</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固定家具平立面图</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（8）卫生间大样图。</w:t>
      </w:r>
    </w:p>
    <w:p w14:paraId="233B9589">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lang w:val="zh-CN" w:eastAsia="zh-CN" w:bidi="ar-SA"/>
        </w:rPr>
        <w:t>给排水：给排水</w:t>
      </w:r>
      <w:r>
        <w:rPr>
          <w:rFonts w:hint="eastAsia" w:ascii="宋体" w:hAnsi="宋体" w:eastAsia="宋体" w:cs="宋体"/>
          <w:color w:val="auto"/>
          <w:kern w:val="0"/>
          <w:sz w:val="24"/>
          <w:szCs w:val="24"/>
          <w:lang w:val="en-US" w:eastAsia="zh-CN" w:bidi="ar-SA"/>
        </w:rPr>
        <w:t>改造说明、改造系统图、大样图等</w:t>
      </w:r>
      <w:r>
        <w:rPr>
          <w:rFonts w:hint="eastAsia" w:ascii="宋体" w:hAnsi="宋体" w:eastAsia="宋体" w:cs="宋体"/>
          <w:color w:val="auto"/>
          <w:kern w:val="0"/>
          <w:sz w:val="24"/>
          <w:szCs w:val="24"/>
          <w:lang w:val="zh-CN" w:eastAsia="zh-CN" w:bidi="ar-SA"/>
        </w:rPr>
        <w:t>。</w:t>
      </w:r>
    </w:p>
    <w:p w14:paraId="78F3FE2E">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lang w:val="zh-CN" w:eastAsia="zh-CN" w:bidi="ar-SA"/>
        </w:rPr>
        <w:t>电</w:t>
      </w:r>
      <w:r>
        <w:rPr>
          <w:rFonts w:hint="eastAsia" w:ascii="宋体" w:hAnsi="宋体" w:eastAsia="宋体" w:cs="宋体"/>
          <w:color w:val="auto"/>
          <w:kern w:val="0"/>
          <w:sz w:val="24"/>
          <w:szCs w:val="24"/>
          <w:lang w:val="en-US" w:eastAsia="zh-CN" w:bidi="ar-SA"/>
        </w:rPr>
        <w:t>气</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电气改造说明、</w:t>
      </w:r>
      <w:r>
        <w:rPr>
          <w:rFonts w:hint="eastAsia" w:ascii="宋体" w:hAnsi="宋体" w:eastAsia="宋体" w:cs="宋体"/>
          <w:color w:val="auto"/>
          <w:kern w:val="0"/>
          <w:sz w:val="24"/>
          <w:szCs w:val="24"/>
          <w:lang w:val="zh-CN" w:eastAsia="zh-CN" w:bidi="ar-SA"/>
        </w:rPr>
        <w:t>动力、照明、灯具、管线</w:t>
      </w:r>
      <w:r>
        <w:rPr>
          <w:rFonts w:hint="eastAsia" w:ascii="宋体" w:hAnsi="宋体" w:eastAsia="宋体" w:cs="宋体"/>
          <w:color w:val="auto"/>
          <w:kern w:val="0"/>
          <w:sz w:val="24"/>
          <w:szCs w:val="24"/>
          <w:lang w:val="en-US" w:eastAsia="zh-CN" w:bidi="ar-SA"/>
        </w:rPr>
        <w:t>布置图等</w:t>
      </w:r>
      <w:r>
        <w:rPr>
          <w:rFonts w:hint="eastAsia" w:ascii="宋体" w:hAnsi="宋体" w:eastAsia="宋体" w:cs="宋体"/>
          <w:color w:val="auto"/>
          <w:kern w:val="0"/>
          <w:sz w:val="24"/>
          <w:szCs w:val="24"/>
          <w:lang w:val="zh-CN" w:eastAsia="zh-CN" w:bidi="ar-SA"/>
        </w:rPr>
        <w:t>。</w:t>
      </w:r>
    </w:p>
    <w:p w14:paraId="34258345">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4</w:t>
      </w:r>
      <w:r>
        <w:rPr>
          <w:rFonts w:hint="eastAsia" w:ascii="宋体" w:hAnsi="宋体" w:eastAsia="宋体" w:cs="宋体"/>
          <w:color w:val="auto"/>
          <w:kern w:val="0"/>
          <w:sz w:val="24"/>
          <w:szCs w:val="24"/>
          <w:lang w:val="en-US" w:eastAsia="zh-CN" w:bidi="ar-SA"/>
        </w:rPr>
        <w:t>.智能化</w:t>
      </w:r>
      <w:r>
        <w:rPr>
          <w:rFonts w:hint="eastAsia" w:ascii="宋体" w:hAnsi="宋体" w:eastAsia="宋体" w:cs="宋体"/>
          <w:color w:val="auto"/>
          <w:kern w:val="0"/>
          <w:sz w:val="24"/>
          <w:szCs w:val="24"/>
          <w:lang w:val="zh-CN" w:eastAsia="zh-CN" w:bidi="ar-SA"/>
        </w:rPr>
        <w:t>：电话、</w:t>
      </w:r>
      <w:r>
        <w:rPr>
          <w:rFonts w:hint="eastAsia" w:ascii="宋体" w:hAnsi="宋体" w:eastAsia="宋体" w:cs="宋体"/>
          <w:color w:val="auto"/>
          <w:kern w:val="0"/>
          <w:sz w:val="24"/>
          <w:szCs w:val="24"/>
          <w:lang w:val="en-US" w:eastAsia="zh-CN" w:bidi="ar-SA"/>
        </w:rPr>
        <w:t>广播、闭路电视、</w:t>
      </w:r>
      <w:r>
        <w:rPr>
          <w:rFonts w:hint="eastAsia" w:ascii="宋体" w:hAnsi="宋体" w:eastAsia="宋体" w:cs="宋体"/>
          <w:color w:val="auto"/>
          <w:kern w:val="0"/>
          <w:sz w:val="24"/>
          <w:szCs w:val="24"/>
          <w:lang w:val="zh-CN" w:eastAsia="zh-CN" w:bidi="ar-SA"/>
        </w:rPr>
        <w:t>有线</w:t>
      </w:r>
      <w:r>
        <w:rPr>
          <w:rFonts w:hint="eastAsia" w:ascii="宋体" w:hAnsi="宋体" w:eastAsia="宋体" w:cs="宋体"/>
          <w:color w:val="auto"/>
          <w:kern w:val="0"/>
          <w:sz w:val="24"/>
          <w:szCs w:val="24"/>
          <w:lang w:val="en-US" w:eastAsia="zh-CN" w:bidi="ar-SA"/>
        </w:rPr>
        <w:t>/无线</w:t>
      </w:r>
      <w:r>
        <w:rPr>
          <w:rFonts w:hint="eastAsia" w:ascii="宋体" w:hAnsi="宋体" w:eastAsia="宋体" w:cs="宋体"/>
          <w:color w:val="auto"/>
          <w:kern w:val="0"/>
          <w:sz w:val="24"/>
          <w:szCs w:val="24"/>
          <w:lang w:val="zh-CN" w:eastAsia="zh-CN" w:bidi="ar-SA"/>
        </w:rPr>
        <w:t>网络、安防</w:t>
      </w:r>
      <w:r>
        <w:rPr>
          <w:rFonts w:hint="eastAsia" w:ascii="宋体" w:hAnsi="宋体" w:eastAsia="宋体" w:cs="宋体"/>
          <w:color w:val="auto"/>
          <w:kern w:val="0"/>
          <w:sz w:val="24"/>
          <w:szCs w:val="24"/>
          <w:lang w:val="en-US" w:eastAsia="zh-CN" w:bidi="ar-SA"/>
        </w:rPr>
        <w:t>监控</w:t>
      </w:r>
      <w:r>
        <w:rPr>
          <w:rFonts w:hint="eastAsia" w:ascii="宋体" w:hAnsi="宋体" w:eastAsia="宋体" w:cs="宋体"/>
          <w:color w:val="auto"/>
          <w:kern w:val="0"/>
          <w:sz w:val="24"/>
          <w:szCs w:val="24"/>
          <w:lang w:val="zh-CN" w:eastAsia="zh-CN" w:bidi="ar-SA"/>
        </w:rPr>
        <w:t>、门禁、</w:t>
      </w:r>
      <w:r>
        <w:rPr>
          <w:rFonts w:hint="eastAsia" w:ascii="宋体" w:hAnsi="宋体" w:eastAsia="宋体" w:cs="宋体"/>
          <w:color w:val="auto"/>
          <w:kern w:val="0"/>
          <w:sz w:val="24"/>
          <w:szCs w:val="24"/>
          <w:lang w:val="en-US" w:eastAsia="zh-CN" w:bidi="ar-SA"/>
        </w:rPr>
        <w:t>网络综合布线图等</w:t>
      </w:r>
      <w:r>
        <w:rPr>
          <w:rFonts w:hint="eastAsia" w:ascii="宋体" w:hAnsi="宋体" w:eastAsia="宋体" w:cs="宋体"/>
          <w:color w:val="auto"/>
          <w:kern w:val="0"/>
          <w:sz w:val="24"/>
          <w:szCs w:val="24"/>
          <w:lang w:val="zh-CN" w:eastAsia="zh-CN" w:bidi="ar-SA"/>
        </w:rPr>
        <w:t xml:space="preserve">。 </w:t>
      </w:r>
    </w:p>
    <w:p w14:paraId="3AD77A67">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5</w:t>
      </w:r>
      <w:r>
        <w:rPr>
          <w:rFonts w:hint="eastAsia" w:ascii="宋体" w:hAnsi="宋体" w:eastAsia="宋体" w:cs="宋体"/>
          <w:color w:val="auto"/>
          <w:kern w:val="0"/>
          <w:sz w:val="24"/>
          <w:szCs w:val="24"/>
          <w:lang w:val="en-US" w:eastAsia="zh-CN" w:bidi="ar-SA"/>
        </w:rPr>
        <w:t>.暖通</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现场</w:t>
      </w:r>
      <w:r>
        <w:rPr>
          <w:rFonts w:hint="eastAsia" w:ascii="宋体" w:hAnsi="宋体" w:eastAsia="宋体" w:cs="宋体"/>
          <w:color w:val="auto"/>
          <w:kern w:val="0"/>
          <w:sz w:val="24"/>
          <w:szCs w:val="24"/>
          <w:lang w:val="zh-CN" w:eastAsia="zh-CN" w:bidi="ar-SA"/>
        </w:rPr>
        <w:t>空调管线</w:t>
      </w:r>
      <w:r>
        <w:rPr>
          <w:rFonts w:hint="eastAsia" w:ascii="宋体" w:hAnsi="宋体" w:eastAsia="宋体" w:cs="宋体"/>
          <w:color w:val="auto"/>
          <w:kern w:val="0"/>
          <w:sz w:val="24"/>
          <w:szCs w:val="24"/>
          <w:lang w:val="en-US" w:eastAsia="zh-CN" w:bidi="ar-SA"/>
        </w:rPr>
        <w:t>移位</w:t>
      </w:r>
      <w:r>
        <w:rPr>
          <w:rFonts w:hint="eastAsia" w:ascii="宋体" w:hAnsi="宋体" w:eastAsia="宋体" w:cs="宋体"/>
          <w:color w:val="auto"/>
          <w:kern w:val="0"/>
          <w:sz w:val="24"/>
          <w:szCs w:val="24"/>
          <w:lang w:val="zh-CN" w:eastAsia="zh-CN" w:bidi="ar-SA"/>
        </w:rPr>
        <w:t>。</w:t>
      </w:r>
    </w:p>
    <w:p w14:paraId="0C300534">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6.消防：二次装修消防设计。</w:t>
      </w:r>
    </w:p>
    <w:p w14:paraId="5564FBBD">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四、设计成果提交</w:t>
      </w:r>
    </w:p>
    <w:p w14:paraId="724CA504">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1.设计成果：设计周期内</w:t>
      </w:r>
      <w:r>
        <w:rPr>
          <w:rFonts w:hint="eastAsia" w:ascii="宋体" w:hAnsi="宋体" w:eastAsia="宋体" w:cs="宋体"/>
          <w:color w:val="auto"/>
          <w:kern w:val="0"/>
          <w:sz w:val="24"/>
          <w:szCs w:val="24"/>
          <w:lang w:val="zh-CN" w:eastAsia="zh-CN" w:bidi="ar-SA"/>
        </w:rPr>
        <w:t>需完成</w:t>
      </w:r>
      <w:r>
        <w:rPr>
          <w:rFonts w:hint="eastAsia" w:ascii="宋体" w:hAnsi="宋体" w:eastAsia="宋体" w:cs="宋体"/>
          <w:color w:val="auto"/>
          <w:kern w:val="0"/>
          <w:sz w:val="24"/>
          <w:szCs w:val="24"/>
          <w:lang w:val="en-US" w:eastAsia="zh-CN" w:bidi="ar-SA"/>
        </w:rPr>
        <w:t>所有设计图纸和设计说明。包含设计说明、平面布置图、顶面布置图、剖面图、立面图、各区域局部节点大样图、装修材料表、各区域装修做法说明、给排水、电气、智能化专业施工图及主要材料设备清单等。</w:t>
      </w:r>
    </w:p>
    <w:p w14:paraId="6E75D6B2">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lang w:val="zh-CN" w:eastAsia="zh-CN" w:bidi="ar-SA"/>
        </w:rPr>
        <w:t>提供的设计成果至少满足下列要求：</w:t>
      </w:r>
    </w:p>
    <w:p w14:paraId="144E5CDC">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lang w:val="zh-CN" w:eastAsia="zh-CN" w:bidi="ar-SA"/>
        </w:rPr>
        <w:t>）设计标准按现行有关专业规范，强制性条文及有关设</w:t>
      </w:r>
      <w:r>
        <w:rPr>
          <w:rFonts w:hint="eastAsia" w:ascii="宋体" w:hAnsi="宋体" w:eastAsia="宋体" w:cs="宋体"/>
          <w:color w:val="auto"/>
          <w:sz w:val="24"/>
          <w:szCs w:val="24"/>
          <w:lang w:val="zh-CN"/>
        </w:rPr>
        <w:t>计批复的文件精神执行。设计文件需满足《建筑工程设计文件编制深度规定》（建设部2008年11月）要求，有新标准的则执行新标准；</w:t>
      </w:r>
    </w:p>
    <w:p w14:paraId="50681167">
      <w:pPr>
        <w:pStyle w:val="32"/>
        <w:keepNext w:val="0"/>
        <w:keepLines w:val="0"/>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施工图设计满足施工图审查要求；</w:t>
      </w:r>
    </w:p>
    <w:p w14:paraId="19BEFCB1">
      <w:pPr>
        <w:pStyle w:val="32"/>
        <w:keepNext w:val="0"/>
        <w:keepLines w:val="0"/>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设计施工图</w:t>
      </w:r>
      <w:r>
        <w:rPr>
          <w:rFonts w:hint="eastAsia" w:ascii="宋体" w:hAnsi="宋体" w:eastAsia="宋体" w:cs="宋体"/>
          <w:color w:val="auto"/>
          <w:sz w:val="24"/>
          <w:szCs w:val="24"/>
          <w:lang w:val="en-US" w:eastAsia="zh-CN"/>
        </w:rPr>
        <w:t>得到业主认可。</w:t>
      </w:r>
    </w:p>
    <w:p w14:paraId="6888BDDE">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五、其他要求</w:t>
      </w:r>
    </w:p>
    <w:p w14:paraId="2D8F5092">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1.响应</w:t>
      </w:r>
      <w:r>
        <w:rPr>
          <w:rFonts w:hint="eastAsia" w:ascii="宋体" w:hAnsi="宋体" w:eastAsia="宋体" w:cs="宋体"/>
          <w:color w:val="auto"/>
          <w:kern w:val="0"/>
          <w:sz w:val="24"/>
          <w:szCs w:val="24"/>
          <w:highlight w:val="none"/>
          <w:lang w:val="zh-CN" w:eastAsia="zh-CN" w:bidi="ar-SA"/>
        </w:rPr>
        <w:t>时至少出具</w:t>
      </w:r>
      <w:r>
        <w:rPr>
          <w:rFonts w:hint="eastAsia" w:ascii="宋体" w:hAnsi="宋体" w:eastAsia="宋体" w:cs="宋体"/>
          <w:color w:val="auto"/>
          <w:kern w:val="0"/>
          <w:sz w:val="24"/>
          <w:szCs w:val="24"/>
          <w:highlight w:val="none"/>
          <w:lang w:val="en-US" w:eastAsia="zh-CN" w:bidi="ar-SA"/>
        </w:rPr>
        <w:t>一至二层</w:t>
      </w:r>
      <w:r>
        <w:rPr>
          <w:rFonts w:hint="eastAsia" w:ascii="宋体" w:hAnsi="宋体" w:eastAsia="宋体" w:cs="宋体"/>
          <w:color w:val="auto"/>
          <w:kern w:val="0"/>
          <w:sz w:val="24"/>
          <w:szCs w:val="24"/>
          <w:highlight w:val="none"/>
          <w:lang w:val="zh-CN" w:eastAsia="zh-CN" w:bidi="ar-SA"/>
        </w:rPr>
        <w:t>平面设计图</w:t>
      </w:r>
      <w:r>
        <w:rPr>
          <w:rFonts w:hint="eastAsia" w:ascii="宋体" w:hAnsi="宋体" w:eastAsia="宋体" w:cs="宋体"/>
          <w:color w:val="auto"/>
          <w:kern w:val="0"/>
          <w:sz w:val="24"/>
          <w:szCs w:val="24"/>
          <w:highlight w:val="none"/>
          <w:lang w:val="en-US" w:eastAsia="zh-CN" w:bidi="ar-SA"/>
        </w:rPr>
        <w:t>各</w:t>
      </w:r>
      <w:r>
        <w:rPr>
          <w:rFonts w:hint="eastAsia" w:ascii="宋体" w:hAnsi="宋体" w:eastAsia="宋体" w:cs="宋体"/>
          <w:color w:val="auto"/>
          <w:kern w:val="0"/>
          <w:sz w:val="24"/>
          <w:szCs w:val="24"/>
          <w:highlight w:val="none"/>
          <w:lang w:val="zh-CN" w:eastAsia="zh-CN" w:bidi="ar-SA"/>
        </w:rPr>
        <w:t>一张，效果图不少于</w:t>
      </w:r>
      <w:r>
        <w:rPr>
          <w:rFonts w:hint="eastAsia" w:ascii="宋体" w:hAnsi="宋体" w:eastAsia="宋体" w:cs="宋体"/>
          <w:color w:val="auto"/>
          <w:kern w:val="0"/>
          <w:sz w:val="24"/>
          <w:szCs w:val="24"/>
          <w:highlight w:val="none"/>
          <w:lang w:val="en-US" w:eastAsia="zh-CN" w:bidi="ar-SA"/>
        </w:rPr>
        <w:t>八</w:t>
      </w:r>
      <w:r>
        <w:rPr>
          <w:rFonts w:hint="eastAsia" w:ascii="宋体" w:hAnsi="宋体" w:eastAsia="宋体" w:cs="宋体"/>
          <w:color w:val="auto"/>
          <w:kern w:val="0"/>
          <w:sz w:val="24"/>
          <w:szCs w:val="24"/>
          <w:highlight w:val="none"/>
          <w:lang w:val="zh-CN" w:eastAsia="zh-CN" w:bidi="ar-SA"/>
        </w:rPr>
        <w:t>张，设计文件电子版一套。</w:t>
      </w:r>
    </w:p>
    <w:p w14:paraId="7F30BE2B">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lang w:val="zh-CN" w:eastAsia="zh-CN" w:bidi="ar-SA"/>
        </w:rPr>
        <w:t>签</w:t>
      </w:r>
      <w:r>
        <w:rPr>
          <w:rFonts w:hint="eastAsia" w:ascii="宋体" w:hAnsi="宋体" w:eastAsia="宋体" w:cs="宋体"/>
          <w:color w:val="auto"/>
          <w:kern w:val="0"/>
          <w:sz w:val="24"/>
          <w:szCs w:val="24"/>
          <w:lang w:val="en-US" w:eastAsia="zh-CN" w:bidi="ar-SA"/>
        </w:rPr>
        <w:t>订</w:t>
      </w:r>
      <w:r>
        <w:rPr>
          <w:rFonts w:hint="eastAsia" w:ascii="宋体" w:hAnsi="宋体" w:eastAsia="宋体" w:cs="宋体"/>
          <w:color w:val="auto"/>
          <w:kern w:val="0"/>
          <w:sz w:val="24"/>
          <w:szCs w:val="24"/>
          <w:lang w:val="zh-CN" w:eastAsia="zh-CN" w:bidi="ar-SA"/>
        </w:rPr>
        <w:t xml:space="preserve">合同日期：自成交通知书发出之日起 </w:t>
      </w:r>
      <w:r>
        <w:rPr>
          <w:rFonts w:hint="eastAsia" w:ascii="宋体" w:hAnsi="宋体" w:eastAsia="宋体" w:cs="宋体"/>
          <w:color w:val="auto"/>
          <w:kern w:val="0"/>
          <w:sz w:val="24"/>
          <w:szCs w:val="24"/>
          <w:lang w:val="en-US" w:eastAsia="zh-CN" w:bidi="ar-SA"/>
        </w:rPr>
        <w:t>30</w:t>
      </w:r>
      <w:r>
        <w:rPr>
          <w:rFonts w:hint="eastAsia" w:ascii="宋体" w:hAnsi="宋体" w:eastAsia="宋体" w:cs="宋体"/>
          <w:color w:val="auto"/>
          <w:kern w:val="0"/>
          <w:sz w:val="24"/>
          <w:szCs w:val="24"/>
          <w:lang w:val="zh-CN" w:eastAsia="zh-CN" w:bidi="ar-SA"/>
        </w:rPr>
        <w:t>日内按时签约。</w:t>
      </w:r>
    </w:p>
    <w:p w14:paraId="74F1FAEB">
      <w:pPr>
        <w:pStyle w:val="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lang w:val="zh-CN" w:eastAsia="zh-CN" w:bidi="ar-SA"/>
        </w:rPr>
        <w:t>设计周期时间：自合同签定之日起 30日内完成（</w:t>
      </w:r>
      <w:r>
        <w:rPr>
          <w:rFonts w:hint="eastAsia" w:ascii="宋体" w:hAnsi="宋体" w:eastAsia="宋体" w:cs="宋体"/>
          <w:color w:val="auto"/>
          <w:sz w:val="24"/>
          <w:szCs w:val="24"/>
          <w:lang w:val="en-US" w:eastAsia="zh-CN"/>
        </w:rPr>
        <w:t>方案设计5日历天，施工图设计25日历天</w:t>
      </w:r>
      <w:r>
        <w:rPr>
          <w:rFonts w:hint="eastAsia" w:ascii="宋体" w:hAnsi="宋体" w:eastAsia="宋体" w:cs="宋体"/>
          <w:color w:val="auto"/>
          <w:kern w:val="0"/>
          <w:sz w:val="24"/>
          <w:szCs w:val="24"/>
          <w:lang w:val="zh-CN" w:eastAsia="zh-CN" w:bidi="ar-SA"/>
        </w:rPr>
        <w:t>）。</w:t>
      </w:r>
    </w:p>
    <w:p w14:paraId="12A4C506">
      <w:pPr>
        <w:pStyle w:val="32"/>
        <w:keepNext w:val="0"/>
        <w:keepLines w:val="0"/>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各专业负责人必须严格按照</w:t>
      </w:r>
      <w:r>
        <w:rPr>
          <w:rFonts w:hint="eastAsia" w:ascii="宋体" w:hAnsi="宋体" w:eastAsia="宋体" w:cs="宋体"/>
          <w:color w:val="auto"/>
          <w:sz w:val="24"/>
          <w:szCs w:val="24"/>
          <w:lang w:val="en-US" w:eastAsia="zh-CN"/>
        </w:rPr>
        <w:t>参选响应</w:t>
      </w:r>
      <w:r>
        <w:rPr>
          <w:rFonts w:hint="eastAsia" w:ascii="宋体" w:hAnsi="宋体" w:eastAsia="宋体" w:cs="宋体"/>
          <w:color w:val="auto"/>
          <w:sz w:val="24"/>
          <w:szCs w:val="24"/>
          <w:lang w:val="zh-CN"/>
        </w:rPr>
        <w:t>文件中的人员配置，</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val="zh-CN"/>
        </w:rPr>
        <w:t>随时给予检查，若发现设计人员非</w:t>
      </w:r>
      <w:r>
        <w:rPr>
          <w:rFonts w:hint="eastAsia" w:ascii="宋体" w:hAnsi="宋体" w:eastAsia="宋体" w:cs="宋体"/>
          <w:color w:val="auto"/>
          <w:sz w:val="24"/>
          <w:szCs w:val="24"/>
          <w:lang w:val="en-US" w:eastAsia="zh-CN"/>
        </w:rPr>
        <w:t>参选响应</w:t>
      </w:r>
      <w:r>
        <w:rPr>
          <w:rFonts w:hint="eastAsia" w:ascii="宋体" w:hAnsi="宋体" w:eastAsia="宋体" w:cs="宋体"/>
          <w:color w:val="auto"/>
          <w:sz w:val="24"/>
          <w:szCs w:val="24"/>
          <w:lang w:val="zh-CN"/>
        </w:rPr>
        <w:t>文件所配置人员，</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val="zh-CN"/>
        </w:rPr>
        <w:t>将给予相应处罚。</w:t>
      </w:r>
    </w:p>
    <w:p w14:paraId="2F14B66F">
      <w:pPr>
        <w:pStyle w:val="32"/>
        <w:keepNext w:val="0"/>
        <w:keepLines w:val="0"/>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5.成交供应商</w:t>
      </w:r>
      <w:r>
        <w:rPr>
          <w:rFonts w:hint="eastAsia" w:ascii="宋体" w:hAnsi="宋体" w:eastAsia="宋体" w:cs="宋体"/>
          <w:color w:val="auto"/>
          <w:sz w:val="24"/>
          <w:szCs w:val="24"/>
          <w:lang w:val="zh-CN"/>
        </w:rPr>
        <w:t>必须根据</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val="zh-CN"/>
        </w:rPr>
        <w:t>的要求对</w:t>
      </w:r>
      <w:r>
        <w:rPr>
          <w:rFonts w:hint="eastAsia" w:ascii="宋体" w:hAnsi="宋体" w:eastAsia="宋体" w:cs="宋体"/>
          <w:color w:val="auto"/>
          <w:sz w:val="24"/>
          <w:szCs w:val="24"/>
        </w:rPr>
        <w:t>建设方案</w:t>
      </w:r>
      <w:r>
        <w:rPr>
          <w:rFonts w:hint="eastAsia" w:ascii="宋体" w:hAnsi="宋体" w:eastAsia="宋体" w:cs="宋体"/>
          <w:color w:val="auto"/>
          <w:sz w:val="24"/>
          <w:szCs w:val="24"/>
          <w:lang w:val="zh-CN"/>
        </w:rPr>
        <w:t>进行修改，直至</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val="zh-CN"/>
        </w:rPr>
        <w:t>满意为止，设计费不作调整，并对所承担项目设计的完整性负责。</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val="zh-CN"/>
        </w:rPr>
        <w:t>不履行的，</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val="zh-CN"/>
        </w:rPr>
        <w:t>有解除合同、追究违约责任、要求赔偿损失等权利。</w:t>
      </w:r>
    </w:p>
    <w:p w14:paraId="2ADD1C83">
      <w:pPr>
        <w:pStyle w:val="32"/>
        <w:keepNext w:val="0"/>
        <w:keepLines w:val="0"/>
        <w:pageBreakBefore w:val="0"/>
        <w:kinsoku/>
        <w:wordWrap/>
        <w:overflowPunct/>
        <w:topLinePunct w:val="0"/>
        <w:autoSpaceDE/>
        <w:autoSpaceDN/>
        <w:bidi w:val="0"/>
        <w:adjustRightInd/>
        <w:snapToGrid w:val="0"/>
        <w:spacing w:line="360" w:lineRule="auto"/>
        <w:ind w:firstLine="482" w:firstLineChars="200"/>
        <w:contextualSpacing/>
        <w:textAlignment w:val="auto"/>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en-US" w:eastAsia="zh-CN" w:bidi="ar-SA"/>
        </w:rPr>
        <w:t>六、</w:t>
      </w:r>
      <w:r>
        <w:rPr>
          <w:rFonts w:hint="eastAsia" w:ascii="宋体" w:hAnsi="宋体" w:eastAsia="宋体" w:cs="宋体"/>
          <w:b/>
          <w:bCs/>
          <w:color w:val="auto"/>
          <w:kern w:val="0"/>
          <w:sz w:val="24"/>
          <w:szCs w:val="24"/>
          <w:lang w:val="zh-CN" w:eastAsia="zh-CN" w:bidi="ar-SA"/>
        </w:rPr>
        <w:t>报价原则</w:t>
      </w:r>
    </w:p>
    <w:p w14:paraId="6FFC1D7A">
      <w:pPr>
        <w:pStyle w:val="32"/>
        <w:keepNext w:val="0"/>
        <w:keepLines w:val="0"/>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本项目设计费最高限价为工程</w:t>
      </w:r>
      <w:r>
        <w:rPr>
          <w:rFonts w:hint="eastAsia" w:ascii="宋体" w:hAnsi="宋体" w:eastAsia="宋体" w:cs="宋体"/>
          <w:color w:val="auto"/>
          <w:sz w:val="24"/>
          <w:szCs w:val="24"/>
          <w:lang w:val="en-US" w:eastAsia="zh-CN"/>
        </w:rPr>
        <w:t>标底</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highlight w:val="none"/>
          <w:lang w:val="zh-CN" w:eastAsia="zh-CN"/>
        </w:rPr>
        <w:t>的</w:t>
      </w:r>
      <w:r>
        <w:rPr>
          <w:rFonts w:hint="eastAsia" w:asci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lang w:val="zh-CN" w:eastAsia="zh-CN"/>
        </w:rPr>
        <w:t>，投标费率超过最高限价的作无效标处理。</w:t>
      </w:r>
    </w:p>
    <w:p w14:paraId="0F728806">
      <w:pPr>
        <w:pStyle w:val="32"/>
        <w:keepNext w:val="0"/>
        <w:keepLines w:val="0"/>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投标报价应包括：方案设计、方案优化为完</w:t>
      </w:r>
      <w:r>
        <w:rPr>
          <w:rFonts w:hint="eastAsia" w:ascii="宋体" w:hAnsi="宋体" w:eastAsia="宋体" w:cs="宋体"/>
          <w:color w:val="auto"/>
          <w:sz w:val="24"/>
          <w:szCs w:val="24"/>
          <w:lang w:val="zh-CN"/>
        </w:rPr>
        <w:t>成上述设计内容所必须的设施、材料、技术、劳务、交通、差旅、咨询费、会务费、报告编制费、研究费、管理费、利润、税金、专家评审费、行政主管部门咨询、评审手续等为完成本项目所需的全部费用。</w:t>
      </w:r>
    </w:p>
    <w:p w14:paraId="205BA435">
      <w:pPr>
        <w:keepNext w:val="0"/>
        <w:keepLines w:val="0"/>
        <w:pageBreakBefore w:val="0"/>
        <w:widowControl/>
        <w:kinsoku/>
        <w:wordWrap/>
        <w:overflowPunct/>
        <w:topLinePunct w:val="0"/>
        <w:autoSpaceDE/>
        <w:autoSpaceDN/>
        <w:bidi w:val="0"/>
        <w:adjustRightInd/>
        <w:spacing w:line="360" w:lineRule="auto"/>
        <w:ind w:firstLine="510" w:firstLineChars="200"/>
        <w:textAlignment w:val="auto"/>
        <w:outlineLvl w:val="1"/>
        <w:rPr>
          <w:rFonts w:hint="eastAsia" w:ascii="宋体" w:hAnsi="宋体" w:eastAsia="宋体" w:cs="宋体"/>
          <w:b/>
          <w:color w:val="auto"/>
          <w:spacing w:val="7"/>
          <w:kern w:val="0"/>
          <w:sz w:val="24"/>
          <w:szCs w:val="24"/>
          <w:shd w:val="clear" w:color="auto" w:fill="FFFFFF"/>
          <w:lang w:val="en-US" w:eastAsia="zh-CN"/>
        </w:rPr>
      </w:pPr>
      <w:r>
        <w:rPr>
          <w:rFonts w:hint="eastAsia" w:ascii="宋体" w:hAnsi="宋体" w:eastAsia="宋体" w:cs="宋体"/>
          <w:b/>
          <w:color w:val="auto"/>
          <w:spacing w:val="7"/>
          <w:kern w:val="0"/>
          <w:sz w:val="24"/>
          <w:szCs w:val="24"/>
          <w:shd w:val="clear" w:color="auto" w:fill="FFFFFF"/>
          <w:lang w:val="en-US" w:eastAsia="zh-CN"/>
        </w:rPr>
        <w:t>七、付款方式</w:t>
      </w:r>
    </w:p>
    <w:p w14:paraId="70987A52">
      <w:pPr>
        <w:keepNext w:val="0"/>
        <w:keepLines w:val="0"/>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none"/>
          <w:lang w:eastAsia="zh-CN"/>
        </w:rPr>
        <w:t>工程施工确定中标单位</w:t>
      </w:r>
      <w:r>
        <w:rPr>
          <w:rFonts w:hint="eastAsia" w:ascii="宋体" w:hAnsi="宋体" w:eastAsia="宋体" w:cs="宋体"/>
          <w:b w:val="0"/>
          <w:bCs w:val="0"/>
          <w:color w:val="auto"/>
          <w:sz w:val="24"/>
          <w:szCs w:val="24"/>
          <w:u w:val="none"/>
          <w:lang w:val="en-US" w:eastAsia="zh-CN"/>
        </w:rPr>
        <w:t>并进行图纸交底后</w:t>
      </w:r>
      <w:r>
        <w:rPr>
          <w:rFonts w:hint="eastAsia" w:ascii="宋体" w:hAnsi="宋体" w:eastAsia="宋体" w:cs="宋体"/>
          <w:b w:val="0"/>
          <w:bCs w:val="0"/>
          <w:color w:val="auto"/>
          <w:sz w:val="24"/>
          <w:szCs w:val="24"/>
          <w:u w:val="none"/>
        </w:rPr>
        <w:t>7</w:t>
      </w:r>
      <w:r>
        <w:rPr>
          <w:rFonts w:hint="eastAsia" w:ascii="宋体" w:hAnsi="宋体" w:eastAsia="宋体" w:cs="宋体"/>
          <w:b w:val="0"/>
          <w:bCs w:val="0"/>
          <w:color w:val="auto"/>
          <w:sz w:val="24"/>
          <w:szCs w:val="24"/>
          <w:u w:val="none"/>
          <w:lang w:val="en-US" w:eastAsia="zh-CN"/>
        </w:rPr>
        <w:t>个工作</w:t>
      </w:r>
      <w:r>
        <w:rPr>
          <w:rFonts w:hint="eastAsia" w:ascii="宋体" w:hAnsi="宋体" w:eastAsia="宋体" w:cs="宋体"/>
          <w:b w:val="0"/>
          <w:bCs w:val="0"/>
          <w:color w:val="auto"/>
          <w:sz w:val="24"/>
          <w:szCs w:val="24"/>
          <w:u w:val="none"/>
        </w:rPr>
        <w:t>日内</w:t>
      </w:r>
      <w:r>
        <w:rPr>
          <w:rFonts w:hint="eastAsia" w:ascii="宋体" w:hAnsi="宋体" w:eastAsia="宋体" w:cs="宋体"/>
          <w:b w:val="0"/>
          <w:bCs w:val="0"/>
          <w:color w:val="auto"/>
          <w:sz w:val="24"/>
          <w:szCs w:val="24"/>
          <w:u w:val="none"/>
          <w:lang w:eastAsia="zh-CN"/>
        </w:rPr>
        <w:t>支</w:t>
      </w:r>
      <w:r>
        <w:rPr>
          <w:rFonts w:hint="eastAsia" w:ascii="宋体" w:hAnsi="宋体" w:eastAsia="宋体" w:cs="宋体"/>
          <w:b w:val="0"/>
          <w:bCs w:val="0"/>
          <w:color w:val="auto"/>
          <w:sz w:val="24"/>
          <w:szCs w:val="24"/>
          <w:lang w:eastAsia="zh-CN"/>
        </w:rPr>
        <w:t>付至合同价的</w:t>
      </w:r>
      <w:r>
        <w:rPr>
          <w:rFonts w:hint="eastAsia" w:ascii="宋体" w:hAnsi="宋体" w:eastAsia="宋体" w:cs="宋体"/>
          <w:b w:val="0"/>
          <w:bCs w:val="0"/>
          <w:color w:val="auto"/>
          <w:sz w:val="24"/>
          <w:szCs w:val="24"/>
          <w:lang w:val="en-US" w:eastAsia="zh-CN"/>
        </w:rPr>
        <w:t>80%，</w:t>
      </w:r>
      <w:r>
        <w:rPr>
          <w:rFonts w:hint="eastAsia" w:ascii="宋体" w:hAnsi="宋体" w:eastAsia="宋体" w:cs="宋体"/>
          <w:b w:val="0"/>
          <w:bCs w:val="0"/>
          <w:color w:val="auto"/>
          <w:sz w:val="24"/>
          <w:szCs w:val="24"/>
        </w:rPr>
        <w:t>项目竣工验收后支付至合同价的</w:t>
      </w:r>
      <w:r>
        <w:rPr>
          <w:rFonts w:hint="eastAsia" w:ascii="宋体" w:hAnsi="宋体" w:eastAsia="宋体" w:cs="宋体"/>
          <w:b w:val="0"/>
          <w:bCs w:val="0"/>
          <w:color w:val="auto"/>
          <w:sz w:val="24"/>
          <w:szCs w:val="24"/>
          <w:lang w:val="en-US" w:eastAsia="zh-CN"/>
        </w:rPr>
        <w:t>100</w:t>
      </w:r>
      <w:r>
        <w:rPr>
          <w:rFonts w:hint="eastAsia" w:ascii="宋体" w:hAnsi="宋体" w:eastAsia="宋体" w:cs="宋体"/>
          <w:b w:val="0"/>
          <w:bCs w:val="0"/>
          <w:color w:val="auto"/>
          <w:sz w:val="24"/>
          <w:szCs w:val="24"/>
        </w:rPr>
        <w:t>%。</w:t>
      </w:r>
    </w:p>
    <w:p w14:paraId="2A09B94C">
      <w:pPr>
        <w:widowControl/>
        <w:spacing w:line="480" w:lineRule="exact"/>
        <w:ind w:firstLine="480" w:firstLineChars="200"/>
        <w:rPr>
          <w:rFonts w:hint="default" w:ascii="宋体" w:hAnsi="宋体" w:cs="宋体"/>
          <w:bCs/>
          <w:color w:val="auto"/>
          <w:sz w:val="24"/>
          <w:szCs w:val="24"/>
          <w:lang w:val="en-US" w:eastAsia="zh-CN"/>
        </w:rPr>
      </w:pPr>
    </w:p>
    <w:p w14:paraId="5D6F2CC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ascii="宋体" w:hAnsi="宋体" w:cs="宋体"/>
          <w:b/>
          <w:color w:val="auto"/>
          <w:sz w:val="24"/>
          <w:szCs w:val="24"/>
        </w:rPr>
      </w:pPr>
      <w:r>
        <w:rPr>
          <w:rFonts w:hint="eastAsia" w:ascii="宋体" w:hAnsi="宋体" w:cs="宋体"/>
          <w:b/>
          <w:color w:val="auto"/>
          <w:sz w:val="24"/>
          <w:szCs w:val="24"/>
        </w:rPr>
        <w:br w:type="page"/>
      </w:r>
    </w:p>
    <w:p w14:paraId="0D153618">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第四章  开启和评</w:t>
      </w:r>
      <w:bookmarkEnd w:id="32"/>
      <w:r>
        <w:rPr>
          <w:rFonts w:hint="eastAsia" w:ascii="宋体" w:hAnsi="宋体" w:eastAsia="宋体" w:cs="宋体"/>
          <w:b/>
          <w:color w:val="auto"/>
          <w:spacing w:val="6"/>
          <w:kern w:val="2"/>
          <w:sz w:val="36"/>
          <w:szCs w:val="36"/>
          <w:lang w:val="en-US" w:eastAsia="zh-CN" w:bidi="ar-SA"/>
        </w:rPr>
        <w:t xml:space="preserve">审  </w:t>
      </w:r>
    </w:p>
    <w:p w14:paraId="01C8F6DD">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一、采购人组织采购</w:t>
      </w:r>
    </w:p>
    <w:p w14:paraId="15B31BFC">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1.由采购人代表和有关专家依法组成</w:t>
      </w:r>
      <w:r>
        <w:rPr>
          <w:rFonts w:hint="eastAsia" w:ascii="宋体" w:hAnsi="宋体" w:cs="宋体"/>
          <w:color w:val="auto"/>
          <w:sz w:val="24"/>
          <w:szCs w:val="24"/>
          <w:lang w:val="en-US" w:eastAsia="zh-CN"/>
        </w:rPr>
        <w:t>比选评审</w:t>
      </w:r>
      <w:r>
        <w:rPr>
          <w:rFonts w:hint="eastAsia" w:ascii="宋体" w:hAnsi="宋体" w:cs="宋体"/>
          <w:color w:val="auto"/>
          <w:sz w:val="24"/>
          <w:szCs w:val="24"/>
        </w:rPr>
        <w:t>小组。</w:t>
      </w:r>
    </w:p>
    <w:p w14:paraId="13453FA9">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2.供应商的法定代表人或被授权人须持身份证准时参加</w:t>
      </w:r>
      <w:r>
        <w:rPr>
          <w:rFonts w:hint="eastAsia" w:ascii="宋体" w:hAnsi="宋体" w:cs="宋体"/>
          <w:color w:val="auto"/>
          <w:sz w:val="24"/>
          <w:szCs w:val="24"/>
          <w:lang w:val="en-US" w:eastAsia="zh-CN"/>
        </w:rPr>
        <w:t>比选活动</w:t>
      </w:r>
      <w:r>
        <w:rPr>
          <w:rFonts w:hint="eastAsia" w:ascii="宋体" w:hAnsi="宋体" w:cs="宋体"/>
          <w:color w:val="auto"/>
          <w:sz w:val="24"/>
          <w:szCs w:val="24"/>
        </w:rPr>
        <w:t>。</w:t>
      </w:r>
    </w:p>
    <w:p w14:paraId="62A7E7D8">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二、评</w:t>
      </w:r>
      <w:r>
        <w:rPr>
          <w:rFonts w:hint="eastAsia" w:ascii="宋体" w:hAnsi="宋体" w:cs="宋体"/>
          <w:b/>
          <w:bCs/>
          <w:color w:val="auto"/>
          <w:sz w:val="24"/>
          <w:szCs w:val="24"/>
          <w:lang w:val="en-US" w:eastAsia="zh-CN"/>
        </w:rPr>
        <w:t>审</w:t>
      </w:r>
      <w:r>
        <w:rPr>
          <w:rFonts w:hint="eastAsia" w:ascii="宋体" w:hAnsi="宋体" w:cs="宋体"/>
          <w:b/>
          <w:bCs/>
          <w:color w:val="auto"/>
          <w:sz w:val="24"/>
          <w:szCs w:val="24"/>
        </w:rPr>
        <w:t>小组</w:t>
      </w:r>
    </w:p>
    <w:p w14:paraId="5E76452C">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1.评</w:t>
      </w:r>
      <w:r>
        <w:rPr>
          <w:rFonts w:hint="eastAsia" w:ascii="宋体" w:hAnsi="宋体" w:cs="宋体"/>
          <w:color w:val="auto"/>
          <w:sz w:val="24"/>
          <w:szCs w:val="24"/>
          <w:lang w:val="en-US" w:eastAsia="zh-CN"/>
        </w:rPr>
        <w:t>审</w:t>
      </w:r>
      <w:r>
        <w:rPr>
          <w:rFonts w:hint="eastAsia" w:ascii="宋体" w:hAnsi="宋体" w:cs="宋体"/>
          <w:color w:val="auto"/>
          <w:sz w:val="24"/>
          <w:szCs w:val="24"/>
        </w:rPr>
        <w:t>小组负责具体的评</w:t>
      </w:r>
      <w:r>
        <w:rPr>
          <w:rFonts w:hint="eastAsia" w:ascii="宋体" w:hAnsi="宋体" w:cs="宋体"/>
          <w:color w:val="auto"/>
          <w:sz w:val="24"/>
          <w:szCs w:val="24"/>
          <w:lang w:val="en-US" w:eastAsia="zh-CN"/>
        </w:rPr>
        <w:t>审</w:t>
      </w:r>
      <w:r>
        <w:rPr>
          <w:rFonts w:hint="eastAsia" w:ascii="宋体" w:hAnsi="宋体" w:cs="宋体"/>
          <w:color w:val="auto"/>
          <w:sz w:val="24"/>
          <w:szCs w:val="24"/>
        </w:rPr>
        <w:t>事务，并独立履行以下职责：</w:t>
      </w:r>
    </w:p>
    <w:p w14:paraId="7A48A4EA">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（1）审查响应文件是否符合比选文件的要求，并作出评价；</w:t>
      </w:r>
    </w:p>
    <w:p w14:paraId="4FEB8F7B">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（2）可以要求供应商对响应文件有关事项作出解释或澄清；</w:t>
      </w:r>
    </w:p>
    <w:p w14:paraId="1AEC3FDF">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（3）按比选文件载明的方式评审确定成交人。</w:t>
      </w:r>
    </w:p>
    <w:p w14:paraId="745B0DD9">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2.评</w:t>
      </w:r>
      <w:r>
        <w:rPr>
          <w:rFonts w:hint="eastAsia" w:ascii="宋体" w:hAnsi="宋体" w:cs="宋体"/>
          <w:color w:val="auto"/>
          <w:sz w:val="24"/>
          <w:szCs w:val="24"/>
          <w:lang w:val="en-US" w:eastAsia="zh-CN"/>
        </w:rPr>
        <w:t>审</w:t>
      </w:r>
      <w:r>
        <w:rPr>
          <w:rFonts w:hint="eastAsia" w:ascii="宋体" w:hAnsi="宋体" w:cs="宋体"/>
          <w:color w:val="auto"/>
          <w:sz w:val="24"/>
          <w:szCs w:val="24"/>
        </w:rPr>
        <w:t>小组成员应当履行下列义务：</w:t>
      </w:r>
    </w:p>
    <w:p w14:paraId="642F34BE">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（1）遵纪守法，客观、公正、廉洁地履行职责；</w:t>
      </w:r>
    </w:p>
    <w:p w14:paraId="0207410F">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（2）按照比选文件规定的评</w:t>
      </w:r>
      <w:r>
        <w:rPr>
          <w:rFonts w:hint="eastAsia" w:ascii="宋体" w:hAnsi="宋体" w:cs="宋体"/>
          <w:color w:val="auto"/>
          <w:sz w:val="24"/>
          <w:szCs w:val="24"/>
          <w:lang w:val="en-US" w:eastAsia="zh-CN"/>
        </w:rPr>
        <w:t>审</w:t>
      </w:r>
      <w:r>
        <w:rPr>
          <w:rFonts w:hint="eastAsia" w:ascii="宋体" w:hAnsi="宋体" w:cs="宋体"/>
          <w:color w:val="auto"/>
          <w:sz w:val="24"/>
          <w:szCs w:val="24"/>
        </w:rPr>
        <w:t>办法和评</w:t>
      </w:r>
      <w:r>
        <w:rPr>
          <w:rFonts w:hint="eastAsia" w:ascii="宋体" w:hAnsi="宋体" w:cs="宋体"/>
          <w:color w:val="auto"/>
          <w:sz w:val="24"/>
          <w:szCs w:val="24"/>
          <w:lang w:val="en-US" w:eastAsia="zh-CN"/>
        </w:rPr>
        <w:t>审</w:t>
      </w:r>
      <w:r>
        <w:rPr>
          <w:rFonts w:hint="eastAsia" w:ascii="宋体" w:hAnsi="宋体" w:cs="宋体"/>
          <w:color w:val="auto"/>
          <w:sz w:val="24"/>
          <w:szCs w:val="24"/>
        </w:rPr>
        <w:t>标准进行</w:t>
      </w:r>
      <w:r>
        <w:rPr>
          <w:rFonts w:hint="eastAsia" w:ascii="宋体" w:hAnsi="宋体" w:cs="宋体"/>
          <w:color w:val="auto"/>
          <w:sz w:val="24"/>
          <w:szCs w:val="24"/>
          <w:lang w:val="en-US" w:eastAsia="zh-CN"/>
        </w:rPr>
        <w:t>评审</w:t>
      </w:r>
      <w:r>
        <w:rPr>
          <w:rFonts w:hint="eastAsia" w:ascii="宋体" w:hAnsi="宋体" w:cs="宋体"/>
          <w:color w:val="auto"/>
          <w:sz w:val="24"/>
          <w:szCs w:val="24"/>
        </w:rPr>
        <w:t>，对评审意见承担个人责任；</w:t>
      </w:r>
    </w:p>
    <w:p w14:paraId="6B577C5E">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（3）对评</w:t>
      </w:r>
      <w:r>
        <w:rPr>
          <w:rFonts w:hint="eastAsia" w:ascii="宋体" w:hAnsi="宋体" w:cs="宋体"/>
          <w:color w:val="auto"/>
          <w:sz w:val="24"/>
          <w:szCs w:val="24"/>
          <w:lang w:val="en-US" w:eastAsia="zh-CN"/>
        </w:rPr>
        <w:t>审</w:t>
      </w:r>
      <w:r>
        <w:rPr>
          <w:rFonts w:hint="eastAsia" w:ascii="宋体" w:hAnsi="宋体" w:cs="宋体"/>
          <w:color w:val="auto"/>
          <w:sz w:val="24"/>
          <w:szCs w:val="24"/>
        </w:rPr>
        <w:t>过程和结果，以及供应商的商业秘密保密；</w:t>
      </w:r>
    </w:p>
    <w:p w14:paraId="164B0A87">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（4）配合相关部门的投诉处理工作；</w:t>
      </w:r>
    </w:p>
    <w:p w14:paraId="57DFA87F">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（5）配合采购人答复供应商提出的质疑。</w:t>
      </w:r>
    </w:p>
    <w:p w14:paraId="3A4FE69B">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3.项目开标后直到项目成交结果公告，发出成交通知书并授予成交人合同为止，凡属于评审、澄清、评价和比较响应的所有资料及有关授予合同等的相关信息，评</w:t>
      </w:r>
      <w:r>
        <w:rPr>
          <w:rFonts w:hint="eastAsia" w:ascii="宋体" w:hAnsi="宋体" w:cs="宋体"/>
          <w:color w:val="auto"/>
          <w:sz w:val="24"/>
          <w:szCs w:val="24"/>
          <w:lang w:val="en-US" w:eastAsia="zh-CN"/>
        </w:rPr>
        <w:t>审</w:t>
      </w:r>
      <w:r>
        <w:rPr>
          <w:rFonts w:hint="eastAsia" w:ascii="宋体" w:hAnsi="宋体" w:cs="宋体"/>
          <w:color w:val="auto"/>
          <w:sz w:val="24"/>
          <w:szCs w:val="24"/>
        </w:rPr>
        <w:t>小组成员都不应向供应商或与评</w:t>
      </w:r>
      <w:r>
        <w:rPr>
          <w:rFonts w:hint="eastAsia" w:ascii="宋体" w:hAnsi="宋体" w:cs="宋体"/>
          <w:color w:val="auto"/>
          <w:sz w:val="24"/>
          <w:szCs w:val="24"/>
          <w:lang w:val="en-US" w:eastAsia="zh-CN"/>
        </w:rPr>
        <w:t>审</w:t>
      </w:r>
      <w:r>
        <w:rPr>
          <w:rFonts w:hint="eastAsia" w:ascii="宋体" w:hAnsi="宋体" w:cs="宋体"/>
          <w:color w:val="auto"/>
          <w:sz w:val="24"/>
          <w:szCs w:val="24"/>
        </w:rPr>
        <w:t>无关的其他人泄露。</w:t>
      </w:r>
    </w:p>
    <w:p w14:paraId="264E9350">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4.在响应文件的评审、澄清、评价和比较以及授予合同的过程中，供应商对采购人和</w:t>
      </w:r>
      <w:r>
        <w:rPr>
          <w:rFonts w:hint="eastAsia" w:ascii="宋体" w:hAnsi="宋体" w:cs="宋体"/>
          <w:color w:val="auto"/>
          <w:sz w:val="24"/>
          <w:szCs w:val="24"/>
          <w:lang w:val="en-US" w:eastAsia="zh-CN"/>
        </w:rPr>
        <w:t>评审小组</w:t>
      </w:r>
      <w:r>
        <w:rPr>
          <w:rFonts w:hint="eastAsia" w:ascii="宋体" w:hAnsi="宋体" w:cs="宋体"/>
          <w:color w:val="auto"/>
          <w:sz w:val="24"/>
          <w:szCs w:val="24"/>
        </w:rPr>
        <w:t>成员有施加影响的任何行为，都将取消其成交资格。</w:t>
      </w:r>
    </w:p>
    <w:p w14:paraId="2F763716">
      <w:pPr>
        <w:keepNext w:val="0"/>
        <w:keepLines w:val="0"/>
        <w:pageBreakBefore w:val="0"/>
        <w:overflowPunct/>
        <w:bidi w:val="0"/>
        <w:snapToGrid w:val="0"/>
        <w:spacing w:line="360" w:lineRule="auto"/>
        <w:ind w:left="0" w:leftChars="0" w:firstLine="482" w:firstLineChars="200"/>
        <w:jc w:val="both"/>
        <w:rPr>
          <w:rFonts w:hint="eastAsia" w:ascii="宋体" w:hAnsi="宋体" w:cs="宋体"/>
          <w:b/>
          <w:bCs/>
          <w:color w:val="auto"/>
          <w:sz w:val="24"/>
          <w:szCs w:val="24"/>
        </w:rPr>
      </w:pPr>
      <w:r>
        <w:rPr>
          <w:rFonts w:hint="eastAsia" w:ascii="宋体" w:hAnsi="宋体" w:cs="宋体"/>
          <w:b/>
          <w:bCs/>
          <w:color w:val="auto"/>
          <w:sz w:val="24"/>
          <w:szCs w:val="24"/>
        </w:rPr>
        <w:t>三、评审原则</w:t>
      </w:r>
    </w:p>
    <w:p w14:paraId="42035A4A">
      <w:pPr>
        <w:keepNext w:val="0"/>
        <w:keepLines w:val="0"/>
        <w:pageBreakBefore w:val="0"/>
        <w:overflowPunct/>
        <w:bidi w:val="0"/>
        <w:snapToGrid w:val="0"/>
        <w:spacing w:line="360" w:lineRule="auto"/>
        <w:ind w:left="0" w:leftChars="0" w:firstLine="480" w:firstLineChars="200"/>
        <w:jc w:val="both"/>
        <w:rPr>
          <w:rFonts w:hint="eastAsia" w:ascii="宋体" w:hAnsi="宋体" w:cs="宋体"/>
          <w:b/>
          <w:bCs/>
          <w:color w:val="auto"/>
          <w:sz w:val="24"/>
          <w:szCs w:val="24"/>
        </w:rPr>
      </w:pPr>
      <w:r>
        <w:rPr>
          <w:rFonts w:hint="eastAsia" w:ascii="宋体" w:hAnsi="宋体" w:eastAsia="宋体" w:cs="宋体"/>
          <w:color w:val="auto"/>
          <w:sz w:val="24"/>
          <w:szCs w:val="24"/>
          <w:lang w:val="en-US" w:eastAsia="zh-CN"/>
        </w:rPr>
        <w:t>1.评审</w:t>
      </w:r>
      <w:r>
        <w:rPr>
          <w:rFonts w:hint="eastAsia" w:ascii="Times New Roman" w:hAnsi="Times New Roman" w:cs="宋体"/>
          <w:color w:val="auto"/>
          <w:sz w:val="24"/>
          <w:szCs w:val="24"/>
        </w:rPr>
        <w:t>小组遵循“公开、公平、公正、择优、信用”的原则进行评审。</w:t>
      </w:r>
    </w:p>
    <w:p w14:paraId="64B00E31">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2.由评</w:t>
      </w:r>
      <w:r>
        <w:rPr>
          <w:rFonts w:hint="eastAsia" w:ascii="宋体" w:hAnsi="宋体" w:cs="宋体"/>
          <w:color w:val="auto"/>
          <w:sz w:val="24"/>
          <w:szCs w:val="24"/>
          <w:lang w:val="en-US" w:eastAsia="zh-CN"/>
        </w:rPr>
        <w:t>审</w:t>
      </w:r>
      <w:r>
        <w:rPr>
          <w:rFonts w:hint="eastAsia" w:ascii="宋体" w:hAnsi="宋体" w:cs="宋体"/>
          <w:color w:val="auto"/>
          <w:sz w:val="24"/>
          <w:szCs w:val="24"/>
        </w:rPr>
        <w:t>小组</w:t>
      </w:r>
      <w:r>
        <w:rPr>
          <w:rFonts w:hint="eastAsia" w:ascii="宋体" w:hAnsi="宋体" w:cs="宋体"/>
          <w:color w:val="auto"/>
          <w:sz w:val="24"/>
          <w:szCs w:val="24"/>
          <w:lang w:val="en-US" w:eastAsia="zh-CN"/>
        </w:rPr>
        <w:t>先</w:t>
      </w:r>
      <w:r>
        <w:rPr>
          <w:rFonts w:hint="eastAsia" w:ascii="宋体" w:hAnsi="宋体" w:cs="宋体"/>
          <w:color w:val="auto"/>
          <w:sz w:val="24"/>
          <w:szCs w:val="24"/>
        </w:rPr>
        <w:t>对每个参与</w:t>
      </w:r>
      <w:r>
        <w:rPr>
          <w:rFonts w:hint="eastAsia" w:ascii="宋体" w:hAnsi="宋体" w:cs="宋体"/>
          <w:color w:val="auto"/>
          <w:sz w:val="24"/>
          <w:szCs w:val="24"/>
          <w:lang w:val="en-US" w:eastAsia="zh-CN"/>
        </w:rPr>
        <w:t>比选</w:t>
      </w:r>
      <w:r>
        <w:rPr>
          <w:rFonts w:hint="eastAsia" w:ascii="宋体" w:hAnsi="宋体" w:cs="宋体"/>
          <w:color w:val="auto"/>
          <w:sz w:val="24"/>
          <w:szCs w:val="24"/>
        </w:rPr>
        <w:t>的供应商的响应文件进行资格审查和符合性审查</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再对</w:t>
      </w:r>
      <w:r>
        <w:rPr>
          <w:rFonts w:hint="eastAsia" w:ascii="宋体" w:hAnsi="宋体" w:cs="宋体"/>
          <w:color w:val="auto"/>
          <w:sz w:val="24"/>
          <w:szCs w:val="24"/>
        </w:rPr>
        <w:t>资格审查</w:t>
      </w:r>
      <w:r>
        <w:rPr>
          <w:rFonts w:hint="eastAsia" w:ascii="宋体" w:hAnsi="宋体" w:cs="宋体"/>
          <w:color w:val="auto"/>
          <w:sz w:val="24"/>
          <w:szCs w:val="24"/>
          <w:lang w:val="en-US" w:eastAsia="zh-CN"/>
        </w:rPr>
        <w:t>和符合性审查均</w:t>
      </w:r>
      <w:r>
        <w:rPr>
          <w:rFonts w:hint="eastAsia" w:ascii="宋体" w:hAnsi="宋体" w:cs="宋体"/>
          <w:color w:val="auto"/>
          <w:sz w:val="24"/>
          <w:szCs w:val="24"/>
        </w:rPr>
        <w:t>合格的供应商所提交的响应文件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技术标进行评审。</w:t>
      </w:r>
    </w:p>
    <w:p w14:paraId="511D66A9">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3.评</w:t>
      </w:r>
      <w:r>
        <w:rPr>
          <w:rFonts w:hint="eastAsia" w:ascii="宋体" w:hAnsi="宋体" w:cs="宋体"/>
          <w:color w:val="auto"/>
          <w:sz w:val="24"/>
          <w:szCs w:val="24"/>
          <w:lang w:val="en-US" w:eastAsia="zh-CN"/>
        </w:rPr>
        <w:t>审</w:t>
      </w:r>
      <w:r>
        <w:rPr>
          <w:rFonts w:hint="eastAsia" w:ascii="宋体" w:hAnsi="宋体" w:cs="宋体"/>
          <w:color w:val="auto"/>
          <w:sz w:val="24"/>
          <w:szCs w:val="24"/>
        </w:rPr>
        <w:t>小组严格按比选文件的规定要求、条件、评分标准，对供应商所提供的完整计划标的物的科学性、可行性、产品质量、服务质量的保证及承诺等实质性响应内容进行比较评价评审。</w:t>
      </w:r>
    </w:p>
    <w:p w14:paraId="6FF83AB5">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小组对响应文件的判定，只依据响应内容本身，不依靠开标后的任何外来证明。</w:t>
      </w:r>
    </w:p>
    <w:p w14:paraId="3A1B9D24">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如果</w:t>
      </w:r>
      <w:r>
        <w:rPr>
          <w:rFonts w:hint="eastAsia" w:ascii="宋体" w:hAnsi="宋体" w:cs="宋体"/>
          <w:color w:val="auto"/>
          <w:sz w:val="24"/>
          <w:szCs w:val="24"/>
          <w:lang w:val="en-US" w:eastAsia="zh-CN"/>
        </w:rPr>
        <w:t>响应</w:t>
      </w:r>
      <w:r>
        <w:rPr>
          <w:rFonts w:hint="eastAsia" w:ascii="宋体" w:hAnsi="宋体" w:cs="宋体"/>
          <w:color w:val="auto"/>
          <w:sz w:val="24"/>
          <w:szCs w:val="24"/>
        </w:rPr>
        <w:t>文件实质上没有响应</w:t>
      </w:r>
      <w:r>
        <w:rPr>
          <w:rFonts w:hint="eastAsia" w:ascii="宋体" w:hAnsi="宋体" w:cs="宋体"/>
          <w:color w:val="auto"/>
          <w:sz w:val="24"/>
          <w:szCs w:val="24"/>
          <w:lang w:val="en-US" w:eastAsia="zh-CN"/>
        </w:rPr>
        <w:t>比选</w:t>
      </w:r>
      <w:r>
        <w:rPr>
          <w:rFonts w:hint="eastAsia" w:ascii="宋体" w:hAnsi="宋体" w:cs="宋体"/>
          <w:color w:val="auto"/>
          <w:sz w:val="24"/>
          <w:szCs w:val="24"/>
        </w:rPr>
        <w:t>文件的要求，</w:t>
      </w:r>
      <w:r>
        <w:rPr>
          <w:rFonts w:hint="eastAsia" w:ascii="宋体" w:hAnsi="宋体" w:cs="宋体"/>
          <w:color w:val="auto"/>
          <w:sz w:val="24"/>
          <w:szCs w:val="24"/>
          <w:lang w:val="en-US" w:eastAsia="zh-CN"/>
        </w:rPr>
        <w:t>评审小组</w:t>
      </w:r>
      <w:r>
        <w:rPr>
          <w:rFonts w:hint="eastAsia" w:ascii="宋体" w:hAnsi="宋体" w:cs="宋体"/>
          <w:color w:val="auto"/>
          <w:sz w:val="24"/>
          <w:szCs w:val="24"/>
        </w:rPr>
        <w:t>将予以拒绝，</w:t>
      </w:r>
      <w:r>
        <w:rPr>
          <w:rFonts w:hint="eastAsia" w:ascii="宋体" w:hAnsi="宋体" w:cs="宋体"/>
          <w:color w:val="auto"/>
          <w:sz w:val="24"/>
          <w:szCs w:val="24"/>
          <w:lang w:val="en-US" w:eastAsia="zh-CN"/>
        </w:rPr>
        <w:t>供应商</w:t>
      </w:r>
      <w:r>
        <w:rPr>
          <w:rFonts w:hint="eastAsia" w:ascii="宋体" w:hAnsi="宋体" w:cs="宋体"/>
          <w:color w:val="auto"/>
          <w:sz w:val="24"/>
          <w:szCs w:val="24"/>
        </w:rPr>
        <w:t>不得通过修改或撤销不符合要求的偏离或保留而使其</w:t>
      </w:r>
      <w:r>
        <w:rPr>
          <w:rFonts w:hint="eastAsia" w:ascii="宋体" w:hAnsi="宋体" w:cs="宋体"/>
          <w:color w:val="auto"/>
          <w:sz w:val="24"/>
          <w:szCs w:val="24"/>
          <w:lang w:val="en-US" w:eastAsia="zh-CN"/>
        </w:rPr>
        <w:t>响应</w:t>
      </w:r>
      <w:r>
        <w:rPr>
          <w:rFonts w:hint="eastAsia" w:ascii="宋体" w:hAnsi="宋体" w:cs="宋体"/>
          <w:color w:val="auto"/>
          <w:sz w:val="24"/>
          <w:szCs w:val="24"/>
        </w:rPr>
        <w:t>成为实质性响应的</w:t>
      </w:r>
      <w:r>
        <w:rPr>
          <w:rFonts w:hint="eastAsia" w:ascii="宋体" w:hAnsi="宋体" w:cs="宋体"/>
          <w:color w:val="auto"/>
          <w:sz w:val="24"/>
          <w:szCs w:val="24"/>
          <w:lang w:val="en-US" w:eastAsia="zh-CN"/>
        </w:rPr>
        <w:t>比选</w:t>
      </w:r>
      <w:r>
        <w:rPr>
          <w:rFonts w:hint="eastAsia" w:ascii="宋体" w:hAnsi="宋体" w:cs="宋体"/>
          <w:color w:val="auto"/>
          <w:sz w:val="24"/>
          <w:szCs w:val="24"/>
        </w:rPr>
        <w:t>。</w:t>
      </w:r>
    </w:p>
    <w:p w14:paraId="5990B1C9">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6.评审小组</w:t>
      </w:r>
      <w:r>
        <w:rPr>
          <w:rFonts w:hint="eastAsia" w:ascii="宋体" w:hAnsi="宋体" w:cs="宋体"/>
          <w:color w:val="auto"/>
          <w:sz w:val="24"/>
          <w:szCs w:val="24"/>
        </w:rPr>
        <w:t>将对确定为实质性响应的</w:t>
      </w:r>
      <w:r>
        <w:rPr>
          <w:rFonts w:hint="eastAsia" w:ascii="宋体" w:hAnsi="宋体" w:cs="宋体"/>
          <w:color w:val="auto"/>
          <w:sz w:val="24"/>
          <w:szCs w:val="24"/>
          <w:lang w:val="en-US" w:eastAsia="zh-CN"/>
        </w:rPr>
        <w:t>报价</w:t>
      </w:r>
      <w:r>
        <w:rPr>
          <w:rFonts w:hint="eastAsia" w:ascii="宋体" w:hAnsi="宋体" w:cs="宋体"/>
          <w:color w:val="auto"/>
          <w:sz w:val="24"/>
          <w:szCs w:val="24"/>
        </w:rPr>
        <w:t>进行进一步审核，看其是否有计算上或累加上的算术错误，修正错误的原则如下：</w:t>
      </w:r>
    </w:p>
    <w:p w14:paraId="4DC6C55E">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响应</w:t>
      </w:r>
      <w:r>
        <w:rPr>
          <w:rFonts w:hint="eastAsia" w:ascii="宋体" w:hAnsi="宋体" w:cs="宋体"/>
          <w:color w:val="auto"/>
          <w:sz w:val="24"/>
          <w:szCs w:val="24"/>
        </w:rPr>
        <w:t>文件中</w:t>
      </w:r>
      <w:r>
        <w:rPr>
          <w:rFonts w:hint="eastAsia" w:ascii="宋体" w:hAnsi="宋体" w:cs="宋体"/>
          <w:color w:val="auto"/>
          <w:sz w:val="24"/>
          <w:szCs w:val="24"/>
          <w:lang w:val="en-US" w:eastAsia="zh-CN"/>
        </w:rPr>
        <w:t>报价总表</w:t>
      </w:r>
      <w:r>
        <w:rPr>
          <w:rFonts w:hint="eastAsia" w:ascii="宋体" w:hAnsi="宋体" w:cs="宋体"/>
          <w:color w:val="auto"/>
          <w:sz w:val="24"/>
          <w:szCs w:val="24"/>
        </w:rPr>
        <w:t>内容与</w:t>
      </w:r>
      <w:r>
        <w:rPr>
          <w:rFonts w:hint="eastAsia" w:ascii="宋体" w:hAnsi="宋体" w:cs="宋体"/>
          <w:color w:val="auto"/>
          <w:sz w:val="24"/>
          <w:szCs w:val="24"/>
          <w:lang w:val="en-US" w:eastAsia="zh-CN"/>
        </w:rPr>
        <w:t>响应</w:t>
      </w:r>
      <w:r>
        <w:rPr>
          <w:rFonts w:hint="eastAsia" w:ascii="宋体" w:hAnsi="宋体" w:cs="宋体"/>
          <w:color w:val="auto"/>
          <w:sz w:val="24"/>
          <w:szCs w:val="24"/>
        </w:rPr>
        <w:t>文件中相应内容不一致的，以</w:t>
      </w:r>
      <w:r>
        <w:rPr>
          <w:rFonts w:hint="eastAsia" w:ascii="宋体" w:hAnsi="宋体" w:cs="宋体"/>
          <w:color w:val="auto"/>
          <w:sz w:val="24"/>
          <w:szCs w:val="24"/>
          <w:lang w:val="en-US" w:eastAsia="zh-CN"/>
        </w:rPr>
        <w:t>报价总表</w:t>
      </w:r>
      <w:r>
        <w:rPr>
          <w:rFonts w:hint="eastAsia" w:ascii="宋体" w:hAnsi="宋体" w:cs="宋体"/>
          <w:color w:val="auto"/>
          <w:sz w:val="24"/>
          <w:szCs w:val="24"/>
        </w:rPr>
        <w:t>为准。</w:t>
      </w:r>
    </w:p>
    <w:p w14:paraId="55D2BAEF">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（2）大写金额和小写金额不一致的，以大写金额为准。</w:t>
      </w:r>
    </w:p>
    <w:p w14:paraId="1F2A7C8C">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（3）单价金额小数点或者百分比有明显错位的，以</w:t>
      </w:r>
      <w:r>
        <w:rPr>
          <w:rFonts w:hint="eastAsia" w:ascii="宋体" w:hAnsi="宋体" w:cs="宋体"/>
          <w:color w:val="auto"/>
          <w:sz w:val="24"/>
          <w:szCs w:val="24"/>
          <w:lang w:val="en-US" w:eastAsia="zh-CN"/>
        </w:rPr>
        <w:t>报价总表</w:t>
      </w:r>
      <w:r>
        <w:rPr>
          <w:rFonts w:hint="eastAsia" w:ascii="宋体" w:hAnsi="宋体" w:cs="宋体"/>
          <w:color w:val="auto"/>
          <w:sz w:val="24"/>
          <w:szCs w:val="24"/>
        </w:rPr>
        <w:t>的总价为准，并修改单价。</w:t>
      </w:r>
    </w:p>
    <w:p w14:paraId="64A3C538">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（4）总价金额与按单价汇总金额不一致的，以单价金额计算结果为准。</w:t>
      </w:r>
    </w:p>
    <w:p w14:paraId="1BCA1D7D">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同时出现两种以上错误的，按照前款规定的顺序修正。</w:t>
      </w:r>
    </w:p>
    <w:p w14:paraId="190A1678">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7.评审小组</w:t>
      </w:r>
      <w:r>
        <w:rPr>
          <w:rFonts w:hint="eastAsia" w:ascii="宋体" w:hAnsi="宋体" w:cs="宋体"/>
          <w:color w:val="auto"/>
          <w:sz w:val="24"/>
          <w:szCs w:val="24"/>
        </w:rPr>
        <w:t>将按上述修正错误的方法调整</w:t>
      </w:r>
      <w:r>
        <w:rPr>
          <w:rFonts w:hint="eastAsia" w:ascii="宋体" w:hAnsi="宋体" w:cs="宋体"/>
          <w:color w:val="auto"/>
          <w:sz w:val="24"/>
          <w:szCs w:val="24"/>
          <w:lang w:val="en-US" w:eastAsia="zh-CN"/>
        </w:rPr>
        <w:t>响应</w:t>
      </w:r>
      <w:r>
        <w:rPr>
          <w:rFonts w:hint="eastAsia" w:ascii="宋体" w:hAnsi="宋体" w:cs="宋体"/>
          <w:color w:val="auto"/>
          <w:sz w:val="24"/>
          <w:szCs w:val="24"/>
        </w:rPr>
        <w:t>文件中的报价，并告知</w:t>
      </w:r>
      <w:r>
        <w:rPr>
          <w:rFonts w:hint="eastAsia" w:ascii="宋体" w:hAnsi="宋体" w:cs="宋体"/>
          <w:color w:val="auto"/>
          <w:sz w:val="24"/>
          <w:szCs w:val="24"/>
          <w:lang w:val="en-US" w:eastAsia="zh-CN"/>
        </w:rPr>
        <w:t>供应商</w:t>
      </w:r>
      <w:r>
        <w:rPr>
          <w:rFonts w:hint="eastAsia" w:ascii="宋体" w:hAnsi="宋体" w:cs="宋体"/>
          <w:color w:val="auto"/>
          <w:sz w:val="24"/>
          <w:szCs w:val="24"/>
        </w:rPr>
        <w:t>，调整后的价格应对</w:t>
      </w:r>
      <w:r>
        <w:rPr>
          <w:rFonts w:hint="eastAsia" w:ascii="宋体" w:hAnsi="宋体" w:cs="宋体"/>
          <w:color w:val="auto"/>
          <w:sz w:val="24"/>
          <w:szCs w:val="24"/>
          <w:lang w:val="en-US" w:eastAsia="zh-CN"/>
        </w:rPr>
        <w:t>供应商</w:t>
      </w:r>
      <w:r>
        <w:rPr>
          <w:rFonts w:hint="eastAsia" w:ascii="宋体" w:hAnsi="宋体" w:cs="宋体"/>
          <w:color w:val="auto"/>
          <w:sz w:val="24"/>
          <w:szCs w:val="24"/>
        </w:rPr>
        <w:t>具有约束力。如果</w:t>
      </w:r>
      <w:r>
        <w:rPr>
          <w:rFonts w:hint="eastAsia" w:ascii="宋体" w:hAnsi="宋体" w:cs="宋体"/>
          <w:color w:val="auto"/>
          <w:sz w:val="24"/>
          <w:szCs w:val="24"/>
          <w:lang w:val="en-US" w:eastAsia="zh-CN"/>
        </w:rPr>
        <w:t>供应商</w:t>
      </w:r>
      <w:r>
        <w:rPr>
          <w:rFonts w:hint="eastAsia" w:ascii="宋体" w:hAnsi="宋体" w:cs="宋体"/>
          <w:color w:val="auto"/>
          <w:sz w:val="24"/>
          <w:szCs w:val="24"/>
        </w:rPr>
        <w:t>不接受修正后的价格，则其</w:t>
      </w:r>
      <w:r>
        <w:rPr>
          <w:rFonts w:hint="eastAsia" w:ascii="宋体" w:hAnsi="宋体" w:cs="宋体"/>
          <w:color w:val="auto"/>
          <w:sz w:val="24"/>
          <w:szCs w:val="24"/>
          <w:lang w:val="en-US" w:eastAsia="zh-CN"/>
        </w:rPr>
        <w:t>响应</w:t>
      </w:r>
      <w:r>
        <w:rPr>
          <w:rFonts w:hint="eastAsia" w:ascii="宋体" w:hAnsi="宋体" w:cs="宋体"/>
          <w:color w:val="auto"/>
          <w:sz w:val="24"/>
          <w:szCs w:val="24"/>
        </w:rPr>
        <w:t>将被拒绝。</w:t>
      </w:r>
    </w:p>
    <w:p w14:paraId="67154FA0">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五、评审程序</w:t>
      </w:r>
    </w:p>
    <w:p w14:paraId="140E3597">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评审</w:t>
      </w:r>
      <w:r>
        <w:rPr>
          <w:rFonts w:hint="eastAsia" w:ascii="宋体" w:hAnsi="宋体" w:cs="宋体"/>
          <w:color w:val="auto"/>
          <w:sz w:val="24"/>
          <w:szCs w:val="24"/>
        </w:rPr>
        <w:t>小组依据响应文件的规定和要求，对供应商提供的资格证明材料是否齐全、是否满足响应文件的要求进行审查，合格的进入</w:t>
      </w:r>
      <w:r>
        <w:rPr>
          <w:rFonts w:hint="eastAsia" w:ascii="宋体" w:hAnsi="宋体" w:cs="宋体"/>
          <w:color w:val="auto"/>
          <w:sz w:val="24"/>
          <w:szCs w:val="24"/>
          <w:lang w:val="en-US" w:eastAsia="zh-CN"/>
        </w:rPr>
        <w:t>符合性审查</w:t>
      </w:r>
      <w:r>
        <w:rPr>
          <w:rFonts w:hint="eastAsia" w:ascii="宋体" w:hAnsi="宋体" w:cs="宋体"/>
          <w:color w:val="auto"/>
          <w:sz w:val="24"/>
          <w:szCs w:val="24"/>
        </w:rPr>
        <w:t>。</w:t>
      </w:r>
    </w:p>
    <w:p w14:paraId="75C76B13">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评审</w:t>
      </w:r>
      <w:r>
        <w:rPr>
          <w:rFonts w:hint="eastAsia" w:ascii="宋体" w:hAnsi="宋体" w:cs="宋体"/>
          <w:color w:val="auto"/>
          <w:sz w:val="24"/>
          <w:szCs w:val="24"/>
        </w:rPr>
        <w:t>小组对符合资格条件的供应商提交的响应文件进行审查。重点审查响应文件的有效性、完整性和实质性响应程度等。</w:t>
      </w:r>
    </w:p>
    <w:p w14:paraId="7F0095E1">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评审</w:t>
      </w:r>
      <w:r>
        <w:rPr>
          <w:rFonts w:hint="eastAsia" w:ascii="宋体" w:hAnsi="宋体" w:cs="宋体"/>
          <w:color w:val="auto"/>
          <w:sz w:val="24"/>
          <w:szCs w:val="24"/>
        </w:rPr>
        <w:t>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15F966BD">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4.任何一方不得透露与</w:t>
      </w:r>
      <w:r>
        <w:rPr>
          <w:rFonts w:hint="eastAsia" w:ascii="宋体" w:hAnsi="宋体" w:cs="宋体"/>
          <w:color w:val="auto"/>
          <w:sz w:val="24"/>
          <w:szCs w:val="24"/>
          <w:lang w:val="en-US" w:eastAsia="zh-CN"/>
        </w:rPr>
        <w:t>评审</w:t>
      </w:r>
      <w:r>
        <w:rPr>
          <w:rFonts w:hint="eastAsia" w:ascii="宋体" w:hAnsi="宋体" w:cs="宋体"/>
          <w:color w:val="auto"/>
          <w:sz w:val="24"/>
          <w:szCs w:val="24"/>
        </w:rPr>
        <w:t>有关的其他供应商技术资料、报价和其他信息。</w:t>
      </w:r>
    </w:p>
    <w:p w14:paraId="16B3286E">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评审</w:t>
      </w:r>
      <w:r>
        <w:rPr>
          <w:rFonts w:hint="eastAsia" w:ascii="宋体" w:hAnsi="宋体" w:cs="宋体"/>
          <w:color w:val="auto"/>
          <w:sz w:val="24"/>
          <w:szCs w:val="24"/>
        </w:rPr>
        <w:t>小组按比选文件规定的评标方法和标准，对资格性检查和符合性检查合格的供应商的响应文件进行商务和技术评估，综合比较与评价确定其商务技术得分。商务技术分按算术平均值计算，分值四舍五入保留两位小数。</w:t>
      </w:r>
    </w:p>
    <w:p w14:paraId="543867FC">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lang w:val="en-US" w:eastAsia="zh-CN"/>
        </w:rPr>
      </w:pPr>
      <w:r>
        <w:rPr>
          <w:rFonts w:hint="eastAsia" w:ascii="宋体" w:hAnsi="宋体" w:cs="宋体"/>
          <w:color w:val="auto"/>
          <w:sz w:val="24"/>
          <w:szCs w:val="24"/>
        </w:rPr>
        <w:t>6.</w:t>
      </w:r>
      <w:r>
        <w:rPr>
          <w:rFonts w:hint="eastAsia" w:ascii="宋体" w:hAnsi="宋体" w:cs="宋体"/>
          <w:color w:val="auto"/>
          <w:sz w:val="24"/>
          <w:szCs w:val="24"/>
          <w:lang w:val="en-US" w:eastAsia="zh-CN"/>
        </w:rPr>
        <w:t>报价分统一采用低价优先法计算直接取得，与商务技术分相加为供应商的综合得分（四舍五入保留两位小数）。</w:t>
      </w:r>
    </w:p>
    <w:p w14:paraId="20F11F60">
      <w:pPr>
        <w:keepNext w:val="0"/>
        <w:keepLines w:val="0"/>
        <w:pageBreakBefore w:val="0"/>
        <w:overflowPunct/>
        <w:bidi w:val="0"/>
        <w:snapToGrid w:val="0"/>
        <w:spacing w:line="360" w:lineRule="auto"/>
        <w:ind w:left="0" w:leftChars="0" w:firstLine="482" w:firstLineChars="200"/>
        <w:jc w:val="both"/>
        <w:rPr>
          <w:rFonts w:hint="eastAsia" w:ascii="宋体" w:hAnsi="宋体" w:cs="宋体"/>
          <w:b/>
          <w:bCs/>
          <w:color w:val="auto"/>
          <w:sz w:val="24"/>
          <w:szCs w:val="24"/>
        </w:rPr>
      </w:pPr>
      <w:r>
        <w:rPr>
          <w:rFonts w:hint="eastAsia" w:ascii="宋体" w:hAnsi="宋体" w:cs="宋体"/>
          <w:b/>
          <w:bCs/>
          <w:color w:val="auto"/>
          <w:sz w:val="24"/>
          <w:szCs w:val="24"/>
        </w:rPr>
        <w:t>四、评审方法及评审细则</w:t>
      </w:r>
    </w:p>
    <w:p w14:paraId="6D4A5D29">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.本项目采用</w:t>
      </w:r>
      <w:r>
        <w:rPr>
          <w:rFonts w:hint="eastAsia" w:ascii="宋体" w:hAnsi="宋体" w:cs="宋体"/>
          <w:b/>
          <w:bCs/>
          <w:color w:val="auto"/>
          <w:sz w:val="24"/>
          <w:szCs w:val="24"/>
          <w:u w:val="single"/>
        </w:rPr>
        <w:t>综合评分法</w:t>
      </w:r>
      <w:r>
        <w:rPr>
          <w:rFonts w:hint="eastAsia" w:ascii="宋体" w:hAnsi="宋体" w:cs="宋体"/>
          <w:color w:val="auto"/>
          <w:sz w:val="24"/>
          <w:szCs w:val="24"/>
        </w:rPr>
        <w:t>，即指在最大限度地满足比选文件实质性要求的前提下，按照本比选文件中规定的评标办法和评分标准及其他各项因素进行综合评审后，以评</w:t>
      </w:r>
      <w:r>
        <w:rPr>
          <w:rFonts w:hint="eastAsia" w:ascii="宋体" w:hAnsi="宋体" w:cs="宋体"/>
          <w:color w:val="auto"/>
          <w:sz w:val="24"/>
          <w:szCs w:val="24"/>
          <w:lang w:val="en-US" w:eastAsia="zh-CN"/>
        </w:rPr>
        <w:t>审</w:t>
      </w:r>
      <w:r>
        <w:rPr>
          <w:rFonts w:hint="eastAsia" w:ascii="宋体" w:hAnsi="宋体" w:cs="宋体"/>
          <w:color w:val="auto"/>
          <w:sz w:val="24"/>
          <w:szCs w:val="24"/>
        </w:rPr>
        <w:t>总得分最高的供应商作为成交候选人的评标方法。</w:t>
      </w:r>
    </w:p>
    <w:p w14:paraId="7B3844CA">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小组将仅按本比选文件载明的方法与规定，为实质上响应比选文件要求的响应文件评审并进行评价和比较。</w:t>
      </w:r>
    </w:p>
    <w:p w14:paraId="7FADF238">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.本次项目的</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技术标和价格标评审总分值为100分。两部分评审因素比重如下：</w:t>
      </w:r>
    </w:p>
    <w:p w14:paraId="4F3254FD">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技术标分值占总分值的比重为</w:t>
      </w:r>
      <w:r>
        <w:rPr>
          <w:rFonts w:hint="eastAsia" w:ascii="宋体" w:hAnsi="宋体" w:cs="宋体"/>
          <w:b/>
          <w:bCs/>
          <w:color w:val="auto"/>
          <w:sz w:val="24"/>
          <w:szCs w:val="24"/>
          <w:u w:val="single"/>
          <w:lang w:val="en-US" w:eastAsia="zh-CN"/>
        </w:rPr>
        <w:t>70</w:t>
      </w:r>
      <w:r>
        <w:rPr>
          <w:rFonts w:hint="eastAsia" w:ascii="宋体" w:hAnsi="宋体" w:cs="宋体"/>
          <w:b/>
          <w:bCs/>
          <w:color w:val="auto"/>
          <w:sz w:val="24"/>
          <w:szCs w:val="24"/>
          <w:u w:val="single"/>
        </w:rPr>
        <w:t>%</w:t>
      </w:r>
      <w:r>
        <w:rPr>
          <w:rFonts w:hint="eastAsia" w:ascii="宋体" w:hAnsi="宋体" w:cs="宋体"/>
          <w:color w:val="auto"/>
          <w:sz w:val="24"/>
          <w:szCs w:val="24"/>
        </w:rPr>
        <w:t>（权重）（取小数点后两位）；</w:t>
      </w:r>
    </w:p>
    <w:p w14:paraId="58F3577C">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（2）价格标分值占总分值的比重为</w:t>
      </w:r>
      <w:r>
        <w:rPr>
          <w:rFonts w:hint="eastAsia" w:ascii="宋体" w:hAnsi="宋体" w:cs="宋体"/>
          <w:b/>
          <w:bCs/>
          <w:color w:val="auto"/>
          <w:sz w:val="24"/>
          <w:szCs w:val="24"/>
          <w:u w:val="single"/>
          <w:lang w:val="en-US" w:eastAsia="zh-CN"/>
        </w:rPr>
        <w:t>30</w:t>
      </w:r>
      <w:r>
        <w:rPr>
          <w:rFonts w:hint="eastAsia" w:ascii="宋体" w:hAnsi="宋体" w:cs="宋体"/>
          <w:b/>
          <w:bCs/>
          <w:color w:val="auto"/>
          <w:sz w:val="24"/>
          <w:szCs w:val="24"/>
          <w:u w:val="single"/>
        </w:rPr>
        <w:t>%</w:t>
      </w:r>
      <w:r>
        <w:rPr>
          <w:rFonts w:hint="eastAsia" w:ascii="宋体" w:hAnsi="宋体" w:cs="宋体"/>
          <w:color w:val="auto"/>
          <w:sz w:val="24"/>
          <w:szCs w:val="24"/>
        </w:rPr>
        <w:t>（权重）（取小数点后两位）。</w:t>
      </w:r>
    </w:p>
    <w:p w14:paraId="06D37FAB">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小组各成员独立对每个进入打分程序的有效供应商的</w:t>
      </w:r>
      <w:r>
        <w:rPr>
          <w:rFonts w:hint="eastAsia" w:ascii="宋体" w:hAnsi="宋体" w:cs="宋体"/>
          <w:color w:val="auto"/>
          <w:sz w:val="24"/>
          <w:szCs w:val="24"/>
          <w:lang w:val="en-US" w:eastAsia="zh-CN"/>
        </w:rPr>
        <w:t>商务</w:t>
      </w:r>
      <w:r>
        <w:rPr>
          <w:rFonts w:hint="eastAsia" w:ascii="宋体" w:hAnsi="宋体" w:cs="宋体"/>
          <w:color w:val="auto"/>
          <w:sz w:val="24"/>
          <w:szCs w:val="24"/>
        </w:rPr>
        <w:t>技术部分以打分的形式进行评审和评价（计算结果均四舍五入保留两位小数）。</w:t>
      </w:r>
    </w:p>
    <w:p w14:paraId="7AD56CEE">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计算各供应商的价格标报价得分，与</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技术标得分相加为供应商的综合得分（计算结果均四舍五入保留两位小数）。</w:t>
      </w:r>
    </w:p>
    <w:p w14:paraId="45CDF002">
      <w:pPr>
        <w:spacing w:line="360" w:lineRule="auto"/>
        <w:ind w:firstLine="480"/>
        <w:rPr>
          <w:rFonts w:hint="eastAsia" w:ascii="Times New Roman" w:hAnsi="Times New Roman"/>
          <w:color w:val="auto"/>
          <w:sz w:val="24"/>
          <w:szCs w:val="24"/>
          <w:highlight w:val="none"/>
        </w:rPr>
      </w:pPr>
      <w:r>
        <w:rPr>
          <w:rFonts w:hint="eastAsia" w:ascii="Times New Roman" w:hAnsi="Times New Roman" w:cs="宋体"/>
          <w:color w:val="auto"/>
          <w:sz w:val="24"/>
          <w:szCs w:val="24"/>
          <w:lang w:val="en-US" w:eastAsia="zh-CN"/>
        </w:rPr>
        <w:t>6.评审</w:t>
      </w:r>
      <w:r>
        <w:rPr>
          <w:rFonts w:hint="eastAsia" w:ascii="Times New Roman" w:hAnsi="Times New Roman" w:cs="宋体"/>
          <w:color w:val="auto"/>
          <w:sz w:val="24"/>
          <w:szCs w:val="24"/>
        </w:rPr>
        <w:t>小组根据</w:t>
      </w:r>
      <w:r>
        <w:rPr>
          <w:rFonts w:hint="eastAsia" w:ascii="Times New Roman" w:hAnsi="Times New Roman" w:cs="宋体"/>
          <w:color w:val="auto"/>
          <w:sz w:val="24"/>
          <w:szCs w:val="24"/>
          <w:highlight w:val="none"/>
        </w:rPr>
        <w:t>综合</w:t>
      </w:r>
      <w:r>
        <w:rPr>
          <w:rFonts w:hint="eastAsia" w:ascii="Times New Roman" w:hAnsi="Times New Roman" w:cs="宋体"/>
          <w:color w:val="auto"/>
          <w:sz w:val="24"/>
          <w:szCs w:val="24"/>
          <w:highlight w:val="none"/>
          <w:lang w:val="en-US" w:eastAsia="zh-CN"/>
        </w:rPr>
        <w:t>得分</w:t>
      </w:r>
      <w:r>
        <w:rPr>
          <w:rFonts w:hint="eastAsia" w:ascii="Times New Roman" w:hAnsi="Times New Roman" w:cs="宋体"/>
          <w:color w:val="auto"/>
          <w:sz w:val="24"/>
          <w:szCs w:val="24"/>
          <w:highlight w:val="none"/>
        </w:rPr>
        <w:t>情况，按照评审得分由高到低顺序推荐3名成交候选供应商，</w:t>
      </w:r>
      <w:r>
        <w:rPr>
          <w:rFonts w:hint="eastAsia" w:ascii="Times New Roman" w:hAnsi="Times New Roman"/>
          <w:color w:val="auto"/>
          <w:sz w:val="24"/>
          <w:szCs w:val="24"/>
          <w:highlight w:val="none"/>
        </w:rPr>
        <w:t>并编写评审报告。</w:t>
      </w:r>
    </w:p>
    <w:p w14:paraId="3E4C36B1">
      <w:pPr>
        <w:spacing w:line="360" w:lineRule="auto"/>
        <w:ind w:firstLine="480"/>
        <w:rPr>
          <w:rFonts w:ascii="宋体" w:hAnsi="宋体" w:cs="宋体"/>
          <w:color w:val="auto"/>
          <w:sz w:val="24"/>
          <w:szCs w:val="24"/>
        </w:rPr>
      </w:pPr>
      <w:r>
        <w:rPr>
          <w:rFonts w:hint="eastAsia" w:ascii="宋体" w:hAnsi="宋体" w:cs="宋体"/>
          <w:color w:val="auto"/>
          <w:sz w:val="24"/>
          <w:szCs w:val="24"/>
        </w:rPr>
        <w:t>7.确定成交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：得分最高的供应商为第一成交候选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w:t>
      </w:r>
      <w:r>
        <w:rPr>
          <w:rFonts w:hint="eastAsia" w:ascii="Times New Roman" w:hAnsi="Times New Roman"/>
          <w:b/>
          <w:color w:val="auto"/>
          <w:sz w:val="24"/>
          <w:szCs w:val="24"/>
          <w:highlight w:val="none"/>
        </w:rPr>
        <w:t>采购人委托</w:t>
      </w:r>
      <w:r>
        <w:rPr>
          <w:rFonts w:hint="eastAsia" w:ascii="Times New Roman" w:hAnsi="Times New Roman"/>
          <w:b/>
          <w:color w:val="auto"/>
          <w:sz w:val="24"/>
          <w:szCs w:val="24"/>
          <w:highlight w:val="none"/>
          <w:lang w:val="en-US" w:eastAsia="zh-CN"/>
        </w:rPr>
        <w:t>评审</w:t>
      </w:r>
      <w:r>
        <w:rPr>
          <w:rFonts w:hint="eastAsia" w:ascii="Times New Roman" w:hAnsi="Times New Roman"/>
          <w:b/>
          <w:color w:val="auto"/>
          <w:sz w:val="24"/>
          <w:szCs w:val="24"/>
          <w:highlight w:val="none"/>
        </w:rPr>
        <w:t>小组确定成交供应商。</w:t>
      </w:r>
      <w:r>
        <w:rPr>
          <w:rFonts w:hint="eastAsia" w:ascii="宋体" w:hAnsi="宋体" w:cs="宋体"/>
          <w:color w:val="auto"/>
          <w:sz w:val="24"/>
          <w:szCs w:val="24"/>
        </w:rPr>
        <w:t>第一成交候选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原则上为成交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。当排名第一的成交候选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放弃成交、因不可抗力不能履行合同、不按照比选文件要求提交履约保证金，或者被查实存在影响成交结果的违法行为等情形，不符合成交条件的，采购人可以按照</w:t>
      </w:r>
      <w:r>
        <w:rPr>
          <w:rFonts w:hint="eastAsia" w:ascii="宋体" w:hAnsi="宋体" w:cs="宋体"/>
          <w:color w:val="auto"/>
          <w:sz w:val="24"/>
          <w:szCs w:val="24"/>
          <w:lang w:val="en-US" w:eastAsia="zh-CN"/>
        </w:rPr>
        <w:t>评审小组</w:t>
      </w:r>
      <w:r>
        <w:rPr>
          <w:rFonts w:hint="eastAsia" w:ascii="宋体" w:hAnsi="宋体" w:cs="宋体"/>
          <w:color w:val="auto"/>
          <w:sz w:val="24"/>
          <w:szCs w:val="24"/>
        </w:rPr>
        <w:t>提出的成交候选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名单排序依次确定其他成交候选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为成交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，也可以重新组织比选。</w:t>
      </w:r>
    </w:p>
    <w:p w14:paraId="4A939DA5">
      <w:pPr>
        <w:spacing w:line="360" w:lineRule="auto"/>
        <w:ind w:firstLine="48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lang w:val="en-US" w:eastAsia="zh-CN"/>
        </w:rPr>
        <w:t>8.确定</w:t>
      </w:r>
      <w:r>
        <w:rPr>
          <w:rFonts w:hint="eastAsia" w:ascii="Times New Roman" w:hAnsi="Times New Roman" w:cs="宋体"/>
          <w:color w:val="auto"/>
          <w:sz w:val="24"/>
          <w:szCs w:val="24"/>
          <w:highlight w:val="none"/>
        </w:rPr>
        <w:t>成交候选</w:t>
      </w:r>
      <w:r>
        <w:rPr>
          <w:rFonts w:hint="eastAsia" w:ascii="Times New Roman" w:hAnsi="Times New Roman" w:cs="宋体"/>
          <w:color w:val="auto"/>
          <w:sz w:val="24"/>
          <w:szCs w:val="24"/>
          <w:highlight w:val="none"/>
          <w:lang w:val="en-US" w:eastAsia="zh-CN"/>
        </w:rPr>
        <w:t>供应商</w:t>
      </w:r>
      <w:r>
        <w:rPr>
          <w:rFonts w:hint="eastAsia" w:ascii="Times New Roman" w:hAnsi="Times New Roman" w:cs="宋体"/>
          <w:color w:val="auto"/>
          <w:sz w:val="24"/>
          <w:szCs w:val="24"/>
          <w:highlight w:val="none"/>
        </w:rPr>
        <w:t>的特殊情况处理：</w:t>
      </w:r>
    </w:p>
    <w:p w14:paraId="346D8D3D">
      <w:pPr>
        <w:spacing w:line="360" w:lineRule="auto"/>
        <w:ind w:firstLine="48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（1）若总分相同，则按报价得分高者优先</w:t>
      </w:r>
      <w:r>
        <w:rPr>
          <w:rFonts w:hint="eastAsia" w:ascii="Times New Roman" w:hAnsi="Times New Roman" w:cs="宋体"/>
          <w:color w:val="auto"/>
          <w:sz w:val="24"/>
          <w:szCs w:val="24"/>
          <w:highlight w:val="none"/>
          <w:lang w:val="en-US" w:eastAsia="zh-CN"/>
        </w:rPr>
        <w:t>成交</w:t>
      </w:r>
      <w:r>
        <w:rPr>
          <w:rFonts w:hint="eastAsia" w:ascii="Times New Roman" w:hAnsi="Times New Roman" w:cs="宋体"/>
          <w:color w:val="auto"/>
          <w:sz w:val="24"/>
          <w:szCs w:val="24"/>
          <w:highlight w:val="none"/>
        </w:rPr>
        <w:t>。</w:t>
      </w:r>
    </w:p>
    <w:p w14:paraId="475977FF">
      <w:pPr>
        <w:spacing w:line="360" w:lineRule="auto"/>
        <w:ind w:firstLine="48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（2）若总分且报价得分相同，则</w:t>
      </w:r>
      <w:r>
        <w:rPr>
          <w:rFonts w:hint="eastAsia" w:ascii="Times New Roman" w:hAnsi="Times New Roman" w:eastAsia="宋体" w:cs="宋体"/>
          <w:color w:val="auto"/>
          <w:sz w:val="24"/>
          <w:szCs w:val="24"/>
          <w:highlight w:val="none"/>
          <w:lang w:val="en-US" w:eastAsia="zh-CN"/>
        </w:rPr>
        <w:t>由评审小组</w:t>
      </w:r>
      <w:r>
        <w:rPr>
          <w:rFonts w:hint="eastAsia" w:ascii="Times New Roman" w:hAnsi="Times New Roman" w:eastAsia="宋体" w:cs="宋体"/>
          <w:color w:val="auto"/>
          <w:sz w:val="24"/>
          <w:szCs w:val="24"/>
          <w:highlight w:val="none"/>
        </w:rPr>
        <w:t>采取现场抽签的方式确定。</w:t>
      </w:r>
    </w:p>
    <w:p w14:paraId="273B81C9">
      <w:pPr>
        <w:spacing w:line="360" w:lineRule="auto"/>
        <w:ind w:firstLine="480"/>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五</w:t>
      </w:r>
      <w:r>
        <w:rPr>
          <w:rFonts w:hint="eastAsia" w:ascii="Times New Roman" w:hAnsi="Times New Roman" w:eastAsia="宋体" w:cs="宋体"/>
          <w:b/>
          <w:bCs/>
          <w:color w:val="auto"/>
          <w:sz w:val="24"/>
          <w:szCs w:val="24"/>
          <w:highlight w:val="none"/>
          <w:lang w:eastAsia="zh-CN"/>
        </w:rPr>
        <w:t>、综合评分评审标准</w:t>
      </w:r>
    </w:p>
    <w:p w14:paraId="68C0CDEF">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szCs w:val="24"/>
          <w:lang w:val="en-US" w:eastAsia="zh-CN"/>
        </w:rPr>
        <w:t>商务</w:t>
      </w:r>
      <w:r>
        <w:rPr>
          <w:rFonts w:hint="eastAsia" w:ascii="宋体" w:hAnsi="宋体" w:cs="宋体"/>
          <w:color w:val="auto"/>
          <w:sz w:val="24"/>
          <w:szCs w:val="24"/>
        </w:rPr>
        <w:t>技术分（</w:t>
      </w:r>
      <w:r>
        <w:rPr>
          <w:rFonts w:hint="eastAsia" w:ascii="宋体" w:hAnsi="宋体" w:cs="宋体"/>
          <w:color w:val="auto"/>
          <w:sz w:val="24"/>
          <w:szCs w:val="24"/>
          <w:lang w:val="en-US" w:eastAsia="zh-CN"/>
        </w:rPr>
        <w:t>70</w:t>
      </w:r>
      <w:r>
        <w:rPr>
          <w:rFonts w:hint="eastAsia" w:ascii="宋体" w:hAnsi="宋体" w:cs="宋体"/>
          <w:color w:val="auto"/>
          <w:sz w:val="24"/>
          <w:szCs w:val="24"/>
        </w:rPr>
        <w:t>分）</w:t>
      </w:r>
    </w:p>
    <w:p w14:paraId="47A9442F">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供应商技术得分为评审小组成员评分的算术平均分，分值保留小数点后两位。</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073"/>
        <w:gridCol w:w="1134"/>
        <w:gridCol w:w="4918"/>
        <w:gridCol w:w="793"/>
      </w:tblGrid>
      <w:tr w14:paraId="2A28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56" w:type="pct"/>
            <w:noWrap w:val="0"/>
            <w:vAlign w:val="center"/>
          </w:tcPr>
          <w:p w14:paraId="2AED5095">
            <w:pPr>
              <w:pStyle w:val="9"/>
              <w:keepNext w:val="0"/>
              <w:keepLines w:val="0"/>
              <w:pageBreakBefore w:val="0"/>
              <w:widowControl w:val="0"/>
              <w:tabs>
                <w:tab w:val="left" w:pos="1000"/>
              </w:tabs>
              <w:kinsoku/>
              <w:wordWrap/>
              <w:overflowPunct/>
              <w:topLinePunct w:val="0"/>
              <w:autoSpaceDE/>
              <w:autoSpaceDN/>
              <w:bidi w:val="0"/>
              <w:adjustRightInd w:val="0"/>
              <w:snapToGrid w:val="0"/>
              <w:spacing w:line="240" w:lineRule="auto"/>
              <w:ind w:right="0" w:rightChars="0" w:firstLine="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序号</w:t>
            </w:r>
          </w:p>
        </w:tc>
        <w:tc>
          <w:tcPr>
            <w:tcW w:w="629" w:type="pct"/>
            <w:noWrap w:val="0"/>
            <w:vAlign w:val="center"/>
          </w:tcPr>
          <w:p w14:paraId="7C759A5B">
            <w:pPr>
              <w:pStyle w:val="9"/>
              <w:keepNext w:val="0"/>
              <w:keepLines w:val="0"/>
              <w:pageBreakBefore w:val="0"/>
              <w:widowControl w:val="0"/>
              <w:tabs>
                <w:tab w:val="left" w:pos="1000"/>
              </w:tabs>
              <w:kinsoku/>
              <w:wordWrap/>
              <w:overflowPunct/>
              <w:topLinePunct w:val="0"/>
              <w:autoSpaceDE/>
              <w:autoSpaceDN/>
              <w:bidi w:val="0"/>
              <w:adjustRightInd w:val="0"/>
              <w:snapToGrid w:val="0"/>
              <w:spacing w:line="240" w:lineRule="auto"/>
              <w:ind w:right="0" w:rightChars="0" w:firstLine="0"/>
              <w:jc w:val="left"/>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评分细目</w:t>
            </w:r>
          </w:p>
        </w:tc>
        <w:tc>
          <w:tcPr>
            <w:tcW w:w="3549" w:type="pct"/>
            <w:gridSpan w:val="2"/>
            <w:noWrap w:val="0"/>
            <w:vAlign w:val="center"/>
          </w:tcPr>
          <w:p w14:paraId="62C1D1DC">
            <w:pPr>
              <w:pStyle w:val="9"/>
              <w:keepNext w:val="0"/>
              <w:keepLines w:val="0"/>
              <w:pageBreakBefore w:val="0"/>
              <w:widowControl w:val="0"/>
              <w:tabs>
                <w:tab w:val="left" w:pos="1000"/>
              </w:tabs>
              <w:kinsoku/>
              <w:wordWrap/>
              <w:overflowPunct/>
              <w:topLinePunct w:val="0"/>
              <w:autoSpaceDE/>
              <w:autoSpaceDN/>
              <w:bidi w:val="0"/>
              <w:adjustRightInd w:val="0"/>
              <w:snapToGrid w:val="0"/>
              <w:spacing w:line="240" w:lineRule="auto"/>
              <w:ind w:right="0" w:rightChars="0" w:firstLine="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评分内容</w:t>
            </w:r>
          </w:p>
        </w:tc>
        <w:tc>
          <w:tcPr>
            <w:tcW w:w="465" w:type="pct"/>
            <w:noWrap w:val="0"/>
            <w:vAlign w:val="center"/>
          </w:tcPr>
          <w:p w14:paraId="620A9F3E">
            <w:pPr>
              <w:pStyle w:val="9"/>
              <w:keepNext w:val="0"/>
              <w:keepLines w:val="0"/>
              <w:pageBreakBefore w:val="0"/>
              <w:widowControl w:val="0"/>
              <w:tabs>
                <w:tab w:val="left" w:pos="1000"/>
              </w:tabs>
              <w:kinsoku/>
              <w:wordWrap/>
              <w:overflowPunct/>
              <w:topLinePunct w:val="0"/>
              <w:autoSpaceDE/>
              <w:autoSpaceDN/>
              <w:bidi w:val="0"/>
              <w:adjustRightInd w:val="0"/>
              <w:snapToGrid w:val="0"/>
              <w:spacing w:line="240" w:lineRule="auto"/>
              <w:ind w:right="0" w:rightChars="0" w:firstLine="0"/>
              <w:jc w:val="center"/>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分值</w:t>
            </w:r>
          </w:p>
        </w:tc>
      </w:tr>
      <w:tr w14:paraId="5E64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356" w:type="pct"/>
            <w:vMerge w:val="restart"/>
            <w:noWrap w:val="0"/>
            <w:vAlign w:val="center"/>
          </w:tcPr>
          <w:p w14:paraId="2C32A763">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rPr>
            </w:pPr>
          </w:p>
          <w:p w14:paraId="33DCDD41">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rPr>
            </w:pPr>
          </w:p>
          <w:p w14:paraId="4B17158A">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rPr>
            </w:pPr>
          </w:p>
          <w:p w14:paraId="4B99E754">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p>
        </w:tc>
        <w:tc>
          <w:tcPr>
            <w:tcW w:w="629" w:type="pct"/>
            <w:vMerge w:val="restart"/>
            <w:noWrap w:val="0"/>
            <w:vAlign w:val="center"/>
          </w:tcPr>
          <w:p w14:paraId="27F050BC">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p>
          <w:p w14:paraId="1E60D73D">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p>
          <w:p w14:paraId="40E8D91D">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p>
          <w:p w14:paraId="6CD3CC51">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p>
          <w:p w14:paraId="7C2AE0B1">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p>
          <w:p w14:paraId="6297CE12">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方案设计  （4</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分）</w:t>
            </w:r>
          </w:p>
        </w:tc>
        <w:tc>
          <w:tcPr>
            <w:tcW w:w="665" w:type="pct"/>
            <w:noWrap w:val="0"/>
            <w:vAlign w:val="center"/>
          </w:tcPr>
          <w:p w14:paraId="2CBC4124">
            <w:pPr>
              <w:pStyle w:val="16"/>
              <w:keepNext w:val="0"/>
              <w:keepLines w:val="0"/>
              <w:pageBreakBefore w:val="0"/>
              <w:widowControl w:val="0"/>
              <w:kinsoku/>
              <w:wordWrap/>
              <w:overflowPunct/>
              <w:topLinePunct w:val="0"/>
              <w:autoSpaceDE/>
              <w:autoSpaceDN/>
              <w:bidi w:val="0"/>
              <w:adjustRightInd w:val="0"/>
              <w:spacing w:line="240" w:lineRule="auto"/>
              <w:ind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设计范围、设计内容</w:t>
            </w:r>
          </w:p>
        </w:tc>
        <w:tc>
          <w:tcPr>
            <w:tcW w:w="2884" w:type="pct"/>
            <w:noWrap w:val="0"/>
            <w:vAlign w:val="top"/>
          </w:tcPr>
          <w:p w14:paraId="12D8E98F">
            <w:pPr>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（1）符合</w:t>
            </w:r>
            <w:r>
              <w:rPr>
                <w:rFonts w:hint="eastAsia" w:ascii="宋体" w:hAnsi="宋体" w:eastAsia="宋体" w:cs="宋体"/>
                <w:color w:val="auto"/>
                <w:kern w:val="2"/>
                <w:sz w:val="24"/>
                <w:szCs w:val="24"/>
                <w:lang w:val="en-US" w:eastAsia="zh-CN"/>
              </w:rPr>
              <w:t>招标</w:t>
            </w:r>
            <w:r>
              <w:rPr>
                <w:rFonts w:hint="eastAsia" w:ascii="宋体" w:hAnsi="宋体" w:eastAsia="宋体" w:cs="宋体"/>
                <w:color w:val="auto"/>
                <w:kern w:val="2"/>
                <w:sz w:val="24"/>
                <w:szCs w:val="24"/>
              </w:rPr>
              <w:t>项目性质要求和相关的设计规范，设计文件说明与效果图内容完整，具有系统性，表达准确</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总体设计思路明确。优秀</w:t>
            </w:r>
            <w:r>
              <w:rPr>
                <w:rFonts w:hint="eastAsia" w:ascii="宋体" w:hAnsi="宋体" w:cs="宋体"/>
                <w:color w:val="auto"/>
                <w:kern w:val="2"/>
                <w:sz w:val="24"/>
                <w:szCs w:val="24"/>
                <w:lang w:val="en-US" w:eastAsia="zh-CN"/>
              </w:rPr>
              <w:t>2</w:t>
            </w:r>
            <w:r>
              <w:rPr>
                <w:rFonts w:hint="eastAsia" w:ascii="宋体" w:hAnsi="宋体" w:eastAsia="宋体" w:cs="宋体"/>
                <w:color w:val="auto"/>
                <w:kern w:val="2"/>
                <w:sz w:val="24"/>
                <w:szCs w:val="24"/>
              </w:rPr>
              <w:t>分， 良好</w:t>
            </w:r>
            <w:r>
              <w:rPr>
                <w:rFonts w:hint="eastAsia" w:ascii="宋体" w:hAnsi="宋体" w:cs="宋体"/>
                <w:color w:val="auto"/>
                <w:kern w:val="2"/>
                <w:sz w:val="24"/>
                <w:szCs w:val="24"/>
                <w:lang w:val="en-US" w:eastAsia="zh-CN"/>
              </w:rPr>
              <w:t>1</w:t>
            </w:r>
            <w:r>
              <w:rPr>
                <w:rFonts w:hint="eastAsia" w:ascii="宋体" w:hAnsi="宋体" w:eastAsia="宋体" w:cs="宋体"/>
                <w:color w:val="auto"/>
                <w:kern w:val="2"/>
                <w:sz w:val="24"/>
                <w:szCs w:val="24"/>
              </w:rPr>
              <w:t>分，</w:t>
            </w:r>
            <w:r>
              <w:rPr>
                <w:rFonts w:hint="eastAsia" w:ascii="宋体" w:hAnsi="宋体" w:cs="宋体"/>
                <w:color w:val="auto"/>
                <w:kern w:val="2"/>
                <w:sz w:val="24"/>
                <w:szCs w:val="24"/>
                <w:lang w:val="en-US" w:eastAsia="zh-CN"/>
              </w:rPr>
              <w:t>不提供不得分</w:t>
            </w:r>
            <w:r>
              <w:rPr>
                <w:rFonts w:hint="eastAsia" w:ascii="宋体" w:hAnsi="宋体" w:eastAsia="宋体" w:cs="宋体"/>
                <w:color w:val="auto"/>
                <w:kern w:val="2"/>
                <w:sz w:val="24"/>
                <w:szCs w:val="24"/>
              </w:rPr>
              <w:t xml:space="preserve">。 </w:t>
            </w:r>
          </w:p>
          <w:p w14:paraId="63D3C882">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rPr>
              <w:t>（2）成果图纸符合设计任务书规定的设计定位、设计原则以及各分项设计要求，方案脉络清晰。优</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分，良好</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分，</w:t>
            </w:r>
            <w:r>
              <w:rPr>
                <w:rFonts w:hint="eastAsia" w:ascii="宋体" w:hAnsi="宋体" w:cs="宋体"/>
                <w:color w:val="auto"/>
                <w:kern w:val="2"/>
                <w:sz w:val="24"/>
                <w:szCs w:val="24"/>
                <w:lang w:val="en-US" w:eastAsia="zh-CN"/>
              </w:rPr>
              <w:t>不提供不得分</w:t>
            </w:r>
            <w:r>
              <w:rPr>
                <w:rFonts w:hint="eastAsia" w:ascii="宋体" w:hAnsi="宋体" w:eastAsia="宋体" w:cs="宋体"/>
                <w:color w:val="auto"/>
                <w:kern w:val="2"/>
                <w:sz w:val="24"/>
                <w:szCs w:val="24"/>
              </w:rPr>
              <w:t>。</w:t>
            </w:r>
          </w:p>
        </w:tc>
        <w:tc>
          <w:tcPr>
            <w:tcW w:w="465" w:type="pct"/>
            <w:noWrap w:val="0"/>
            <w:vAlign w:val="center"/>
          </w:tcPr>
          <w:p w14:paraId="550BB3CF">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r>
      <w:tr w14:paraId="3E68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356" w:type="pct"/>
            <w:vMerge w:val="continue"/>
            <w:noWrap w:val="0"/>
            <w:vAlign w:val="center"/>
          </w:tcPr>
          <w:p w14:paraId="2528B889">
            <w:pPr>
              <w:pStyle w:val="16"/>
              <w:keepNext w:val="0"/>
              <w:keepLines w:val="0"/>
              <w:pageBreakBefore w:val="0"/>
              <w:widowControl w:val="0"/>
              <w:kinsoku/>
              <w:wordWrap/>
              <w:overflowPunct/>
              <w:topLinePunct w:val="0"/>
              <w:autoSpaceDE/>
              <w:autoSpaceDN/>
              <w:bidi w:val="0"/>
              <w:adjustRightInd w:val="0"/>
              <w:spacing w:line="240" w:lineRule="auto"/>
              <w:ind w:right="0" w:rightChars="0"/>
              <w:textAlignment w:val="auto"/>
              <w:rPr>
                <w:rFonts w:hint="eastAsia" w:ascii="宋体" w:hAnsi="宋体" w:eastAsia="宋体" w:cs="宋体"/>
                <w:color w:val="auto"/>
                <w:sz w:val="24"/>
                <w:szCs w:val="24"/>
              </w:rPr>
            </w:pPr>
          </w:p>
        </w:tc>
        <w:tc>
          <w:tcPr>
            <w:tcW w:w="629" w:type="pct"/>
            <w:vMerge w:val="continue"/>
            <w:noWrap w:val="0"/>
            <w:vAlign w:val="center"/>
          </w:tcPr>
          <w:p w14:paraId="1F680545">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p>
        </w:tc>
        <w:tc>
          <w:tcPr>
            <w:tcW w:w="665" w:type="pct"/>
            <w:noWrap w:val="0"/>
            <w:vAlign w:val="center"/>
          </w:tcPr>
          <w:p w14:paraId="01A9F2CD">
            <w:pPr>
              <w:pStyle w:val="16"/>
              <w:keepNext w:val="0"/>
              <w:keepLines w:val="0"/>
              <w:pageBreakBefore w:val="0"/>
              <w:widowControl w:val="0"/>
              <w:kinsoku/>
              <w:wordWrap/>
              <w:overflowPunct/>
              <w:topLinePunct w:val="0"/>
              <w:autoSpaceDE/>
              <w:autoSpaceDN/>
              <w:bidi w:val="0"/>
              <w:adjustRightInd w:val="0"/>
              <w:spacing w:line="240" w:lineRule="auto"/>
              <w:ind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设计说明和设计方案</w:t>
            </w:r>
          </w:p>
        </w:tc>
        <w:tc>
          <w:tcPr>
            <w:tcW w:w="2884" w:type="pct"/>
            <w:noWrap w:val="0"/>
            <w:vAlign w:val="top"/>
          </w:tcPr>
          <w:p w14:paraId="0534CD6B">
            <w:pPr>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（1）主体设计明确、构思理念新颖，方案对规划、成果把握到位、展示充分、重点突出，整体装饰效果较好。优秀5分，良好 3分，</w:t>
            </w:r>
            <w:r>
              <w:rPr>
                <w:rFonts w:hint="eastAsia" w:ascii="宋体" w:hAnsi="宋体" w:cs="宋体"/>
                <w:color w:val="auto"/>
                <w:kern w:val="2"/>
                <w:sz w:val="24"/>
                <w:szCs w:val="24"/>
                <w:lang w:val="en-US" w:eastAsia="zh-CN"/>
              </w:rPr>
              <w:t>一般</w:t>
            </w:r>
            <w:r>
              <w:rPr>
                <w:rFonts w:hint="eastAsia" w:ascii="宋体" w:hAnsi="宋体" w:eastAsia="宋体" w:cs="宋体"/>
                <w:color w:val="auto"/>
                <w:kern w:val="2"/>
                <w:sz w:val="24"/>
                <w:szCs w:val="24"/>
              </w:rPr>
              <w:t>1分，</w:t>
            </w:r>
            <w:r>
              <w:rPr>
                <w:rFonts w:hint="eastAsia" w:ascii="宋体" w:hAnsi="宋体" w:cs="宋体"/>
                <w:color w:val="auto"/>
                <w:kern w:val="2"/>
                <w:sz w:val="24"/>
                <w:szCs w:val="24"/>
                <w:lang w:val="en-US" w:eastAsia="zh-CN"/>
              </w:rPr>
              <w:t>不提供不得分</w:t>
            </w:r>
            <w:r>
              <w:rPr>
                <w:rFonts w:hint="eastAsia" w:ascii="宋体" w:hAnsi="宋体" w:eastAsia="宋体" w:cs="宋体"/>
                <w:color w:val="auto"/>
                <w:kern w:val="2"/>
                <w:sz w:val="24"/>
                <w:szCs w:val="24"/>
              </w:rPr>
              <w:t>。</w:t>
            </w:r>
          </w:p>
          <w:p w14:paraId="65AB2E39">
            <w:pPr>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（2）平面布局（含平面功能布置、流线分析、固定家具布置）空间合理、光线通透、功能实用。优秀5分，良好3分，</w:t>
            </w:r>
            <w:r>
              <w:rPr>
                <w:rFonts w:hint="eastAsia" w:ascii="宋体" w:hAnsi="宋体" w:cs="宋体"/>
                <w:color w:val="auto"/>
                <w:kern w:val="2"/>
                <w:sz w:val="24"/>
                <w:szCs w:val="24"/>
                <w:lang w:val="en-US" w:eastAsia="zh-CN"/>
              </w:rPr>
              <w:t>一般</w:t>
            </w:r>
            <w:r>
              <w:rPr>
                <w:rFonts w:hint="eastAsia" w:ascii="宋体" w:hAnsi="宋体" w:eastAsia="宋体" w:cs="宋体"/>
                <w:color w:val="auto"/>
                <w:kern w:val="2"/>
                <w:sz w:val="24"/>
                <w:szCs w:val="24"/>
              </w:rPr>
              <w:t>1分，</w:t>
            </w:r>
            <w:r>
              <w:rPr>
                <w:rFonts w:hint="eastAsia" w:ascii="宋体" w:hAnsi="宋体" w:cs="宋体"/>
                <w:color w:val="auto"/>
                <w:kern w:val="2"/>
                <w:sz w:val="24"/>
                <w:szCs w:val="24"/>
                <w:lang w:val="en-US" w:eastAsia="zh-CN"/>
              </w:rPr>
              <w:t>不提供不得分</w:t>
            </w:r>
            <w:r>
              <w:rPr>
                <w:rFonts w:hint="eastAsia" w:ascii="宋体" w:hAnsi="宋体" w:eastAsia="宋体" w:cs="宋体"/>
                <w:color w:val="auto"/>
                <w:kern w:val="2"/>
                <w:sz w:val="24"/>
                <w:szCs w:val="24"/>
              </w:rPr>
              <w:t>。</w:t>
            </w:r>
          </w:p>
          <w:p w14:paraId="4D7E3512">
            <w:pPr>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（3）充分利用现有的建筑格局和空间，构思新颖有创意，功能布置合理。重要空间节点效果图</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张（根据功能相互关系进行布局）稳重大气、用材合理、配色舒适；优秀 5分，良好3 分，</w:t>
            </w:r>
            <w:r>
              <w:rPr>
                <w:rFonts w:hint="eastAsia" w:ascii="宋体" w:hAnsi="宋体" w:cs="宋体"/>
                <w:color w:val="auto"/>
                <w:kern w:val="2"/>
                <w:sz w:val="24"/>
                <w:szCs w:val="24"/>
                <w:lang w:val="en-US" w:eastAsia="zh-CN"/>
              </w:rPr>
              <w:t>一般</w:t>
            </w:r>
            <w:r>
              <w:rPr>
                <w:rFonts w:hint="eastAsia" w:ascii="宋体" w:hAnsi="宋体" w:eastAsia="宋体" w:cs="宋体"/>
                <w:color w:val="auto"/>
                <w:kern w:val="2"/>
                <w:sz w:val="24"/>
                <w:szCs w:val="24"/>
              </w:rPr>
              <w:t>1分，</w:t>
            </w:r>
            <w:r>
              <w:rPr>
                <w:rFonts w:hint="eastAsia" w:ascii="宋体" w:hAnsi="宋体" w:cs="宋体"/>
                <w:color w:val="auto"/>
                <w:kern w:val="2"/>
                <w:sz w:val="24"/>
                <w:szCs w:val="24"/>
                <w:lang w:val="en-US" w:eastAsia="zh-CN"/>
              </w:rPr>
              <w:t>不提供不得分</w:t>
            </w:r>
            <w:r>
              <w:rPr>
                <w:rFonts w:hint="eastAsia" w:ascii="宋体" w:hAnsi="宋体" w:eastAsia="宋体" w:cs="宋体"/>
                <w:color w:val="auto"/>
                <w:kern w:val="2"/>
                <w:sz w:val="24"/>
                <w:szCs w:val="24"/>
              </w:rPr>
              <w:t>。</w:t>
            </w:r>
          </w:p>
          <w:p w14:paraId="52E4B402">
            <w:pPr>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（4）具有全面性、安全性、科学性，优秀5分，良好3分，</w:t>
            </w:r>
            <w:r>
              <w:rPr>
                <w:rFonts w:hint="eastAsia" w:ascii="宋体" w:hAnsi="宋体" w:cs="宋体"/>
                <w:color w:val="auto"/>
                <w:kern w:val="2"/>
                <w:sz w:val="24"/>
                <w:szCs w:val="24"/>
                <w:lang w:val="en-US" w:eastAsia="zh-CN"/>
              </w:rPr>
              <w:t>一般</w:t>
            </w:r>
            <w:r>
              <w:rPr>
                <w:rFonts w:hint="eastAsia" w:ascii="宋体" w:hAnsi="宋体" w:eastAsia="宋体" w:cs="宋体"/>
                <w:color w:val="auto"/>
                <w:kern w:val="2"/>
                <w:sz w:val="24"/>
                <w:szCs w:val="24"/>
              </w:rPr>
              <w:t>1分，</w:t>
            </w:r>
            <w:r>
              <w:rPr>
                <w:rFonts w:hint="eastAsia" w:ascii="宋体" w:hAnsi="宋体" w:cs="宋体"/>
                <w:color w:val="auto"/>
                <w:kern w:val="2"/>
                <w:sz w:val="24"/>
                <w:szCs w:val="24"/>
                <w:lang w:val="en-US" w:eastAsia="zh-CN"/>
              </w:rPr>
              <w:t>不提供不得分</w:t>
            </w:r>
            <w:r>
              <w:rPr>
                <w:rFonts w:hint="eastAsia" w:ascii="宋体" w:hAnsi="宋体" w:eastAsia="宋体" w:cs="宋体"/>
                <w:color w:val="auto"/>
                <w:kern w:val="2"/>
                <w:sz w:val="24"/>
                <w:szCs w:val="24"/>
              </w:rPr>
              <w:t>。</w:t>
            </w:r>
          </w:p>
          <w:p w14:paraId="611D9765">
            <w:pPr>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（5）设计风格与建筑设计风格协调，空间设计合理</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创意优良、细节精美、造价适度。优秀5分，良好3分，</w:t>
            </w:r>
            <w:r>
              <w:rPr>
                <w:rFonts w:hint="eastAsia" w:ascii="宋体" w:hAnsi="宋体" w:cs="宋体"/>
                <w:color w:val="auto"/>
                <w:kern w:val="2"/>
                <w:sz w:val="24"/>
                <w:szCs w:val="24"/>
                <w:lang w:val="en-US" w:eastAsia="zh-CN"/>
              </w:rPr>
              <w:t>一般</w:t>
            </w:r>
            <w:r>
              <w:rPr>
                <w:rFonts w:hint="eastAsia" w:ascii="宋体" w:hAnsi="宋体" w:eastAsia="宋体" w:cs="宋体"/>
                <w:color w:val="auto"/>
                <w:kern w:val="2"/>
                <w:sz w:val="24"/>
                <w:szCs w:val="24"/>
              </w:rPr>
              <w:t>1分，</w:t>
            </w:r>
            <w:r>
              <w:rPr>
                <w:rFonts w:hint="eastAsia" w:ascii="宋体" w:hAnsi="宋体" w:cs="宋体"/>
                <w:color w:val="auto"/>
                <w:kern w:val="2"/>
                <w:sz w:val="24"/>
                <w:szCs w:val="24"/>
                <w:lang w:val="en-US" w:eastAsia="zh-CN"/>
              </w:rPr>
              <w:t>不提供不得分</w:t>
            </w:r>
            <w:r>
              <w:rPr>
                <w:rFonts w:hint="eastAsia" w:ascii="宋体" w:hAnsi="宋体" w:eastAsia="宋体" w:cs="宋体"/>
                <w:color w:val="auto"/>
                <w:kern w:val="2"/>
                <w:sz w:val="24"/>
                <w:szCs w:val="24"/>
              </w:rPr>
              <w:t>。</w:t>
            </w:r>
          </w:p>
          <w:p w14:paraId="79323371">
            <w:pPr>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rPr>
              <w:t>（6）娴熟地运用主次与虚实的规律、比例与尺度的规律进行深入细致的细部处理设计，对改造部位提出完整的解决方案，创造出完美的视觉效果和宜人的空间氛围。优秀5分，良好3分，</w:t>
            </w:r>
            <w:r>
              <w:rPr>
                <w:rFonts w:hint="eastAsia" w:ascii="宋体" w:hAnsi="宋体" w:cs="宋体"/>
                <w:color w:val="auto"/>
                <w:kern w:val="2"/>
                <w:sz w:val="24"/>
                <w:szCs w:val="24"/>
                <w:lang w:val="en-US" w:eastAsia="zh-CN"/>
              </w:rPr>
              <w:t>一般</w:t>
            </w:r>
            <w:r>
              <w:rPr>
                <w:rFonts w:hint="eastAsia" w:ascii="宋体" w:hAnsi="宋体" w:eastAsia="宋体" w:cs="宋体"/>
                <w:color w:val="auto"/>
                <w:kern w:val="2"/>
                <w:sz w:val="24"/>
                <w:szCs w:val="24"/>
              </w:rPr>
              <w:t>1分，</w:t>
            </w:r>
            <w:r>
              <w:rPr>
                <w:rFonts w:hint="eastAsia" w:ascii="宋体" w:hAnsi="宋体" w:cs="宋体"/>
                <w:color w:val="auto"/>
                <w:kern w:val="2"/>
                <w:sz w:val="24"/>
                <w:szCs w:val="24"/>
                <w:lang w:val="en-US" w:eastAsia="zh-CN"/>
              </w:rPr>
              <w:t>不提供不得分</w:t>
            </w:r>
            <w:r>
              <w:rPr>
                <w:rFonts w:hint="eastAsia" w:ascii="宋体" w:hAnsi="宋体" w:eastAsia="宋体" w:cs="宋体"/>
                <w:color w:val="auto"/>
                <w:kern w:val="2"/>
                <w:sz w:val="24"/>
                <w:szCs w:val="24"/>
              </w:rPr>
              <w:t>。</w:t>
            </w:r>
          </w:p>
        </w:tc>
        <w:tc>
          <w:tcPr>
            <w:tcW w:w="465" w:type="pct"/>
            <w:noWrap w:val="0"/>
            <w:vAlign w:val="center"/>
          </w:tcPr>
          <w:p w14:paraId="478A8D31">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r>
      <w:tr w14:paraId="63D5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356" w:type="pct"/>
            <w:vMerge w:val="continue"/>
            <w:noWrap w:val="0"/>
            <w:vAlign w:val="center"/>
          </w:tcPr>
          <w:p w14:paraId="0808B8EC">
            <w:pPr>
              <w:pStyle w:val="16"/>
              <w:keepNext w:val="0"/>
              <w:keepLines w:val="0"/>
              <w:pageBreakBefore w:val="0"/>
              <w:widowControl w:val="0"/>
              <w:kinsoku/>
              <w:wordWrap/>
              <w:overflowPunct/>
              <w:topLinePunct w:val="0"/>
              <w:autoSpaceDE/>
              <w:autoSpaceDN/>
              <w:bidi w:val="0"/>
              <w:adjustRightInd w:val="0"/>
              <w:spacing w:line="240" w:lineRule="auto"/>
              <w:ind w:right="0" w:rightChars="0"/>
              <w:textAlignment w:val="auto"/>
              <w:rPr>
                <w:rFonts w:hint="eastAsia" w:ascii="宋体" w:hAnsi="宋体" w:eastAsia="宋体" w:cs="宋体"/>
                <w:color w:val="auto"/>
                <w:sz w:val="24"/>
                <w:szCs w:val="24"/>
              </w:rPr>
            </w:pPr>
          </w:p>
        </w:tc>
        <w:tc>
          <w:tcPr>
            <w:tcW w:w="629" w:type="pct"/>
            <w:vMerge w:val="continue"/>
            <w:noWrap w:val="0"/>
            <w:vAlign w:val="center"/>
          </w:tcPr>
          <w:p w14:paraId="029C3777">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p>
        </w:tc>
        <w:tc>
          <w:tcPr>
            <w:tcW w:w="665" w:type="pct"/>
            <w:noWrap w:val="0"/>
            <w:vAlign w:val="center"/>
          </w:tcPr>
          <w:p w14:paraId="5BDF53F0">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节能环保到位</w:t>
            </w:r>
          </w:p>
        </w:tc>
        <w:tc>
          <w:tcPr>
            <w:tcW w:w="2884" w:type="pct"/>
            <w:noWrap w:val="0"/>
            <w:vAlign w:val="top"/>
          </w:tcPr>
          <w:p w14:paraId="0F53C1C5">
            <w:pPr>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采用新型环保技术，节约投资运行费用，符合国家节能环保方向。</w:t>
            </w:r>
            <w:r>
              <w:rPr>
                <w:rFonts w:hint="eastAsia" w:ascii="宋体" w:hAnsi="宋体" w:eastAsia="宋体" w:cs="宋体"/>
                <w:color w:val="auto"/>
                <w:kern w:val="2"/>
                <w:sz w:val="24"/>
                <w:szCs w:val="24"/>
              </w:rPr>
              <w:t>优秀</w:t>
            </w:r>
            <w:r>
              <w:rPr>
                <w:rFonts w:hint="eastAsia" w:ascii="宋体" w:hAnsi="宋体" w:cs="宋体"/>
                <w:color w:val="auto"/>
                <w:kern w:val="2"/>
                <w:sz w:val="24"/>
                <w:szCs w:val="24"/>
                <w:lang w:val="en-US" w:eastAsia="zh-CN"/>
              </w:rPr>
              <w:t>5</w:t>
            </w:r>
            <w:r>
              <w:rPr>
                <w:rFonts w:hint="eastAsia" w:ascii="宋体" w:hAnsi="宋体" w:eastAsia="宋体" w:cs="宋体"/>
                <w:color w:val="auto"/>
                <w:kern w:val="2"/>
                <w:sz w:val="24"/>
                <w:szCs w:val="24"/>
              </w:rPr>
              <w:t>分，良好3分</w:t>
            </w:r>
            <w:r>
              <w:rPr>
                <w:rFonts w:hint="eastAsia" w:ascii="宋体" w:hAnsi="宋体" w:cs="宋体"/>
                <w:color w:val="auto"/>
                <w:kern w:val="2"/>
                <w:sz w:val="24"/>
                <w:szCs w:val="24"/>
                <w:lang w:val="en-US" w:eastAsia="zh-CN"/>
              </w:rPr>
              <w:t>一般</w:t>
            </w:r>
            <w:r>
              <w:rPr>
                <w:rFonts w:hint="eastAsia" w:ascii="宋体" w:hAnsi="宋体" w:eastAsia="宋体" w:cs="宋体"/>
                <w:color w:val="auto"/>
                <w:kern w:val="2"/>
                <w:sz w:val="24"/>
                <w:szCs w:val="24"/>
              </w:rPr>
              <w:t>1分，</w:t>
            </w:r>
            <w:r>
              <w:rPr>
                <w:rFonts w:hint="eastAsia" w:ascii="宋体" w:hAnsi="宋体" w:cs="宋体"/>
                <w:color w:val="auto"/>
                <w:kern w:val="2"/>
                <w:sz w:val="24"/>
                <w:szCs w:val="24"/>
                <w:lang w:val="en-US" w:eastAsia="zh-CN"/>
              </w:rPr>
              <w:t>不提供不得分</w:t>
            </w:r>
            <w:r>
              <w:rPr>
                <w:rFonts w:hint="eastAsia" w:ascii="宋体" w:hAnsi="宋体" w:eastAsia="宋体" w:cs="宋体"/>
                <w:color w:val="auto"/>
                <w:kern w:val="2"/>
                <w:sz w:val="24"/>
                <w:szCs w:val="24"/>
              </w:rPr>
              <w:t>。</w:t>
            </w:r>
          </w:p>
        </w:tc>
        <w:tc>
          <w:tcPr>
            <w:tcW w:w="465" w:type="pct"/>
            <w:noWrap w:val="0"/>
            <w:vAlign w:val="center"/>
          </w:tcPr>
          <w:p w14:paraId="27FF77A7">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r>
      <w:tr w14:paraId="5C91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 w:type="pct"/>
            <w:vMerge w:val="continue"/>
            <w:noWrap w:val="0"/>
            <w:vAlign w:val="center"/>
          </w:tcPr>
          <w:p w14:paraId="093F9E1F">
            <w:pPr>
              <w:pStyle w:val="16"/>
              <w:keepNext w:val="0"/>
              <w:keepLines w:val="0"/>
              <w:pageBreakBefore w:val="0"/>
              <w:widowControl w:val="0"/>
              <w:kinsoku/>
              <w:wordWrap/>
              <w:overflowPunct/>
              <w:topLinePunct w:val="0"/>
              <w:autoSpaceDE/>
              <w:autoSpaceDN/>
              <w:bidi w:val="0"/>
              <w:adjustRightInd w:val="0"/>
              <w:spacing w:line="240" w:lineRule="auto"/>
              <w:ind w:right="0" w:rightChars="0"/>
              <w:textAlignment w:val="auto"/>
              <w:rPr>
                <w:rFonts w:hint="eastAsia" w:ascii="宋体" w:hAnsi="宋体" w:eastAsia="宋体" w:cs="宋体"/>
                <w:color w:val="auto"/>
                <w:sz w:val="24"/>
                <w:szCs w:val="24"/>
              </w:rPr>
            </w:pPr>
          </w:p>
        </w:tc>
        <w:tc>
          <w:tcPr>
            <w:tcW w:w="629" w:type="pct"/>
            <w:vMerge w:val="continue"/>
            <w:noWrap w:val="0"/>
            <w:vAlign w:val="center"/>
          </w:tcPr>
          <w:p w14:paraId="521CD1DE">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p>
        </w:tc>
        <w:tc>
          <w:tcPr>
            <w:tcW w:w="665" w:type="pct"/>
            <w:noWrap w:val="0"/>
            <w:vAlign w:val="center"/>
          </w:tcPr>
          <w:p w14:paraId="7C2A9E05">
            <w:pPr>
              <w:pStyle w:val="16"/>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造价</w:t>
            </w:r>
            <w:r>
              <w:rPr>
                <w:rFonts w:hint="eastAsia" w:ascii="宋体" w:hAnsi="宋体" w:eastAsia="宋体" w:cs="宋体"/>
                <w:color w:val="auto"/>
                <w:sz w:val="24"/>
                <w:szCs w:val="24"/>
              </w:rPr>
              <w:t>经济合理</w:t>
            </w:r>
          </w:p>
        </w:tc>
        <w:tc>
          <w:tcPr>
            <w:tcW w:w="2884" w:type="pct"/>
            <w:noWrap w:val="0"/>
            <w:vAlign w:val="top"/>
          </w:tcPr>
          <w:p w14:paraId="52E91C09">
            <w:pPr>
              <w:keepNext w:val="0"/>
              <w:keepLines w:val="0"/>
              <w:pageBreakBefore w:val="0"/>
              <w:widowControl w:val="0"/>
              <w:kinsoku/>
              <w:wordWrap/>
              <w:overflowPunct/>
              <w:topLinePunct w:val="0"/>
              <w:autoSpaceDE/>
              <w:autoSpaceDN/>
              <w:bidi w:val="0"/>
              <w:adjustRightInd w:val="0"/>
              <w:spacing w:line="240"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材料设备选搭合理，性价比高，经济适用，有设计概算文件。</w:t>
            </w:r>
            <w:r>
              <w:rPr>
                <w:rFonts w:hint="eastAsia" w:ascii="宋体" w:hAnsi="宋体" w:eastAsia="宋体" w:cs="宋体"/>
                <w:color w:val="auto"/>
                <w:kern w:val="2"/>
                <w:sz w:val="24"/>
                <w:szCs w:val="24"/>
              </w:rPr>
              <w:t>优秀5分，良好3分，</w:t>
            </w:r>
            <w:r>
              <w:rPr>
                <w:rFonts w:hint="eastAsia" w:ascii="宋体" w:hAnsi="宋体" w:cs="宋体"/>
                <w:color w:val="auto"/>
                <w:kern w:val="2"/>
                <w:sz w:val="24"/>
                <w:szCs w:val="24"/>
                <w:lang w:val="en-US" w:eastAsia="zh-CN"/>
              </w:rPr>
              <w:t>一般</w:t>
            </w:r>
            <w:r>
              <w:rPr>
                <w:rFonts w:hint="eastAsia" w:ascii="宋体" w:hAnsi="宋体" w:eastAsia="宋体" w:cs="宋体"/>
                <w:color w:val="auto"/>
                <w:kern w:val="2"/>
                <w:sz w:val="24"/>
                <w:szCs w:val="24"/>
              </w:rPr>
              <w:t>1分，</w:t>
            </w:r>
            <w:r>
              <w:rPr>
                <w:rFonts w:hint="eastAsia" w:ascii="宋体" w:hAnsi="宋体" w:cs="宋体"/>
                <w:color w:val="auto"/>
                <w:kern w:val="2"/>
                <w:sz w:val="24"/>
                <w:szCs w:val="24"/>
                <w:lang w:val="en-US" w:eastAsia="zh-CN"/>
              </w:rPr>
              <w:t>不提供不得分</w:t>
            </w:r>
            <w:r>
              <w:rPr>
                <w:rFonts w:hint="eastAsia" w:ascii="宋体" w:hAnsi="宋体" w:eastAsia="宋体" w:cs="宋体"/>
                <w:color w:val="auto"/>
                <w:kern w:val="2"/>
                <w:sz w:val="24"/>
                <w:szCs w:val="24"/>
              </w:rPr>
              <w:t>。</w:t>
            </w:r>
          </w:p>
        </w:tc>
        <w:tc>
          <w:tcPr>
            <w:tcW w:w="465" w:type="pct"/>
            <w:noWrap w:val="0"/>
            <w:vAlign w:val="center"/>
          </w:tcPr>
          <w:p w14:paraId="58476876">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14:paraId="02AD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6" w:type="pct"/>
            <w:noWrap w:val="0"/>
            <w:vAlign w:val="center"/>
          </w:tcPr>
          <w:p w14:paraId="42EF6F0F">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9" w:type="pct"/>
            <w:noWrap w:val="0"/>
            <w:vAlign w:val="center"/>
          </w:tcPr>
          <w:p w14:paraId="2C86BEE9">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类似工程</w:t>
            </w:r>
            <w:r>
              <w:rPr>
                <w:rFonts w:hint="eastAsia" w:ascii="宋体" w:hAnsi="宋体" w:eastAsia="宋体" w:cs="宋体"/>
                <w:color w:val="auto"/>
                <w:sz w:val="24"/>
                <w:szCs w:val="24"/>
              </w:rPr>
              <w:t>业绩</w:t>
            </w:r>
          </w:p>
        </w:tc>
        <w:tc>
          <w:tcPr>
            <w:tcW w:w="3549" w:type="pct"/>
            <w:gridSpan w:val="2"/>
            <w:noWrap w:val="0"/>
            <w:vAlign w:val="center"/>
          </w:tcPr>
          <w:p w14:paraId="3D02F68C">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供应商自</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年1月1日以来（时间以合同签订时间为准）承担过</w:t>
            </w:r>
            <w:r>
              <w:rPr>
                <w:rFonts w:hint="eastAsia" w:ascii="宋体" w:hAnsi="宋体" w:eastAsia="宋体" w:cs="宋体"/>
                <w:color w:val="auto"/>
                <w:sz w:val="24"/>
                <w:szCs w:val="24"/>
                <w:lang w:val="en-US" w:eastAsia="zh-CN"/>
              </w:rPr>
              <w:t>学校</w:t>
            </w:r>
            <w:r>
              <w:rPr>
                <w:rFonts w:hint="eastAsia" w:ascii="宋体" w:hAnsi="宋体" w:eastAsia="宋体" w:cs="宋体"/>
                <w:color w:val="auto"/>
                <w:sz w:val="24"/>
                <w:szCs w:val="24"/>
              </w:rPr>
              <w:t>建筑</w:t>
            </w:r>
            <w:r>
              <w:rPr>
                <w:rFonts w:hint="eastAsia" w:ascii="宋体" w:hAnsi="宋体" w:eastAsia="宋体" w:cs="宋体"/>
                <w:color w:val="auto"/>
                <w:sz w:val="24"/>
                <w:szCs w:val="24"/>
                <w:lang w:val="en-US" w:eastAsia="zh-CN"/>
              </w:rPr>
              <w:t>改造工程</w:t>
            </w:r>
            <w:r>
              <w:rPr>
                <w:rFonts w:hint="eastAsia" w:ascii="宋体" w:hAnsi="宋体" w:eastAsia="宋体" w:cs="宋体"/>
                <w:color w:val="auto"/>
                <w:sz w:val="24"/>
                <w:szCs w:val="24"/>
              </w:rPr>
              <w:t>设计业绩</w:t>
            </w:r>
            <w:r>
              <w:rPr>
                <w:rFonts w:hint="eastAsia" w:ascii="宋体" w:hAnsi="宋体" w:eastAsia="宋体" w:cs="宋体"/>
                <w:color w:val="auto"/>
                <w:sz w:val="24"/>
                <w:szCs w:val="24"/>
                <w:lang w:eastAsia="zh-CN"/>
              </w:rPr>
              <w:t>：</w:t>
            </w:r>
          </w:p>
          <w:p w14:paraId="7D39DD7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1000平米（含）以内每个得2分，最多得4分；</w:t>
            </w:r>
          </w:p>
          <w:p w14:paraId="476641F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1000-1500平米（含）每个得3分，最多得6分；</w:t>
            </w:r>
          </w:p>
          <w:p w14:paraId="26C014B1">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jc w:val="left"/>
              <w:textAlignment w:val="auto"/>
              <w:rPr>
                <w:rFonts w:hint="eastAsia"/>
                <w:color w:val="auto"/>
              </w:rPr>
            </w:pPr>
            <w:r>
              <w:rPr>
                <w:rFonts w:hint="eastAsia" w:ascii="宋体" w:hAnsi="宋体" w:eastAsia="宋体" w:cs="宋体"/>
                <w:color w:val="auto"/>
                <w:sz w:val="24"/>
                <w:szCs w:val="24"/>
                <w:lang w:val="en-US" w:eastAsia="zh-CN"/>
              </w:rPr>
              <w:t>1500平米以上每个得5分，最多得10分。</w:t>
            </w:r>
          </w:p>
          <w:p w14:paraId="7EEB9A4E">
            <w:pPr>
              <w:pStyle w:val="2"/>
              <w:keepNext w:val="0"/>
              <w:keepLines w:val="0"/>
              <w:pageBreakBefore w:val="0"/>
              <w:widowControl w:val="0"/>
              <w:kinsoku/>
              <w:wordWrap/>
              <w:overflowPunct/>
              <w:topLinePunct w:val="0"/>
              <w:autoSpaceDE/>
              <w:autoSpaceDN/>
              <w:bidi w:val="0"/>
              <w:snapToGrid/>
              <w:ind w:left="0" w:leftChars="0"/>
              <w:jc w:val="left"/>
              <w:textAlignment w:val="auto"/>
              <w:rPr>
                <w:rFonts w:hint="eastAsia" w:eastAsia="宋体"/>
                <w:color w:val="auto"/>
                <w:lang w:val="en-US" w:eastAsia="zh-CN"/>
              </w:rPr>
            </w:pPr>
            <w:r>
              <w:rPr>
                <w:rFonts w:hint="eastAsia" w:ascii="宋体" w:hAnsi="宋体" w:eastAsia="宋体" w:cs="宋体"/>
                <w:b/>
                <w:bCs/>
                <w:color w:val="auto"/>
                <w:sz w:val="24"/>
                <w:szCs w:val="24"/>
                <w:lang w:val="en-US" w:eastAsia="zh-CN"/>
              </w:rPr>
              <w:t>注：提供设计合同</w:t>
            </w:r>
            <w:r>
              <w:rPr>
                <w:rFonts w:hint="eastAsia" w:ascii="宋体" w:hAnsi="宋体" w:cs="宋体"/>
                <w:b/>
                <w:bCs/>
                <w:color w:val="auto"/>
                <w:sz w:val="24"/>
                <w:szCs w:val="24"/>
                <w:lang w:val="en-US" w:eastAsia="zh-CN"/>
              </w:rPr>
              <w:t>、发票</w:t>
            </w:r>
            <w:r>
              <w:rPr>
                <w:rFonts w:hint="eastAsia" w:ascii="宋体" w:hAnsi="宋体" w:eastAsia="宋体" w:cs="宋体"/>
                <w:b/>
                <w:bCs/>
                <w:color w:val="auto"/>
                <w:sz w:val="24"/>
                <w:szCs w:val="24"/>
                <w:lang w:val="en-US" w:eastAsia="zh-CN"/>
              </w:rPr>
              <w:t>复印件并加盖公章，如不能体现建筑面积要求的，另需提供业主加盖公章的证明材料，否则不得分。</w:t>
            </w:r>
          </w:p>
        </w:tc>
        <w:tc>
          <w:tcPr>
            <w:tcW w:w="465" w:type="pct"/>
            <w:noWrap w:val="0"/>
            <w:vAlign w:val="center"/>
          </w:tcPr>
          <w:p w14:paraId="449F6188">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r w14:paraId="40A7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356" w:type="pct"/>
            <w:noWrap w:val="0"/>
            <w:vAlign w:val="center"/>
          </w:tcPr>
          <w:p w14:paraId="6936EE29">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629" w:type="pct"/>
            <w:noWrap w:val="0"/>
            <w:vAlign w:val="center"/>
          </w:tcPr>
          <w:p w14:paraId="6A45676A">
            <w:pPr>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获奖业绩</w:t>
            </w:r>
          </w:p>
        </w:tc>
        <w:tc>
          <w:tcPr>
            <w:tcW w:w="3549" w:type="pct"/>
            <w:gridSpan w:val="2"/>
            <w:noWrap w:val="0"/>
            <w:vAlign w:val="center"/>
          </w:tcPr>
          <w:p w14:paraId="3D161D56">
            <w:pPr>
              <w:keepNext w:val="0"/>
              <w:keepLines w:val="0"/>
              <w:pageBreakBefore w:val="0"/>
              <w:widowControl w:val="0"/>
              <w:numPr>
                <w:ilvl w:val="0"/>
                <w:numId w:val="0"/>
              </w:numPr>
              <w:kinsoku/>
              <w:wordWrap/>
              <w:overflowPunct/>
              <w:topLinePunct w:val="0"/>
              <w:autoSpaceDE/>
              <w:autoSpaceDN/>
              <w:bidi w:val="0"/>
              <w:adjustRightInd w:val="0"/>
              <w:spacing w:line="240" w:lineRule="auto"/>
              <w:ind w:right="0" w:right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20</w:t>
            </w:r>
            <w:r>
              <w:rPr>
                <w:rFonts w:hint="eastAsia" w:ascii="宋体" w:hAnsi="宋体" w:eastAsia="宋体" w:cs="宋体"/>
                <w:color w:val="auto"/>
                <w:sz w:val="24"/>
                <w:szCs w:val="24"/>
                <w:lang w:val="en-US" w:eastAsia="zh-CN" w:bidi="ar"/>
              </w:rPr>
              <w:t>20</w:t>
            </w:r>
            <w:r>
              <w:rPr>
                <w:rFonts w:hint="eastAsia" w:ascii="宋体" w:hAnsi="宋体" w:eastAsia="宋体" w:cs="宋体"/>
                <w:color w:val="auto"/>
                <w:sz w:val="24"/>
                <w:szCs w:val="24"/>
                <w:lang w:bidi="ar"/>
              </w:rPr>
              <w:t>年1月1日至</w:t>
            </w:r>
            <w:r>
              <w:rPr>
                <w:rFonts w:hint="eastAsia" w:ascii="宋体" w:hAnsi="宋体" w:eastAsia="宋体" w:cs="宋体"/>
                <w:color w:val="auto"/>
                <w:sz w:val="24"/>
                <w:szCs w:val="24"/>
                <w:lang w:val="en-US" w:eastAsia="zh-CN" w:bidi="ar"/>
              </w:rPr>
              <w:t>参选</w:t>
            </w:r>
            <w:r>
              <w:rPr>
                <w:rFonts w:hint="eastAsia" w:ascii="宋体" w:hAnsi="宋体" w:eastAsia="宋体" w:cs="宋体"/>
                <w:color w:val="auto"/>
                <w:sz w:val="24"/>
                <w:szCs w:val="24"/>
                <w:lang w:bidi="ar"/>
              </w:rPr>
              <w:t>截止时间（以获奖证书日期为准），</w:t>
            </w:r>
            <w:r>
              <w:rPr>
                <w:rFonts w:hint="eastAsia" w:ascii="宋体" w:hAnsi="宋体" w:eastAsia="宋体" w:cs="宋体"/>
                <w:color w:val="auto"/>
                <w:sz w:val="24"/>
                <w:szCs w:val="24"/>
                <w:lang w:val="en-US" w:eastAsia="zh-CN" w:bidi="ar"/>
              </w:rPr>
              <w:t>供应商</w:t>
            </w:r>
            <w:r>
              <w:rPr>
                <w:rFonts w:hint="eastAsia" w:ascii="宋体" w:hAnsi="宋体" w:eastAsia="宋体" w:cs="宋体"/>
                <w:color w:val="auto"/>
                <w:sz w:val="24"/>
                <w:szCs w:val="24"/>
                <w:lang w:bidi="ar"/>
              </w:rPr>
              <w:t>承担的</w:t>
            </w:r>
            <w:r>
              <w:rPr>
                <w:rFonts w:hint="eastAsia" w:ascii="宋体" w:hAnsi="宋体" w:cs="宋体"/>
                <w:color w:val="auto"/>
                <w:sz w:val="24"/>
                <w:szCs w:val="24"/>
                <w:lang w:val="en-US" w:eastAsia="zh-CN" w:bidi="ar"/>
              </w:rPr>
              <w:t>文教类</w:t>
            </w:r>
            <w:r>
              <w:rPr>
                <w:rFonts w:hint="eastAsia" w:ascii="宋体" w:hAnsi="宋体" w:eastAsia="宋体" w:cs="宋体"/>
                <w:color w:val="auto"/>
                <w:sz w:val="24"/>
                <w:szCs w:val="24"/>
                <w:lang w:bidi="ar"/>
              </w:rPr>
              <w:t>建筑工程设计项目获得省级(含省级)及以上</w:t>
            </w:r>
            <w:r>
              <w:rPr>
                <w:rFonts w:hint="eastAsia" w:ascii="宋体" w:hAnsi="宋体" w:cs="宋体"/>
                <w:color w:val="auto"/>
                <w:sz w:val="24"/>
                <w:szCs w:val="24"/>
                <w:lang w:val="en-US" w:eastAsia="zh-CN" w:bidi="ar"/>
              </w:rPr>
              <w:t>奖项</w:t>
            </w:r>
            <w:r>
              <w:rPr>
                <w:rFonts w:hint="eastAsia" w:ascii="宋体" w:hAnsi="宋体" w:eastAsia="宋体" w:cs="宋体"/>
                <w:color w:val="auto"/>
                <w:sz w:val="24"/>
                <w:szCs w:val="24"/>
                <w:lang w:bidi="ar"/>
              </w:rPr>
              <w:t>的，有一个得5分，</w:t>
            </w:r>
            <w:r>
              <w:rPr>
                <w:rFonts w:hint="eastAsia" w:ascii="宋体" w:hAnsi="宋体" w:cs="宋体"/>
                <w:color w:val="auto"/>
                <w:sz w:val="24"/>
                <w:szCs w:val="24"/>
                <w:lang w:val="en-US" w:eastAsia="zh-CN" w:bidi="ar"/>
              </w:rPr>
              <w:t>市</w:t>
            </w:r>
            <w:r>
              <w:rPr>
                <w:rFonts w:hint="eastAsia" w:ascii="宋体" w:hAnsi="宋体" w:eastAsia="宋体" w:cs="宋体"/>
                <w:color w:val="auto"/>
                <w:sz w:val="24"/>
                <w:szCs w:val="24"/>
                <w:lang w:bidi="ar"/>
              </w:rPr>
              <w:t>级(含</w:t>
            </w:r>
            <w:r>
              <w:rPr>
                <w:rFonts w:hint="eastAsia" w:ascii="宋体" w:hAnsi="宋体" w:cs="宋体"/>
                <w:color w:val="auto"/>
                <w:sz w:val="24"/>
                <w:szCs w:val="24"/>
                <w:lang w:val="en-US" w:eastAsia="zh-CN" w:bidi="ar"/>
              </w:rPr>
              <w:t>市</w:t>
            </w:r>
            <w:r>
              <w:rPr>
                <w:rFonts w:hint="eastAsia" w:ascii="宋体" w:hAnsi="宋体" w:eastAsia="宋体" w:cs="宋体"/>
                <w:color w:val="auto"/>
                <w:sz w:val="24"/>
                <w:szCs w:val="24"/>
                <w:lang w:bidi="ar"/>
              </w:rPr>
              <w:t>级)</w:t>
            </w:r>
            <w:r>
              <w:rPr>
                <w:rFonts w:hint="eastAsia" w:ascii="宋体" w:hAnsi="宋体" w:cs="宋体"/>
                <w:color w:val="auto"/>
                <w:sz w:val="24"/>
                <w:szCs w:val="24"/>
                <w:lang w:val="en-US" w:eastAsia="zh-CN" w:bidi="ar"/>
              </w:rPr>
              <w:t>奖项</w:t>
            </w:r>
            <w:r>
              <w:rPr>
                <w:rFonts w:hint="eastAsia" w:ascii="宋体" w:hAnsi="宋体" w:eastAsia="宋体" w:cs="宋体"/>
                <w:color w:val="auto"/>
                <w:sz w:val="24"/>
                <w:szCs w:val="24"/>
                <w:lang w:bidi="ar"/>
              </w:rPr>
              <w:t>的，有一个得</w:t>
            </w:r>
            <w:r>
              <w:rPr>
                <w:rFonts w:hint="eastAsia" w:ascii="宋体" w:hAnsi="宋体" w:cs="宋体"/>
                <w:color w:val="auto"/>
                <w:sz w:val="24"/>
                <w:szCs w:val="24"/>
                <w:lang w:val="en-US" w:eastAsia="zh-CN" w:bidi="ar"/>
              </w:rPr>
              <w:t>2</w:t>
            </w:r>
            <w:r>
              <w:rPr>
                <w:rFonts w:hint="eastAsia" w:ascii="宋体" w:hAnsi="宋体" w:eastAsia="宋体" w:cs="宋体"/>
                <w:color w:val="auto"/>
                <w:sz w:val="24"/>
                <w:szCs w:val="24"/>
                <w:lang w:bidi="ar"/>
              </w:rPr>
              <w:t>分</w:t>
            </w:r>
            <w:r>
              <w:rPr>
                <w:rFonts w:hint="eastAsia" w:ascii="宋体" w:hAnsi="宋体" w:cs="宋体"/>
                <w:color w:val="auto"/>
                <w:sz w:val="24"/>
                <w:szCs w:val="24"/>
                <w:lang w:eastAsia="zh-CN" w:bidi="ar"/>
              </w:rPr>
              <w:t>，</w:t>
            </w:r>
            <w:r>
              <w:rPr>
                <w:rFonts w:hint="eastAsia" w:ascii="宋体" w:hAnsi="宋体" w:eastAsia="宋体" w:cs="宋体"/>
                <w:color w:val="auto"/>
                <w:sz w:val="24"/>
                <w:szCs w:val="24"/>
                <w:lang w:bidi="ar"/>
              </w:rPr>
              <w:t>本项最多得</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bidi="ar"/>
              </w:rPr>
              <w:t>分。</w:t>
            </w:r>
          </w:p>
          <w:p w14:paraId="4D0AF5AC">
            <w:pPr>
              <w:pStyle w:val="2"/>
              <w:ind w:left="0" w:leftChars="0" w:firstLine="0" w:firstLineChars="0"/>
              <w:rPr>
                <w:rFonts w:hint="default" w:eastAsia="宋体"/>
                <w:color w:val="auto"/>
                <w:lang w:val="en-US" w:eastAsia="zh-CN"/>
              </w:rPr>
            </w:pPr>
            <w:r>
              <w:rPr>
                <w:rFonts w:hint="eastAsia" w:ascii="宋体" w:hAnsi="宋体" w:eastAsia="宋体" w:cs="宋体"/>
                <w:color w:val="auto"/>
                <w:sz w:val="24"/>
                <w:szCs w:val="24"/>
                <w:lang w:val="en-US" w:eastAsia="zh-CN" w:bidi="ar"/>
              </w:rPr>
              <w:t>注：提供相关证明材料加盖公章。</w:t>
            </w:r>
          </w:p>
        </w:tc>
        <w:tc>
          <w:tcPr>
            <w:tcW w:w="465" w:type="pct"/>
            <w:noWrap w:val="0"/>
            <w:vAlign w:val="center"/>
          </w:tcPr>
          <w:p w14:paraId="0C88DE36">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r w14:paraId="5BBF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pct"/>
            <w:noWrap w:val="0"/>
            <w:vAlign w:val="center"/>
          </w:tcPr>
          <w:p w14:paraId="71F7E79C">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29" w:type="pct"/>
            <w:noWrap w:val="0"/>
            <w:vAlign w:val="center"/>
          </w:tcPr>
          <w:p w14:paraId="7078AC32">
            <w:pPr>
              <w:keepNext w:val="0"/>
              <w:keepLines w:val="0"/>
              <w:pageBreakBefore w:val="0"/>
              <w:widowControl w:val="0"/>
              <w:kinsoku/>
              <w:wordWrap/>
              <w:overflowPunct/>
              <w:topLinePunct w:val="0"/>
              <w:autoSpaceDE/>
              <w:autoSpaceDN/>
              <w:bidi w:val="0"/>
              <w:adjustRightInd w:val="0"/>
              <w:spacing w:line="24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设计团队</w:t>
            </w:r>
          </w:p>
        </w:tc>
        <w:tc>
          <w:tcPr>
            <w:tcW w:w="3549" w:type="pct"/>
            <w:gridSpan w:val="2"/>
            <w:noWrap w:val="0"/>
            <w:vAlign w:val="center"/>
          </w:tcPr>
          <w:p w14:paraId="7ACD8E84">
            <w:pPr>
              <w:keepNext w:val="0"/>
              <w:keepLines w:val="0"/>
              <w:pageBreakBefore w:val="0"/>
              <w:widowControl w:val="0"/>
              <w:numPr>
                <w:ilvl w:val="0"/>
                <w:numId w:val="0"/>
              </w:numPr>
              <w:kinsoku/>
              <w:wordWrap/>
              <w:overflowPunct/>
              <w:topLinePunct w:val="0"/>
              <w:autoSpaceDE/>
              <w:autoSpaceDN/>
              <w:bidi w:val="0"/>
              <w:adjustRightInd w:val="0"/>
              <w:spacing w:line="240"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建筑专业负责人同时具有高级职称和一级注册建筑师注的得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14:paraId="50C8DACE">
            <w:pPr>
              <w:keepNext w:val="0"/>
              <w:keepLines w:val="0"/>
              <w:pageBreakBefore w:val="0"/>
              <w:widowControl w:val="0"/>
              <w:numPr>
                <w:ilvl w:val="0"/>
                <w:numId w:val="0"/>
              </w:numPr>
              <w:kinsoku/>
              <w:wordWrap/>
              <w:overflowPunct/>
              <w:topLinePunct w:val="0"/>
              <w:autoSpaceDE/>
              <w:autoSpaceDN/>
              <w:bidi w:val="0"/>
              <w:adjustRightInd w:val="0"/>
              <w:spacing w:line="240"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结构专业负责人同时具有高级职称和一级注册结构工程师的得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6E9F706D">
            <w:pPr>
              <w:keepNext w:val="0"/>
              <w:keepLines w:val="0"/>
              <w:pageBreakBefore w:val="0"/>
              <w:widowControl w:val="0"/>
              <w:numPr>
                <w:ilvl w:val="0"/>
                <w:numId w:val="0"/>
              </w:numPr>
              <w:kinsoku/>
              <w:wordWrap/>
              <w:overflowPunct/>
              <w:topLinePunct w:val="0"/>
              <w:autoSpaceDE/>
              <w:autoSpaceDN/>
              <w:bidi w:val="0"/>
              <w:adjustRightInd w:val="0"/>
              <w:spacing w:line="240"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给排水专业负责人具有注册公用设备工程师（给水排水）的得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01455192">
            <w:pPr>
              <w:keepNext w:val="0"/>
              <w:keepLines w:val="0"/>
              <w:pageBreakBefore w:val="0"/>
              <w:widowControl w:val="0"/>
              <w:numPr>
                <w:ilvl w:val="0"/>
                <w:numId w:val="0"/>
              </w:numPr>
              <w:kinsoku/>
              <w:wordWrap/>
              <w:overflowPunct/>
              <w:topLinePunct w:val="0"/>
              <w:autoSpaceDE/>
              <w:autoSpaceDN/>
              <w:bidi w:val="0"/>
              <w:adjustRightInd w:val="0"/>
              <w:spacing w:line="240"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电气专业负责人具有注册电气工程师（供配电）的得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6463B0E0">
            <w:pPr>
              <w:keepNext w:val="0"/>
              <w:keepLines w:val="0"/>
              <w:pageBreakBefore w:val="0"/>
              <w:widowControl w:val="0"/>
              <w:numPr>
                <w:ilvl w:val="0"/>
                <w:numId w:val="0"/>
              </w:numPr>
              <w:kinsoku/>
              <w:wordWrap/>
              <w:overflowPunct/>
              <w:topLinePunct w:val="0"/>
              <w:autoSpaceDE/>
              <w:autoSpaceDN/>
              <w:bidi w:val="0"/>
              <w:adjustRightInd w:val="0"/>
              <w:spacing w:line="240"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暖通专业负责人具有注册公用设备工程师（暖通空调）的得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0964F8EC">
            <w:pPr>
              <w:keepNext w:val="0"/>
              <w:keepLines w:val="0"/>
              <w:pageBreakBefore w:val="0"/>
              <w:widowControl w:val="0"/>
              <w:kinsoku/>
              <w:wordWrap/>
              <w:overflowPunct/>
              <w:topLinePunct w:val="0"/>
              <w:autoSpaceDE/>
              <w:autoSpaceDN/>
              <w:bidi w:val="0"/>
              <w:adjustRightInd w:val="0"/>
              <w:spacing w:line="240" w:lineRule="auto"/>
              <w:ind w:right="0" w:righ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本项最多得6分。</w:t>
            </w:r>
          </w:p>
          <w:p w14:paraId="094C6067">
            <w:pPr>
              <w:keepNext w:val="0"/>
              <w:keepLines w:val="0"/>
              <w:pageBreakBefore w:val="0"/>
              <w:widowControl w:val="0"/>
              <w:kinsoku/>
              <w:wordWrap/>
              <w:overflowPunct/>
              <w:topLinePunct w:val="0"/>
              <w:autoSpaceDE/>
              <w:autoSpaceDN/>
              <w:bidi w:val="0"/>
              <w:adjustRightInd w:val="0"/>
              <w:spacing w:line="240" w:lineRule="auto"/>
              <w:ind w:right="0" w:right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注：各专业人员不可兼任</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提供以上相关人员相关证书</w:t>
            </w:r>
            <w:r>
              <w:rPr>
                <w:rFonts w:hint="eastAsia" w:ascii="宋体" w:hAnsi="宋体" w:eastAsia="宋体" w:cs="宋体"/>
                <w:b/>
                <w:bCs/>
                <w:color w:val="auto"/>
                <w:sz w:val="24"/>
                <w:szCs w:val="24"/>
                <w:lang w:val="en-US" w:eastAsia="zh-CN"/>
              </w:rPr>
              <w:t>复印件</w:t>
            </w:r>
            <w:r>
              <w:rPr>
                <w:rFonts w:hint="eastAsia" w:ascii="宋体" w:hAnsi="宋体" w:eastAsia="宋体" w:cs="宋体"/>
                <w:b/>
                <w:bCs/>
                <w:color w:val="auto"/>
                <w:sz w:val="24"/>
                <w:szCs w:val="24"/>
              </w:rPr>
              <w:t>、身份证</w:t>
            </w:r>
            <w:r>
              <w:rPr>
                <w:rFonts w:hint="eastAsia" w:ascii="宋体" w:hAnsi="宋体" w:eastAsia="宋体" w:cs="宋体"/>
                <w:b/>
                <w:bCs/>
                <w:color w:val="auto"/>
                <w:sz w:val="24"/>
                <w:szCs w:val="24"/>
                <w:lang w:val="en-US" w:eastAsia="zh-CN"/>
              </w:rPr>
              <w:t>正反面复印件、供应商为其缴纳的2026年1月以来任意一个月社保缴纳证明，以上材料加盖供应商公章。</w:t>
            </w:r>
          </w:p>
        </w:tc>
        <w:tc>
          <w:tcPr>
            <w:tcW w:w="465" w:type="pct"/>
            <w:noWrap w:val="0"/>
            <w:vAlign w:val="center"/>
          </w:tcPr>
          <w:p w14:paraId="79252CB5">
            <w:pPr>
              <w:pStyle w:val="16"/>
              <w:keepNext w:val="0"/>
              <w:keepLines w:val="0"/>
              <w:pageBreakBefore w:val="0"/>
              <w:widowControl w:val="0"/>
              <w:kinsoku/>
              <w:wordWrap/>
              <w:overflowPunct/>
              <w:topLinePunct w:val="0"/>
              <w:autoSpaceDE/>
              <w:autoSpaceDN/>
              <w:bidi w:val="0"/>
              <w:adjustRightInd w:val="0"/>
              <w:spacing w:line="240" w:lineRule="auto"/>
              <w:ind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r>
    </w:tbl>
    <w:p w14:paraId="12E3E074">
      <w:pPr>
        <w:keepNext w:val="0"/>
        <w:keepLines w:val="0"/>
        <w:pageBreakBefore w:val="0"/>
        <w:numPr>
          <w:ilvl w:val="255"/>
          <w:numId w:val="0"/>
        </w:numPr>
        <w:overflowPunct/>
        <w:bidi w:val="0"/>
        <w:snapToGrid w:val="0"/>
        <w:spacing w:line="360" w:lineRule="auto"/>
        <w:ind w:left="0" w:leftChars="0" w:firstLine="480" w:firstLineChars="200"/>
        <w:jc w:val="both"/>
        <w:rPr>
          <w:rFonts w:hint="eastAsia" w:ascii="宋体" w:hAnsi="宋体" w:cs="宋体"/>
          <w:color w:val="auto"/>
          <w:sz w:val="24"/>
          <w:szCs w:val="24"/>
        </w:rPr>
      </w:pPr>
    </w:p>
    <w:p w14:paraId="4BF9C7DE">
      <w:pPr>
        <w:keepNext w:val="0"/>
        <w:keepLines w:val="0"/>
        <w:pageBreakBefore w:val="0"/>
        <w:numPr>
          <w:ilvl w:val="255"/>
          <w:numId w:val="0"/>
        </w:numP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（二）价格分（</w:t>
      </w:r>
      <w:r>
        <w:rPr>
          <w:rFonts w:hint="eastAsia" w:ascii="宋体" w:hAnsi="宋体" w:cs="宋体"/>
          <w:color w:val="auto"/>
          <w:sz w:val="24"/>
          <w:szCs w:val="24"/>
          <w:lang w:val="en-US" w:eastAsia="zh-CN"/>
        </w:rPr>
        <w:t>30</w:t>
      </w:r>
      <w:r>
        <w:rPr>
          <w:rFonts w:hint="eastAsia" w:ascii="宋体" w:hAnsi="宋体" w:cs="宋体"/>
          <w:color w:val="auto"/>
          <w:sz w:val="24"/>
          <w:szCs w:val="24"/>
        </w:rPr>
        <w:t>分）</w:t>
      </w:r>
    </w:p>
    <w:p w14:paraId="46FE6212">
      <w:pPr>
        <w:keepNext w:val="0"/>
        <w:keepLines w:val="0"/>
        <w:pageBreakBefore w:val="0"/>
        <w:overflowPunct/>
        <w:bidi w:val="0"/>
        <w:snapToGrid w:val="0"/>
        <w:spacing w:line="360" w:lineRule="auto"/>
        <w:ind w:left="0" w:leftChars="0" w:firstLine="480" w:firstLineChars="200"/>
        <w:jc w:val="both"/>
        <w:rPr>
          <w:rFonts w:hint="eastAsia" w:eastAsia="宋体" w:cs="宋体"/>
          <w:b/>
          <w:bCs/>
          <w:color w:val="auto"/>
          <w:sz w:val="24"/>
          <w:szCs w:val="24"/>
          <w:highlight w:val="none"/>
          <w:lang w:eastAsia="zh-CN"/>
        </w:rPr>
      </w:pPr>
      <w:r>
        <w:rPr>
          <w:rFonts w:hint="eastAsia" w:cs="宋体"/>
          <w:color w:val="auto"/>
          <w:sz w:val="24"/>
          <w:szCs w:val="24"/>
        </w:rPr>
        <w:t>1.</w:t>
      </w:r>
      <w:r>
        <w:rPr>
          <w:rFonts w:hint="eastAsia" w:cs="宋体"/>
          <w:b/>
          <w:bCs/>
          <w:color w:val="auto"/>
          <w:sz w:val="24"/>
          <w:szCs w:val="24"/>
        </w:rPr>
        <w:t>本项目单价最高限价：工程标底价的</w:t>
      </w:r>
      <w:r>
        <w:rPr>
          <w:rFonts w:hint="eastAsia" w:cs="宋体"/>
          <w:b/>
          <w:bCs/>
          <w:color w:val="auto"/>
          <w:sz w:val="24"/>
          <w:szCs w:val="24"/>
          <w:lang w:eastAsia="zh-CN"/>
        </w:rPr>
        <w:t>3.8%。</w:t>
      </w:r>
    </w:p>
    <w:p w14:paraId="5B3473E4">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2.确定有效报价：响应报价小于等于最高限价的为有效报价</w:t>
      </w:r>
      <w:r>
        <w:rPr>
          <w:rFonts w:hint="eastAsia" w:ascii="宋体" w:hAnsi="宋体" w:cs="宋体"/>
          <w:color w:val="auto"/>
          <w:sz w:val="24"/>
          <w:szCs w:val="24"/>
          <w:lang w:eastAsia="zh-CN"/>
        </w:rPr>
        <w:t>，</w:t>
      </w:r>
      <w:r>
        <w:rPr>
          <w:rFonts w:hint="eastAsia" w:ascii="宋体" w:hAnsi="宋体" w:cs="宋体"/>
          <w:color w:val="auto"/>
          <w:sz w:val="24"/>
          <w:szCs w:val="24"/>
        </w:rPr>
        <w:t>响应报价大于最高限价的作</w:t>
      </w:r>
      <w:r>
        <w:rPr>
          <w:rFonts w:hint="eastAsia" w:ascii="宋体" w:hAnsi="宋体" w:cs="宋体"/>
          <w:color w:val="auto"/>
          <w:sz w:val="24"/>
          <w:szCs w:val="24"/>
          <w:lang w:val="en-US" w:eastAsia="zh-CN"/>
        </w:rPr>
        <w:t>无效响应</w:t>
      </w:r>
      <w:r>
        <w:rPr>
          <w:rFonts w:hint="eastAsia" w:ascii="宋体" w:hAnsi="宋体" w:cs="宋体"/>
          <w:color w:val="auto"/>
          <w:sz w:val="24"/>
          <w:szCs w:val="24"/>
        </w:rPr>
        <w:t>处理。</w:t>
      </w:r>
    </w:p>
    <w:p w14:paraId="4EF4F195">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结束后，除确认存在计算错误外，评标基准价不因采购活动当事人质疑、投诉、复议以及其他任何情形而改变。</w:t>
      </w:r>
    </w:p>
    <w:p w14:paraId="25E4C10A">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.计算报价得分</w:t>
      </w:r>
    </w:p>
    <w:p w14:paraId="53CE634A">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（1）只有通过资格审查及商务技术标评审，且价格标满足本项目比选文件要求后方可参加后续价格标的评审。</w:t>
      </w:r>
    </w:p>
    <w:p w14:paraId="2FC3F2BD">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（2）价格分采用低价优先法计算，即满足比选文件要求且响应报价最低的为评</w:t>
      </w:r>
      <w:r>
        <w:rPr>
          <w:rFonts w:hint="eastAsia" w:ascii="宋体" w:hAnsi="宋体" w:cs="宋体"/>
          <w:color w:val="auto"/>
          <w:sz w:val="24"/>
          <w:szCs w:val="24"/>
          <w:lang w:val="en-US" w:eastAsia="zh-CN"/>
        </w:rPr>
        <w:t>审</w:t>
      </w:r>
      <w:r>
        <w:rPr>
          <w:rFonts w:hint="eastAsia" w:ascii="宋体" w:hAnsi="宋体" w:cs="宋体"/>
          <w:color w:val="auto"/>
          <w:sz w:val="24"/>
          <w:szCs w:val="24"/>
        </w:rPr>
        <w:t>基准价，其对应价格分为满分。其他供应商的价格分统一按照下列公式计算：</w:t>
      </w:r>
    </w:p>
    <w:p w14:paraId="53360B97">
      <w:pPr>
        <w:keepNext w:val="0"/>
        <w:keepLines w:val="0"/>
        <w:pageBreakBefore w:val="0"/>
        <w:overflowPunct/>
        <w:bidi w:val="0"/>
        <w:snapToGrid w:val="0"/>
        <w:spacing w:line="360" w:lineRule="auto"/>
        <w:ind w:left="0" w:leftChars="0" w:firstLine="482" w:firstLineChars="200"/>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报价得分=（评</w:t>
      </w:r>
      <w:r>
        <w:rPr>
          <w:rFonts w:hint="eastAsia" w:ascii="宋体" w:hAnsi="宋体" w:cs="宋体"/>
          <w:b/>
          <w:bCs/>
          <w:color w:val="auto"/>
          <w:sz w:val="24"/>
          <w:szCs w:val="24"/>
          <w:lang w:val="en-US" w:eastAsia="zh-CN"/>
        </w:rPr>
        <w:t>审</w:t>
      </w:r>
      <w:r>
        <w:rPr>
          <w:rFonts w:hint="eastAsia" w:ascii="宋体" w:hAnsi="宋体" w:eastAsia="宋体" w:cs="宋体"/>
          <w:b/>
          <w:bCs/>
          <w:color w:val="auto"/>
          <w:sz w:val="24"/>
          <w:szCs w:val="24"/>
          <w:lang w:val="en-US" w:eastAsia="zh-CN"/>
        </w:rPr>
        <w:t>基准价/响应报价）×</w:t>
      </w:r>
      <w:r>
        <w:rPr>
          <w:rFonts w:hint="eastAsia" w:ascii="宋体" w:hAnsi="宋体" w:cs="宋体"/>
          <w:b/>
          <w:bCs/>
          <w:color w:val="auto"/>
          <w:sz w:val="24"/>
          <w:szCs w:val="24"/>
          <w:lang w:val="en-US" w:eastAsia="zh-CN"/>
        </w:rPr>
        <w:t>30</w:t>
      </w:r>
    </w:p>
    <w:p w14:paraId="7F5BC284">
      <w:pPr>
        <w:keepNext w:val="0"/>
        <w:keepLines w:val="0"/>
        <w:pageBreakBefore w:val="0"/>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三</w:t>
      </w:r>
      <w:r>
        <w:rPr>
          <w:rFonts w:hint="eastAsia" w:ascii="宋体" w:hAnsi="宋体" w:cs="宋体"/>
          <w:color w:val="auto"/>
          <w:sz w:val="24"/>
          <w:szCs w:val="24"/>
        </w:rPr>
        <w:t>）供应商</w:t>
      </w:r>
      <w:r>
        <w:rPr>
          <w:rFonts w:hint="eastAsia" w:ascii="宋体" w:hAnsi="宋体" w:cs="宋体"/>
          <w:color w:val="auto"/>
          <w:sz w:val="24"/>
          <w:szCs w:val="24"/>
          <w:lang w:val="en-US" w:eastAsia="zh-CN"/>
        </w:rPr>
        <w:t>综合</w:t>
      </w:r>
      <w:r>
        <w:rPr>
          <w:rFonts w:hint="eastAsia" w:ascii="宋体" w:hAnsi="宋体" w:cs="宋体"/>
          <w:color w:val="auto"/>
          <w:sz w:val="24"/>
          <w:szCs w:val="24"/>
        </w:rPr>
        <w:t>得分</w:t>
      </w:r>
    </w:p>
    <w:p w14:paraId="5D1EAC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宋体" w:hAnsi="宋体" w:eastAsia="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供应商综合得分=商务技术分+价格分</w:t>
      </w:r>
    </w:p>
    <w:p w14:paraId="3D259DB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六、</w:t>
      </w:r>
      <w:r>
        <w:rPr>
          <w:rFonts w:hint="eastAsia" w:ascii="宋体" w:hAnsi="宋体" w:eastAsia="宋体" w:cs="Times New Roman"/>
          <w:b/>
          <w:color w:val="auto"/>
          <w:sz w:val="24"/>
          <w:szCs w:val="24"/>
          <w:highlight w:val="none"/>
        </w:rPr>
        <w:t>出现下列情形之一的，</w:t>
      </w:r>
      <w:r>
        <w:rPr>
          <w:rFonts w:hint="eastAsia" w:ascii="宋体" w:hAnsi="宋体" w:cs="Times New Roman"/>
          <w:b/>
          <w:color w:val="auto"/>
          <w:sz w:val="24"/>
          <w:szCs w:val="24"/>
          <w:highlight w:val="none"/>
          <w:lang w:val="en-US" w:eastAsia="zh-CN"/>
        </w:rPr>
        <w:t>评审小组</w:t>
      </w:r>
      <w:r>
        <w:rPr>
          <w:rFonts w:hint="eastAsia" w:ascii="宋体" w:hAnsi="宋体" w:eastAsia="宋体" w:cs="Times New Roman"/>
          <w:b/>
          <w:color w:val="auto"/>
          <w:sz w:val="24"/>
          <w:szCs w:val="24"/>
          <w:highlight w:val="none"/>
        </w:rPr>
        <w:t>应当启动异常低价</w:t>
      </w:r>
      <w:r>
        <w:rPr>
          <w:rFonts w:hint="eastAsia" w:ascii="宋体" w:hAnsi="宋体" w:cs="Times New Roman"/>
          <w:b/>
          <w:color w:val="auto"/>
          <w:sz w:val="24"/>
          <w:szCs w:val="24"/>
          <w:highlight w:val="none"/>
          <w:lang w:val="en-US" w:eastAsia="zh-CN"/>
        </w:rPr>
        <w:t>响应</w:t>
      </w:r>
      <w:r>
        <w:rPr>
          <w:rFonts w:hint="eastAsia" w:ascii="宋体" w:hAnsi="宋体" w:eastAsia="宋体" w:cs="Times New Roman"/>
          <w:b/>
          <w:color w:val="auto"/>
          <w:sz w:val="24"/>
          <w:szCs w:val="24"/>
          <w:highlight w:val="none"/>
        </w:rPr>
        <w:t>审查程序：</w:t>
      </w:r>
    </w:p>
    <w:p w14:paraId="3CB6D8D3">
      <w:pPr>
        <w:pStyle w:val="19"/>
        <w:widowControl/>
        <w:shd w:val="clear" w:color="auto" w:fill="FFFFFF"/>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1</w:t>
      </w:r>
      <w:r>
        <w:rPr>
          <w:rFonts w:hint="eastAsia" w:ascii="宋体" w:hAnsi="宋体" w:cs="宋体"/>
          <w:color w:val="auto"/>
          <w:szCs w:val="24"/>
          <w:lang w:val="en-US" w:eastAsia="zh-CN"/>
        </w:rPr>
        <w:t>.</w:t>
      </w:r>
      <w:r>
        <w:rPr>
          <w:rFonts w:hint="eastAsia" w:ascii="宋体" w:hAnsi="宋体" w:cs="宋体"/>
          <w:color w:val="auto"/>
          <w:szCs w:val="24"/>
          <w:lang w:eastAsia="zh-CN"/>
        </w:rPr>
        <w:t>响应报价低于全部通过符合性审查供应商响应报价平均值50%的，即响应报价&lt;全部通过符合性审查供应商响应报价平均值×50%；</w:t>
      </w:r>
    </w:p>
    <w:p w14:paraId="709B5F31">
      <w:pPr>
        <w:pStyle w:val="19"/>
        <w:widowControl/>
        <w:shd w:val="clear" w:color="auto" w:fill="FFFFFF"/>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2</w:t>
      </w:r>
      <w:r>
        <w:rPr>
          <w:rFonts w:hint="eastAsia" w:ascii="宋体" w:hAnsi="宋体" w:cs="宋体"/>
          <w:color w:val="auto"/>
          <w:szCs w:val="24"/>
          <w:lang w:val="en-US" w:eastAsia="zh-CN"/>
        </w:rPr>
        <w:t>.</w:t>
      </w:r>
      <w:r>
        <w:rPr>
          <w:rFonts w:hint="eastAsia" w:ascii="宋体" w:hAnsi="宋体" w:cs="宋体"/>
          <w:color w:val="auto"/>
          <w:szCs w:val="24"/>
          <w:lang w:eastAsia="zh-CN"/>
        </w:rPr>
        <w:t>响应报价低于通过符合性审查的次低报价供应商响应报价50%的，即响应报价&lt;通过符合性审查的次低报价供应商响应报价×50%；</w:t>
      </w:r>
    </w:p>
    <w:p w14:paraId="391CEC87">
      <w:pPr>
        <w:pStyle w:val="19"/>
        <w:widowControl/>
        <w:shd w:val="clear" w:color="auto" w:fill="FFFFFF"/>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3</w:t>
      </w:r>
      <w:r>
        <w:rPr>
          <w:rFonts w:hint="eastAsia" w:ascii="宋体" w:hAnsi="宋体" w:cs="宋体"/>
          <w:color w:val="auto"/>
          <w:szCs w:val="24"/>
          <w:lang w:val="en-US" w:eastAsia="zh-CN"/>
        </w:rPr>
        <w:t>.</w:t>
      </w:r>
      <w:r>
        <w:rPr>
          <w:rFonts w:hint="eastAsia" w:ascii="宋体" w:hAnsi="宋体" w:cs="宋体"/>
          <w:color w:val="auto"/>
          <w:szCs w:val="24"/>
          <w:lang w:eastAsia="zh-CN"/>
        </w:rPr>
        <w:t>响应报价低于采购项目最高限价45%的，即响应报价&lt;采购项目最高限价×45%；</w:t>
      </w:r>
    </w:p>
    <w:p w14:paraId="0CF0712F">
      <w:pPr>
        <w:pStyle w:val="19"/>
        <w:widowControl/>
        <w:shd w:val="clear" w:color="auto" w:fill="FFFFFF"/>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4</w:t>
      </w:r>
      <w:r>
        <w:rPr>
          <w:rFonts w:hint="eastAsia" w:ascii="宋体" w:hAnsi="宋体" w:cs="宋体"/>
          <w:color w:val="auto"/>
          <w:szCs w:val="24"/>
          <w:lang w:val="en-US" w:eastAsia="zh-CN"/>
        </w:rPr>
        <w:t>.评审</w:t>
      </w:r>
      <w:r>
        <w:rPr>
          <w:rFonts w:hint="eastAsia" w:ascii="宋体" w:hAnsi="宋体" w:cs="宋体"/>
          <w:color w:val="auto"/>
          <w:szCs w:val="24"/>
          <w:lang w:eastAsia="zh-CN"/>
        </w:rPr>
        <w:t>小组基于专业判断，认为供应商报价过低，有可能影响产品质量或者不能诚信履约的其他情形。</w:t>
      </w:r>
    </w:p>
    <w:p w14:paraId="587E095C">
      <w:pPr>
        <w:pStyle w:val="19"/>
        <w:widowControl/>
        <w:shd w:val="clear" w:color="auto" w:fill="FFFFFF"/>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val="en-US" w:eastAsia="zh-CN"/>
        </w:rPr>
        <w:t>评审</w:t>
      </w:r>
      <w:r>
        <w:rPr>
          <w:rFonts w:hint="eastAsia" w:ascii="宋体" w:hAnsi="宋体" w:cs="宋体"/>
          <w:color w:val="auto"/>
          <w:szCs w:val="24"/>
          <w:lang w:eastAsia="zh-CN"/>
        </w:rPr>
        <w:t>小组应当要求相关供应商在评审现场不少于30分钟时间内对响应价格作出解释，并提供项目具体成本测算等与报价合理性相关的书面说明及必要的证明材料。</w:t>
      </w:r>
    </w:p>
    <w:p w14:paraId="1F10964F">
      <w:pPr>
        <w:pStyle w:val="19"/>
        <w:widowControl/>
        <w:shd w:val="clear" w:color="auto" w:fill="FFFFFF"/>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val="en-US" w:eastAsia="zh-CN"/>
        </w:rPr>
        <w:t>评审</w:t>
      </w:r>
      <w:r>
        <w:rPr>
          <w:rFonts w:hint="eastAsia" w:ascii="宋体" w:hAnsi="宋体" w:cs="宋体"/>
          <w:color w:val="auto"/>
          <w:szCs w:val="24"/>
          <w:lang w:eastAsia="zh-CN"/>
        </w:rPr>
        <w:t>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cs="宋体"/>
          <w:color w:val="auto"/>
          <w:szCs w:val="24"/>
          <w:lang w:val="en-US" w:eastAsia="zh-CN"/>
        </w:rPr>
        <w:t>评审</w:t>
      </w:r>
      <w:r>
        <w:rPr>
          <w:rFonts w:hint="eastAsia" w:ascii="宋体" w:hAnsi="宋体" w:cs="宋体"/>
          <w:color w:val="auto"/>
          <w:szCs w:val="24"/>
          <w:lang w:eastAsia="zh-CN"/>
        </w:rPr>
        <w:t>小组应当将其作为无效响应处理。</w:t>
      </w:r>
    </w:p>
    <w:p w14:paraId="7E425017">
      <w:pPr>
        <w:keepNext w:val="0"/>
        <w:keepLines w:val="0"/>
        <w:pageBreakBefore w:val="0"/>
        <w:overflowPunct/>
        <w:bidi w:val="0"/>
        <w:snapToGrid w:val="0"/>
        <w:spacing w:line="360" w:lineRule="auto"/>
        <w:ind w:left="0" w:leftChars="0"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七、评审争议</w:t>
      </w:r>
    </w:p>
    <w:p w14:paraId="51077239">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时评</w:t>
      </w:r>
      <w:r>
        <w:rPr>
          <w:rFonts w:hint="eastAsia" w:ascii="宋体" w:hAnsi="宋体" w:cs="宋体"/>
          <w:color w:val="auto"/>
          <w:sz w:val="24"/>
          <w:szCs w:val="24"/>
          <w:lang w:val="en-US" w:eastAsia="zh-CN"/>
        </w:rPr>
        <w:t>审成员</w:t>
      </w:r>
      <w:r>
        <w:rPr>
          <w:rFonts w:hint="eastAsia" w:ascii="宋体" w:hAnsi="宋体" w:cs="宋体"/>
          <w:color w:val="auto"/>
          <w:sz w:val="24"/>
          <w:szCs w:val="24"/>
        </w:rPr>
        <w:t>对评</w:t>
      </w:r>
      <w:r>
        <w:rPr>
          <w:rFonts w:hint="eastAsia" w:ascii="宋体" w:hAnsi="宋体" w:cs="宋体"/>
          <w:color w:val="auto"/>
          <w:sz w:val="24"/>
          <w:szCs w:val="24"/>
          <w:lang w:val="en-US" w:eastAsia="zh-CN"/>
        </w:rPr>
        <w:t>审</w:t>
      </w:r>
      <w:r>
        <w:rPr>
          <w:rFonts w:hint="eastAsia" w:ascii="宋体" w:hAnsi="宋体" w:cs="宋体"/>
          <w:color w:val="auto"/>
          <w:sz w:val="24"/>
          <w:szCs w:val="24"/>
        </w:rPr>
        <w:t>的细则若有争议，由评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小组各</w:t>
      </w:r>
      <w:r>
        <w:rPr>
          <w:rFonts w:hint="eastAsia" w:ascii="宋体" w:hAnsi="宋体" w:cs="宋体"/>
          <w:color w:val="auto"/>
          <w:sz w:val="24"/>
          <w:szCs w:val="24"/>
          <w:lang w:val="en-US" w:eastAsia="zh-CN"/>
        </w:rPr>
        <w:t>成员</w:t>
      </w:r>
      <w:r>
        <w:rPr>
          <w:rFonts w:hint="eastAsia" w:ascii="宋体" w:hAnsi="宋体" w:cs="宋体"/>
          <w:color w:val="auto"/>
          <w:sz w:val="24"/>
          <w:szCs w:val="24"/>
        </w:rPr>
        <w:t>集体讨论确定，并对未尽情况有最终解释权。</w:t>
      </w:r>
    </w:p>
    <w:p w14:paraId="25B5D5E4">
      <w:pPr>
        <w:keepNext w:val="0"/>
        <w:keepLines w:val="0"/>
        <w:pageBreakBefore w:val="0"/>
        <w:overflowPunct/>
        <w:bidi w:val="0"/>
        <w:snapToGrid w:val="0"/>
        <w:spacing w:line="360" w:lineRule="auto"/>
        <w:ind w:left="0" w:lef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评审结果解释</w:t>
      </w:r>
    </w:p>
    <w:p w14:paraId="4BDB55DB">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对落标的供应商不</w:t>
      </w:r>
      <w:r>
        <w:rPr>
          <w:rFonts w:hint="eastAsia" w:ascii="宋体" w:hAnsi="宋体" w:cs="宋体"/>
          <w:color w:val="auto"/>
          <w:sz w:val="24"/>
          <w:szCs w:val="24"/>
          <w:lang w:val="en-US" w:eastAsia="zh-CN"/>
        </w:rPr>
        <w:t>做</w:t>
      </w:r>
      <w:r>
        <w:rPr>
          <w:rFonts w:hint="eastAsia" w:ascii="宋体" w:hAnsi="宋体" w:cs="宋体"/>
          <w:color w:val="auto"/>
          <w:sz w:val="24"/>
          <w:szCs w:val="24"/>
        </w:rPr>
        <w:t>落标原因的解释。</w:t>
      </w:r>
    </w:p>
    <w:p w14:paraId="69849DD3">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cs="宋体"/>
          <w:b/>
          <w:bCs/>
          <w:color w:val="auto"/>
          <w:sz w:val="24"/>
          <w:szCs w:val="24"/>
        </w:rPr>
        <w:t>、出现下列情形之一的，作无效响应处理</w:t>
      </w:r>
    </w:p>
    <w:p w14:paraId="1FA7A370">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1.响应文件未按规定要求装订、密封、签署、盖章及主要资料不齐全的；</w:t>
      </w:r>
    </w:p>
    <w:p w14:paraId="7D35B5DB">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2.响应文件的资料有虚报或者谎报的；</w:t>
      </w:r>
    </w:p>
    <w:p w14:paraId="108E9F47">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3.响应文件技术部分出现响应价格的内容；</w:t>
      </w:r>
    </w:p>
    <w:p w14:paraId="4A811F10">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4.不具备比选文件规定的资格要求的；</w:t>
      </w:r>
    </w:p>
    <w:p w14:paraId="56919276">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5.响应文件有重大漏项或重大不合理的；</w:t>
      </w:r>
    </w:p>
    <w:p w14:paraId="29AC970E">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6.项目技术、方案不满足用户需求中的要求，有重大偏离或保留的；</w:t>
      </w:r>
    </w:p>
    <w:p w14:paraId="5D2BB3EC">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7.响应报价超出项目预算的；</w:t>
      </w:r>
    </w:p>
    <w:p w14:paraId="70A25BA5">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8.被认定为低于成本报价竞标的；</w:t>
      </w:r>
    </w:p>
    <w:p w14:paraId="1FA2ACE6">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9.供应商的技术标得分畸低，被认定为未实质性响应的；</w:t>
      </w:r>
    </w:p>
    <w:p w14:paraId="3ECFB305">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10.不符合法律法规和比选文件中规定的其他实质性响应要求的；</w:t>
      </w:r>
    </w:p>
    <w:p w14:paraId="41139AE3">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11.评审小组可以认定为其他可构成未实质性响应比选文件要求的。</w:t>
      </w:r>
    </w:p>
    <w:p w14:paraId="2829C8AA">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lang w:val="en-US" w:eastAsia="zh-CN"/>
        </w:rPr>
        <w:t>十</w:t>
      </w:r>
      <w:r>
        <w:rPr>
          <w:rFonts w:hint="eastAsia" w:ascii="宋体" w:hAnsi="宋体" w:cs="宋体"/>
          <w:b/>
          <w:bCs/>
          <w:color w:val="auto"/>
          <w:sz w:val="24"/>
          <w:szCs w:val="24"/>
        </w:rPr>
        <w:t>、出现下列情形之一的，作废标处理</w:t>
      </w:r>
    </w:p>
    <w:p w14:paraId="6603DF32">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1.符合资格条件或者对比选文件作实质响应的供应商不足3家的；</w:t>
      </w:r>
    </w:p>
    <w:p w14:paraId="3D967F45">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2.出现影响采购公正的违法违规行为的；</w:t>
      </w:r>
    </w:p>
    <w:p w14:paraId="519D4871">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3.所有供应商报价超出采购预算价的；</w:t>
      </w:r>
    </w:p>
    <w:p w14:paraId="19F0F0BE">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4.因重大变故，采购任务被取消的；</w:t>
      </w:r>
    </w:p>
    <w:p w14:paraId="4B506CC2">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5.评标小组依据法律法规可以认定为废标的其他情况。</w:t>
      </w:r>
    </w:p>
    <w:p w14:paraId="6769301B">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lang w:val="en-US" w:eastAsia="zh-CN"/>
        </w:rPr>
        <w:t>十一</w:t>
      </w:r>
      <w:r>
        <w:rPr>
          <w:rFonts w:hint="eastAsia" w:ascii="宋体" w:hAnsi="宋体" w:cs="宋体"/>
          <w:b/>
          <w:bCs/>
          <w:color w:val="auto"/>
          <w:sz w:val="24"/>
          <w:szCs w:val="24"/>
        </w:rPr>
        <w:t>、成交通知</w:t>
      </w:r>
    </w:p>
    <w:p w14:paraId="49676FA6">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评审</w:t>
      </w:r>
      <w:r>
        <w:rPr>
          <w:rFonts w:hint="eastAsia" w:ascii="宋体" w:hAnsi="宋体" w:cs="宋体"/>
          <w:color w:val="auto"/>
          <w:sz w:val="24"/>
          <w:szCs w:val="24"/>
        </w:rPr>
        <w:t>结束后，采购人将成交结果在南通市教育局网公告1个工作日，同时向成交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发出《成交通知书》。</w:t>
      </w:r>
    </w:p>
    <w:p w14:paraId="2033061A">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2.《成交通知书》一经发出，即具有法律效力。采购人、成交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依法承担法律责任。</w:t>
      </w:r>
    </w:p>
    <w:p w14:paraId="607DE245">
      <w:pPr>
        <w:keepNext w:val="0"/>
        <w:keepLines w:val="0"/>
        <w:pageBreakBefore w:val="0"/>
        <w:overflowPunct/>
        <w:bidi w:val="0"/>
        <w:snapToGrid w:val="0"/>
        <w:spacing w:line="360" w:lineRule="auto"/>
        <w:ind w:left="0" w:leftChars="0" w:firstLine="482" w:firstLineChars="200"/>
        <w:jc w:val="center"/>
        <w:outlineLvl w:val="0"/>
        <w:rPr>
          <w:rFonts w:ascii="宋体" w:hAnsi="宋体" w:cs="宋体"/>
          <w:color w:val="auto"/>
          <w:sz w:val="24"/>
          <w:szCs w:val="24"/>
        </w:rPr>
      </w:pPr>
      <w:bookmarkStart w:id="33" w:name="_Toc13768"/>
      <w:r>
        <w:rPr>
          <w:rFonts w:hint="eastAsia" w:ascii="宋体" w:hAnsi="宋体" w:cs="宋体"/>
          <w:b/>
          <w:color w:val="auto"/>
          <w:sz w:val="24"/>
          <w:szCs w:val="24"/>
        </w:rPr>
        <w:br w:type="page"/>
      </w:r>
      <w:r>
        <w:rPr>
          <w:rFonts w:hint="eastAsia" w:ascii="宋体" w:hAnsi="宋体" w:eastAsia="宋体" w:cs="宋体"/>
          <w:b/>
          <w:color w:val="auto"/>
          <w:spacing w:val="6"/>
          <w:kern w:val="2"/>
          <w:sz w:val="36"/>
          <w:szCs w:val="36"/>
          <w:lang w:val="en-US" w:eastAsia="zh-CN" w:bidi="ar-SA"/>
        </w:rPr>
        <w:t>第五章  合同签订与验收付款</w:t>
      </w:r>
      <w:bookmarkEnd w:id="33"/>
    </w:p>
    <w:p w14:paraId="585E4E33">
      <w:pPr>
        <w:pStyle w:val="32"/>
        <w:keepNext w:val="0"/>
        <w:keepLines w:val="0"/>
        <w:pageBreakBefore w:val="0"/>
        <w:tabs>
          <w:tab w:val="right" w:leader="dot" w:pos="9214"/>
        </w:tabs>
        <w:overflowPunct/>
        <w:bidi w:val="0"/>
        <w:snapToGrid w:val="0"/>
        <w:spacing w:line="360" w:lineRule="auto"/>
        <w:ind w:left="0" w:leftChars="0" w:right="443" w:rightChars="211" w:firstLine="480" w:firstLineChars="200"/>
        <w:contextualSpacing/>
        <w:jc w:val="both"/>
        <w:rPr>
          <w:rFonts w:ascii="宋体" w:eastAsia="宋体" w:cs="宋体"/>
          <w:color w:val="auto"/>
          <w:sz w:val="24"/>
          <w:szCs w:val="24"/>
        </w:rPr>
      </w:pPr>
      <w:r>
        <w:rPr>
          <w:rFonts w:hint="eastAsia" w:ascii="宋体" w:eastAsia="宋体" w:cs="宋体"/>
          <w:color w:val="auto"/>
          <w:sz w:val="24"/>
          <w:szCs w:val="24"/>
        </w:rPr>
        <w:t>一、成交</w:t>
      </w:r>
      <w:r>
        <w:rPr>
          <w:rFonts w:hint="eastAsia" w:ascii="宋体" w:eastAsia="宋体" w:cs="宋体"/>
          <w:color w:val="auto"/>
          <w:sz w:val="24"/>
          <w:szCs w:val="24"/>
          <w:lang w:val="en-US" w:eastAsia="zh-CN"/>
        </w:rPr>
        <w:t>供应商</w:t>
      </w:r>
      <w:r>
        <w:rPr>
          <w:rFonts w:hint="eastAsia" w:ascii="宋体" w:eastAsia="宋体" w:cs="宋体"/>
          <w:color w:val="auto"/>
          <w:sz w:val="24"/>
          <w:szCs w:val="24"/>
        </w:rPr>
        <w:t>在接到《成交通知书》后30个日历天内按照比选文件确定的事项和采购人签订采购合同。</w:t>
      </w:r>
      <w:r>
        <w:rPr>
          <w:rFonts w:hint="eastAsia" w:ascii="宋体" w:eastAsia="宋体" w:cs="宋体"/>
          <w:color w:val="auto"/>
          <w:sz w:val="24"/>
          <w:szCs w:val="24"/>
          <w:lang w:val="zh-CN"/>
        </w:rPr>
        <w:t>所签合同不得对</w:t>
      </w:r>
      <w:r>
        <w:rPr>
          <w:rFonts w:hint="eastAsia" w:ascii="宋体" w:eastAsia="宋体" w:cs="宋体"/>
          <w:color w:val="auto"/>
          <w:sz w:val="24"/>
          <w:szCs w:val="24"/>
        </w:rPr>
        <w:t>比选文件</w:t>
      </w:r>
      <w:r>
        <w:rPr>
          <w:rFonts w:hint="eastAsia" w:ascii="宋体" w:eastAsia="宋体" w:cs="宋体"/>
          <w:color w:val="auto"/>
          <w:sz w:val="24"/>
          <w:szCs w:val="24"/>
          <w:lang w:val="zh-CN"/>
        </w:rPr>
        <w:t>作实质性修改</w:t>
      </w:r>
      <w:r>
        <w:rPr>
          <w:rFonts w:hint="eastAsia" w:ascii="宋体" w:eastAsia="宋体" w:cs="宋体"/>
          <w:color w:val="auto"/>
          <w:sz w:val="24"/>
          <w:szCs w:val="24"/>
        </w:rPr>
        <w:t>。采购人不得向成交</w:t>
      </w:r>
      <w:r>
        <w:rPr>
          <w:rFonts w:hint="eastAsia" w:ascii="宋体" w:eastAsia="宋体" w:cs="宋体"/>
          <w:color w:val="auto"/>
          <w:sz w:val="24"/>
          <w:szCs w:val="24"/>
          <w:lang w:val="en-US" w:eastAsia="zh-CN"/>
        </w:rPr>
        <w:t>供应商</w:t>
      </w:r>
      <w:r>
        <w:rPr>
          <w:rFonts w:hint="eastAsia" w:ascii="宋体" w:eastAsia="宋体" w:cs="宋体"/>
          <w:color w:val="auto"/>
          <w:sz w:val="24"/>
          <w:szCs w:val="24"/>
        </w:rPr>
        <w:t>提出不合理的要求作为签订合同的条件，不得与成交</w:t>
      </w:r>
      <w:r>
        <w:rPr>
          <w:rFonts w:hint="eastAsia" w:ascii="宋体" w:eastAsia="宋体" w:cs="宋体"/>
          <w:color w:val="auto"/>
          <w:sz w:val="24"/>
          <w:szCs w:val="24"/>
          <w:lang w:val="en-US" w:eastAsia="zh-CN"/>
        </w:rPr>
        <w:t>供应商</w:t>
      </w:r>
      <w:r>
        <w:rPr>
          <w:rFonts w:hint="eastAsia" w:ascii="宋体" w:eastAsia="宋体" w:cs="宋体"/>
          <w:color w:val="auto"/>
          <w:sz w:val="24"/>
          <w:szCs w:val="24"/>
        </w:rPr>
        <w:t>私下订立背离比选文件实质性内容的协议。</w:t>
      </w:r>
      <w:bookmarkStart w:id="34" w:name="_Toc363573858"/>
      <w:bookmarkStart w:id="35" w:name="_Toc94585343"/>
    </w:p>
    <w:p w14:paraId="34EAF244">
      <w:pPr>
        <w:keepNext w:val="0"/>
        <w:keepLines w:val="0"/>
        <w:pageBreakBefore w:val="0"/>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二、比选文件、成交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的响应文件及评审过程中有关书面澄清、承诺等均应作为合同附件，具有同等的法律效力。</w:t>
      </w:r>
    </w:p>
    <w:p w14:paraId="345CD838">
      <w:pPr>
        <w:keepNext w:val="0"/>
        <w:keepLines w:val="0"/>
        <w:pageBreakBefore w:val="0"/>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三、成交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不得采用转包、分包的形式履行合同，否则，采购人有权终止合同，造成采购人损失的，成交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应承担相应赔偿责任。</w:t>
      </w:r>
    </w:p>
    <w:bookmarkEnd w:id="34"/>
    <w:bookmarkEnd w:id="35"/>
    <w:p w14:paraId="68DFBB0D">
      <w:pPr>
        <w:keepNext w:val="0"/>
        <w:keepLines w:val="0"/>
        <w:pageBreakBefore w:val="0"/>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四、采购人和成交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应相互配合，按采购合同约定积极组织本项目的实施，确保项目按时完成。</w:t>
      </w:r>
    </w:p>
    <w:p w14:paraId="6A17D256">
      <w:pPr>
        <w:keepNext w:val="0"/>
        <w:keepLines w:val="0"/>
        <w:pageBreakBefore w:val="0"/>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五、成交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履约到位后，应以书面形式向采购人提出验收申请。采购人接到申请后应及时组织验收。</w:t>
      </w:r>
    </w:p>
    <w:p w14:paraId="2EED2DAC">
      <w:pPr>
        <w:keepNext w:val="0"/>
        <w:keepLines w:val="0"/>
        <w:pageBreakBefore w:val="0"/>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六、采购人、成交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不按采购合同规定履约，出现违约情形，应当及时纠正或补偿，造成损失的，按合同约定追究违约责任；在履约中发现有假冒、伪劣、走私产品、商业贿赂等违法情形的，应由采购人移交工商、质监、公安等行政执法部门依法查处。</w:t>
      </w:r>
    </w:p>
    <w:p w14:paraId="5BFDDFB2">
      <w:pPr>
        <w:pStyle w:val="11"/>
        <w:keepNext w:val="0"/>
        <w:keepLines w:val="0"/>
        <w:pageBreakBefore w:val="0"/>
        <w:tabs>
          <w:tab w:val="right" w:leader="dot" w:pos="9214"/>
        </w:tabs>
        <w:overflowPunct/>
        <w:bidi w:val="0"/>
        <w:spacing w:line="360" w:lineRule="auto"/>
        <w:ind w:left="0" w:leftChars="0" w:right="443" w:rightChars="211" w:firstLine="480" w:firstLineChars="200"/>
        <w:jc w:val="both"/>
        <w:rPr>
          <w:rFonts w:ascii="宋体" w:hAnsi="宋体" w:eastAsia="宋体" w:cs="宋体"/>
          <w:color w:val="auto"/>
          <w:kern w:val="2"/>
          <w:szCs w:val="24"/>
        </w:rPr>
      </w:pPr>
      <w:r>
        <w:rPr>
          <w:rFonts w:hint="eastAsia" w:ascii="宋体" w:hAnsi="宋体" w:eastAsia="宋体" w:cs="宋体"/>
          <w:color w:val="auto"/>
          <w:kern w:val="2"/>
          <w:szCs w:val="24"/>
        </w:rPr>
        <w:t>七、按采购合同约定支付的项目合同价款。</w:t>
      </w:r>
    </w:p>
    <w:p w14:paraId="357BA30E">
      <w:pPr>
        <w:keepNext w:val="0"/>
        <w:keepLines w:val="0"/>
        <w:pageBreakBefore w:val="0"/>
        <w:overflowPunct/>
        <w:bidi w:val="0"/>
        <w:spacing w:line="360" w:lineRule="auto"/>
        <w:ind w:left="0" w:leftChars="0" w:firstLine="482" w:firstLineChars="200"/>
        <w:jc w:val="both"/>
        <w:rPr>
          <w:rFonts w:ascii="宋体" w:hAnsi="宋体" w:cs="宋体"/>
          <w:b/>
          <w:color w:val="auto"/>
          <w:sz w:val="24"/>
          <w:szCs w:val="24"/>
        </w:rPr>
      </w:pPr>
      <w:bookmarkStart w:id="36" w:name="_Toc14026"/>
      <w:r>
        <w:rPr>
          <w:rFonts w:hint="eastAsia" w:ascii="宋体" w:hAnsi="宋体" w:cs="宋体"/>
          <w:b/>
          <w:color w:val="auto"/>
          <w:sz w:val="24"/>
          <w:szCs w:val="24"/>
        </w:rPr>
        <w:br w:type="page"/>
      </w:r>
    </w:p>
    <w:p w14:paraId="632B1F6F">
      <w:pPr>
        <w:keepNext w:val="0"/>
        <w:keepLines w:val="0"/>
        <w:pageBreakBefore w:val="0"/>
        <w:overflowPunct/>
        <w:bidi w:val="0"/>
        <w:snapToGrid w:val="0"/>
        <w:spacing w:line="360" w:lineRule="auto"/>
        <w:ind w:left="0" w:leftChars="0" w:firstLine="747" w:firstLineChars="200"/>
        <w:jc w:val="center"/>
        <w:outlineLvl w:val="0"/>
        <w:rPr>
          <w:rFonts w:hint="eastAsia"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第六章</w:t>
      </w:r>
      <w:bookmarkEnd w:id="36"/>
      <w:bookmarkStart w:id="37" w:name="_Toc21870"/>
      <w:r>
        <w:rPr>
          <w:rFonts w:hint="eastAsia" w:ascii="宋体" w:hAnsi="宋体" w:eastAsia="宋体" w:cs="宋体"/>
          <w:b/>
          <w:color w:val="auto"/>
          <w:spacing w:val="6"/>
          <w:kern w:val="2"/>
          <w:sz w:val="36"/>
          <w:szCs w:val="36"/>
          <w:lang w:val="en-US" w:eastAsia="zh-CN" w:bidi="ar-SA"/>
        </w:rPr>
        <w:t xml:space="preserve">   响应文件组成</w:t>
      </w:r>
      <w:bookmarkEnd w:id="37"/>
    </w:p>
    <w:p w14:paraId="0861CCE1">
      <w:pPr>
        <w:keepNext w:val="0"/>
        <w:keepLines w:val="0"/>
        <w:pageBreakBefore w:val="0"/>
        <w:overflowPunct/>
        <w:bidi w:val="0"/>
        <w:snapToGrid w:val="0"/>
        <w:spacing w:line="360" w:lineRule="auto"/>
        <w:ind w:left="0" w:leftChars="0" w:firstLine="482" w:firstLineChars="200"/>
        <w:jc w:val="both"/>
        <w:rPr>
          <w:rFonts w:hint="eastAsia" w:ascii="宋体" w:hAnsi="宋体" w:eastAsia="宋体" w:cs="宋体"/>
          <w:b/>
          <w:color w:val="auto"/>
          <w:sz w:val="24"/>
          <w:szCs w:val="24"/>
          <w:lang w:eastAsia="zh-CN"/>
        </w:rPr>
      </w:pPr>
      <w:r>
        <w:rPr>
          <w:rFonts w:hint="eastAsia" w:ascii="宋体" w:hAnsi="宋体" w:cs="宋体"/>
          <w:b/>
          <w:color w:val="auto"/>
          <w:sz w:val="24"/>
          <w:szCs w:val="24"/>
        </w:rPr>
        <w:t>响应文件由①资格后审材料文件、②</w:t>
      </w:r>
      <w:r>
        <w:rPr>
          <w:rFonts w:hint="eastAsia" w:ascii="宋体" w:hAnsi="宋体" w:cs="宋体"/>
          <w:b/>
          <w:color w:val="auto"/>
          <w:sz w:val="24"/>
          <w:szCs w:val="24"/>
          <w:lang w:val="en-US" w:eastAsia="zh-CN"/>
        </w:rPr>
        <w:t>商务</w:t>
      </w:r>
      <w:r>
        <w:rPr>
          <w:rFonts w:hint="eastAsia" w:ascii="宋体" w:hAnsi="宋体" w:cs="宋体"/>
          <w:b/>
          <w:color w:val="auto"/>
          <w:sz w:val="24"/>
          <w:szCs w:val="24"/>
        </w:rPr>
        <w:t>技术标响应文件、③价格标响应文件、④电子响应文件共四部分组成。</w:t>
      </w:r>
    </w:p>
    <w:p w14:paraId="2AFD8844">
      <w:pPr>
        <w:pStyle w:val="33"/>
        <w:keepNext w:val="0"/>
        <w:keepLines w:val="0"/>
        <w:pageBreakBefore w:val="0"/>
        <w:overflowPunct/>
        <w:bidi w:val="0"/>
        <w:snapToGrid w:val="0"/>
        <w:spacing w:before="0" w:beforeAutospacing="0" w:after="0" w:afterAutospacing="0" w:line="360" w:lineRule="auto"/>
        <w:ind w:left="0" w:leftChars="0" w:firstLine="482" w:firstLineChars="200"/>
        <w:contextualSpacing/>
        <w:jc w:val="both"/>
        <w:rPr>
          <w:b/>
          <w:color w:val="auto"/>
          <w:szCs w:val="24"/>
        </w:rPr>
      </w:pPr>
      <w:r>
        <w:rPr>
          <w:rFonts w:hint="eastAsia"/>
          <w:b/>
          <w:color w:val="auto"/>
          <w:szCs w:val="24"/>
        </w:rPr>
        <w:t>一、资格后审材料文件（一正两副，单独密封并牢固装订）：</w:t>
      </w:r>
    </w:p>
    <w:p w14:paraId="5B6158D7">
      <w:pPr>
        <w:keepNext w:val="0"/>
        <w:keepLines w:val="0"/>
        <w:pageBreakBefore w:val="0"/>
        <w:widowControl/>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供应商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法律、行政法规规定的其他条件。须提供：符合条件的声明函（格式见附件）；</w:t>
      </w:r>
    </w:p>
    <w:p w14:paraId="409A1C87">
      <w:pPr>
        <w:keepNext w:val="0"/>
        <w:keepLines w:val="0"/>
        <w:pageBreakBefore w:val="0"/>
        <w:widowControl/>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2.法定代表人参加响应的，必须提供法定代表人身份证明；非法定代表人参加响应的，必须提供</w:t>
      </w:r>
      <w:r>
        <w:rPr>
          <w:rFonts w:hint="eastAsia" w:ascii="宋体" w:hAnsi="宋体" w:cs="宋体"/>
          <w:b/>
          <w:bCs/>
          <w:color w:val="auto"/>
          <w:sz w:val="24"/>
          <w:szCs w:val="24"/>
        </w:rPr>
        <w:t>法定代表人身份证明及法定代表人委托书</w:t>
      </w:r>
      <w:r>
        <w:rPr>
          <w:rFonts w:hint="eastAsia" w:ascii="宋体" w:hAnsi="宋体" w:cs="宋体"/>
          <w:color w:val="auto"/>
          <w:sz w:val="24"/>
          <w:szCs w:val="24"/>
        </w:rPr>
        <w:t>（格式参见附件）；</w:t>
      </w:r>
    </w:p>
    <w:p w14:paraId="73453A83">
      <w:pPr>
        <w:keepNext w:val="0"/>
        <w:keepLines w:val="0"/>
        <w:pageBreakBefore w:val="0"/>
        <w:overflowPunct/>
        <w:bidi w:val="0"/>
        <w:spacing w:line="360" w:lineRule="auto"/>
        <w:ind w:left="0" w:leftChars="0" w:firstLine="480" w:firstLineChars="200"/>
        <w:jc w:val="both"/>
        <w:rPr>
          <w:rFonts w:ascii="宋体" w:hAnsi="宋体" w:cs="宋体"/>
          <w:color w:val="auto"/>
          <w:sz w:val="24"/>
          <w:szCs w:val="24"/>
          <w:lang w:val="zh-CN"/>
        </w:rPr>
      </w:pPr>
      <w:r>
        <w:rPr>
          <w:rFonts w:hint="eastAsia" w:ascii="宋体" w:hAnsi="宋体" w:cs="宋体"/>
          <w:color w:val="auto"/>
          <w:sz w:val="24"/>
          <w:szCs w:val="24"/>
        </w:rPr>
        <w:t>3.提供法人或者其他组织的营业执照等证明文件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复印件加盖公章</w:t>
      </w:r>
      <w:r>
        <w:rPr>
          <w:rFonts w:hint="eastAsia" w:ascii="宋体" w:hAnsi="宋体" w:cs="宋体"/>
          <w:color w:val="auto"/>
          <w:sz w:val="24"/>
          <w:szCs w:val="24"/>
          <w:lang w:eastAsia="zh-CN"/>
        </w:rPr>
        <w:t>）</w:t>
      </w:r>
      <w:r>
        <w:rPr>
          <w:rFonts w:hint="eastAsia" w:ascii="宋体" w:hAnsi="宋体" w:cs="宋体"/>
          <w:color w:val="auto"/>
          <w:sz w:val="24"/>
          <w:szCs w:val="24"/>
          <w:lang w:val="zh-CN"/>
        </w:rPr>
        <w:t>；</w:t>
      </w:r>
    </w:p>
    <w:p w14:paraId="41E29AC4">
      <w:pPr>
        <w:keepNext w:val="0"/>
        <w:keepLines w:val="0"/>
        <w:pageBreakBefore w:val="0"/>
        <w:overflowPunct/>
        <w:bidi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4.供应商须具有工程设计综合甲级资质或建筑行业设计乙级及以上资质或建筑行业（建筑工程）专业设计乙级及以上资质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提供有效资质证书复印件加盖公章</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AA1058A">
      <w:pPr>
        <w:keepNext w:val="0"/>
        <w:keepLines w:val="0"/>
        <w:pageBreakBefore w:val="0"/>
        <w:overflowPunct/>
        <w:bidi w:val="0"/>
        <w:spacing w:line="360" w:lineRule="auto"/>
        <w:ind w:left="0" w:leftChars="0" w:firstLine="480" w:firstLineChars="200"/>
        <w:jc w:val="both"/>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5.项目负责人须具备国家注册一级建筑师执业资格（须在注册有效期内且注册单位为响应供应商单位）或建筑工程相关专业高级建筑师及以上职称, 须为参选人正式人员并提供供应商与项目负责人双方签订的有效劳动合同书及社保机构出具的供应商为其缴纳的2026年1月以来任意一个月的社保缴费证明（提供上述所需证明材料加盖公章）；</w:t>
      </w:r>
    </w:p>
    <w:p w14:paraId="7CE4846F">
      <w:pPr>
        <w:keepNext w:val="0"/>
        <w:keepLines w:val="0"/>
        <w:pageBreakBefore w:val="0"/>
        <w:widowControl/>
        <w:overflowPunct/>
        <w:bidi w:val="0"/>
        <w:snapToGrid w:val="0"/>
        <w:spacing w:line="360" w:lineRule="auto"/>
        <w:ind w:left="0" w:leftChars="0" w:firstLine="480" w:firstLineChars="200"/>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6.供应商未被“信用中国”网站列入失信被执行人、重大税收违法案件当事人名单、采购严重失信行为记录名单，提供无失信记录声明函（格式见附件）；</w:t>
      </w:r>
    </w:p>
    <w:p w14:paraId="1489C409">
      <w:pPr>
        <w:pStyle w:val="2"/>
        <w:rPr>
          <w:rFonts w:hint="default"/>
          <w:color w:val="auto"/>
          <w:lang w:val="en-US" w:eastAsia="zh-CN"/>
        </w:rPr>
      </w:pPr>
      <w:r>
        <w:rPr>
          <w:rFonts w:hint="eastAsia" w:ascii="宋体" w:hAnsi="宋体" w:cs="宋体"/>
          <w:color w:val="auto"/>
          <w:sz w:val="24"/>
          <w:szCs w:val="24"/>
          <w:lang w:val="en-US" w:eastAsia="zh-CN"/>
        </w:rPr>
        <w:t>7.供应商满足其他要求的承诺函（格式见附件）。</w:t>
      </w:r>
    </w:p>
    <w:p w14:paraId="2B2A4EA7">
      <w:pPr>
        <w:keepNext w:val="0"/>
        <w:keepLines w:val="0"/>
        <w:pageBreakBefore w:val="0"/>
        <w:widowControl/>
        <w:overflowPunct/>
        <w:bidi w:val="0"/>
        <w:snapToGrid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t>二、</w:t>
      </w:r>
      <w:r>
        <w:rPr>
          <w:rFonts w:hint="eastAsia" w:ascii="宋体" w:hAnsi="宋体" w:cs="宋体"/>
          <w:b/>
          <w:color w:val="auto"/>
          <w:sz w:val="24"/>
          <w:szCs w:val="24"/>
          <w:lang w:val="en-US" w:eastAsia="zh-CN"/>
        </w:rPr>
        <w:t>商务</w:t>
      </w:r>
      <w:r>
        <w:rPr>
          <w:rFonts w:hint="eastAsia" w:ascii="宋体" w:hAnsi="宋体" w:cs="宋体"/>
          <w:b/>
          <w:color w:val="auto"/>
          <w:sz w:val="24"/>
          <w:szCs w:val="24"/>
        </w:rPr>
        <w:t>技术标响应文件（一正两副，单独密封并牢固装订）：</w:t>
      </w:r>
    </w:p>
    <w:p w14:paraId="11181CBC">
      <w:pPr>
        <w:keepNext w:val="0"/>
        <w:keepLines w:val="0"/>
        <w:pageBreakBefore w:val="0"/>
        <w:widowControl/>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1.商务部分正负偏离表（格式参见附件）；</w:t>
      </w:r>
    </w:p>
    <w:p w14:paraId="65131762">
      <w:pPr>
        <w:keepNext w:val="0"/>
        <w:keepLines w:val="0"/>
        <w:pageBreakBefore w:val="0"/>
        <w:widowControl/>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2.技术部分正负偏离表（格式参见附件）；</w:t>
      </w:r>
    </w:p>
    <w:p w14:paraId="31C7D8E5">
      <w:pPr>
        <w:adjustRightInd w:val="0"/>
        <w:snapToGrid w:val="0"/>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en-US" w:eastAsia="zh-CN"/>
        </w:rPr>
        <w:t>3.</w:t>
      </w:r>
      <w:r>
        <w:rPr>
          <w:rFonts w:ascii="宋体" w:hAnsi="宋体"/>
          <w:bCs/>
          <w:color w:val="auto"/>
          <w:sz w:val="24"/>
          <w:szCs w:val="24"/>
          <w:lang w:val="zh-CN"/>
        </w:rPr>
        <w:t>商务技术评分标准中</w:t>
      </w:r>
      <w:r>
        <w:rPr>
          <w:rFonts w:hint="eastAsia" w:ascii="宋体" w:hAnsi="宋体"/>
          <w:bCs/>
          <w:color w:val="auto"/>
          <w:sz w:val="24"/>
          <w:szCs w:val="24"/>
          <w:lang w:val="zh-CN"/>
        </w:rPr>
        <w:t>需</w:t>
      </w:r>
      <w:r>
        <w:rPr>
          <w:rFonts w:ascii="宋体" w:hAnsi="宋体"/>
          <w:bCs/>
          <w:color w:val="auto"/>
          <w:sz w:val="24"/>
          <w:szCs w:val="24"/>
          <w:lang w:val="zh-CN"/>
        </w:rPr>
        <w:t>提供的相关得分佐证材料；</w:t>
      </w:r>
    </w:p>
    <w:p w14:paraId="4983EBCE">
      <w:pPr>
        <w:adjustRightInd w:val="0"/>
        <w:snapToGrid w:val="0"/>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en-US" w:eastAsia="zh-CN"/>
        </w:rPr>
        <w:t>4.</w:t>
      </w:r>
      <w:r>
        <w:rPr>
          <w:rFonts w:ascii="宋体" w:hAnsi="宋体"/>
          <w:bCs/>
          <w:color w:val="auto"/>
          <w:sz w:val="24"/>
          <w:szCs w:val="24"/>
          <w:lang w:val="zh-CN"/>
        </w:rPr>
        <w:t>供应商认为需要提交的其他商务技术材料。</w:t>
      </w:r>
    </w:p>
    <w:p w14:paraId="2CD61664">
      <w:pPr>
        <w:keepNext w:val="0"/>
        <w:keepLines w:val="0"/>
        <w:pageBreakBefore w:val="0"/>
        <w:widowControl/>
        <w:overflowPunct/>
        <w:bidi w:val="0"/>
        <w:snapToGrid w:val="0"/>
        <w:spacing w:line="360" w:lineRule="auto"/>
        <w:ind w:left="0" w:leftChars="0" w:firstLine="482" w:firstLineChars="200"/>
        <w:jc w:val="both"/>
        <w:rPr>
          <w:rFonts w:ascii="宋体" w:hAnsi="宋体" w:cs="宋体"/>
          <w:color w:val="auto"/>
          <w:sz w:val="24"/>
          <w:szCs w:val="24"/>
        </w:rPr>
      </w:pPr>
      <w:r>
        <w:rPr>
          <w:rFonts w:hint="eastAsia" w:ascii="宋体" w:hAnsi="宋体" w:cs="宋体"/>
          <w:b/>
          <w:color w:val="auto"/>
          <w:sz w:val="24"/>
          <w:szCs w:val="24"/>
        </w:rPr>
        <w:t>三、价格标响应文件（一正两副，单独密封并牢固装订）：</w:t>
      </w:r>
    </w:p>
    <w:p w14:paraId="2C25B5E6">
      <w:pPr>
        <w:keepNext w:val="0"/>
        <w:keepLines w:val="0"/>
        <w:pageBreakBefore w:val="0"/>
        <w:tabs>
          <w:tab w:val="left" w:pos="1260"/>
        </w:tabs>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1.报价总表（格式参见附件）。</w:t>
      </w:r>
    </w:p>
    <w:p w14:paraId="3DBFFB8B">
      <w:pPr>
        <w:keepNext w:val="0"/>
        <w:keepLines w:val="0"/>
        <w:pageBreakBefore w:val="0"/>
        <w:tabs>
          <w:tab w:val="left" w:pos="1260"/>
        </w:tabs>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四、电子响应文件</w:t>
      </w:r>
      <w:r>
        <w:rPr>
          <w:rFonts w:hint="eastAsia" w:ascii="宋体" w:hAnsi="宋体" w:cs="宋体"/>
          <w:b/>
          <w:bCs/>
          <w:color w:val="auto"/>
          <w:sz w:val="24"/>
          <w:szCs w:val="24"/>
          <w:lang w:val="zh-CN"/>
        </w:rPr>
        <w:t>（</w:t>
      </w:r>
      <w:r>
        <w:rPr>
          <w:rFonts w:hint="eastAsia" w:ascii="宋体" w:hAnsi="宋体" w:cs="宋体"/>
          <w:b/>
          <w:bCs/>
          <w:color w:val="auto"/>
          <w:sz w:val="24"/>
          <w:szCs w:val="24"/>
        </w:rPr>
        <w:t>一份，单独密封</w:t>
      </w:r>
      <w:r>
        <w:rPr>
          <w:rFonts w:hint="eastAsia" w:ascii="宋体" w:hAnsi="宋体" w:cs="宋体"/>
          <w:b/>
          <w:bCs/>
          <w:color w:val="auto"/>
          <w:sz w:val="24"/>
          <w:szCs w:val="24"/>
          <w:lang w:val="zh-CN"/>
        </w:rPr>
        <w:t>）</w:t>
      </w:r>
    </w:p>
    <w:p w14:paraId="0921C5D0">
      <w:pPr>
        <w:keepNext w:val="0"/>
        <w:keepLines w:val="0"/>
        <w:pageBreakBefore w:val="0"/>
        <w:tabs>
          <w:tab w:val="left" w:pos="1260"/>
        </w:tabs>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电子响应文件的内容为“资格后审材料文件、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技术标响应文件、价格标响应文件”的打印盖章或电子签章后的响应文件的扫描件（资格后审材料文件、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技术标响应文件、价格标响应文件需分别逐页连续扫描为三个独立的PDF文件），采取U盘方式单独密封提交。</w:t>
      </w:r>
      <w:r>
        <w:rPr>
          <w:rFonts w:hint="eastAsia" w:ascii="宋体" w:hAnsi="宋体" w:cs="宋体"/>
          <w:color w:val="auto"/>
          <w:sz w:val="24"/>
          <w:szCs w:val="24"/>
        </w:rPr>
        <w:br w:type="page"/>
      </w:r>
    </w:p>
    <w:p w14:paraId="6FAE6685">
      <w:pPr>
        <w:keepNext w:val="0"/>
        <w:keepLines w:val="0"/>
        <w:pageBreakBefore w:val="0"/>
        <w:overflowPunct/>
        <w:bidi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t>附件</w:t>
      </w:r>
    </w:p>
    <w:p w14:paraId="6D0ABF66">
      <w:pPr>
        <w:adjustRightInd w:val="0"/>
        <w:snapToGrid w:val="0"/>
        <w:spacing w:line="420" w:lineRule="exact"/>
        <w:jc w:val="center"/>
        <w:outlineLvl w:val="9"/>
        <w:rPr>
          <w:rFonts w:ascii="Times New Roman" w:hAnsi="Times New Roman"/>
          <w:b/>
          <w:bCs/>
          <w:color w:val="auto"/>
          <w:kern w:val="2"/>
          <w:sz w:val="28"/>
          <w:szCs w:val="28"/>
        </w:rPr>
      </w:pPr>
      <w:r>
        <w:rPr>
          <w:rFonts w:hint="eastAsia" w:ascii="Times New Roman" w:hAnsi="Times New Roman" w:cs="宋体"/>
          <w:b/>
          <w:bCs/>
          <w:color w:val="auto"/>
          <w:kern w:val="2"/>
          <w:sz w:val="28"/>
          <w:szCs w:val="28"/>
        </w:rPr>
        <w:t>（封面）</w:t>
      </w:r>
    </w:p>
    <w:p w14:paraId="3CFD4A4D">
      <w:pPr>
        <w:keepNext w:val="0"/>
        <w:keepLines w:val="0"/>
        <w:pageBreakBefore w:val="0"/>
        <w:overflowPunct/>
        <w:bidi w:val="0"/>
        <w:spacing w:line="360" w:lineRule="auto"/>
        <w:ind w:left="0" w:leftChars="0" w:firstLine="883" w:firstLineChars="200"/>
        <w:jc w:val="center"/>
        <w:rPr>
          <w:rFonts w:hint="eastAsia" w:ascii="宋体" w:hAnsi="宋体" w:cs="宋体"/>
          <w:b/>
          <w:color w:val="auto"/>
          <w:sz w:val="44"/>
          <w:szCs w:val="44"/>
          <w:u w:val="none"/>
        </w:rPr>
      </w:pPr>
    </w:p>
    <w:p w14:paraId="0E888D4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color w:val="auto"/>
          <w:sz w:val="44"/>
          <w:szCs w:val="44"/>
          <w:u w:val="none"/>
        </w:rPr>
      </w:pPr>
      <w:r>
        <w:rPr>
          <w:rFonts w:hint="eastAsia" w:ascii="宋体" w:hAnsi="宋体" w:cs="宋体"/>
          <w:b/>
          <w:color w:val="auto"/>
          <w:sz w:val="44"/>
          <w:szCs w:val="44"/>
          <w:u w:val="none"/>
        </w:rPr>
        <w:t>江苏省南通第一中学钱学森科创中心装修设计服务采购项目</w:t>
      </w:r>
    </w:p>
    <w:p w14:paraId="63095E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rPr>
        <w:t>项目编号：</w:t>
      </w:r>
      <w:r>
        <w:rPr>
          <w:rFonts w:hint="eastAsia" w:ascii="宋体" w:hAnsi="宋体" w:cs="宋体"/>
          <w:b/>
          <w:bCs/>
          <w:color w:val="auto"/>
          <w:sz w:val="32"/>
          <w:szCs w:val="32"/>
          <w:lang w:val="en-US" w:eastAsia="zh-CN"/>
        </w:rPr>
        <w:t>20260511</w:t>
      </w:r>
    </w:p>
    <w:p w14:paraId="69B09300">
      <w:pPr>
        <w:keepNext w:val="0"/>
        <w:keepLines w:val="0"/>
        <w:pageBreakBefore w:val="0"/>
        <w:overflowPunct/>
        <w:bidi w:val="0"/>
        <w:spacing w:line="360" w:lineRule="auto"/>
        <w:ind w:left="0" w:leftChars="0" w:firstLine="480" w:firstLineChars="200"/>
        <w:jc w:val="both"/>
        <w:rPr>
          <w:rFonts w:ascii="宋体" w:hAnsi="宋体" w:cs="宋体"/>
          <w:color w:val="auto"/>
          <w:sz w:val="24"/>
        </w:rPr>
      </w:pPr>
    </w:p>
    <w:p w14:paraId="178D5EE5">
      <w:pPr>
        <w:keepNext w:val="0"/>
        <w:keepLines w:val="0"/>
        <w:pageBreakBefore w:val="0"/>
        <w:overflowPunct/>
        <w:bidi w:val="0"/>
        <w:spacing w:line="360" w:lineRule="auto"/>
        <w:ind w:left="0" w:leftChars="0" w:firstLine="480" w:firstLineChars="200"/>
        <w:jc w:val="both"/>
        <w:rPr>
          <w:rFonts w:ascii="宋体" w:hAnsi="宋体" w:cs="宋体"/>
          <w:color w:val="auto"/>
          <w:sz w:val="24"/>
        </w:rPr>
      </w:pPr>
    </w:p>
    <w:p w14:paraId="257E256D">
      <w:pPr>
        <w:keepNext w:val="0"/>
        <w:keepLines w:val="0"/>
        <w:pageBreakBefore w:val="0"/>
        <w:overflowPunct/>
        <w:bidi w:val="0"/>
        <w:spacing w:line="360" w:lineRule="auto"/>
        <w:ind w:left="0" w:leftChars="0" w:firstLine="480" w:firstLineChars="200"/>
        <w:jc w:val="both"/>
        <w:rPr>
          <w:rFonts w:ascii="宋体" w:hAnsi="宋体" w:cs="宋体"/>
          <w:color w:val="auto"/>
          <w:sz w:val="24"/>
        </w:rPr>
      </w:pPr>
    </w:p>
    <w:p w14:paraId="736E7CD8">
      <w:pPr>
        <w:keepNext w:val="0"/>
        <w:keepLines w:val="0"/>
        <w:pageBreakBefore w:val="0"/>
        <w:overflowPunct/>
        <w:bidi w:val="0"/>
        <w:spacing w:line="360" w:lineRule="auto"/>
        <w:ind w:left="0" w:leftChars="0" w:firstLine="643" w:firstLineChars="200"/>
        <w:jc w:val="center"/>
        <w:rPr>
          <w:rFonts w:ascii="宋体" w:hAnsi="宋体" w:cs="宋体"/>
          <w:b/>
          <w:bCs/>
          <w:color w:val="auto"/>
          <w:sz w:val="32"/>
          <w:szCs w:val="32"/>
        </w:rPr>
      </w:pPr>
      <w:r>
        <w:rPr>
          <w:rFonts w:hint="eastAsia" w:ascii="宋体" w:hAnsi="宋体" w:cs="宋体"/>
          <w:b/>
          <w:bCs/>
          <w:color w:val="auto"/>
          <w:sz w:val="32"/>
          <w:szCs w:val="32"/>
        </w:rPr>
        <w:t>响应文件</w:t>
      </w:r>
    </w:p>
    <w:p w14:paraId="6B0CBAD2">
      <w:pPr>
        <w:keepNext w:val="0"/>
        <w:keepLines w:val="0"/>
        <w:pageBreakBefore w:val="0"/>
        <w:overflowPunct/>
        <w:bidi w:val="0"/>
        <w:spacing w:line="360" w:lineRule="auto"/>
        <w:ind w:left="0" w:leftChars="0" w:firstLine="480" w:firstLineChars="200"/>
        <w:jc w:val="center"/>
        <w:rPr>
          <w:rFonts w:ascii="宋体" w:hAnsi="宋体" w:cs="宋体"/>
          <w:color w:val="auto"/>
          <w:sz w:val="24"/>
        </w:rPr>
      </w:pPr>
      <w:r>
        <w:rPr>
          <w:rFonts w:hint="eastAsia" w:ascii="宋体" w:hAnsi="宋体" w:cs="宋体"/>
          <w:color w:val="auto"/>
          <w:sz w:val="24"/>
        </w:rPr>
        <w:t>对应响应文件填写：资格后审材料文件</w:t>
      </w:r>
    </w:p>
    <w:p w14:paraId="6267ED6B">
      <w:pPr>
        <w:keepNext w:val="0"/>
        <w:keepLines w:val="0"/>
        <w:pageBreakBefore w:val="0"/>
        <w:overflowPunct/>
        <w:bidi w:val="0"/>
        <w:spacing w:line="360" w:lineRule="auto"/>
        <w:ind w:left="0" w:leftChars="0" w:firstLine="480" w:firstLineChars="200"/>
        <w:jc w:val="center"/>
        <w:rPr>
          <w:rFonts w:hint="eastAsia" w:ascii="宋体" w:hAnsi="宋体" w:cs="宋体"/>
          <w:color w:val="auto"/>
          <w:sz w:val="24"/>
        </w:rPr>
      </w:pPr>
      <w:r>
        <w:rPr>
          <w:rFonts w:hint="eastAsia" w:ascii="宋体" w:hAnsi="宋体" w:cs="宋体"/>
          <w:color w:val="auto"/>
          <w:sz w:val="24"/>
        </w:rPr>
        <w:t>对应响应文件填写：</w:t>
      </w:r>
      <w:r>
        <w:rPr>
          <w:rFonts w:hint="eastAsia" w:ascii="宋体" w:hAnsi="宋体" w:cs="宋体"/>
          <w:color w:val="auto"/>
          <w:sz w:val="24"/>
          <w:lang w:val="en-US" w:eastAsia="zh-CN"/>
        </w:rPr>
        <w:t>商务</w:t>
      </w:r>
      <w:r>
        <w:rPr>
          <w:rFonts w:hint="eastAsia" w:ascii="宋体" w:hAnsi="宋体" w:cs="宋体"/>
          <w:color w:val="auto"/>
          <w:sz w:val="24"/>
        </w:rPr>
        <w:t>技术标响应文件</w:t>
      </w:r>
    </w:p>
    <w:p w14:paraId="3406D964">
      <w:pPr>
        <w:keepNext w:val="0"/>
        <w:keepLines w:val="0"/>
        <w:pageBreakBefore w:val="0"/>
        <w:overflowPunct/>
        <w:bidi w:val="0"/>
        <w:spacing w:line="360" w:lineRule="auto"/>
        <w:ind w:left="0" w:leftChars="0" w:firstLine="480" w:firstLineChars="200"/>
        <w:jc w:val="center"/>
        <w:rPr>
          <w:rFonts w:hint="eastAsia" w:ascii="宋体" w:hAnsi="宋体" w:cs="宋体"/>
          <w:color w:val="auto"/>
          <w:sz w:val="24"/>
        </w:rPr>
      </w:pPr>
      <w:r>
        <w:rPr>
          <w:rFonts w:hint="eastAsia" w:ascii="宋体" w:hAnsi="宋体" w:cs="宋体"/>
          <w:color w:val="auto"/>
          <w:sz w:val="24"/>
        </w:rPr>
        <w:t>对应响应文件填写：价格标响应文件</w:t>
      </w:r>
    </w:p>
    <w:p w14:paraId="1090321A">
      <w:pPr>
        <w:keepNext w:val="0"/>
        <w:keepLines w:val="0"/>
        <w:pageBreakBefore w:val="0"/>
        <w:overflowPunct/>
        <w:bidi w:val="0"/>
        <w:spacing w:line="360" w:lineRule="auto"/>
        <w:ind w:left="0" w:leftChars="0" w:firstLine="480" w:firstLineChars="200"/>
        <w:jc w:val="center"/>
        <w:rPr>
          <w:rFonts w:ascii="宋体" w:hAnsi="宋体" w:cs="宋体"/>
          <w:color w:val="auto"/>
          <w:sz w:val="24"/>
        </w:rPr>
      </w:pPr>
      <w:r>
        <w:rPr>
          <w:rFonts w:hint="eastAsia" w:ascii="宋体" w:hAnsi="宋体" w:cs="宋体"/>
          <w:color w:val="auto"/>
          <w:sz w:val="24"/>
        </w:rPr>
        <w:t>对应响应文件填写：电子响应文件</w:t>
      </w:r>
    </w:p>
    <w:p w14:paraId="06DEBB48">
      <w:pPr>
        <w:keepNext w:val="0"/>
        <w:keepLines w:val="0"/>
        <w:pageBreakBefore w:val="0"/>
        <w:overflowPunct/>
        <w:bidi w:val="0"/>
        <w:spacing w:line="360" w:lineRule="auto"/>
        <w:ind w:left="0" w:leftChars="0" w:firstLine="480" w:firstLineChars="200"/>
        <w:jc w:val="both"/>
        <w:rPr>
          <w:rFonts w:ascii="宋体" w:hAnsi="宋体" w:cs="宋体"/>
          <w:color w:val="auto"/>
          <w:sz w:val="24"/>
        </w:rPr>
      </w:pPr>
    </w:p>
    <w:p w14:paraId="4AA9A353">
      <w:pPr>
        <w:keepNext w:val="0"/>
        <w:keepLines w:val="0"/>
        <w:pageBreakBefore w:val="0"/>
        <w:overflowPunct/>
        <w:bidi w:val="0"/>
        <w:spacing w:line="360" w:lineRule="auto"/>
        <w:ind w:left="0" w:leftChars="0" w:firstLine="482" w:firstLineChars="200"/>
        <w:jc w:val="both"/>
        <w:rPr>
          <w:rFonts w:ascii="宋体" w:hAnsi="宋体" w:cs="宋体"/>
          <w:b/>
          <w:color w:val="auto"/>
          <w:sz w:val="24"/>
        </w:rPr>
      </w:pPr>
    </w:p>
    <w:p w14:paraId="68EB7586">
      <w:pPr>
        <w:keepNext w:val="0"/>
        <w:keepLines w:val="0"/>
        <w:pageBreakBefore w:val="0"/>
        <w:overflowPunct/>
        <w:bidi w:val="0"/>
        <w:snapToGrid w:val="0"/>
        <w:spacing w:line="360" w:lineRule="auto"/>
        <w:ind w:left="0" w:leftChars="0" w:firstLine="482" w:firstLineChars="200"/>
        <w:jc w:val="both"/>
        <w:rPr>
          <w:rFonts w:ascii="宋体" w:hAnsi="宋体" w:cs="宋体"/>
          <w:b/>
          <w:color w:val="auto"/>
          <w:sz w:val="24"/>
        </w:rPr>
      </w:pPr>
    </w:p>
    <w:p w14:paraId="2C0895BC">
      <w:pPr>
        <w:keepNext w:val="0"/>
        <w:keepLines w:val="0"/>
        <w:pageBreakBefore w:val="0"/>
        <w:overflowPunct/>
        <w:bidi w:val="0"/>
        <w:spacing w:line="360" w:lineRule="auto"/>
        <w:ind w:left="0" w:leftChars="0" w:firstLine="480" w:firstLineChars="200"/>
        <w:jc w:val="both"/>
        <w:rPr>
          <w:rFonts w:ascii="宋体" w:hAnsi="宋体" w:cs="宋体"/>
          <w:color w:val="auto"/>
          <w:sz w:val="24"/>
        </w:rPr>
      </w:pPr>
    </w:p>
    <w:p w14:paraId="60651108">
      <w:pPr>
        <w:keepNext w:val="0"/>
        <w:keepLines w:val="0"/>
        <w:pageBreakBefore w:val="0"/>
        <w:overflowPunct/>
        <w:bidi w:val="0"/>
        <w:spacing w:line="360" w:lineRule="auto"/>
        <w:ind w:left="0" w:leftChars="0" w:firstLine="480" w:firstLineChars="200"/>
        <w:jc w:val="both"/>
        <w:rPr>
          <w:rFonts w:ascii="宋体" w:hAnsi="宋体" w:cs="宋体"/>
          <w:color w:val="auto"/>
          <w:sz w:val="24"/>
        </w:rPr>
      </w:pPr>
    </w:p>
    <w:p w14:paraId="204B418A">
      <w:pPr>
        <w:keepNext w:val="0"/>
        <w:keepLines w:val="0"/>
        <w:pageBreakBefore w:val="0"/>
        <w:overflowPunct/>
        <w:bidi w:val="0"/>
        <w:spacing w:line="360" w:lineRule="auto"/>
        <w:ind w:left="0" w:leftChars="0" w:firstLine="480" w:firstLineChars="200"/>
        <w:jc w:val="center"/>
        <w:rPr>
          <w:rFonts w:ascii="宋体" w:hAnsi="宋体" w:cs="宋体"/>
          <w:color w:val="auto"/>
          <w:sz w:val="24"/>
        </w:rPr>
      </w:pPr>
    </w:p>
    <w:p w14:paraId="021E189D">
      <w:pPr>
        <w:keepNext w:val="0"/>
        <w:keepLines w:val="0"/>
        <w:pageBreakBefore w:val="0"/>
        <w:overflowPunct/>
        <w:bidi w:val="0"/>
        <w:spacing w:line="360" w:lineRule="auto"/>
        <w:ind w:left="0" w:leftChars="0" w:firstLine="560" w:firstLineChars="200"/>
        <w:jc w:val="center"/>
        <w:rPr>
          <w:rFonts w:ascii="宋体" w:hAnsi="宋体" w:cs="宋体"/>
          <w:color w:val="auto"/>
          <w:sz w:val="28"/>
          <w:szCs w:val="28"/>
        </w:rPr>
      </w:pPr>
      <w:r>
        <w:rPr>
          <w:rFonts w:hint="eastAsia" w:ascii="宋体" w:hAnsi="宋体" w:cs="宋体"/>
          <w:color w:val="auto"/>
          <w:sz w:val="28"/>
          <w:szCs w:val="28"/>
        </w:rPr>
        <w:t>供应商：</w:t>
      </w:r>
      <w:r>
        <w:rPr>
          <w:rFonts w:hint="eastAsia" w:ascii="宋体" w:hAnsi="宋体" w:cs="宋体"/>
          <w:color w:val="auto"/>
          <w:sz w:val="28"/>
          <w:szCs w:val="28"/>
          <w:u w:val="single"/>
        </w:rPr>
        <w:t>参加供应商全称</w:t>
      </w:r>
      <w:r>
        <w:rPr>
          <w:rFonts w:hint="eastAsia" w:ascii="宋体" w:hAnsi="宋体" w:cs="宋体"/>
          <w:color w:val="auto"/>
          <w:sz w:val="28"/>
          <w:szCs w:val="28"/>
        </w:rPr>
        <w:t>（公章）</w:t>
      </w:r>
    </w:p>
    <w:p w14:paraId="57A2EB77">
      <w:pPr>
        <w:keepNext w:val="0"/>
        <w:keepLines w:val="0"/>
        <w:pageBreakBefore w:val="0"/>
        <w:overflowPunct/>
        <w:bidi w:val="0"/>
        <w:spacing w:line="360" w:lineRule="auto"/>
        <w:ind w:left="0" w:leftChars="0" w:firstLine="560" w:firstLineChars="200"/>
        <w:jc w:val="center"/>
        <w:rPr>
          <w:rFonts w:ascii="宋体" w:hAnsi="宋体" w:cs="宋体"/>
          <w:color w:val="auto"/>
          <w:sz w:val="28"/>
          <w:szCs w:val="28"/>
        </w:rPr>
      </w:pPr>
      <w:r>
        <w:rPr>
          <w:rFonts w:hint="eastAsia" w:ascii="宋体" w:hAnsi="宋体" w:cs="宋体"/>
          <w:color w:val="auto"/>
          <w:sz w:val="28"/>
          <w:szCs w:val="28"/>
        </w:rPr>
        <w:t>日  期：      年  月  日</w:t>
      </w:r>
    </w:p>
    <w:p w14:paraId="2030296C">
      <w:pPr>
        <w:keepNext w:val="0"/>
        <w:keepLines w:val="0"/>
        <w:pageBreakBefore w:val="0"/>
        <w:overflowPunct/>
        <w:bidi w:val="0"/>
        <w:spacing w:line="360" w:lineRule="auto"/>
        <w:ind w:left="0" w:leftChars="0" w:firstLine="482" w:firstLineChars="200"/>
        <w:jc w:val="center"/>
        <w:rPr>
          <w:rFonts w:ascii="宋体" w:hAnsi="宋体" w:cs="宋体"/>
          <w:b/>
          <w:color w:val="auto"/>
          <w:sz w:val="24"/>
          <w:szCs w:val="24"/>
        </w:rPr>
      </w:pPr>
      <w:r>
        <w:rPr>
          <w:rFonts w:hint="eastAsia" w:ascii="宋体" w:hAnsi="宋体" w:cs="宋体"/>
          <w:b/>
          <w:color w:val="auto"/>
          <w:sz w:val="24"/>
          <w:szCs w:val="24"/>
        </w:rPr>
        <w:br w:type="page"/>
      </w:r>
    </w:p>
    <w:p w14:paraId="71F21B71">
      <w:pPr>
        <w:jc w:val="center"/>
        <w:rPr>
          <w:rFonts w:hint="eastAsia" w:ascii="宋体" w:hAnsi="宋体"/>
          <w:b/>
          <w:color w:val="auto"/>
          <w:kern w:val="2"/>
          <w:sz w:val="30"/>
          <w:szCs w:val="30"/>
        </w:rPr>
      </w:pPr>
      <w:r>
        <w:rPr>
          <w:rFonts w:hint="eastAsia" w:ascii="宋体" w:hAnsi="宋体"/>
          <w:b/>
          <w:color w:val="auto"/>
          <w:kern w:val="2"/>
          <w:sz w:val="30"/>
          <w:szCs w:val="30"/>
          <w:lang w:val="en-US" w:eastAsia="zh-CN"/>
        </w:rPr>
        <w:t>供应商</w:t>
      </w:r>
      <w:r>
        <w:rPr>
          <w:rFonts w:hint="eastAsia" w:ascii="宋体" w:hAnsi="宋体"/>
          <w:b/>
          <w:color w:val="auto"/>
          <w:kern w:val="2"/>
          <w:sz w:val="30"/>
          <w:szCs w:val="30"/>
        </w:rPr>
        <w:t>符合</w:t>
      </w:r>
      <w:r>
        <w:rPr>
          <w:rFonts w:hint="eastAsia" w:ascii="宋体" w:hAnsi="宋体"/>
          <w:b/>
          <w:color w:val="auto"/>
          <w:kern w:val="2"/>
          <w:sz w:val="30"/>
          <w:szCs w:val="30"/>
          <w:lang w:val="en-US" w:eastAsia="zh-CN"/>
        </w:rPr>
        <w:t>条件的</w:t>
      </w:r>
      <w:r>
        <w:rPr>
          <w:rFonts w:hint="eastAsia" w:ascii="宋体" w:hAnsi="宋体"/>
          <w:b/>
          <w:color w:val="auto"/>
          <w:kern w:val="2"/>
          <w:sz w:val="30"/>
          <w:szCs w:val="30"/>
        </w:rPr>
        <w:t>声明函</w:t>
      </w:r>
    </w:p>
    <w:p w14:paraId="589A5641">
      <w:pPr>
        <w:spacing w:line="460" w:lineRule="exact"/>
        <w:rPr>
          <w:rFonts w:hint="eastAsia" w:ascii="宋体" w:hAnsi="宋体"/>
          <w:b/>
          <w:bCs/>
          <w:color w:val="auto"/>
          <w:kern w:val="2"/>
          <w:sz w:val="44"/>
          <w:szCs w:val="44"/>
        </w:rPr>
      </w:pPr>
    </w:p>
    <w:p w14:paraId="288AC5A7">
      <w:pPr>
        <w:spacing w:line="520" w:lineRule="exact"/>
        <w:ind w:firstLine="480" w:firstLineChars="200"/>
        <w:rPr>
          <w:rFonts w:hint="eastAsia" w:ascii="宋体" w:hAnsi="宋体"/>
          <w:b/>
          <w:bCs/>
          <w:color w:val="auto"/>
          <w:kern w:val="2"/>
          <w:sz w:val="24"/>
          <w:szCs w:val="24"/>
        </w:rPr>
      </w:pPr>
      <w:r>
        <w:rPr>
          <w:rFonts w:hint="eastAsia" w:ascii="宋体" w:hAnsi="宋体"/>
          <w:bCs/>
          <w:color w:val="auto"/>
          <w:kern w:val="2"/>
          <w:sz w:val="24"/>
          <w:szCs w:val="24"/>
        </w:rPr>
        <w:t>我单位参加</w:t>
      </w:r>
      <w:r>
        <w:rPr>
          <w:rFonts w:hint="eastAsia" w:ascii="宋体" w:hAnsi="宋体"/>
          <w:bCs/>
          <w:color w:val="auto"/>
          <w:kern w:val="2"/>
          <w:sz w:val="24"/>
          <w:szCs w:val="21"/>
          <w:u w:val="single"/>
        </w:rPr>
        <w:t>_       （项目名称）_【项目编号：</w:t>
      </w:r>
      <w:r>
        <w:rPr>
          <w:rFonts w:hint="eastAsia" w:ascii="宋体" w:hAnsi="宋体"/>
          <w:bCs/>
          <w:color w:val="auto"/>
          <w:kern w:val="2"/>
          <w:sz w:val="24"/>
          <w:szCs w:val="21"/>
          <w:u w:val="single"/>
          <w:lang w:val="en-US" w:eastAsia="zh-CN"/>
        </w:rPr>
        <w:t xml:space="preserve">   </w:t>
      </w:r>
      <w:r>
        <w:rPr>
          <w:rFonts w:hint="eastAsia" w:ascii="宋体" w:hAnsi="宋体"/>
          <w:bCs/>
          <w:color w:val="auto"/>
          <w:kern w:val="2"/>
          <w:sz w:val="24"/>
          <w:szCs w:val="21"/>
          <w:u w:val="single"/>
        </w:rPr>
        <w:t>】</w:t>
      </w:r>
      <w:r>
        <w:rPr>
          <w:rFonts w:hint="eastAsia" w:ascii="宋体" w:hAnsi="宋体"/>
          <w:bCs/>
          <w:color w:val="auto"/>
          <w:kern w:val="2"/>
          <w:sz w:val="24"/>
          <w:szCs w:val="21"/>
        </w:rPr>
        <w:t>的</w:t>
      </w:r>
      <w:r>
        <w:rPr>
          <w:rFonts w:hint="eastAsia" w:ascii="宋体" w:hAnsi="宋体"/>
          <w:bCs/>
          <w:color w:val="auto"/>
          <w:kern w:val="2"/>
          <w:sz w:val="24"/>
          <w:szCs w:val="21"/>
          <w:lang w:val="en-US" w:eastAsia="zh-CN"/>
        </w:rPr>
        <w:t>比选</w:t>
      </w:r>
      <w:r>
        <w:rPr>
          <w:rFonts w:hint="eastAsia" w:ascii="宋体" w:hAnsi="宋体"/>
          <w:bCs/>
          <w:color w:val="auto"/>
          <w:kern w:val="2"/>
          <w:sz w:val="24"/>
          <w:szCs w:val="21"/>
        </w:rPr>
        <w:t>活动。现做出如下声明：</w:t>
      </w:r>
    </w:p>
    <w:p w14:paraId="7E008905">
      <w:pPr>
        <w:spacing w:line="520" w:lineRule="exact"/>
        <w:ind w:firstLine="482"/>
        <w:rPr>
          <w:rFonts w:hint="eastAsia" w:ascii="宋体" w:hAnsi="宋体"/>
          <w:color w:val="auto"/>
          <w:kern w:val="2"/>
          <w:sz w:val="24"/>
          <w:szCs w:val="24"/>
        </w:rPr>
      </w:pPr>
      <w:r>
        <w:rPr>
          <w:rFonts w:hint="eastAsia" w:ascii="宋体" w:hAnsi="宋体"/>
          <w:bCs/>
          <w:color w:val="auto"/>
          <w:kern w:val="2"/>
          <w:sz w:val="24"/>
          <w:szCs w:val="21"/>
        </w:rPr>
        <w:t>1.我单位具有独立承担民事责任的能力；</w:t>
      </w:r>
    </w:p>
    <w:p w14:paraId="17BABEEB">
      <w:pP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2.我单位具有良好的商业信誉和健全的财务会计制度；</w:t>
      </w:r>
    </w:p>
    <w:p w14:paraId="08249651">
      <w:pP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3.我单位具有履行合同所必需的设备和专业技术能力；</w:t>
      </w:r>
    </w:p>
    <w:p w14:paraId="46DEA6A1">
      <w:pP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4.我单位有依法缴纳税收和社会保障资金的良好记录；</w:t>
      </w:r>
    </w:p>
    <w:p w14:paraId="7EF9E2D3">
      <w:pP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5.我单位参加本次采购活动前三年内，在经营活动中没有重大违法记录；</w:t>
      </w:r>
    </w:p>
    <w:p w14:paraId="24A0A108">
      <w:pP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6.我单位满足法律、行政法规规定的其他条件。</w:t>
      </w:r>
    </w:p>
    <w:p w14:paraId="23D797B0">
      <w:pPr>
        <w:spacing w:line="500" w:lineRule="exact"/>
        <w:ind w:firstLine="482"/>
        <w:rPr>
          <w:rFonts w:hint="eastAsia" w:ascii="宋体" w:hAnsi="宋体"/>
          <w:color w:val="auto"/>
          <w:kern w:val="2"/>
          <w:sz w:val="24"/>
          <w:szCs w:val="24"/>
        </w:rPr>
      </w:pPr>
    </w:p>
    <w:p w14:paraId="62D759B4">
      <w:pPr>
        <w:spacing w:line="500" w:lineRule="exact"/>
        <w:rPr>
          <w:rFonts w:hint="eastAsia" w:ascii="宋体" w:hAnsi="宋体"/>
          <w:color w:val="auto"/>
          <w:kern w:val="2"/>
          <w:sz w:val="24"/>
          <w:szCs w:val="24"/>
        </w:rPr>
      </w:pPr>
    </w:p>
    <w:p w14:paraId="71F90750">
      <w:pPr>
        <w:spacing w:line="500" w:lineRule="exact"/>
        <w:rPr>
          <w:rFonts w:hint="eastAsia" w:ascii="宋体" w:hAnsi="宋体"/>
          <w:bCs/>
          <w:color w:val="auto"/>
          <w:kern w:val="2"/>
          <w:sz w:val="24"/>
          <w:szCs w:val="21"/>
        </w:rPr>
      </w:pPr>
    </w:p>
    <w:p w14:paraId="38AD86E5">
      <w:pPr>
        <w:spacing w:line="500" w:lineRule="exact"/>
        <w:rPr>
          <w:rFonts w:hint="eastAsia" w:ascii="宋体" w:hAnsi="宋体"/>
          <w:bCs/>
          <w:color w:val="auto"/>
          <w:kern w:val="2"/>
          <w:sz w:val="24"/>
          <w:szCs w:val="21"/>
        </w:rPr>
      </w:pPr>
    </w:p>
    <w:p w14:paraId="2B71DCEE">
      <w:pPr>
        <w:spacing w:line="500" w:lineRule="exact"/>
        <w:rPr>
          <w:rFonts w:hint="eastAsia" w:ascii="宋体" w:hAnsi="宋体"/>
          <w:bCs/>
          <w:color w:val="auto"/>
          <w:kern w:val="2"/>
          <w:sz w:val="24"/>
          <w:szCs w:val="21"/>
        </w:rPr>
      </w:pPr>
    </w:p>
    <w:p w14:paraId="4C9803BB">
      <w:pPr>
        <w:spacing w:line="460" w:lineRule="exact"/>
        <w:jc w:val="right"/>
        <w:rPr>
          <w:rFonts w:hint="eastAsia" w:ascii="宋体" w:hAnsi="宋体"/>
          <w:bCs/>
          <w:color w:val="auto"/>
          <w:kern w:val="2"/>
          <w:sz w:val="24"/>
          <w:szCs w:val="21"/>
        </w:rPr>
      </w:pPr>
      <w:r>
        <w:rPr>
          <w:rFonts w:hint="eastAsia" w:ascii="宋体" w:hAnsi="宋体"/>
          <w:bCs/>
          <w:color w:val="auto"/>
          <w:kern w:val="2"/>
          <w:sz w:val="24"/>
          <w:szCs w:val="21"/>
        </w:rPr>
        <w:t xml:space="preserve">                              声明人名称：</w:t>
      </w:r>
      <w:r>
        <w:rPr>
          <w:rFonts w:hint="eastAsia" w:ascii="宋体" w:hAnsi="宋体"/>
          <w:bCs/>
          <w:color w:val="auto"/>
          <w:kern w:val="2"/>
          <w:sz w:val="24"/>
          <w:szCs w:val="21"/>
          <w:u w:val="single"/>
        </w:rPr>
        <w:t>________</w:t>
      </w:r>
      <w:r>
        <w:rPr>
          <w:rFonts w:hint="eastAsia" w:ascii="宋体" w:hAnsi="宋体"/>
          <w:bCs/>
          <w:color w:val="auto"/>
          <w:kern w:val="2"/>
          <w:sz w:val="24"/>
          <w:szCs w:val="21"/>
        </w:rPr>
        <w:t>（公章）</w:t>
      </w:r>
    </w:p>
    <w:p w14:paraId="174E9BFA">
      <w:pPr>
        <w:spacing w:line="460" w:lineRule="exact"/>
        <w:jc w:val="right"/>
        <w:rPr>
          <w:rFonts w:hint="eastAsia" w:ascii="宋体" w:hAnsi="宋体"/>
          <w:bCs/>
          <w:color w:val="auto"/>
          <w:kern w:val="2"/>
          <w:sz w:val="24"/>
          <w:szCs w:val="21"/>
        </w:rPr>
      </w:pPr>
    </w:p>
    <w:p w14:paraId="55B7A6F1">
      <w:pPr>
        <w:spacing w:line="460" w:lineRule="exact"/>
        <w:jc w:val="right"/>
        <w:rPr>
          <w:rFonts w:hint="eastAsia" w:ascii="宋体" w:hAnsi="宋体"/>
          <w:bCs/>
          <w:color w:val="auto"/>
          <w:kern w:val="2"/>
          <w:sz w:val="24"/>
          <w:szCs w:val="21"/>
        </w:rPr>
      </w:pPr>
      <w:r>
        <w:rPr>
          <w:rFonts w:hint="eastAsia" w:ascii="宋体" w:hAnsi="宋体"/>
          <w:bCs/>
          <w:color w:val="auto"/>
          <w:kern w:val="2"/>
          <w:sz w:val="24"/>
          <w:szCs w:val="21"/>
        </w:rPr>
        <w:t xml:space="preserve">                                 日期：</w:t>
      </w:r>
      <w:r>
        <w:rPr>
          <w:rFonts w:hint="eastAsia" w:ascii="宋体" w:hAnsi="宋体"/>
          <w:bCs/>
          <w:color w:val="auto"/>
          <w:kern w:val="2"/>
          <w:sz w:val="24"/>
          <w:szCs w:val="21"/>
          <w:lang w:val="en-US" w:eastAsia="zh-CN"/>
        </w:rPr>
        <w:t xml:space="preserve"> </w:t>
      </w:r>
      <w:r>
        <w:rPr>
          <w:rFonts w:hint="eastAsia" w:ascii="宋体" w:hAnsi="宋体"/>
          <w:bCs/>
          <w:color w:val="auto"/>
          <w:kern w:val="2"/>
          <w:sz w:val="24"/>
          <w:szCs w:val="21"/>
        </w:rPr>
        <w:t>年</w:t>
      </w:r>
      <w:r>
        <w:rPr>
          <w:rFonts w:hint="eastAsia" w:ascii="宋体" w:hAnsi="宋体"/>
          <w:bCs/>
          <w:color w:val="auto"/>
          <w:kern w:val="2"/>
          <w:sz w:val="24"/>
          <w:szCs w:val="21"/>
          <w:lang w:val="en-US" w:eastAsia="zh-CN"/>
        </w:rPr>
        <w:t xml:space="preserve"> </w:t>
      </w:r>
      <w:r>
        <w:rPr>
          <w:rFonts w:hint="eastAsia" w:ascii="宋体" w:hAnsi="宋体"/>
          <w:bCs/>
          <w:color w:val="auto"/>
          <w:kern w:val="2"/>
          <w:sz w:val="24"/>
          <w:szCs w:val="21"/>
        </w:rPr>
        <w:t>月</w:t>
      </w:r>
      <w:r>
        <w:rPr>
          <w:rFonts w:hint="eastAsia" w:ascii="宋体" w:hAnsi="宋体"/>
          <w:bCs/>
          <w:color w:val="auto"/>
          <w:kern w:val="2"/>
          <w:sz w:val="24"/>
          <w:szCs w:val="21"/>
          <w:lang w:val="en-US" w:eastAsia="zh-CN"/>
        </w:rPr>
        <w:t xml:space="preserve"> </w:t>
      </w:r>
      <w:r>
        <w:rPr>
          <w:rFonts w:hint="eastAsia" w:ascii="宋体" w:hAnsi="宋体"/>
          <w:bCs/>
          <w:color w:val="auto"/>
          <w:kern w:val="2"/>
          <w:sz w:val="24"/>
          <w:szCs w:val="21"/>
        </w:rPr>
        <w:t>日</w:t>
      </w:r>
    </w:p>
    <w:p w14:paraId="62E00261">
      <w:pPr>
        <w:snapToGrid w:val="0"/>
        <w:spacing w:line="400" w:lineRule="exact"/>
        <w:ind w:firstLine="540" w:firstLineChars="192"/>
        <w:contextualSpacing/>
        <w:rPr>
          <w:rFonts w:hint="eastAsia" w:ascii="宋体" w:hAnsi="宋体" w:cs="宋体"/>
          <w:b/>
          <w:color w:val="auto"/>
          <w:sz w:val="28"/>
          <w:szCs w:val="28"/>
        </w:rPr>
      </w:pPr>
    </w:p>
    <w:p w14:paraId="1975B425">
      <w:pPr>
        <w:keepNext w:val="0"/>
        <w:keepLines w:val="0"/>
        <w:pageBreakBefore w:val="0"/>
        <w:overflowPunct/>
        <w:bidi w:val="0"/>
        <w:spacing w:line="360" w:lineRule="auto"/>
        <w:ind w:left="0" w:leftChars="0" w:firstLine="482" w:firstLineChars="200"/>
        <w:jc w:val="both"/>
        <w:rPr>
          <w:rFonts w:ascii="宋体" w:hAnsi="宋体" w:cs="宋体"/>
          <w:b/>
          <w:color w:val="auto"/>
          <w:sz w:val="24"/>
          <w:szCs w:val="24"/>
        </w:rPr>
      </w:pPr>
    </w:p>
    <w:p w14:paraId="27DC82EA">
      <w:pPr>
        <w:keepNext w:val="0"/>
        <w:keepLines w:val="0"/>
        <w:pageBreakBefore w:val="0"/>
        <w:overflowPunct/>
        <w:bidi w:val="0"/>
        <w:spacing w:line="360" w:lineRule="auto"/>
        <w:ind w:left="0" w:leftChars="0" w:firstLine="482" w:firstLineChars="200"/>
        <w:jc w:val="both"/>
        <w:rPr>
          <w:rFonts w:ascii="宋体" w:hAnsi="宋体" w:cs="宋体"/>
          <w:b/>
          <w:color w:val="auto"/>
          <w:sz w:val="24"/>
          <w:szCs w:val="24"/>
        </w:rPr>
      </w:pPr>
    </w:p>
    <w:p w14:paraId="519712DD">
      <w:pPr>
        <w:keepNext w:val="0"/>
        <w:keepLines w:val="0"/>
        <w:pageBreakBefore w:val="0"/>
        <w:overflowPunct/>
        <w:bidi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br w:type="page"/>
      </w:r>
    </w:p>
    <w:p w14:paraId="2BBB898B">
      <w:pPr>
        <w:jc w:val="center"/>
        <w:rPr>
          <w:rFonts w:hint="eastAsia" w:ascii="宋体" w:hAnsi="宋体" w:eastAsia="宋体" w:cs="Times New Roman"/>
          <w:b/>
          <w:color w:val="auto"/>
          <w:kern w:val="2"/>
          <w:sz w:val="30"/>
          <w:szCs w:val="30"/>
          <w:lang w:val="en-US" w:eastAsia="zh-CN"/>
        </w:rPr>
      </w:pPr>
      <w:r>
        <w:rPr>
          <w:rFonts w:hint="eastAsia" w:ascii="宋体" w:hAnsi="宋体" w:eastAsia="宋体" w:cs="Times New Roman"/>
          <w:b/>
          <w:color w:val="auto"/>
          <w:kern w:val="2"/>
          <w:sz w:val="30"/>
          <w:szCs w:val="30"/>
          <w:lang w:val="en-US" w:eastAsia="zh-CN"/>
        </w:rPr>
        <w:t>法定代表人身份证明</w:t>
      </w:r>
    </w:p>
    <w:p w14:paraId="54986A7E">
      <w:pPr>
        <w:keepNext w:val="0"/>
        <w:keepLines w:val="0"/>
        <w:pageBreakBefore w:val="0"/>
        <w:overflowPunct/>
        <w:bidi w:val="0"/>
        <w:spacing w:line="360" w:lineRule="auto"/>
        <w:ind w:left="0" w:leftChars="0" w:firstLine="480" w:firstLineChars="200"/>
        <w:jc w:val="both"/>
        <w:rPr>
          <w:rFonts w:ascii="宋体" w:hAnsi="宋体" w:cs="宋体"/>
          <w:color w:val="auto"/>
          <w:sz w:val="24"/>
          <w:szCs w:val="24"/>
        </w:rPr>
      </w:pPr>
    </w:p>
    <w:p w14:paraId="763A4B2C">
      <w:pPr>
        <w:pStyle w:val="2"/>
        <w:keepNext w:val="0"/>
        <w:keepLines w:val="0"/>
        <w:pageBreakBefore w:val="0"/>
        <w:overflowPunct/>
        <w:bidi w:val="0"/>
        <w:spacing w:after="0" w:line="360" w:lineRule="auto"/>
        <w:ind w:left="0" w:leftChars="0" w:firstLine="480" w:firstLineChars="200"/>
        <w:jc w:val="both"/>
        <w:rPr>
          <w:rFonts w:ascii="宋体" w:hAnsi="宋体" w:cs="宋体"/>
          <w:color w:val="auto"/>
          <w:sz w:val="24"/>
          <w:szCs w:val="24"/>
        </w:rPr>
      </w:pPr>
    </w:p>
    <w:p w14:paraId="3562CA4D">
      <w:pPr>
        <w:keepNext w:val="0"/>
        <w:keepLines w:val="0"/>
        <w:pageBreakBefore w:val="0"/>
        <w:widowControl/>
        <w:wordWrap w:val="0"/>
        <w:overflowPunct/>
        <w:bidi w:val="0"/>
        <w:snapToGrid w:val="0"/>
        <w:spacing w:line="360" w:lineRule="auto"/>
        <w:ind w:left="0" w:leftChars="0" w:firstLine="480" w:firstLineChars="200"/>
        <w:jc w:val="both"/>
        <w:rPr>
          <w:rFonts w:ascii="宋体" w:hAnsi="宋体" w:cs="宋体"/>
          <w:color w:val="auto"/>
          <w:kern w:val="0"/>
          <w:sz w:val="24"/>
          <w:szCs w:val="24"/>
        </w:rPr>
      </w:pPr>
      <w:bookmarkStart w:id="38" w:name="_Hlk96628486"/>
      <w:r>
        <w:rPr>
          <w:rFonts w:hint="eastAsia" w:ascii="宋体" w:hAnsi="宋体" w:cs="宋体"/>
          <w:color w:val="auto"/>
          <w:kern w:val="0"/>
          <w:sz w:val="24"/>
          <w:szCs w:val="24"/>
        </w:rPr>
        <w:t>姓名：</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性别：</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身份证号码：</w:t>
      </w:r>
      <w:r>
        <w:rPr>
          <w:rFonts w:hint="eastAsia" w:ascii="宋体" w:hAnsi="宋体" w:cs="宋体"/>
          <w:color w:val="auto"/>
          <w:kern w:val="0"/>
          <w:sz w:val="24"/>
          <w:szCs w:val="24"/>
          <w:u w:val="single"/>
        </w:rPr>
        <w:t xml:space="preserve">                       </w:t>
      </w:r>
      <w:r>
        <w:rPr>
          <w:rFonts w:hint="eastAsia" w:ascii="宋体" w:hAnsi="宋体" w:cs="宋体"/>
          <w:color w:val="auto"/>
          <w:sz w:val="24"/>
          <w:szCs w:val="24"/>
        </w:rPr>
        <w:t>系我单位的法</w:t>
      </w:r>
      <w:r>
        <w:rPr>
          <w:rFonts w:hint="eastAsia" w:ascii="宋体" w:hAnsi="宋体" w:cs="宋体"/>
          <w:color w:val="auto"/>
          <w:kern w:val="0"/>
          <w:sz w:val="24"/>
          <w:szCs w:val="24"/>
        </w:rPr>
        <w:t>定代表人。</w:t>
      </w:r>
    </w:p>
    <w:p w14:paraId="29F7B46E">
      <w:pPr>
        <w:keepNext w:val="0"/>
        <w:keepLines w:val="0"/>
        <w:pageBreakBefore w:val="0"/>
        <w:widowControl/>
        <w:wordWrap w:val="0"/>
        <w:overflowPunct/>
        <w:bidi w:val="0"/>
        <w:snapToGrid w:val="0"/>
        <w:spacing w:line="360" w:lineRule="auto"/>
        <w:ind w:left="0" w:leftChars="0"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特此证明。</w:t>
      </w:r>
    </w:p>
    <w:bookmarkEnd w:id="38"/>
    <w:p w14:paraId="1ED1AC3E">
      <w:pPr>
        <w:keepNext w:val="0"/>
        <w:keepLines w:val="0"/>
        <w:pageBreakBefore w:val="0"/>
        <w:overflowPunct/>
        <w:bidi w:val="0"/>
        <w:spacing w:line="360" w:lineRule="auto"/>
        <w:ind w:left="0" w:leftChars="0" w:firstLine="480" w:firstLineChars="200"/>
        <w:jc w:val="both"/>
        <w:rPr>
          <w:rFonts w:ascii="宋体" w:hAnsi="宋体" w:cs="宋体"/>
          <w:color w:val="auto"/>
          <w:sz w:val="24"/>
          <w:szCs w:val="24"/>
        </w:rPr>
      </w:pPr>
    </w:p>
    <w:p w14:paraId="6CC9768D">
      <w:pPr>
        <w:keepNext w:val="0"/>
        <w:keepLines w:val="0"/>
        <w:pageBreakBefore w:val="0"/>
        <w:overflowPunct/>
        <w:bidi w:val="0"/>
        <w:spacing w:line="360" w:lineRule="auto"/>
        <w:ind w:left="0" w:leftChars="0" w:firstLine="480" w:firstLineChars="200"/>
        <w:jc w:val="both"/>
        <w:rPr>
          <w:rFonts w:ascii="宋体" w:hAnsi="宋体" w:cs="宋体"/>
          <w:color w:val="auto"/>
          <w:sz w:val="24"/>
          <w:szCs w:val="24"/>
        </w:rPr>
      </w:pPr>
    </w:p>
    <w:p w14:paraId="07D5E9A0">
      <w:pPr>
        <w:keepNext w:val="0"/>
        <w:keepLines w:val="0"/>
        <w:pageBreakBefore w:val="0"/>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（盖章）</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p>
    <w:p w14:paraId="34704FE8">
      <w:pPr>
        <w:keepNext w:val="0"/>
        <w:keepLines w:val="0"/>
        <w:pageBreakBefore w:val="0"/>
        <w:overflowPunct/>
        <w:bidi w:val="0"/>
        <w:spacing w:line="360" w:lineRule="auto"/>
        <w:ind w:left="0" w:leftChars="0" w:firstLine="480" w:firstLineChars="200"/>
        <w:jc w:val="both"/>
        <w:rPr>
          <w:rFonts w:ascii="宋体" w:hAnsi="宋体" w:cs="宋体"/>
          <w:color w:val="auto"/>
          <w:sz w:val="24"/>
          <w:szCs w:val="24"/>
        </w:rPr>
      </w:pPr>
    </w:p>
    <w:p w14:paraId="53B63446">
      <w:pPr>
        <w:keepNext w:val="0"/>
        <w:keepLines w:val="0"/>
        <w:pageBreakBefore w:val="0"/>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日    期：</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年</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月</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22C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00035BA">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p>
          <w:p w14:paraId="7319E14E">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法定代表人身份证（正、反面）复印件</w:t>
            </w:r>
            <w:r>
              <w:rPr>
                <w:rFonts w:hint="eastAsia" w:ascii="宋体" w:hAnsi="宋体" w:cs="宋体"/>
                <w:b/>
                <w:bCs/>
                <w:color w:val="auto"/>
                <w:sz w:val="24"/>
                <w:szCs w:val="24"/>
                <w:u w:val="single"/>
              </w:rPr>
              <w:t>（粘贴此处）</w:t>
            </w:r>
          </w:p>
          <w:p w14:paraId="42E56B24">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p>
          <w:p w14:paraId="764C1D04">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p>
          <w:p w14:paraId="61021398">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p>
          <w:p w14:paraId="27B692D9">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p>
        </w:tc>
      </w:tr>
    </w:tbl>
    <w:p w14:paraId="1C6503E9">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p>
    <w:p w14:paraId="6A53B917">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p>
    <w:p w14:paraId="28F09115">
      <w:pPr>
        <w:jc w:val="center"/>
        <w:rPr>
          <w:rFonts w:ascii="宋体" w:hAnsi="宋体" w:cs="宋体"/>
          <w:b/>
          <w:color w:val="auto"/>
          <w:sz w:val="24"/>
          <w:szCs w:val="24"/>
        </w:rPr>
      </w:pPr>
      <w:r>
        <w:rPr>
          <w:rFonts w:hint="eastAsia" w:ascii="宋体" w:hAnsi="宋体" w:cs="宋体"/>
          <w:b/>
          <w:bCs/>
          <w:color w:val="auto"/>
          <w:sz w:val="24"/>
          <w:szCs w:val="24"/>
        </w:rPr>
        <w:br w:type="page"/>
      </w:r>
      <w:r>
        <w:rPr>
          <w:rFonts w:hint="eastAsia" w:ascii="宋体" w:hAnsi="宋体" w:eastAsia="宋体" w:cs="Times New Roman"/>
          <w:b/>
          <w:color w:val="auto"/>
          <w:kern w:val="2"/>
          <w:sz w:val="30"/>
          <w:szCs w:val="30"/>
          <w:lang w:val="en-US" w:eastAsia="zh-CN"/>
        </w:rPr>
        <w:t>法定代表人委托书</w:t>
      </w:r>
    </w:p>
    <w:p w14:paraId="2FFA916C">
      <w:pPr>
        <w:keepNext w:val="0"/>
        <w:keepLines w:val="0"/>
        <w:pageBreakBefore w:val="0"/>
        <w:overflowPunct/>
        <w:bidi w:val="0"/>
        <w:snapToGrid w:val="0"/>
        <w:spacing w:line="360" w:lineRule="auto"/>
        <w:ind w:left="0" w:leftChars="0" w:firstLine="480" w:firstLineChars="200"/>
        <w:jc w:val="both"/>
        <w:rPr>
          <w:rFonts w:ascii="宋体" w:hAnsi="宋体" w:cs="宋体"/>
          <w:bCs/>
          <w:color w:val="auto"/>
          <w:sz w:val="24"/>
          <w:szCs w:val="24"/>
        </w:rPr>
      </w:pPr>
    </w:p>
    <w:p w14:paraId="3AA997F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ascii="宋体" w:hAnsi="宋体" w:cs="宋体"/>
          <w:b/>
          <w:bCs w:val="0"/>
          <w:color w:val="auto"/>
          <w:sz w:val="24"/>
          <w:szCs w:val="24"/>
        </w:rPr>
      </w:pPr>
      <w:r>
        <w:rPr>
          <w:rFonts w:hint="eastAsia" w:ascii="宋体" w:hAnsi="宋体" w:cs="宋体"/>
          <w:b/>
          <w:bCs w:val="0"/>
          <w:color w:val="auto"/>
          <w:sz w:val="24"/>
          <w:szCs w:val="24"/>
        </w:rPr>
        <w:t>江苏省南通第一中学：</w:t>
      </w:r>
    </w:p>
    <w:p w14:paraId="17373C91">
      <w:pPr>
        <w:keepNext w:val="0"/>
        <w:keepLines w:val="0"/>
        <w:pageBreakBefore w:val="0"/>
        <w:widowControl/>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本委托书声明：我</w:t>
      </w:r>
      <w:r>
        <w:rPr>
          <w:rFonts w:hint="eastAsia" w:ascii="宋体" w:hAnsi="宋体" w:cs="宋体"/>
          <w:color w:val="auto"/>
          <w:sz w:val="24"/>
          <w:szCs w:val="24"/>
          <w:u w:val="single"/>
        </w:rPr>
        <w:t>（法定代表人姓名）</w:t>
      </w:r>
      <w:r>
        <w:rPr>
          <w:rFonts w:hint="eastAsia" w:ascii="宋体" w:hAnsi="宋体" w:cs="宋体"/>
          <w:color w:val="auto"/>
          <w:sz w:val="24"/>
          <w:szCs w:val="24"/>
        </w:rPr>
        <w:t>系</w:t>
      </w:r>
      <w:r>
        <w:rPr>
          <w:rFonts w:hint="eastAsia" w:ascii="宋体" w:hAnsi="宋体" w:cs="宋体"/>
          <w:color w:val="auto"/>
          <w:kern w:val="0"/>
          <w:sz w:val="24"/>
          <w:szCs w:val="24"/>
          <w:u w:val="single"/>
        </w:rPr>
        <w:t xml:space="preserve"> （单位名称） </w:t>
      </w:r>
      <w:r>
        <w:rPr>
          <w:rFonts w:hint="eastAsia" w:ascii="宋体" w:hAnsi="宋体" w:cs="宋体"/>
          <w:color w:val="auto"/>
          <w:kern w:val="0"/>
          <w:sz w:val="24"/>
          <w:szCs w:val="24"/>
        </w:rPr>
        <w:t>的法定代表人，现</w:t>
      </w:r>
      <w:r>
        <w:rPr>
          <w:rFonts w:hint="eastAsia" w:ascii="宋体" w:hAnsi="宋体" w:cs="宋体"/>
          <w:color w:val="auto"/>
          <w:sz w:val="24"/>
          <w:szCs w:val="24"/>
        </w:rPr>
        <w:t>代表本单位授权</w:t>
      </w:r>
      <w:r>
        <w:rPr>
          <w:rFonts w:hint="eastAsia" w:ascii="宋体" w:hAnsi="宋体" w:cs="宋体"/>
          <w:color w:val="auto"/>
          <w:sz w:val="24"/>
          <w:szCs w:val="24"/>
          <w:u w:val="single"/>
        </w:rPr>
        <w:t>（单位名称）</w:t>
      </w:r>
      <w:r>
        <w:rPr>
          <w:rFonts w:hint="eastAsia" w:ascii="宋体" w:hAnsi="宋体" w:cs="宋体"/>
          <w:color w:val="auto"/>
          <w:sz w:val="24"/>
          <w:szCs w:val="24"/>
        </w:rPr>
        <w:t xml:space="preserve"> 的 </w:t>
      </w:r>
      <w:r>
        <w:rPr>
          <w:rFonts w:hint="eastAsia" w:ascii="宋体" w:hAnsi="宋体" w:cs="宋体"/>
          <w:color w:val="auto"/>
          <w:sz w:val="24"/>
          <w:szCs w:val="24"/>
          <w:u w:val="single"/>
        </w:rPr>
        <w:t>（被授权人的姓名）</w:t>
      </w:r>
      <w:r>
        <w:rPr>
          <w:rFonts w:hint="eastAsia" w:ascii="宋体" w:hAnsi="宋体" w:cs="宋体"/>
          <w:color w:val="auto"/>
          <w:sz w:val="24"/>
          <w:szCs w:val="24"/>
        </w:rPr>
        <w:t xml:space="preserve"> </w:t>
      </w:r>
      <w:r>
        <w:rPr>
          <w:rFonts w:hint="eastAsia" w:ascii="宋体" w:hAnsi="宋体" w:cs="宋体"/>
          <w:color w:val="auto"/>
          <w:kern w:val="0"/>
          <w:sz w:val="24"/>
          <w:szCs w:val="24"/>
        </w:rPr>
        <w:t>身份证号码：</w:t>
      </w:r>
      <w:r>
        <w:rPr>
          <w:rFonts w:hint="eastAsia" w:ascii="宋体" w:hAnsi="宋体" w:cs="宋体"/>
          <w:color w:val="auto"/>
          <w:kern w:val="0"/>
          <w:sz w:val="24"/>
          <w:szCs w:val="24"/>
          <w:u w:val="single"/>
        </w:rPr>
        <w:t xml:space="preserve">                 </w:t>
      </w:r>
      <w:r>
        <w:rPr>
          <w:rFonts w:hint="eastAsia" w:ascii="宋体" w:hAnsi="宋体" w:cs="宋体"/>
          <w:color w:val="auto"/>
          <w:sz w:val="24"/>
          <w:szCs w:val="24"/>
        </w:rPr>
        <w:t>为本单位的合法代理人，参加江苏省南通第一中学</w:t>
      </w:r>
      <w:r>
        <w:rPr>
          <w:rFonts w:hint="eastAsia" w:ascii="宋体" w:hAnsi="宋体" w:cs="宋体"/>
          <w:color w:val="auto"/>
          <w:sz w:val="24"/>
          <w:szCs w:val="24"/>
          <w:u w:val="single"/>
        </w:rPr>
        <w:t>（项目名称及编号）</w:t>
      </w:r>
      <w:r>
        <w:rPr>
          <w:rFonts w:hint="eastAsia" w:ascii="宋体" w:hAnsi="宋体" w:cs="宋体"/>
          <w:color w:val="auto"/>
          <w:sz w:val="24"/>
          <w:szCs w:val="24"/>
        </w:rPr>
        <w:t>的响应，可</w:t>
      </w:r>
      <w:r>
        <w:rPr>
          <w:rFonts w:hint="eastAsia" w:ascii="宋体" w:hAnsi="宋体" w:cs="宋体"/>
          <w:color w:val="auto"/>
          <w:kern w:val="0"/>
          <w:sz w:val="24"/>
          <w:szCs w:val="24"/>
        </w:rPr>
        <w:t>代表本公司签署响应文件</w:t>
      </w:r>
      <w:r>
        <w:rPr>
          <w:rFonts w:hint="eastAsia" w:ascii="宋体" w:hAnsi="宋体" w:cs="宋体"/>
          <w:color w:val="auto"/>
          <w:sz w:val="24"/>
          <w:szCs w:val="24"/>
        </w:rPr>
        <w:t>、签订合同和处理与之有关的一切事务。</w:t>
      </w:r>
    </w:p>
    <w:p w14:paraId="3D1B40BF">
      <w:pPr>
        <w:keepNext w:val="0"/>
        <w:keepLines w:val="0"/>
        <w:pageBreakBefore w:val="0"/>
        <w:widowControl/>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本委托书于_______年____月____日签字生效。</w:t>
      </w:r>
    </w:p>
    <w:p w14:paraId="598FB075">
      <w:pPr>
        <w:keepNext w:val="0"/>
        <w:keepLines w:val="0"/>
        <w:pageBreakBefore w:val="0"/>
        <w:widowControl/>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法定代表人签字或签章：__________________</w:t>
      </w:r>
    </w:p>
    <w:p w14:paraId="787166DF">
      <w:pPr>
        <w:keepNext w:val="0"/>
        <w:keepLines w:val="0"/>
        <w:pageBreakBefore w:val="0"/>
        <w:widowControl/>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被授权人签字或签章：____________________</w:t>
      </w:r>
    </w:p>
    <w:p w14:paraId="31846835">
      <w:pPr>
        <w:keepNext w:val="0"/>
        <w:keepLines w:val="0"/>
        <w:pageBreakBefore w:val="0"/>
        <w:widowControl/>
        <w:wordWrap w:val="0"/>
        <w:overflowPunct/>
        <w:bidi w:val="0"/>
        <w:snapToGrid w:val="0"/>
        <w:spacing w:line="360" w:lineRule="auto"/>
        <w:ind w:left="0" w:leftChars="0"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（公章）</w:t>
      </w:r>
    </w:p>
    <w:p w14:paraId="3F9E8202">
      <w:pPr>
        <w:keepNext w:val="0"/>
        <w:keepLines w:val="0"/>
        <w:pageBreakBefore w:val="0"/>
        <w:widowControl/>
        <w:wordWrap w:val="0"/>
        <w:overflowPunct/>
        <w:bidi w:val="0"/>
        <w:snapToGrid w:val="0"/>
        <w:spacing w:line="360" w:lineRule="auto"/>
        <w:ind w:left="0" w:leftChars="0"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日期：</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B60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3EEE6EE1">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p>
          <w:p w14:paraId="5C2073A5">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被授权人身份证（正、反面）复印件</w:t>
            </w:r>
            <w:r>
              <w:rPr>
                <w:rFonts w:hint="eastAsia" w:ascii="宋体" w:hAnsi="宋体" w:cs="宋体"/>
                <w:b/>
                <w:bCs/>
                <w:color w:val="auto"/>
                <w:sz w:val="24"/>
                <w:szCs w:val="24"/>
                <w:u w:val="single"/>
              </w:rPr>
              <w:t>（粘贴此处）</w:t>
            </w:r>
          </w:p>
          <w:p w14:paraId="64016CD6">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p>
          <w:p w14:paraId="25B93D2A">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p>
          <w:p w14:paraId="4E6C2B8E">
            <w:pPr>
              <w:keepNext w:val="0"/>
              <w:keepLines w:val="0"/>
              <w:pageBreakBefore w:val="0"/>
              <w:overflowPunct/>
              <w:bidi w:val="0"/>
              <w:snapToGrid w:val="0"/>
              <w:spacing w:line="360" w:lineRule="auto"/>
              <w:ind w:left="0" w:leftChars="0" w:firstLine="482" w:firstLineChars="200"/>
              <w:jc w:val="both"/>
              <w:rPr>
                <w:rFonts w:ascii="宋体" w:hAnsi="宋体" w:cs="宋体"/>
                <w:b/>
                <w:bCs/>
                <w:color w:val="auto"/>
                <w:sz w:val="24"/>
                <w:szCs w:val="24"/>
              </w:rPr>
            </w:pPr>
          </w:p>
          <w:p w14:paraId="26CFC260">
            <w:pPr>
              <w:keepNext w:val="0"/>
              <w:keepLines w:val="0"/>
              <w:pageBreakBefore w:val="0"/>
              <w:overflowPunct/>
              <w:bidi w:val="0"/>
              <w:snapToGrid w:val="0"/>
              <w:spacing w:line="360" w:lineRule="auto"/>
              <w:ind w:left="0" w:leftChars="0" w:firstLine="480" w:firstLineChars="200"/>
              <w:jc w:val="both"/>
              <w:rPr>
                <w:rFonts w:ascii="宋体" w:hAnsi="宋体" w:cs="宋体"/>
                <w:color w:val="auto"/>
                <w:sz w:val="24"/>
                <w:szCs w:val="24"/>
              </w:rPr>
            </w:pPr>
          </w:p>
        </w:tc>
      </w:tr>
    </w:tbl>
    <w:p w14:paraId="157CDC9E">
      <w:pPr>
        <w:keepNext w:val="0"/>
        <w:keepLines w:val="0"/>
        <w:pageBreakBefore w:val="0"/>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br w:type="page"/>
      </w:r>
    </w:p>
    <w:p w14:paraId="72284B00">
      <w:pPr>
        <w:jc w:val="center"/>
        <w:rPr>
          <w:rFonts w:hint="eastAsia" w:ascii="宋体" w:hAnsi="宋体" w:eastAsia="宋体" w:cs="Times New Roman"/>
          <w:b/>
          <w:color w:val="auto"/>
          <w:kern w:val="2"/>
          <w:sz w:val="30"/>
          <w:szCs w:val="30"/>
          <w:lang w:val="en-US" w:eastAsia="zh-CN"/>
        </w:rPr>
      </w:pPr>
      <w:bookmarkStart w:id="39" w:name="_Hlk89675716"/>
      <w:r>
        <w:rPr>
          <w:rFonts w:hint="eastAsia" w:ascii="宋体" w:hAnsi="宋体" w:eastAsia="宋体" w:cs="Times New Roman"/>
          <w:b/>
          <w:color w:val="auto"/>
          <w:kern w:val="2"/>
          <w:sz w:val="30"/>
          <w:szCs w:val="30"/>
          <w:lang w:val="en-US" w:eastAsia="zh-CN"/>
        </w:rPr>
        <w:t>无失信记录声明</w:t>
      </w:r>
    </w:p>
    <w:p w14:paraId="0ED22249">
      <w:pPr>
        <w:snapToGrid w:val="0"/>
        <w:spacing w:line="480" w:lineRule="exact"/>
        <w:rPr>
          <w:rFonts w:ascii="宋体" w:hAnsi="宋体" w:cs="宋体"/>
          <w:bCs/>
          <w:color w:val="auto"/>
          <w:sz w:val="24"/>
          <w:szCs w:val="24"/>
        </w:rPr>
      </w:pPr>
      <w:r>
        <w:rPr>
          <w:rFonts w:hint="eastAsia" w:ascii="宋体" w:hAnsi="宋体" w:cs="宋体"/>
          <w:bCs/>
          <w:color w:val="auto"/>
          <w:sz w:val="24"/>
          <w:szCs w:val="24"/>
          <w:lang w:eastAsia="zh-CN"/>
        </w:rPr>
        <w:t>江苏省南通第一中学</w:t>
      </w:r>
      <w:r>
        <w:rPr>
          <w:rFonts w:hint="eastAsia" w:ascii="宋体" w:hAnsi="宋体" w:cs="宋体"/>
          <w:bCs/>
          <w:color w:val="auto"/>
          <w:sz w:val="24"/>
          <w:szCs w:val="24"/>
        </w:rPr>
        <w:t>：</w:t>
      </w:r>
    </w:p>
    <w:p w14:paraId="1734C6C8">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我公司郑重声明：在</w:t>
      </w:r>
      <w:r>
        <w:rPr>
          <w:rFonts w:hint="eastAsia" w:ascii="宋体" w:hAnsi="宋体" w:cs="宋体"/>
          <w:color w:val="auto"/>
          <w:sz w:val="24"/>
          <w:szCs w:val="24"/>
          <w:lang w:val="en-US" w:eastAsia="zh-CN"/>
        </w:rPr>
        <w:t>参选本项目响应</w:t>
      </w:r>
      <w:r>
        <w:rPr>
          <w:rFonts w:hint="eastAsia" w:ascii="宋体" w:hAnsi="宋体" w:cs="宋体"/>
          <w:color w:val="auto"/>
          <w:sz w:val="24"/>
          <w:szCs w:val="24"/>
        </w:rPr>
        <w:t>截止时间节点，没有被“信用中国”网站列入失信被执行人、重大税收违法案件当事人名单、采购严重违法失信行为记录名单。</w:t>
      </w:r>
    </w:p>
    <w:p w14:paraId="5EBA933D">
      <w:pPr>
        <w:snapToGrid w:val="0"/>
        <w:spacing w:line="480" w:lineRule="exact"/>
        <w:ind w:firstLine="200"/>
        <w:rPr>
          <w:rFonts w:ascii="宋体" w:hAnsi="宋体" w:cs="宋体"/>
          <w:color w:val="auto"/>
          <w:sz w:val="24"/>
          <w:szCs w:val="24"/>
        </w:rPr>
      </w:pPr>
    </w:p>
    <w:p w14:paraId="36AF67EC">
      <w:pPr>
        <w:snapToGrid w:val="0"/>
        <w:spacing w:line="480" w:lineRule="exact"/>
        <w:ind w:right="720" w:firstLine="480" w:firstLineChars="200"/>
        <w:contextualSpacing/>
        <w:jc w:val="right"/>
        <w:rPr>
          <w:rFonts w:ascii="宋体" w:hAnsi="宋体" w:cs="宋体"/>
          <w:color w:val="auto"/>
          <w:sz w:val="24"/>
          <w:szCs w:val="24"/>
        </w:rPr>
      </w:pPr>
      <w:r>
        <w:rPr>
          <w:rFonts w:hint="eastAsia" w:ascii="宋体" w:hAnsi="宋体" w:cs="宋体"/>
          <w:color w:val="auto"/>
          <w:sz w:val="24"/>
          <w:szCs w:val="24"/>
        </w:rPr>
        <w:t>法定代表人或授权委托人（签字或盖章）：</w:t>
      </w:r>
    </w:p>
    <w:p w14:paraId="02329DA2">
      <w:pPr>
        <w:snapToGrid w:val="0"/>
        <w:spacing w:line="480" w:lineRule="exact"/>
        <w:ind w:right="720" w:firstLine="480" w:firstLineChars="200"/>
        <w:contextualSpacing/>
        <w:jc w:val="right"/>
        <w:rPr>
          <w:rFonts w:ascii="宋体" w:hAnsi="宋体" w:cs="宋体"/>
          <w:color w:val="auto"/>
          <w:sz w:val="24"/>
          <w:szCs w:val="24"/>
        </w:rPr>
      </w:pPr>
      <w:r>
        <w:rPr>
          <w:rFonts w:hint="eastAsia" w:ascii="宋体" w:hAnsi="宋体" w:cs="宋体"/>
          <w:color w:val="auto"/>
          <w:sz w:val="24"/>
          <w:szCs w:val="24"/>
        </w:rPr>
        <w:t>供应商名称（盖章）：</w:t>
      </w:r>
    </w:p>
    <w:p w14:paraId="6AD5FB9B">
      <w:pPr>
        <w:snapToGrid w:val="0"/>
        <w:spacing w:line="480" w:lineRule="exact"/>
        <w:ind w:firstLine="480" w:firstLineChars="200"/>
        <w:jc w:val="center"/>
        <w:rPr>
          <w:rFonts w:ascii="宋体" w:hAnsi="宋体" w:cs="宋体"/>
          <w:color w:val="auto"/>
          <w:sz w:val="24"/>
          <w:szCs w:val="24"/>
        </w:rPr>
      </w:pPr>
      <w:bookmarkStart w:id="40" w:name="_Toc12794"/>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日期：</w:t>
      </w:r>
      <w:bookmarkEnd w:id="40"/>
    </w:p>
    <w:p w14:paraId="7B7C190B">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宋体" w:hAnsi="宋体"/>
          <w:b/>
          <w:color w:val="auto"/>
          <w:kern w:val="2"/>
          <w:sz w:val="32"/>
          <w:szCs w:val="32"/>
        </w:rPr>
      </w:pPr>
      <w:r>
        <w:rPr>
          <w:rFonts w:hint="eastAsia" w:ascii="宋体" w:hAnsi="宋体"/>
          <w:b/>
          <w:color w:val="auto"/>
          <w:kern w:val="2"/>
          <w:sz w:val="32"/>
          <w:szCs w:val="32"/>
        </w:rPr>
        <w:br w:type="page"/>
      </w:r>
    </w:p>
    <w:p w14:paraId="59CDEF15">
      <w:pPr>
        <w:snapToGrid w:val="0"/>
        <w:spacing w:line="300" w:lineRule="auto"/>
        <w:contextualSpacing/>
        <w:jc w:val="center"/>
        <w:rPr>
          <w:rFonts w:hint="eastAsia" w:ascii="宋体" w:hAnsi="宋体"/>
          <w:b/>
          <w:color w:val="auto"/>
          <w:kern w:val="2"/>
          <w:sz w:val="32"/>
          <w:szCs w:val="32"/>
          <w:lang w:val="en-US" w:eastAsia="zh-CN"/>
        </w:rPr>
      </w:pPr>
      <w:r>
        <w:rPr>
          <w:rFonts w:hint="eastAsia" w:ascii="宋体" w:hAnsi="宋体"/>
          <w:b/>
          <w:color w:val="auto"/>
          <w:kern w:val="2"/>
          <w:sz w:val="32"/>
          <w:szCs w:val="32"/>
          <w:lang w:val="en-US" w:eastAsia="zh-CN"/>
        </w:rPr>
        <w:t>满足资格要求中其他要求的承诺函</w:t>
      </w:r>
    </w:p>
    <w:p w14:paraId="2ACEABC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ascii="宋体" w:hAnsi="宋体" w:cs="宋体"/>
          <w:bCs/>
          <w:color w:val="auto"/>
          <w:sz w:val="24"/>
          <w:szCs w:val="24"/>
        </w:rPr>
      </w:pPr>
      <w:r>
        <w:rPr>
          <w:rFonts w:hint="eastAsia" w:ascii="宋体" w:hAnsi="宋体" w:cs="宋体"/>
          <w:bCs/>
          <w:color w:val="auto"/>
          <w:sz w:val="24"/>
          <w:szCs w:val="24"/>
          <w:lang w:eastAsia="zh-CN"/>
        </w:rPr>
        <w:t>江苏省南通第一中学</w:t>
      </w:r>
      <w:r>
        <w:rPr>
          <w:rFonts w:hint="eastAsia" w:ascii="宋体" w:hAnsi="宋体" w:cs="宋体"/>
          <w:bCs/>
          <w:color w:val="auto"/>
          <w:sz w:val="24"/>
          <w:szCs w:val="24"/>
        </w:rPr>
        <w:t>：</w:t>
      </w:r>
    </w:p>
    <w:p w14:paraId="79B37B04">
      <w:pPr>
        <w:pStyle w:val="2"/>
        <w:keepNext w:val="0"/>
        <w:keepLines w:val="0"/>
        <w:pageBreakBefore w:val="0"/>
        <w:widowControl w:val="0"/>
        <w:kinsoku/>
        <w:wordWrap/>
        <w:overflowPunct/>
        <w:topLinePunct w:val="0"/>
        <w:autoSpaceDE/>
        <w:autoSpaceDN/>
        <w:bidi w:val="0"/>
        <w:adjustRightInd/>
        <w:spacing w:after="0" w:line="360" w:lineRule="auto"/>
        <w:ind w:left="0" w:leftChars="0" w:right="0" w:firstLine="480" w:firstLineChars="200"/>
        <w:jc w:val="both"/>
        <w:textAlignment w:val="auto"/>
        <w:rPr>
          <w:rFonts w:hint="default"/>
          <w:color w:val="auto"/>
          <w:lang w:val="en-US" w:eastAsia="zh-CN"/>
        </w:rPr>
      </w:pPr>
      <w:r>
        <w:rPr>
          <w:rFonts w:hint="eastAsia" w:ascii="宋体" w:hAnsi="宋体" w:cs="宋体"/>
          <w:color w:val="auto"/>
          <w:sz w:val="24"/>
          <w:szCs w:val="24"/>
        </w:rPr>
        <w:t>我公司郑重</w:t>
      </w:r>
      <w:r>
        <w:rPr>
          <w:rFonts w:hint="eastAsia" w:ascii="宋体" w:hAnsi="宋体" w:cs="宋体"/>
          <w:color w:val="auto"/>
          <w:sz w:val="24"/>
          <w:szCs w:val="24"/>
          <w:lang w:val="en-US" w:eastAsia="zh-CN"/>
        </w:rPr>
        <w:t>承诺</w:t>
      </w:r>
      <w:r>
        <w:rPr>
          <w:rFonts w:hint="eastAsia" w:ascii="宋体" w:hAnsi="宋体" w:cs="宋体"/>
          <w:color w:val="auto"/>
          <w:sz w:val="24"/>
          <w:szCs w:val="24"/>
        </w:rPr>
        <w:t>：</w:t>
      </w:r>
    </w:p>
    <w:p w14:paraId="5491C9D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1.我单位</w:t>
      </w:r>
      <w:r>
        <w:rPr>
          <w:rFonts w:hint="eastAsia" w:ascii="宋体" w:hAnsi="宋体" w:cs="宋体"/>
          <w:color w:val="auto"/>
          <w:sz w:val="24"/>
          <w:szCs w:val="24"/>
        </w:rPr>
        <w:t>未处于被责令停业、投标资格被取消或者财产被接管、冻结和破产状态、没有因骗取中标或者严重违约以及因设计原因发生重大工程质量事故等问题，被有关部门暂停投标资格并在暂停期内。</w:t>
      </w:r>
    </w:p>
    <w:p w14:paraId="6947511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2.我单位不存在</w:t>
      </w:r>
      <w:r>
        <w:rPr>
          <w:rFonts w:hint="eastAsia" w:ascii="宋体" w:hAnsi="宋体" w:cs="宋体"/>
          <w:color w:val="auto"/>
          <w:sz w:val="24"/>
          <w:szCs w:val="24"/>
        </w:rPr>
        <w:t>供应商单位负责人为同一人或者存在直接控股、管理关系的不同供应商参加一标段或者未划分标段的同一</w:t>
      </w:r>
      <w:r>
        <w:rPr>
          <w:rFonts w:hint="eastAsia" w:ascii="宋体" w:hAnsi="宋体" w:cs="宋体"/>
          <w:color w:val="auto"/>
          <w:sz w:val="24"/>
          <w:szCs w:val="24"/>
          <w:lang w:val="en-US" w:eastAsia="zh-CN"/>
        </w:rPr>
        <w:t>采购</w:t>
      </w:r>
      <w:r>
        <w:rPr>
          <w:rFonts w:hint="eastAsia" w:ascii="宋体" w:hAnsi="宋体" w:cs="宋体"/>
          <w:color w:val="auto"/>
          <w:sz w:val="24"/>
          <w:szCs w:val="24"/>
        </w:rPr>
        <w:t>项目的采购活动</w:t>
      </w:r>
      <w:r>
        <w:rPr>
          <w:rFonts w:hint="eastAsia" w:ascii="宋体" w:hAnsi="宋体" w:cs="宋体"/>
          <w:color w:val="auto"/>
          <w:sz w:val="24"/>
          <w:szCs w:val="24"/>
          <w:lang w:eastAsia="zh-CN"/>
        </w:rPr>
        <w:t>的</w:t>
      </w:r>
      <w:r>
        <w:rPr>
          <w:rFonts w:hint="eastAsia" w:ascii="宋体" w:hAnsi="宋体" w:cs="宋体"/>
          <w:color w:val="auto"/>
          <w:sz w:val="24"/>
          <w:szCs w:val="24"/>
          <w:lang w:val="en-US" w:eastAsia="zh-CN"/>
        </w:rPr>
        <w:t>情况。</w:t>
      </w:r>
    </w:p>
    <w:p w14:paraId="4FB6838D">
      <w:pPr>
        <w:pStyle w:val="2"/>
        <w:rPr>
          <w:rFonts w:hint="default"/>
          <w:color w:val="auto"/>
          <w:lang w:val="en-US" w:eastAsia="zh-CN"/>
        </w:rPr>
      </w:pPr>
    </w:p>
    <w:p w14:paraId="6B8F100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contextualSpacing/>
        <w:jc w:val="center"/>
        <w:textAlignment w:val="auto"/>
        <w:rPr>
          <w:rFonts w:ascii="宋体" w:hAnsi="宋体" w:cs="宋体"/>
          <w:color w:val="auto"/>
          <w:sz w:val="24"/>
          <w:szCs w:val="24"/>
        </w:rPr>
      </w:pPr>
      <w:r>
        <w:rPr>
          <w:rFonts w:hint="eastAsia" w:ascii="宋体" w:hAnsi="宋体" w:cs="宋体"/>
          <w:color w:val="auto"/>
          <w:sz w:val="24"/>
          <w:szCs w:val="24"/>
        </w:rPr>
        <w:t>法定代表人或授权委托人（签字或盖章）：</w:t>
      </w:r>
    </w:p>
    <w:p w14:paraId="30DA88CC">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contextualSpacing/>
        <w:jc w:val="center"/>
        <w:textAlignment w:val="auto"/>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供应商名称（盖章）：</w:t>
      </w:r>
    </w:p>
    <w:p w14:paraId="48DADC79">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日期：</w:t>
      </w:r>
    </w:p>
    <w:p w14:paraId="4E1EF210">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jc w:val="right"/>
        <w:textAlignment w:val="auto"/>
        <w:rPr>
          <w:rFonts w:hint="eastAsia" w:ascii="宋体" w:hAnsi="宋体"/>
          <w:b/>
          <w:color w:val="auto"/>
          <w:kern w:val="2"/>
          <w:sz w:val="32"/>
          <w:szCs w:val="32"/>
        </w:rPr>
      </w:pPr>
    </w:p>
    <w:p w14:paraId="452074DA">
      <w:pPr>
        <w:pStyle w:val="2"/>
        <w:rPr>
          <w:rFonts w:hint="eastAsia" w:ascii="宋体" w:hAnsi="宋体"/>
          <w:b/>
          <w:color w:val="auto"/>
          <w:kern w:val="2"/>
          <w:sz w:val="32"/>
          <w:szCs w:val="32"/>
        </w:rPr>
      </w:pPr>
    </w:p>
    <w:p w14:paraId="705E8087">
      <w:pPr>
        <w:pStyle w:val="3"/>
        <w:rPr>
          <w:rFonts w:hint="eastAsia" w:ascii="宋体" w:hAnsi="宋体"/>
          <w:b/>
          <w:color w:val="auto"/>
          <w:kern w:val="2"/>
          <w:sz w:val="32"/>
          <w:szCs w:val="32"/>
        </w:rPr>
      </w:pPr>
    </w:p>
    <w:p w14:paraId="12D39E9C">
      <w:pPr>
        <w:pStyle w:val="3"/>
        <w:rPr>
          <w:rFonts w:hint="eastAsia" w:ascii="宋体" w:hAnsi="宋体"/>
          <w:b/>
          <w:color w:val="auto"/>
          <w:kern w:val="2"/>
          <w:sz w:val="32"/>
          <w:szCs w:val="32"/>
        </w:rPr>
      </w:pPr>
    </w:p>
    <w:p w14:paraId="1A276DD3">
      <w:pPr>
        <w:pStyle w:val="3"/>
        <w:rPr>
          <w:rFonts w:hint="eastAsia" w:ascii="宋体" w:hAnsi="宋体"/>
          <w:b/>
          <w:color w:val="auto"/>
          <w:kern w:val="2"/>
          <w:sz w:val="32"/>
          <w:szCs w:val="32"/>
        </w:rPr>
      </w:pPr>
    </w:p>
    <w:p w14:paraId="55990D3E">
      <w:pPr>
        <w:rPr>
          <w:rFonts w:hint="eastAsia" w:ascii="宋体" w:hAnsi="宋体"/>
          <w:b/>
          <w:color w:val="auto"/>
          <w:kern w:val="2"/>
          <w:sz w:val="32"/>
          <w:szCs w:val="32"/>
        </w:rPr>
      </w:pPr>
      <w:r>
        <w:rPr>
          <w:rFonts w:hint="eastAsia" w:ascii="宋体" w:hAnsi="宋体"/>
          <w:b/>
          <w:color w:val="auto"/>
          <w:kern w:val="2"/>
          <w:sz w:val="32"/>
          <w:szCs w:val="32"/>
        </w:rPr>
        <w:br w:type="page"/>
      </w:r>
    </w:p>
    <w:p w14:paraId="0DB28073">
      <w:pPr>
        <w:snapToGrid w:val="0"/>
        <w:spacing w:line="300" w:lineRule="auto"/>
        <w:contextualSpacing/>
        <w:jc w:val="center"/>
        <w:rPr>
          <w:rFonts w:hint="eastAsia" w:ascii="宋体" w:hAnsi="宋体"/>
          <w:b/>
          <w:color w:val="auto"/>
          <w:kern w:val="2"/>
          <w:sz w:val="32"/>
          <w:szCs w:val="32"/>
        </w:rPr>
      </w:pPr>
      <w:r>
        <w:rPr>
          <w:rFonts w:hint="eastAsia" w:ascii="宋体" w:hAnsi="宋体"/>
          <w:b/>
          <w:color w:val="auto"/>
          <w:kern w:val="2"/>
          <w:sz w:val="32"/>
          <w:szCs w:val="32"/>
        </w:rPr>
        <w:t>商务部分正负偏离表</w:t>
      </w:r>
    </w:p>
    <w:p w14:paraId="29F9F5E1">
      <w:pPr>
        <w:ind w:firstLine="560" w:firstLineChars="200"/>
        <w:jc w:val="center"/>
        <w:rPr>
          <w:rFonts w:hint="eastAsia" w:ascii="宋体" w:hAnsi="宋体"/>
          <w:color w:val="auto"/>
          <w:kern w:val="2"/>
          <w:sz w:val="28"/>
          <w:szCs w:val="28"/>
        </w:rPr>
      </w:pPr>
      <w:r>
        <w:rPr>
          <w:rFonts w:hint="eastAsia" w:ascii="宋体" w:hAnsi="宋体"/>
          <w:color w:val="auto"/>
          <w:kern w:val="2"/>
          <w:sz w:val="28"/>
          <w:szCs w:val="28"/>
        </w:rPr>
        <w:t>（由供应商据实填写）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39"/>
        <w:gridCol w:w="3270"/>
        <w:gridCol w:w="2170"/>
        <w:gridCol w:w="1326"/>
      </w:tblGrid>
      <w:tr w14:paraId="5524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23" w:type="pct"/>
            <w:vAlign w:val="center"/>
          </w:tcPr>
          <w:p w14:paraId="36FD765F">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609" w:type="pct"/>
            <w:vAlign w:val="center"/>
          </w:tcPr>
          <w:p w14:paraId="03BF66D3">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条款</w:t>
            </w:r>
          </w:p>
        </w:tc>
        <w:tc>
          <w:tcPr>
            <w:tcW w:w="1917" w:type="pct"/>
            <w:vAlign w:val="center"/>
          </w:tcPr>
          <w:p w14:paraId="30C8C646">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比选</w:t>
            </w:r>
            <w:r>
              <w:rPr>
                <w:rFonts w:hint="eastAsia" w:ascii="宋体" w:hAnsi="宋体" w:eastAsia="宋体" w:cs="宋体"/>
                <w:color w:val="auto"/>
                <w:kern w:val="2"/>
                <w:sz w:val="24"/>
                <w:szCs w:val="24"/>
              </w:rPr>
              <w:t>文件要求的商务条款</w:t>
            </w:r>
          </w:p>
        </w:tc>
        <w:tc>
          <w:tcPr>
            <w:tcW w:w="1272" w:type="pct"/>
            <w:vAlign w:val="center"/>
          </w:tcPr>
          <w:p w14:paraId="46E3C688">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响应文件响应情况</w:t>
            </w:r>
          </w:p>
        </w:tc>
        <w:tc>
          <w:tcPr>
            <w:tcW w:w="777" w:type="pct"/>
          </w:tcPr>
          <w:p w14:paraId="1F2EEEC4">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p>
          <w:p w14:paraId="537CC116">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偏离说明</w:t>
            </w:r>
          </w:p>
        </w:tc>
      </w:tr>
      <w:tr w14:paraId="1071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3" w:type="pct"/>
            <w:vAlign w:val="center"/>
          </w:tcPr>
          <w:p w14:paraId="588E7238">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609" w:type="pct"/>
            <w:vAlign w:val="center"/>
          </w:tcPr>
          <w:p w14:paraId="78611873">
            <w:pPr>
              <w:pStyle w:val="44"/>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917" w:type="pct"/>
            <w:vAlign w:val="center"/>
          </w:tcPr>
          <w:p w14:paraId="4BA2FC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2"/>
                <w:sz w:val="21"/>
                <w:szCs w:val="21"/>
              </w:rPr>
            </w:pPr>
          </w:p>
        </w:tc>
        <w:tc>
          <w:tcPr>
            <w:tcW w:w="1272" w:type="pct"/>
            <w:vAlign w:val="center"/>
          </w:tcPr>
          <w:p w14:paraId="24AF624F">
            <w:pPr>
              <w:keepNext w:val="0"/>
              <w:keepLines w:val="0"/>
              <w:pageBreakBefore w:val="0"/>
              <w:widowControl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13041C17">
            <w:pPr>
              <w:keepNext w:val="0"/>
              <w:keepLines w:val="0"/>
              <w:pageBreakBefore w:val="0"/>
              <w:widowControl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55A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3" w:type="pct"/>
            <w:vAlign w:val="center"/>
          </w:tcPr>
          <w:p w14:paraId="2FFAD7CC">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609" w:type="pct"/>
            <w:vAlign w:val="center"/>
          </w:tcPr>
          <w:p w14:paraId="77B70241">
            <w:pPr>
              <w:pStyle w:val="44"/>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917" w:type="pct"/>
            <w:vAlign w:val="center"/>
          </w:tcPr>
          <w:p w14:paraId="76A514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2"/>
                <w:sz w:val="21"/>
                <w:szCs w:val="21"/>
              </w:rPr>
            </w:pPr>
          </w:p>
        </w:tc>
        <w:tc>
          <w:tcPr>
            <w:tcW w:w="1272" w:type="pct"/>
            <w:vAlign w:val="center"/>
          </w:tcPr>
          <w:p w14:paraId="74E55742">
            <w:pPr>
              <w:keepNext w:val="0"/>
              <w:keepLines w:val="0"/>
              <w:pageBreakBefore w:val="0"/>
              <w:widowControl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64D2789F">
            <w:pPr>
              <w:keepNext w:val="0"/>
              <w:keepLines w:val="0"/>
              <w:pageBreakBefore w:val="0"/>
              <w:widowControl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6C02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3" w:type="pct"/>
            <w:vAlign w:val="center"/>
          </w:tcPr>
          <w:p w14:paraId="10E26226">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609" w:type="pct"/>
            <w:vAlign w:val="center"/>
          </w:tcPr>
          <w:p w14:paraId="6E683982">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bidi="ar-SA"/>
              </w:rPr>
            </w:pPr>
          </w:p>
        </w:tc>
        <w:tc>
          <w:tcPr>
            <w:tcW w:w="1917" w:type="pct"/>
            <w:vAlign w:val="center"/>
          </w:tcPr>
          <w:p w14:paraId="76DB73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2"/>
                <w:sz w:val="21"/>
                <w:szCs w:val="21"/>
              </w:rPr>
            </w:pPr>
          </w:p>
        </w:tc>
        <w:tc>
          <w:tcPr>
            <w:tcW w:w="1272" w:type="pct"/>
            <w:vAlign w:val="center"/>
          </w:tcPr>
          <w:p w14:paraId="7A49871B">
            <w:pPr>
              <w:keepNext w:val="0"/>
              <w:keepLines w:val="0"/>
              <w:pageBreakBefore w:val="0"/>
              <w:widowControl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6AC6C035">
            <w:pPr>
              <w:keepNext w:val="0"/>
              <w:keepLines w:val="0"/>
              <w:pageBreakBefore w:val="0"/>
              <w:widowControl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bl>
    <w:p w14:paraId="443ED5C4">
      <w:pPr>
        <w:snapToGrid w:val="0"/>
        <w:spacing w:line="300" w:lineRule="auto"/>
        <w:contextualSpacing/>
        <w:rPr>
          <w:rFonts w:hint="eastAsia" w:ascii="宋体" w:hAnsi="宋体"/>
          <w:b/>
          <w:color w:val="auto"/>
          <w:kern w:val="2"/>
          <w:sz w:val="24"/>
          <w:szCs w:val="24"/>
        </w:rPr>
      </w:pPr>
      <w:r>
        <w:rPr>
          <w:rFonts w:hint="eastAsia" w:ascii="宋体" w:hAnsi="宋体"/>
          <w:b/>
          <w:color w:val="auto"/>
          <w:kern w:val="2"/>
          <w:sz w:val="24"/>
          <w:szCs w:val="24"/>
        </w:rPr>
        <w:t>注：</w:t>
      </w:r>
    </w:p>
    <w:p w14:paraId="4FCC309E">
      <w:pPr>
        <w:snapToGrid w:val="0"/>
        <w:spacing w:line="300" w:lineRule="auto"/>
        <w:ind w:firstLine="480" w:firstLineChars="200"/>
        <w:contextualSpacing/>
        <w:rPr>
          <w:rFonts w:hint="default" w:ascii="宋体" w:hAnsi="宋体" w:eastAsia="宋体"/>
          <w:color w:val="auto"/>
          <w:kern w:val="2"/>
          <w:sz w:val="24"/>
          <w:szCs w:val="24"/>
          <w:lang w:val="en-US" w:eastAsia="zh-CN"/>
        </w:rPr>
      </w:pPr>
      <w:r>
        <w:rPr>
          <w:rFonts w:hint="eastAsia" w:ascii="宋体" w:hAnsi="宋体"/>
          <w:color w:val="auto"/>
          <w:kern w:val="2"/>
          <w:sz w:val="24"/>
          <w:szCs w:val="24"/>
        </w:rPr>
        <w:t>1.供应商提交的响应文件中与</w:t>
      </w:r>
      <w:r>
        <w:rPr>
          <w:rFonts w:hint="eastAsia" w:ascii="宋体" w:hAnsi="宋体" w:eastAsia="宋体" w:cs="宋体"/>
          <w:color w:val="auto"/>
          <w:kern w:val="2"/>
          <w:sz w:val="24"/>
          <w:szCs w:val="24"/>
          <w:lang w:val="en-US" w:eastAsia="zh-CN"/>
        </w:rPr>
        <w:t>比选</w:t>
      </w:r>
      <w:r>
        <w:rPr>
          <w:rFonts w:hint="eastAsia" w:ascii="宋体" w:hAnsi="宋体"/>
          <w:color w:val="auto"/>
          <w:kern w:val="2"/>
          <w:sz w:val="24"/>
          <w:szCs w:val="24"/>
        </w:rPr>
        <w:t>文件第三部分“项目需求”中的商务部分的要求，如有偏离，应逐条填列在偏离表中。</w:t>
      </w:r>
      <w:r>
        <w:rPr>
          <w:rFonts w:hint="eastAsia" w:ascii="宋体" w:hAnsi="宋体"/>
          <w:b/>
          <w:bCs/>
          <w:color w:val="auto"/>
          <w:kern w:val="2"/>
          <w:sz w:val="24"/>
          <w:szCs w:val="24"/>
          <w:lang w:val="en-US" w:eastAsia="zh-CN"/>
        </w:rPr>
        <w:t>如完全响应，可空白列示。</w:t>
      </w:r>
    </w:p>
    <w:p w14:paraId="74C69146">
      <w:pP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2.“偏离说明”一栏选择“正偏离</w:t>
      </w:r>
      <w:r>
        <w:rPr>
          <w:rFonts w:hint="eastAsia" w:ascii="宋体" w:hAnsi="宋体"/>
          <w:color w:val="auto"/>
          <w:kern w:val="2"/>
          <w:sz w:val="24"/>
          <w:szCs w:val="24"/>
          <w:lang w:eastAsia="zh-CN"/>
        </w:rPr>
        <w:t>”“</w:t>
      </w:r>
      <w:r>
        <w:rPr>
          <w:rFonts w:hint="eastAsia" w:ascii="宋体" w:hAnsi="宋体"/>
          <w:color w:val="auto"/>
          <w:kern w:val="2"/>
          <w:sz w:val="24"/>
          <w:szCs w:val="24"/>
        </w:rPr>
        <w:t>无偏离</w:t>
      </w:r>
      <w:r>
        <w:rPr>
          <w:rFonts w:hint="eastAsia" w:ascii="宋体" w:hAnsi="宋体"/>
          <w:color w:val="auto"/>
          <w:kern w:val="2"/>
          <w:sz w:val="24"/>
          <w:szCs w:val="24"/>
          <w:lang w:eastAsia="zh-CN"/>
        </w:rPr>
        <w:t>”“</w:t>
      </w:r>
      <w:r>
        <w:rPr>
          <w:rFonts w:hint="eastAsia" w:ascii="宋体" w:hAnsi="宋体"/>
          <w:color w:val="auto"/>
          <w:kern w:val="2"/>
          <w:sz w:val="24"/>
          <w:szCs w:val="24"/>
        </w:rPr>
        <w:t>负偏离”进行填写。正偏离、无偏离的确认和负偏离的是否响应采购文件，由</w:t>
      </w:r>
      <w:r>
        <w:rPr>
          <w:rFonts w:hint="eastAsia" w:ascii="宋体" w:hAnsi="宋体"/>
          <w:color w:val="auto"/>
          <w:kern w:val="2"/>
          <w:sz w:val="24"/>
          <w:szCs w:val="24"/>
          <w:lang w:val="en-US" w:eastAsia="zh-CN"/>
        </w:rPr>
        <w:t>评审小组</w:t>
      </w:r>
      <w:r>
        <w:rPr>
          <w:rFonts w:hint="eastAsia" w:ascii="宋体" w:hAnsi="宋体"/>
          <w:color w:val="auto"/>
          <w:kern w:val="2"/>
          <w:sz w:val="24"/>
          <w:szCs w:val="24"/>
        </w:rPr>
        <w:t>认定。</w:t>
      </w:r>
    </w:p>
    <w:p w14:paraId="4F7CE9AA">
      <w:pP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3.供应商如果虚假响应，将被暂停参加采购单位组织的任何采购活动。</w:t>
      </w:r>
    </w:p>
    <w:p w14:paraId="4B5336B7">
      <w:pPr>
        <w:snapToGrid w:val="0"/>
        <w:spacing w:line="300" w:lineRule="auto"/>
        <w:ind w:firstLine="480" w:firstLineChars="200"/>
        <w:contextualSpacing/>
        <w:rPr>
          <w:rFonts w:hint="eastAsia" w:ascii="宋体" w:hAnsi="宋体"/>
          <w:bCs/>
          <w:color w:val="auto"/>
          <w:kern w:val="2"/>
          <w:sz w:val="24"/>
          <w:szCs w:val="24"/>
        </w:rPr>
      </w:pPr>
      <w:r>
        <w:rPr>
          <w:rFonts w:hint="eastAsia" w:ascii="宋体" w:hAnsi="宋体"/>
          <w:bCs/>
          <w:color w:val="auto"/>
          <w:kern w:val="2"/>
          <w:sz w:val="24"/>
          <w:szCs w:val="24"/>
        </w:rPr>
        <w:t>4.供应商若提供其他增值服务，可以在表中自行据实填写。</w:t>
      </w:r>
    </w:p>
    <w:p w14:paraId="05108E97">
      <w:pPr>
        <w:snapToGrid w:val="0"/>
        <w:spacing w:line="400" w:lineRule="exact"/>
        <w:ind w:firstLine="540" w:firstLineChars="192"/>
        <w:contextualSpacing/>
        <w:rPr>
          <w:rFonts w:hint="eastAsia" w:ascii="宋体" w:hAnsi="宋体" w:cs="宋体"/>
          <w:b/>
          <w:color w:val="auto"/>
          <w:sz w:val="28"/>
          <w:szCs w:val="28"/>
        </w:rPr>
      </w:pPr>
    </w:p>
    <w:p w14:paraId="11FAB8E0">
      <w:pPr>
        <w:snapToGrid w:val="0"/>
        <w:spacing w:line="360" w:lineRule="auto"/>
        <w:ind w:right="79"/>
        <w:jc w:val="right"/>
        <w:textAlignment w:val="baseline"/>
        <w:rPr>
          <w:rFonts w:hint="eastAsia" w:ascii="宋体" w:hAnsi="宋体" w:cs="宋体"/>
          <w:color w:val="auto"/>
          <w:kern w:val="2"/>
          <w:sz w:val="24"/>
          <w:szCs w:val="24"/>
        </w:rPr>
      </w:pPr>
      <w:r>
        <w:rPr>
          <w:rFonts w:hint="eastAsia" w:ascii="宋体" w:hAnsi="宋体" w:cs="宋体"/>
          <w:color w:val="auto"/>
          <w:kern w:val="2"/>
          <w:sz w:val="24"/>
          <w:szCs w:val="24"/>
        </w:rPr>
        <w:t>响应供应商：（</w:t>
      </w:r>
      <w:r>
        <w:rPr>
          <w:rFonts w:hint="eastAsia" w:ascii="宋体" w:hAnsi="宋体" w:cs="宋体"/>
          <w:color w:val="auto"/>
          <w:kern w:val="2"/>
          <w:sz w:val="24"/>
          <w:szCs w:val="24"/>
          <w:lang w:val="en-US" w:eastAsia="zh-CN"/>
        </w:rPr>
        <w:t>公章</w:t>
      </w:r>
      <w:r>
        <w:rPr>
          <w:rFonts w:hint="eastAsia" w:ascii="宋体" w:hAnsi="宋体" w:cs="宋体"/>
          <w:color w:val="auto"/>
          <w:kern w:val="2"/>
          <w:sz w:val="24"/>
          <w:szCs w:val="24"/>
        </w:rPr>
        <w:t>）</w:t>
      </w:r>
    </w:p>
    <w:p w14:paraId="6BE97C5A">
      <w:pPr>
        <w:tabs>
          <w:tab w:val="left" w:pos="5665"/>
          <w:tab w:val="right" w:pos="8360"/>
        </w:tabs>
        <w:snapToGrid w:val="0"/>
        <w:spacing w:line="360" w:lineRule="auto"/>
        <w:ind w:right="42"/>
        <w:jc w:val="right"/>
        <w:textAlignment w:val="baseline"/>
        <w:rPr>
          <w:rFonts w:hint="eastAsia" w:ascii="宋体" w:hAnsi="宋体" w:cs="宋体"/>
          <w:color w:val="auto"/>
          <w:kern w:val="2"/>
          <w:sz w:val="24"/>
          <w:szCs w:val="28"/>
          <w:u w:val="single"/>
        </w:rPr>
      </w:pPr>
      <w:r>
        <w:rPr>
          <w:rFonts w:hint="eastAsia" w:ascii="宋体" w:hAnsi="宋体" w:cs="宋体"/>
          <w:color w:val="auto"/>
          <w:kern w:val="2"/>
          <w:sz w:val="24"/>
          <w:szCs w:val="28"/>
        </w:rPr>
        <w:t>法定代表人或</w:t>
      </w:r>
      <w:r>
        <w:rPr>
          <w:rFonts w:hint="eastAsia" w:ascii="宋体" w:hAnsi="宋体" w:cs="仿宋_GB2312"/>
          <w:color w:val="auto"/>
          <w:kern w:val="2"/>
          <w:sz w:val="24"/>
          <w:szCs w:val="28"/>
        </w:rPr>
        <w:t>授权</w:t>
      </w:r>
      <w:r>
        <w:rPr>
          <w:rFonts w:hint="eastAsia" w:ascii="宋体" w:hAnsi="宋体" w:cs="仿宋_GB2312"/>
          <w:color w:val="auto"/>
          <w:kern w:val="2"/>
          <w:sz w:val="24"/>
          <w:szCs w:val="28"/>
          <w:lang w:val="en-US" w:eastAsia="zh-CN"/>
        </w:rPr>
        <w:t>委托</w:t>
      </w:r>
      <w:r>
        <w:rPr>
          <w:rFonts w:hint="eastAsia" w:ascii="宋体" w:hAnsi="宋体" w:cs="仿宋_GB2312"/>
          <w:color w:val="auto"/>
          <w:kern w:val="2"/>
          <w:sz w:val="24"/>
          <w:szCs w:val="28"/>
        </w:rPr>
        <w:t>人（签字或盖章）</w:t>
      </w:r>
      <w:r>
        <w:rPr>
          <w:rFonts w:hint="eastAsia" w:ascii="宋体" w:hAnsi="宋体" w:cs="宋体"/>
          <w:color w:val="auto"/>
          <w:kern w:val="2"/>
          <w:sz w:val="24"/>
          <w:szCs w:val="28"/>
        </w:rPr>
        <w:t>：</w:t>
      </w:r>
    </w:p>
    <w:p w14:paraId="641AD463">
      <w:pPr>
        <w:snapToGrid w:val="0"/>
        <w:spacing w:line="520" w:lineRule="exact"/>
        <w:jc w:val="right"/>
        <w:rPr>
          <w:rFonts w:ascii="宋体" w:hAnsi="Times New Roman"/>
          <w:color w:val="auto"/>
          <w:kern w:val="2"/>
          <w:sz w:val="24"/>
          <w:szCs w:val="24"/>
        </w:rPr>
      </w:pPr>
      <w:r>
        <w:rPr>
          <w:rFonts w:hint="eastAsia" w:ascii="宋体" w:hAnsi="宋体" w:cs="宋体"/>
          <w:color w:val="auto"/>
          <w:kern w:val="2"/>
          <w:sz w:val="24"/>
          <w:szCs w:val="24"/>
        </w:rPr>
        <w:t xml:space="preserve">    日期：  年  月  日</w:t>
      </w:r>
    </w:p>
    <w:p w14:paraId="0B014E9B">
      <w:pPr>
        <w:keepNext w:val="0"/>
        <w:keepLines w:val="0"/>
        <w:pageBreakBefore w:val="0"/>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br w:type="page"/>
      </w:r>
    </w:p>
    <w:p w14:paraId="467471D9">
      <w:pPr>
        <w:snapToGrid w:val="0"/>
        <w:spacing w:line="300" w:lineRule="auto"/>
        <w:contextualSpacing/>
        <w:jc w:val="center"/>
        <w:rPr>
          <w:rFonts w:hint="eastAsia" w:ascii="宋体" w:hAnsi="宋体"/>
          <w:b/>
          <w:color w:val="auto"/>
          <w:kern w:val="2"/>
          <w:sz w:val="32"/>
          <w:szCs w:val="32"/>
        </w:rPr>
      </w:pPr>
      <w:r>
        <w:rPr>
          <w:rFonts w:hint="eastAsia" w:ascii="宋体" w:hAnsi="宋体"/>
          <w:b/>
          <w:color w:val="auto"/>
          <w:kern w:val="2"/>
          <w:sz w:val="32"/>
          <w:szCs w:val="32"/>
        </w:rPr>
        <w:t>技术部分正负偏离表</w:t>
      </w:r>
    </w:p>
    <w:p w14:paraId="065FEA9F">
      <w:pPr>
        <w:ind w:firstLine="560" w:firstLineChars="200"/>
        <w:jc w:val="center"/>
        <w:rPr>
          <w:rFonts w:hint="eastAsia" w:ascii="宋体" w:hAnsi="宋体"/>
          <w:color w:val="auto"/>
          <w:kern w:val="2"/>
          <w:sz w:val="28"/>
          <w:szCs w:val="28"/>
        </w:rPr>
      </w:pPr>
      <w:r>
        <w:rPr>
          <w:rFonts w:hint="eastAsia" w:ascii="宋体" w:hAnsi="宋体"/>
          <w:color w:val="auto"/>
          <w:kern w:val="2"/>
          <w:sz w:val="28"/>
          <w:szCs w:val="28"/>
        </w:rPr>
        <w:t>（由供应商据实填写）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131"/>
        <w:gridCol w:w="3811"/>
        <w:gridCol w:w="1476"/>
        <w:gridCol w:w="1326"/>
      </w:tblGrid>
      <w:tr w14:paraId="5859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59" w:type="pct"/>
            <w:vAlign w:val="center"/>
          </w:tcPr>
          <w:p w14:paraId="2A4D818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663" w:type="pct"/>
            <w:vAlign w:val="center"/>
          </w:tcPr>
          <w:p w14:paraId="40515EAB">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val="en-US" w:eastAsia="zh-CN"/>
              </w:rPr>
              <w:t>条款</w:t>
            </w:r>
          </w:p>
        </w:tc>
        <w:tc>
          <w:tcPr>
            <w:tcW w:w="2234" w:type="pct"/>
            <w:vAlign w:val="center"/>
          </w:tcPr>
          <w:p w14:paraId="358644B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比选</w:t>
            </w:r>
            <w:r>
              <w:rPr>
                <w:rFonts w:hint="eastAsia" w:ascii="宋体" w:hAnsi="宋体" w:eastAsia="宋体" w:cs="宋体"/>
                <w:color w:val="auto"/>
                <w:kern w:val="2"/>
                <w:sz w:val="24"/>
                <w:szCs w:val="24"/>
              </w:rPr>
              <w:t>文件要求的技术要求</w:t>
            </w:r>
          </w:p>
        </w:tc>
        <w:tc>
          <w:tcPr>
            <w:tcW w:w="865" w:type="pct"/>
            <w:vAlign w:val="center"/>
          </w:tcPr>
          <w:p w14:paraId="3A63035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响应文件响应情况</w:t>
            </w:r>
          </w:p>
        </w:tc>
        <w:tc>
          <w:tcPr>
            <w:tcW w:w="777" w:type="pct"/>
          </w:tcPr>
          <w:p w14:paraId="2806208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p>
          <w:p w14:paraId="0C9940E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偏离说明</w:t>
            </w:r>
          </w:p>
        </w:tc>
      </w:tr>
      <w:tr w14:paraId="679D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59" w:type="pct"/>
            <w:vAlign w:val="center"/>
          </w:tcPr>
          <w:p w14:paraId="228FA5C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663" w:type="pct"/>
            <w:vAlign w:val="center"/>
          </w:tcPr>
          <w:p w14:paraId="4F20CFB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rPr>
            </w:pPr>
          </w:p>
        </w:tc>
        <w:tc>
          <w:tcPr>
            <w:tcW w:w="2234" w:type="pct"/>
            <w:vAlign w:val="center"/>
          </w:tcPr>
          <w:p w14:paraId="47449CF6">
            <w:pPr>
              <w:keepNext w:val="0"/>
              <w:keepLines w:val="0"/>
              <w:pageBreakBefore w:val="0"/>
              <w:widowControl/>
              <w:kinsoku/>
              <w:wordWrap/>
              <w:overflowPunct/>
              <w:topLinePunct w:val="0"/>
              <w:autoSpaceDE/>
              <w:autoSpaceDN/>
              <w:bidi w:val="0"/>
              <w:jc w:val="left"/>
              <w:textAlignment w:val="center"/>
              <w:rPr>
                <w:rFonts w:hint="eastAsia" w:ascii="宋体" w:hAnsi="宋体" w:eastAsia="宋体" w:cs="宋体"/>
                <w:color w:val="auto"/>
                <w:kern w:val="2"/>
                <w:sz w:val="21"/>
                <w:szCs w:val="21"/>
              </w:rPr>
            </w:pPr>
          </w:p>
        </w:tc>
        <w:tc>
          <w:tcPr>
            <w:tcW w:w="865" w:type="pct"/>
            <w:vAlign w:val="center"/>
          </w:tcPr>
          <w:p w14:paraId="1548C14A">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79F308B2">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7241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9" w:type="pct"/>
            <w:vAlign w:val="center"/>
          </w:tcPr>
          <w:p w14:paraId="373C6BF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2</w:t>
            </w:r>
          </w:p>
        </w:tc>
        <w:tc>
          <w:tcPr>
            <w:tcW w:w="663" w:type="pct"/>
            <w:vAlign w:val="center"/>
          </w:tcPr>
          <w:p w14:paraId="7C157E6A">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rPr>
            </w:pPr>
          </w:p>
        </w:tc>
        <w:tc>
          <w:tcPr>
            <w:tcW w:w="2234" w:type="pct"/>
            <w:vAlign w:val="center"/>
          </w:tcPr>
          <w:p w14:paraId="367B1C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color w:val="auto"/>
                <w:kern w:val="0"/>
                <w:sz w:val="21"/>
                <w:szCs w:val="21"/>
              </w:rPr>
            </w:pPr>
          </w:p>
        </w:tc>
        <w:tc>
          <w:tcPr>
            <w:tcW w:w="865" w:type="pct"/>
            <w:vAlign w:val="center"/>
          </w:tcPr>
          <w:p w14:paraId="57E84E88">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15F139D4">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4951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9" w:type="pct"/>
            <w:vAlign w:val="center"/>
          </w:tcPr>
          <w:p w14:paraId="7D54775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3</w:t>
            </w:r>
          </w:p>
        </w:tc>
        <w:tc>
          <w:tcPr>
            <w:tcW w:w="663" w:type="pct"/>
            <w:vAlign w:val="center"/>
          </w:tcPr>
          <w:p w14:paraId="6496DFB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rPr>
            </w:pPr>
          </w:p>
        </w:tc>
        <w:tc>
          <w:tcPr>
            <w:tcW w:w="2234" w:type="pct"/>
            <w:vAlign w:val="center"/>
          </w:tcPr>
          <w:p w14:paraId="294BF3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color w:val="auto"/>
                <w:kern w:val="0"/>
                <w:sz w:val="21"/>
                <w:szCs w:val="21"/>
              </w:rPr>
            </w:pPr>
          </w:p>
        </w:tc>
        <w:tc>
          <w:tcPr>
            <w:tcW w:w="865" w:type="pct"/>
            <w:vAlign w:val="center"/>
          </w:tcPr>
          <w:p w14:paraId="330C0219">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1AE7B74C">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bl>
    <w:p w14:paraId="05D21E94">
      <w:pPr>
        <w:snapToGrid w:val="0"/>
        <w:spacing w:line="300" w:lineRule="auto"/>
        <w:contextualSpacing/>
        <w:rPr>
          <w:rFonts w:hint="eastAsia" w:ascii="宋体" w:hAnsi="宋体"/>
          <w:b/>
          <w:color w:val="auto"/>
          <w:kern w:val="2"/>
          <w:sz w:val="24"/>
          <w:szCs w:val="24"/>
        </w:rPr>
      </w:pPr>
      <w:r>
        <w:rPr>
          <w:rFonts w:hint="eastAsia" w:ascii="宋体" w:hAnsi="宋体"/>
          <w:b/>
          <w:color w:val="auto"/>
          <w:kern w:val="2"/>
          <w:sz w:val="24"/>
          <w:szCs w:val="24"/>
        </w:rPr>
        <w:t>注：</w:t>
      </w:r>
    </w:p>
    <w:p w14:paraId="447487F4">
      <w:pPr>
        <w:snapToGrid w:val="0"/>
        <w:spacing w:line="300" w:lineRule="auto"/>
        <w:ind w:firstLine="480" w:firstLineChars="200"/>
        <w:contextualSpacing/>
        <w:rPr>
          <w:rFonts w:hint="eastAsia" w:ascii="宋体" w:hAnsi="宋体"/>
          <w:b/>
          <w:bCs/>
          <w:color w:val="auto"/>
          <w:kern w:val="2"/>
          <w:sz w:val="24"/>
          <w:szCs w:val="24"/>
        </w:rPr>
      </w:pPr>
      <w:r>
        <w:rPr>
          <w:rFonts w:hint="eastAsia" w:ascii="宋体" w:hAnsi="宋体"/>
          <w:color w:val="auto"/>
          <w:kern w:val="2"/>
          <w:sz w:val="24"/>
          <w:szCs w:val="24"/>
        </w:rPr>
        <w:t>1.供应商提交的响应文件中与</w:t>
      </w:r>
      <w:r>
        <w:rPr>
          <w:rFonts w:hint="eastAsia" w:ascii="宋体" w:hAnsi="宋体" w:eastAsia="宋体" w:cs="宋体"/>
          <w:color w:val="auto"/>
          <w:kern w:val="2"/>
          <w:sz w:val="24"/>
          <w:szCs w:val="24"/>
          <w:lang w:val="en-US" w:eastAsia="zh-CN"/>
        </w:rPr>
        <w:t>比选</w:t>
      </w:r>
      <w:r>
        <w:rPr>
          <w:rFonts w:hint="eastAsia" w:ascii="宋体" w:hAnsi="宋体"/>
          <w:color w:val="auto"/>
          <w:kern w:val="2"/>
          <w:sz w:val="24"/>
          <w:szCs w:val="24"/>
        </w:rPr>
        <w:t>文件第三部分“项目需求”中的技术部分的要求，如有偏离，应逐条填列在偏离表中</w:t>
      </w:r>
      <w:r>
        <w:rPr>
          <w:rFonts w:hint="eastAsia" w:ascii="宋体" w:hAnsi="宋体"/>
          <w:b/>
          <w:bCs/>
          <w:color w:val="auto"/>
          <w:kern w:val="2"/>
          <w:sz w:val="24"/>
          <w:szCs w:val="24"/>
        </w:rPr>
        <w:t>。如完全响应，可空白列示。</w:t>
      </w:r>
    </w:p>
    <w:p w14:paraId="0D0EEA71">
      <w:pP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2.“偏离说明”一栏选择“正偏离</w:t>
      </w:r>
      <w:r>
        <w:rPr>
          <w:rFonts w:hint="eastAsia" w:ascii="宋体" w:hAnsi="宋体"/>
          <w:color w:val="auto"/>
          <w:kern w:val="2"/>
          <w:sz w:val="24"/>
          <w:szCs w:val="24"/>
          <w:lang w:eastAsia="zh-CN"/>
        </w:rPr>
        <w:t>”“</w:t>
      </w:r>
      <w:r>
        <w:rPr>
          <w:rFonts w:hint="eastAsia" w:ascii="宋体" w:hAnsi="宋体"/>
          <w:color w:val="auto"/>
          <w:kern w:val="2"/>
          <w:sz w:val="24"/>
          <w:szCs w:val="24"/>
        </w:rPr>
        <w:t>无偏离</w:t>
      </w:r>
      <w:r>
        <w:rPr>
          <w:rFonts w:hint="eastAsia" w:ascii="宋体" w:hAnsi="宋体"/>
          <w:color w:val="auto"/>
          <w:kern w:val="2"/>
          <w:sz w:val="24"/>
          <w:szCs w:val="24"/>
          <w:lang w:eastAsia="zh-CN"/>
        </w:rPr>
        <w:t>”“</w:t>
      </w:r>
      <w:r>
        <w:rPr>
          <w:rFonts w:hint="eastAsia" w:ascii="宋体" w:hAnsi="宋体"/>
          <w:color w:val="auto"/>
          <w:kern w:val="2"/>
          <w:sz w:val="24"/>
          <w:szCs w:val="24"/>
        </w:rPr>
        <w:t>负偏离”进行填写。正偏离、无偏离的确认和负偏离的是否响应采购文件，由</w:t>
      </w:r>
      <w:r>
        <w:rPr>
          <w:rFonts w:hint="eastAsia" w:ascii="宋体" w:hAnsi="宋体"/>
          <w:color w:val="auto"/>
          <w:kern w:val="2"/>
          <w:sz w:val="24"/>
          <w:szCs w:val="24"/>
          <w:lang w:val="en-US" w:eastAsia="zh-CN"/>
        </w:rPr>
        <w:t>评审小组</w:t>
      </w:r>
      <w:r>
        <w:rPr>
          <w:rFonts w:hint="eastAsia" w:ascii="宋体" w:hAnsi="宋体"/>
          <w:color w:val="auto"/>
          <w:kern w:val="2"/>
          <w:sz w:val="24"/>
          <w:szCs w:val="24"/>
        </w:rPr>
        <w:t>认定。</w:t>
      </w:r>
    </w:p>
    <w:p w14:paraId="012997F0">
      <w:pP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3.供应商如果虚假响应，将被暂停参加采购单位组织的任何采购活动。</w:t>
      </w:r>
    </w:p>
    <w:p w14:paraId="674B2527">
      <w:pPr>
        <w:snapToGrid w:val="0"/>
        <w:spacing w:line="300" w:lineRule="auto"/>
        <w:ind w:firstLine="480" w:firstLineChars="200"/>
        <w:contextualSpacing/>
        <w:rPr>
          <w:rFonts w:hint="eastAsia" w:ascii="宋体" w:hAnsi="宋体"/>
          <w:bCs/>
          <w:color w:val="auto"/>
          <w:kern w:val="2"/>
          <w:sz w:val="24"/>
          <w:szCs w:val="24"/>
        </w:rPr>
      </w:pPr>
      <w:r>
        <w:rPr>
          <w:rFonts w:hint="eastAsia" w:ascii="宋体" w:hAnsi="宋体"/>
          <w:bCs/>
          <w:color w:val="auto"/>
          <w:kern w:val="2"/>
          <w:sz w:val="24"/>
          <w:szCs w:val="24"/>
        </w:rPr>
        <w:t>4.供应商若提供其他增值服务，可以在表中自行据实填写。</w:t>
      </w:r>
    </w:p>
    <w:p w14:paraId="1C5B53EF">
      <w:pPr>
        <w:snapToGrid w:val="0"/>
        <w:spacing w:line="400" w:lineRule="exact"/>
        <w:ind w:firstLine="540" w:firstLineChars="192"/>
        <w:contextualSpacing/>
        <w:rPr>
          <w:rFonts w:hint="eastAsia" w:ascii="宋体" w:hAnsi="宋体" w:cs="宋体"/>
          <w:b/>
          <w:color w:val="auto"/>
          <w:sz w:val="28"/>
          <w:szCs w:val="28"/>
        </w:rPr>
      </w:pPr>
    </w:p>
    <w:p w14:paraId="21100CB3">
      <w:pPr>
        <w:snapToGrid w:val="0"/>
        <w:spacing w:line="400" w:lineRule="exact"/>
        <w:ind w:firstLine="540" w:firstLineChars="192"/>
        <w:contextualSpacing/>
        <w:rPr>
          <w:rFonts w:hint="eastAsia" w:ascii="宋体" w:hAnsi="宋体" w:cs="宋体"/>
          <w:b/>
          <w:color w:val="auto"/>
          <w:sz w:val="28"/>
          <w:szCs w:val="28"/>
        </w:rPr>
      </w:pPr>
    </w:p>
    <w:p w14:paraId="284E79E3">
      <w:pPr>
        <w:snapToGrid w:val="0"/>
        <w:spacing w:line="400" w:lineRule="exact"/>
        <w:ind w:firstLine="540" w:firstLineChars="192"/>
        <w:contextualSpacing/>
        <w:rPr>
          <w:rFonts w:hint="eastAsia" w:ascii="宋体" w:hAnsi="宋体" w:cs="宋体"/>
          <w:b/>
          <w:color w:val="auto"/>
          <w:sz w:val="28"/>
          <w:szCs w:val="28"/>
        </w:rPr>
      </w:pPr>
    </w:p>
    <w:p w14:paraId="38077A9E">
      <w:pPr>
        <w:snapToGrid w:val="0"/>
        <w:spacing w:line="360" w:lineRule="auto"/>
        <w:ind w:right="79"/>
        <w:jc w:val="right"/>
        <w:textAlignment w:val="baseline"/>
        <w:rPr>
          <w:rFonts w:hint="eastAsia" w:ascii="宋体" w:hAnsi="宋体" w:cs="宋体"/>
          <w:color w:val="auto"/>
          <w:kern w:val="2"/>
          <w:sz w:val="24"/>
          <w:szCs w:val="24"/>
        </w:rPr>
      </w:pPr>
      <w:r>
        <w:rPr>
          <w:rFonts w:hint="eastAsia" w:ascii="宋体" w:hAnsi="宋体" w:cs="宋体"/>
          <w:color w:val="auto"/>
          <w:kern w:val="2"/>
          <w:sz w:val="24"/>
          <w:szCs w:val="24"/>
        </w:rPr>
        <w:t>响应供应商：（</w:t>
      </w:r>
      <w:r>
        <w:rPr>
          <w:rFonts w:hint="eastAsia" w:ascii="宋体" w:hAnsi="宋体" w:cs="宋体"/>
          <w:color w:val="auto"/>
          <w:kern w:val="2"/>
          <w:sz w:val="24"/>
          <w:szCs w:val="24"/>
          <w:lang w:val="en-US" w:eastAsia="zh-CN"/>
        </w:rPr>
        <w:t>公章</w:t>
      </w:r>
      <w:r>
        <w:rPr>
          <w:rFonts w:hint="eastAsia" w:ascii="宋体" w:hAnsi="宋体" w:cs="宋体"/>
          <w:color w:val="auto"/>
          <w:kern w:val="2"/>
          <w:sz w:val="24"/>
          <w:szCs w:val="24"/>
        </w:rPr>
        <w:t>）</w:t>
      </w:r>
    </w:p>
    <w:p w14:paraId="36D0692B">
      <w:pPr>
        <w:tabs>
          <w:tab w:val="left" w:pos="5665"/>
          <w:tab w:val="right" w:pos="8360"/>
        </w:tabs>
        <w:snapToGrid w:val="0"/>
        <w:spacing w:line="360" w:lineRule="auto"/>
        <w:ind w:right="42"/>
        <w:jc w:val="right"/>
        <w:textAlignment w:val="baseline"/>
        <w:rPr>
          <w:rFonts w:hint="eastAsia" w:ascii="宋体" w:hAnsi="宋体" w:cs="宋体"/>
          <w:color w:val="auto"/>
          <w:kern w:val="2"/>
          <w:sz w:val="24"/>
          <w:szCs w:val="28"/>
          <w:u w:val="single"/>
        </w:rPr>
      </w:pPr>
      <w:r>
        <w:rPr>
          <w:rFonts w:hint="eastAsia" w:ascii="宋体" w:hAnsi="宋体" w:cs="宋体"/>
          <w:color w:val="auto"/>
          <w:kern w:val="2"/>
          <w:sz w:val="24"/>
          <w:szCs w:val="28"/>
        </w:rPr>
        <w:t>法定代表人或</w:t>
      </w:r>
      <w:r>
        <w:rPr>
          <w:rFonts w:hint="eastAsia" w:ascii="宋体" w:hAnsi="宋体" w:cs="仿宋_GB2312"/>
          <w:color w:val="auto"/>
          <w:kern w:val="2"/>
          <w:sz w:val="24"/>
          <w:szCs w:val="28"/>
        </w:rPr>
        <w:t>授权</w:t>
      </w:r>
      <w:r>
        <w:rPr>
          <w:rFonts w:hint="eastAsia" w:ascii="宋体" w:hAnsi="宋体" w:cs="仿宋_GB2312"/>
          <w:color w:val="auto"/>
          <w:kern w:val="2"/>
          <w:sz w:val="24"/>
          <w:szCs w:val="28"/>
          <w:lang w:val="en-US" w:eastAsia="zh-CN"/>
        </w:rPr>
        <w:t>委托</w:t>
      </w:r>
      <w:r>
        <w:rPr>
          <w:rFonts w:hint="eastAsia" w:ascii="宋体" w:hAnsi="宋体" w:cs="仿宋_GB2312"/>
          <w:color w:val="auto"/>
          <w:kern w:val="2"/>
          <w:sz w:val="24"/>
          <w:szCs w:val="28"/>
        </w:rPr>
        <w:t>人（签字或盖章）</w:t>
      </w:r>
      <w:r>
        <w:rPr>
          <w:rFonts w:hint="eastAsia" w:ascii="宋体" w:hAnsi="宋体" w:cs="宋体"/>
          <w:color w:val="auto"/>
          <w:kern w:val="2"/>
          <w:sz w:val="24"/>
          <w:szCs w:val="28"/>
        </w:rPr>
        <w:t>：</w:t>
      </w:r>
    </w:p>
    <w:p w14:paraId="434B01CD">
      <w:pPr>
        <w:snapToGrid w:val="0"/>
        <w:spacing w:line="520" w:lineRule="exact"/>
        <w:jc w:val="right"/>
        <w:rPr>
          <w:rFonts w:ascii="宋体" w:hAnsi="Times New Roman"/>
          <w:color w:val="auto"/>
          <w:kern w:val="2"/>
          <w:sz w:val="24"/>
          <w:szCs w:val="24"/>
        </w:rPr>
      </w:pPr>
      <w:r>
        <w:rPr>
          <w:rFonts w:hint="eastAsia" w:ascii="宋体" w:hAnsi="宋体" w:cs="宋体"/>
          <w:color w:val="auto"/>
          <w:kern w:val="2"/>
          <w:sz w:val="24"/>
          <w:szCs w:val="24"/>
        </w:rPr>
        <w:t xml:space="preserve">    日期：  年  月  日</w:t>
      </w:r>
    </w:p>
    <w:p w14:paraId="7B3DAAE8">
      <w:pPr>
        <w:keepNext w:val="0"/>
        <w:keepLines w:val="0"/>
        <w:pageBreakBefore w:val="0"/>
        <w:overflowPunct/>
        <w:autoSpaceDE w:val="0"/>
        <w:autoSpaceDN w:val="0"/>
        <w:bidi w:val="0"/>
        <w:adjustRightInd w:val="0"/>
        <w:snapToGrid w:val="0"/>
        <w:spacing w:line="360" w:lineRule="auto"/>
        <w:ind w:left="0" w:leftChars="0" w:firstLine="482" w:firstLineChars="200"/>
        <w:contextualSpacing/>
        <w:jc w:val="both"/>
        <w:rPr>
          <w:rFonts w:ascii="宋体" w:hAnsi="宋体" w:cs="宋体"/>
          <w:color w:val="auto"/>
          <w:kern w:val="0"/>
          <w:sz w:val="24"/>
          <w:szCs w:val="24"/>
        </w:rPr>
      </w:pPr>
      <w:r>
        <w:rPr>
          <w:rFonts w:hint="eastAsia" w:ascii="宋体" w:hAnsi="宋体" w:cs="宋体"/>
          <w:b/>
          <w:color w:val="auto"/>
          <w:kern w:val="0"/>
          <w:sz w:val="24"/>
          <w:szCs w:val="24"/>
        </w:rPr>
        <w:br w:type="page"/>
      </w:r>
    </w:p>
    <w:bookmarkEnd w:id="39"/>
    <w:p w14:paraId="32D450EA">
      <w:pPr>
        <w:pStyle w:val="32"/>
        <w:keepNext w:val="0"/>
        <w:keepLines w:val="0"/>
        <w:pageBreakBefore w:val="0"/>
        <w:overflowPunct/>
        <w:bidi w:val="0"/>
        <w:snapToGrid w:val="0"/>
        <w:spacing w:line="360" w:lineRule="auto"/>
        <w:ind w:left="0" w:leftChars="0" w:firstLine="643" w:firstLineChars="200"/>
        <w:jc w:val="center"/>
        <w:rPr>
          <w:rFonts w:hint="eastAsia" w:ascii="宋体" w:hAnsi="宋体" w:eastAsia="宋体" w:cs="Times New Roman"/>
          <w:b/>
          <w:color w:val="auto"/>
          <w:kern w:val="2"/>
          <w:sz w:val="32"/>
          <w:szCs w:val="32"/>
          <w:lang w:val="en-US" w:eastAsia="zh-CN" w:bidi="ar-SA"/>
        </w:rPr>
      </w:pPr>
      <w:r>
        <w:rPr>
          <w:rFonts w:hint="eastAsia" w:ascii="宋体" w:hAnsi="宋体" w:eastAsia="宋体" w:cs="Times New Roman"/>
          <w:b/>
          <w:color w:val="auto"/>
          <w:kern w:val="2"/>
          <w:sz w:val="32"/>
          <w:szCs w:val="32"/>
          <w:lang w:val="en-US" w:eastAsia="zh-CN" w:bidi="ar-SA"/>
        </w:rPr>
        <w:t>报价总表</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7158"/>
      </w:tblGrid>
      <w:tr w14:paraId="2EF5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1630F8D4">
            <w:pPr>
              <w:keepNext w:val="0"/>
              <w:keepLines w:val="0"/>
              <w:pageBreakBefore w:val="0"/>
              <w:widowControl w:val="0"/>
              <w:kinsoku w:val="0"/>
              <w:wordWrap/>
              <w:overflowPunct/>
              <w:topLinePunct/>
              <w:autoSpaceDE/>
              <w:autoSpaceDN/>
              <w:bidi w:val="0"/>
              <w:adjustRightInd/>
              <w:snapToGrid w:val="0"/>
              <w:spacing w:line="240" w:lineRule="auto"/>
              <w:ind w:left="0" w:leftChars="0" w:firstLine="0" w:firstLineChars="0"/>
              <w:jc w:val="both"/>
              <w:textAlignment w:val="auto"/>
              <w:rPr>
                <w:color w:val="auto"/>
                <w:sz w:val="24"/>
                <w:szCs w:val="24"/>
              </w:rPr>
            </w:pPr>
            <w:r>
              <w:rPr>
                <w:rFonts w:hAnsi="宋体"/>
                <w:color w:val="auto"/>
                <w:sz w:val="24"/>
                <w:szCs w:val="24"/>
              </w:rPr>
              <w:t>项目名称</w:t>
            </w:r>
          </w:p>
        </w:tc>
        <w:tc>
          <w:tcPr>
            <w:tcW w:w="4197" w:type="pct"/>
            <w:tcBorders>
              <w:top w:val="single" w:color="auto" w:sz="4" w:space="0"/>
              <w:left w:val="single" w:color="auto" w:sz="4" w:space="0"/>
              <w:bottom w:val="single" w:color="auto" w:sz="4" w:space="0"/>
              <w:right w:val="single" w:color="auto" w:sz="4" w:space="0"/>
            </w:tcBorders>
            <w:vAlign w:val="center"/>
          </w:tcPr>
          <w:p w14:paraId="6FC68BFE">
            <w:pPr>
              <w:keepNext w:val="0"/>
              <w:keepLines w:val="0"/>
              <w:pageBreakBefore w:val="0"/>
              <w:widowControl w:val="0"/>
              <w:kinsoku w:val="0"/>
              <w:wordWrap/>
              <w:overflowPunct/>
              <w:topLinePunct/>
              <w:autoSpaceDE/>
              <w:autoSpaceDN/>
              <w:bidi w:val="0"/>
              <w:adjustRightInd/>
              <w:snapToGrid w:val="0"/>
              <w:spacing w:line="240" w:lineRule="auto"/>
              <w:ind w:left="0" w:leftChars="0" w:firstLine="0" w:firstLineChars="0"/>
              <w:jc w:val="center"/>
              <w:textAlignment w:val="auto"/>
              <w:rPr>
                <w:color w:val="auto"/>
                <w:sz w:val="24"/>
                <w:szCs w:val="24"/>
              </w:rPr>
            </w:pPr>
            <w:r>
              <w:rPr>
                <w:rFonts w:hint="eastAsia" w:hAnsi="宋体"/>
                <w:color w:val="auto"/>
                <w:sz w:val="24"/>
                <w:szCs w:val="24"/>
              </w:rPr>
              <w:t>江苏省南通第一中学钱学森科创中心装修设计服务采购项目</w:t>
            </w:r>
          </w:p>
        </w:tc>
      </w:tr>
      <w:tr w14:paraId="259D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42E3B4C9">
            <w:pPr>
              <w:keepNext w:val="0"/>
              <w:keepLines w:val="0"/>
              <w:pageBreakBefore w:val="0"/>
              <w:widowControl w:val="0"/>
              <w:kinsoku w:val="0"/>
              <w:wordWrap/>
              <w:overflowPunct/>
              <w:topLinePunct/>
              <w:autoSpaceDE/>
              <w:autoSpaceDN/>
              <w:bidi w:val="0"/>
              <w:adjustRightInd/>
              <w:snapToGrid w:val="0"/>
              <w:spacing w:line="240" w:lineRule="auto"/>
              <w:ind w:left="0" w:leftChars="0" w:firstLine="0" w:firstLineChars="0"/>
              <w:jc w:val="both"/>
              <w:textAlignment w:val="auto"/>
              <w:rPr>
                <w:rFonts w:hint="default" w:hAnsi="宋体" w:eastAsia="宋体"/>
                <w:color w:val="auto"/>
                <w:sz w:val="24"/>
                <w:szCs w:val="24"/>
                <w:lang w:val="en-US" w:eastAsia="zh-CN"/>
              </w:rPr>
            </w:pPr>
            <w:r>
              <w:rPr>
                <w:rFonts w:hint="eastAsia" w:hAnsi="宋体"/>
                <w:color w:val="auto"/>
                <w:sz w:val="24"/>
                <w:szCs w:val="24"/>
                <w:lang w:val="en-US" w:eastAsia="zh-CN"/>
              </w:rPr>
              <w:t>项目编号</w:t>
            </w:r>
          </w:p>
        </w:tc>
        <w:tc>
          <w:tcPr>
            <w:tcW w:w="4197" w:type="pct"/>
            <w:tcBorders>
              <w:top w:val="single" w:color="auto" w:sz="4" w:space="0"/>
              <w:left w:val="single" w:color="auto" w:sz="4" w:space="0"/>
              <w:bottom w:val="single" w:color="auto" w:sz="4" w:space="0"/>
              <w:right w:val="single" w:color="auto" w:sz="4" w:space="0"/>
            </w:tcBorders>
            <w:vAlign w:val="center"/>
          </w:tcPr>
          <w:p w14:paraId="5D18E9F3">
            <w:pPr>
              <w:keepNext w:val="0"/>
              <w:keepLines w:val="0"/>
              <w:pageBreakBefore w:val="0"/>
              <w:widowControl w:val="0"/>
              <w:kinsoku w:val="0"/>
              <w:wordWrap/>
              <w:overflowPunct/>
              <w:topLinePunct/>
              <w:autoSpaceDE/>
              <w:autoSpaceDN/>
              <w:bidi w:val="0"/>
              <w:adjustRightInd/>
              <w:snapToGrid w:val="0"/>
              <w:spacing w:line="240" w:lineRule="auto"/>
              <w:ind w:left="0" w:leftChars="0" w:firstLine="0" w:firstLineChars="0"/>
              <w:jc w:val="center"/>
              <w:textAlignment w:val="auto"/>
              <w:rPr>
                <w:rFonts w:hint="default" w:hAnsi="宋体" w:eastAsia="宋体"/>
                <w:color w:val="auto"/>
                <w:sz w:val="24"/>
                <w:szCs w:val="24"/>
                <w:lang w:val="en-US" w:eastAsia="zh-CN"/>
              </w:rPr>
            </w:pPr>
          </w:p>
        </w:tc>
      </w:tr>
      <w:tr w14:paraId="31F0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1CEA3484">
            <w:pPr>
              <w:keepNext w:val="0"/>
              <w:keepLines w:val="0"/>
              <w:pageBreakBefore w:val="0"/>
              <w:widowControl w:val="0"/>
              <w:kinsoku w:val="0"/>
              <w:wordWrap/>
              <w:overflowPunct/>
              <w:topLinePunct/>
              <w:autoSpaceDE/>
              <w:autoSpaceDN/>
              <w:bidi w:val="0"/>
              <w:adjustRightInd/>
              <w:snapToGrid w:val="0"/>
              <w:spacing w:line="240" w:lineRule="auto"/>
              <w:ind w:left="0" w:leftChars="0" w:firstLine="0" w:firstLineChars="0"/>
              <w:jc w:val="both"/>
              <w:textAlignment w:val="auto"/>
              <w:rPr>
                <w:color w:val="auto"/>
                <w:sz w:val="24"/>
                <w:szCs w:val="24"/>
              </w:rPr>
            </w:pPr>
            <w:r>
              <w:rPr>
                <w:rFonts w:hint="eastAsia" w:hAnsi="宋体"/>
                <w:color w:val="auto"/>
                <w:sz w:val="24"/>
                <w:szCs w:val="24"/>
              </w:rPr>
              <w:t>响应</w:t>
            </w:r>
            <w:r>
              <w:rPr>
                <w:rFonts w:hAnsi="宋体"/>
                <w:color w:val="auto"/>
                <w:sz w:val="24"/>
                <w:szCs w:val="24"/>
              </w:rPr>
              <w:t>报价</w:t>
            </w:r>
          </w:p>
        </w:tc>
        <w:tc>
          <w:tcPr>
            <w:tcW w:w="4197" w:type="pct"/>
            <w:tcBorders>
              <w:top w:val="single" w:color="auto" w:sz="4" w:space="0"/>
              <w:left w:val="single" w:color="auto" w:sz="4" w:space="0"/>
              <w:bottom w:val="single" w:color="auto" w:sz="4" w:space="0"/>
              <w:right w:val="single" w:color="auto" w:sz="4" w:space="0"/>
            </w:tcBorders>
            <w:vAlign w:val="center"/>
          </w:tcPr>
          <w:p w14:paraId="6C15B37E">
            <w:pPr>
              <w:snapToGrid w:val="0"/>
              <w:spacing w:line="460" w:lineRule="exact"/>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工程标底价的</w:t>
            </w:r>
            <w:r>
              <w:rPr>
                <w:rFonts w:hint="eastAsia" w:ascii="宋体" w:hAnsi="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（小写）</w:t>
            </w:r>
          </w:p>
        </w:tc>
      </w:tr>
      <w:tr w14:paraId="358C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581FB3AF">
            <w:pPr>
              <w:snapToGrid w:val="0"/>
              <w:spacing w:line="480" w:lineRule="exact"/>
              <w:jc w:val="center"/>
              <w:textAlignment w:val="baseline"/>
              <w:rPr>
                <w:rFonts w:hint="eastAsia" w:hAnsi="宋体"/>
                <w:color w:val="auto"/>
                <w:sz w:val="24"/>
                <w:szCs w:val="24"/>
              </w:rPr>
            </w:pPr>
            <w:r>
              <w:rPr>
                <w:rFonts w:hint="eastAsia" w:ascii="宋体" w:hAnsi="宋体" w:cs="宋体"/>
                <w:color w:val="auto"/>
                <w:kern w:val="2"/>
                <w:sz w:val="24"/>
                <w:szCs w:val="24"/>
              </w:rPr>
              <w:t>付款条件</w:t>
            </w:r>
          </w:p>
        </w:tc>
        <w:tc>
          <w:tcPr>
            <w:tcW w:w="7158" w:type="dxa"/>
            <w:tcBorders>
              <w:top w:val="single" w:color="auto" w:sz="4" w:space="0"/>
              <w:left w:val="single" w:color="auto" w:sz="4" w:space="0"/>
              <w:bottom w:val="single" w:color="auto" w:sz="4" w:space="0"/>
              <w:right w:val="single" w:color="auto" w:sz="4" w:space="0"/>
            </w:tcBorders>
            <w:vAlign w:val="center"/>
          </w:tcPr>
          <w:p w14:paraId="5322346F">
            <w:pPr>
              <w:snapToGrid w:val="0"/>
              <w:spacing w:line="480" w:lineRule="exact"/>
              <w:jc w:val="center"/>
              <w:textAlignment w:val="baseline"/>
              <w:rPr>
                <w:rFonts w:hint="eastAsia" w:ascii="宋体" w:hAnsi="宋体" w:eastAsia="宋体" w:cs="宋体"/>
                <w:color w:val="auto"/>
                <w:kern w:val="0"/>
                <w:sz w:val="24"/>
                <w:szCs w:val="24"/>
                <w:lang w:val="en-US" w:eastAsia="zh-CN" w:bidi="ar"/>
              </w:rPr>
            </w:pPr>
            <w:r>
              <w:rPr>
                <w:rFonts w:hint="eastAsia" w:ascii="宋体" w:hAnsi="宋体" w:cs="宋体"/>
                <w:color w:val="auto"/>
                <w:kern w:val="2"/>
                <w:sz w:val="24"/>
                <w:szCs w:val="24"/>
              </w:rPr>
              <w:t>完全接受并响应本项目</w:t>
            </w:r>
            <w:r>
              <w:rPr>
                <w:rFonts w:hint="eastAsia" w:ascii="宋体" w:hAnsi="宋体" w:cs="宋体"/>
                <w:color w:val="auto"/>
                <w:kern w:val="2"/>
                <w:sz w:val="24"/>
                <w:szCs w:val="24"/>
                <w:lang w:val="en-US" w:eastAsia="zh-CN"/>
              </w:rPr>
              <w:t>比选</w:t>
            </w:r>
            <w:r>
              <w:rPr>
                <w:rFonts w:hint="eastAsia" w:ascii="宋体" w:hAnsi="宋体" w:cs="宋体"/>
                <w:color w:val="auto"/>
                <w:kern w:val="2"/>
                <w:sz w:val="24"/>
                <w:szCs w:val="24"/>
              </w:rPr>
              <w:t>文件的要求。</w:t>
            </w:r>
          </w:p>
        </w:tc>
      </w:tr>
    </w:tbl>
    <w:p w14:paraId="42B51B6C">
      <w:pPr>
        <w:keepNext w:val="0"/>
        <w:keepLines w:val="0"/>
        <w:pageBreakBefore w:val="0"/>
        <w:overflowPunct/>
        <w:bidi w:val="0"/>
        <w:spacing w:line="360" w:lineRule="auto"/>
        <w:ind w:left="0" w:leftChars="0" w:firstLine="480" w:firstLineChars="200"/>
        <w:jc w:val="both"/>
        <w:rPr>
          <w:rFonts w:ascii="宋体" w:hAnsi="宋体"/>
          <w:color w:val="auto"/>
          <w:sz w:val="24"/>
        </w:rPr>
      </w:pPr>
    </w:p>
    <w:p w14:paraId="66A98969">
      <w:pPr>
        <w:keepNext w:val="0"/>
        <w:keepLines w:val="0"/>
        <w:pageBreakBefore w:val="0"/>
        <w:overflowPunct/>
        <w:bidi w:val="0"/>
        <w:spacing w:line="360" w:lineRule="auto"/>
        <w:ind w:left="0" w:leftChars="0" w:firstLine="480" w:firstLineChars="200"/>
        <w:jc w:val="both"/>
        <w:rPr>
          <w:rFonts w:ascii="宋体" w:hAnsi="宋体"/>
          <w:color w:val="auto"/>
          <w:sz w:val="24"/>
        </w:rPr>
      </w:pPr>
      <w:r>
        <w:rPr>
          <w:rFonts w:hint="eastAsia" w:ascii="宋体" w:hAnsi="宋体"/>
          <w:color w:val="auto"/>
          <w:sz w:val="24"/>
        </w:rPr>
        <w:t>响应</w:t>
      </w:r>
      <w:r>
        <w:rPr>
          <w:rFonts w:ascii="宋体" w:hAnsi="宋体"/>
          <w:color w:val="auto"/>
          <w:sz w:val="24"/>
        </w:rPr>
        <w:t xml:space="preserve">供应商：（盖章）             </w:t>
      </w:r>
    </w:p>
    <w:p w14:paraId="110967F4">
      <w:pPr>
        <w:keepNext w:val="0"/>
        <w:keepLines w:val="0"/>
        <w:pageBreakBefore w:val="0"/>
        <w:overflowPunct/>
        <w:bidi w:val="0"/>
        <w:spacing w:line="360" w:lineRule="auto"/>
        <w:ind w:left="0" w:leftChars="0" w:firstLine="480" w:firstLineChars="200"/>
        <w:jc w:val="both"/>
        <w:rPr>
          <w:rFonts w:ascii="宋体" w:hAnsi="宋体"/>
          <w:color w:val="auto"/>
          <w:sz w:val="24"/>
        </w:rPr>
      </w:pPr>
      <w:r>
        <w:rPr>
          <w:rFonts w:ascii="宋体" w:hAnsi="宋体"/>
          <w:color w:val="auto"/>
          <w:sz w:val="24"/>
        </w:rPr>
        <w:t>法定代表人或被授权人（签字或盖章）：</w:t>
      </w:r>
    </w:p>
    <w:p w14:paraId="30E5A7D9">
      <w:pPr>
        <w:keepNext w:val="0"/>
        <w:keepLines w:val="0"/>
        <w:pageBreakBefore w:val="0"/>
        <w:overflowPunct/>
        <w:bidi w:val="0"/>
        <w:spacing w:line="360" w:lineRule="auto"/>
        <w:ind w:left="0" w:leftChars="0" w:firstLine="480" w:firstLineChars="200"/>
        <w:jc w:val="both"/>
        <w:rPr>
          <w:rFonts w:ascii="宋体" w:hAnsi="宋体"/>
          <w:color w:val="auto"/>
          <w:sz w:val="24"/>
        </w:rPr>
      </w:pPr>
      <w:r>
        <w:rPr>
          <w:rFonts w:ascii="宋体" w:hAnsi="宋体"/>
          <w:color w:val="auto"/>
          <w:sz w:val="24"/>
        </w:rPr>
        <w:t>日期：</w:t>
      </w:r>
    </w:p>
    <w:p w14:paraId="7565101D">
      <w:pPr>
        <w:keepNext w:val="0"/>
        <w:keepLines w:val="0"/>
        <w:pageBreakBefore w:val="0"/>
        <w:overflowPunct/>
        <w:bidi w:val="0"/>
        <w:spacing w:line="360" w:lineRule="auto"/>
        <w:ind w:left="0" w:leftChars="0" w:firstLine="482" w:firstLineChars="200"/>
        <w:jc w:val="both"/>
        <w:rPr>
          <w:rFonts w:ascii="宋体" w:hAnsi="宋体"/>
          <w:b/>
          <w:bCs/>
          <w:color w:val="auto"/>
          <w:sz w:val="24"/>
        </w:rPr>
      </w:pPr>
    </w:p>
    <w:p w14:paraId="41281209">
      <w:pPr>
        <w:keepNext w:val="0"/>
        <w:keepLines w:val="0"/>
        <w:pageBreakBefore w:val="0"/>
        <w:overflowPunct/>
        <w:bidi w:val="0"/>
        <w:spacing w:line="360" w:lineRule="auto"/>
        <w:ind w:left="0" w:leftChars="0" w:firstLine="482" w:firstLineChars="200"/>
        <w:jc w:val="both"/>
        <w:rPr>
          <w:rFonts w:ascii="宋体" w:hAnsi="宋体"/>
          <w:bCs/>
          <w:color w:val="auto"/>
          <w:sz w:val="24"/>
        </w:rPr>
      </w:pPr>
      <w:r>
        <w:rPr>
          <w:rFonts w:ascii="宋体" w:hAnsi="宋体"/>
          <w:b/>
          <w:bCs/>
          <w:color w:val="auto"/>
          <w:sz w:val="24"/>
        </w:rPr>
        <w:t>注：</w:t>
      </w:r>
    </w:p>
    <w:p w14:paraId="353DD56B">
      <w:pPr>
        <w:keepNext w:val="0"/>
        <w:keepLines w:val="0"/>
        <w:pageBreakBefore w:val="0"/>
        <w:overflowPunct/>
        <w:bidi w:val="0"/>
        <w:spacing w:line="360" w:lineRule="auto"/>
        <w:ind w:left="0" w:leftChars="0" w:firstLine="480" w:firstLineChars="200"/>
        <w:jc w:val="both"/>
        <w:rPr>
          <w:rFonts w:ascii="宋体" w:hAnsi="宋体"/>
          <w:color w:val="auto"/>
          <w:sz w:val="24"/>
        </w:rPr>
      </w:pPr>
      <w:r>
        <w:rPr>
          <w:rFonts w:ascii="宋体" w:hAnsi="宋体"/>
          <w:color w:val="auto"/>
          <w:sz w:val="24"/>
        </w:rPr>
        <w:t>（1）</w:t>
      </w:r>
      <w:r>
        <w:rPr>
          <w:rFonts w:hint="eastAsia" w:ascii="宋体" w:hAnsi="宋体"/>
          <w:color w:val="auto"/>
          <w:sz w:val="24"/>
        </w:rPr>
        <w:t>本表为格式表，不得自行改动，必须提供。</w:t>
      </w:r>
    </w:p>
    <w:p w14:paraId="7529CB3C">
      <w:pPr>
        <w:keepNext w:val="0"/>
        <w:keepLines w:val="0"/>
        <w:pageBreakBefore w:val="0"/>
        <w:overflowPunct/>
        <w:bidi w:val="0"/>
        <w:spacing w:line="360" w:lineRule="auto"/>
        <w:ind w:left="0" w:leftChars="0" w:firstLine="480" w:firstLineChars="200"/>
        <w:jc w:val="both"/>
        <w:rPr>
          <w:rFonts w:hint="eastAsia" w:ascii="宋体" w:hAnsi="宋体"/>
          <w:color w:val="auto"/>
          <w:sz w:val="24"/>
          <w:lang w:val="en-US"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lang w:val="en-US" w:eastAsia="zh-CN"/>
        </w:rPr>
        <w:t>响应报价金额最多保留两位小数。</w:t>
      </w:r>
    </w:p>
    <w:p w14:paraId="043DC1DB">
      <w:pPr>
        <w:keepNext w:val="0"/>
        <w:keepLines w:val="0"/>
        <w:pageBreakBefore w:val="0"/>
        <w:overflowPunct/>
        <w:bidi w:val="0"/>
        <w:spacing w:line="360" w:lineRule="auto"/>
        <w:ind w:left="0" w:leftChars="0" w:firstLine="420" w:firstLineChars="200"/>
        <w:jc w:val="both"/>
        <w:rPr>
          <w:color w:val="auto"/>
          <w:highlight w:val="none"/>
        </w:rPr>
      </w:pPr>
    </w:p>
    <w:sectPr>
      <w:footerReference r:id="rId6" w:type="first"/>
      <w:headerReference r:id="rId4" w:type="default"/>
      <w:footerReference r:id="rId5" w:type="default"/>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panose1 w:val="02020400000000000000"/>
    <w:charset w:val="86"/>
    <w:family w:val="roman"/>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A000">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2DEC">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F73206">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A0iRrsMgIAAGMEAAAOAAAAAAAAAAEAIAAAACEBAABkcnMvZTJvRG9jLnhtbFBL&#10;BQYAAAAABgAGAFkBAADFBQAAAAA=&#10;">
              <v:fill on="f" focussize="0,0"/>
              <v:stroke on="f" weight="0.5pt"/>
              <v:imagedata o:title=""/>
              <o:lock v:ext="edit" aspectratio="f"/>
              <v:textbox inset="0mm,0mm,0mm,0mm" style="mso-fit-shape-to-text:t;">
                <w:txbxContent>
                  <w:p w14:paraId="17F73206">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E7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2D4C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Br5OO8MgIAAGMEAAAOAAAAAAAAAAEAIAAAACEBAABkcnMvZTJvRG9jLnhtbFBL&#10;BQYAAAAABgAGAFkBAADFBQAAAAA=&#10;">
              <v:fill on="f" focussize="0,0"/>
              <v:stroke on="f" weight="0.5pt"/>
              <v:imagedata o:title=""/>
              <o:lock v:ext="edit" aspectratio="f"/>
              <v:textbox inset="0mm,0mm,0mm,0mm" style="mso-fit-shape-to-text:t;">
                <w:txbxContent>
                  <w:p w14:paraId="6BC2D4C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D8F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BD48D"/>
    <w:multiLevelType w:val="singleLevel"/>
    <w:tmpl w:val="0B8BD48D"/>
    <w:lvl w:ilvl="0" w:tentative="0">
      <w:start w:val="2"/>
      <w:numFmt w:val="chineseCounting"/>
      <w:suff w:val="nothing"/>
      <w:lvlText w:val="%1、"/>
      <w:lvlJc w:val="left"/>
      <w:rPr>
        <w:rFonts w:hint="eastAsia"/>
      </w:rPr>
    </w:lvl>
  </w:abstractNum>
  <w:abstractNum w:abstractNumId="1">
    <w:nsid w:val="278140A4"/>
    <w:multiLevelType w:val="multilevel"/>
    <w:tmpl w:val="278140A4"/>
    <w:lvl w:ilvl="0" w:tentative="0">
      <w:start w:val="1"/>
      <w:numFmt w:val="chineseCountingThousand"/>
      <w:pStyle w:val="4"/>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2EE40667"/>
    <w:multiLevelType w:val="singleLevel"/>
    <w:tmpl w:val="2EE40667"/>
    <w:lvl w:ilvl="0" w:tentative="0">
      <w:start w:val="9"/>
      <w:numFmt w:val="chineseCounting"/>
      <w:suff w:val="nothing"/>
      <w:lvlText w:val="%1、"/>
      <w:lvlJc w:val="left"/>
      <w:rPr>
        <w:rFonts w:hint="eastAsia"/>
      </w:rPr>
    </w:lvl>
  </w:abstractNum>
  <w:abstractNum w:abstractNumId="3">
    <w:nsid w:val="68664077"/>
    <w:multiLevelType w:val="singleLevel"/>
    <w:tmpl w:val="68664077"/>
    <w:lvl w:ilvl="0" w:tentative="0">
      <w:start w:val="1"/>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RkNGZkZjQyZjA0MjFjMmQwZjBkNjgxYTFiZmEifQ=="/>
  </w:docVars>
  <w:rsids>
    <w:rsidRoot w:val="ADEF3320"/>
    <w:rsid w:val="00033A70"/>
    <w:rsid w:val="000432F6"/>
    <w:rsid w:val="00047B12"/>
    <w:rsid w:val="00073D9F"/>
    <w:rsid w:val="0008198D"/>
    <w:rsid w:val="000B41E9"/>
    <w:rsid w:val="000B45A1"/>
    <w:rsid w:val="000B7159"/>
    <w:rsid w:val="001A30CF"/>
    <w:rsid w:val="001B5E38"/>
    <w:rsid w:val="001C6808"/>
    <w:rsid w:val="001D6B76"/>
    <w:rsid w:val="002135E6"/>
    <w:rsid w:val="00223AC0"/>
    <w:rsid w:val="00223FC1"/>
    <w:rsid w:val="00257951"/>
    <w:rsid w:val="0028047D"/>
    <w:rsid w:val="002838E6"/>
    <w:rsid w:val="00292A7D"/>
    <w:rsid w:val="002978CE"/>
    <w:rsid w:val="002B3C69"/>
    <w:rsid w:val="002F446B"/>
    <w:rsid w:val="00316EC7"/>
    <w:rsid w:val="00333E81"/>
    <w:rsid w:val="0034284C"/>
    <w:rsid w:val="00344E53"/>
    <w:rsid w:val="0037053B"/>
    <w:rsid w:val="00375622"/>
    <w:rsid w:val="00386176"/>
    <w:rsid w:val="0039478D"/>
    <w:rsid w:val="004022C2"/>
    <w:rsid w:val="00427BA5"/>
    <w:rsid w:val="00461AE8"/>
    <w:rsid w:val="00472D8B"/>
    <w:rsid w:val="004A0749"/>
    <w:rsid w:val="00535167"/>
    <w:rsid w:val="005540AD"/>
    <w:rsid w:val="0057759B"/>
    <w:rsid w:val="005A35FE"/>
    <w:rsid w:val="005A453B"/>
    <w:rsid w:val="005B494D"/>
    <w:rsid w:val="005D4A3F"/>
    <w:rsid w:val="00650DEC"/>
    <w:rsid w:val="00665DF7"/>
    <w:rsid w:val="006A12BB"/>
    <w:rsid w:val="006A236A"/>
    <w:rsid w:val="006C48CD"/>
    <w:rsid w:val="00700905"/>
    <w:rsid w:val="00704A45"/>
    <w:rsid w:val="00712F26"/>
    <w:rsid w:val="00717A3B"/>
    <w:rsid w:val="0073131E"/>
    <w:rsid w:val="007801EF"/>
    <w:rsid w:val="007A0B66"/>
    <w:rsid w:val="007C2350"/>
    <w:rsid w:val="007D6DBC"/>
    <w:rsid w:val="007E15E3"/>
    <w:rsid w:val="00801F2C"/>
    <w:rsid w:val="00830C81"/>
    <w:rsid w:val="00891833"/>
    <w:rsid w:val="008A7839"/>
    <w:rsid w:val="008B0E0E"/>
    <w:rsid w:val="008B18E8"/>
    <w:rsid w:val="008C4A07"/>
    <w:rsid w:val="008C7432"/>
    <w:rsid w:val="008E5D4B"/>
    <w:rsid w:val="008F2CD8"/>
    <w:rsid w:val="00903506"/>
    <w:rsid w:val="00952352"/>
    <w:rsid w:val="009702B5"/>
    <w:rsid w:val="00972AEE"/>
    <w:rsid w:val="00992FF1"/>
    <w:rsid w:val="009C4E67"/>
    <w:rsid w:val="00A3685E"/>
    <w:rsid w:val="00A44928"/>
    <w:rsid w:val="00A50C93"/>
    <w:rsid w:val="00AD32E6"/>
    <w:rsid w:val="00AE2580"/>
    <w:rsid w:val="00B264CD"/>
    <w:rsid w:val="00B416D3"/>
    <w:rsid w:val="00B50FBE"/>
    <w:rsid w:val="00B57F5D"/>
    <w:rsid w:val="00BC5D8B"/>
    <w:rsid w:val="00BE512F"/>
    <w:rsid w:val="00BE67E6"/>
    <w:rsid w:val="00CB0971"/>
    <w:rsid w:val="00CE24E5"/>
    <w:rsid w:val="00CF19BA"/>
    <w:rsid w:val="00D00C9F"/>
    <w:rsid w:val="00D920FF"/>
    <w:rsid w:val="00DF1BB4"/>
    <w:rsid w:val="00E36634"/>
    <w:rsid w:val="00E61EDE"/>
    <w:rsid w:val="00E736B8"/>
    <w:rsid w:val="00EC0C13"/>
    <w:rsid w:val="00F21DFB"/>
    <w:rsid w:val="00F6407C"/>
    <w:rsid w:val="00FE0208"/>
    <w:rsid w:val="00FE15BF"/>
    <w:rsid w:val="011102A5"/>
    <w:rsid w:val="02175C5A"/>
    <w:rsid w:val="02DC3F04"/>
    <w:rsid w:val="03174F3D"/>
    <w:rsid w:val="03A13748"/>
    <w:rsid w:val="04032235"/>
    <w:rsid w:val="068F74D5"/>
    <w:rsid w:val="06936FD0"/>
    <w:rsid w:val="074B1659"/>
    <w:rsid w:val="07F57D96"/>
    <w:rsid w:val="09572537"/>
    <w:rsid w:val="09850549"/>
    <w:rsid w:val="09E73DFE"/>
    <w:rsid w:val="0C901349"/>
    <w:rsid w:val="0C917C78"/>
    <w:rsid w:val="0CE560AB"/>
    <w:rsid w:val="0DA0500B"/>
    <w:rsid w:val="0DCC7613"/>
    <w:rsid w:val="0DFF9CEB"/>
    <w:rsid w:val="0E73655B"/>
    <w:rsid w:val="11DC5FC8"/>
    <w:rsid w:val="16856C77"/>
    <w:rsid w:val="17155B43"/>
    <w:rsid w:val="176A1687"/>
    <w:rsid w:val="17C17400"/>
    <w:rsid w:val="17E407DB"/>
    <w:rsid w:val="19981D6E"/>
    <w:rsid w:val="19D54A32"/>
    <w:rsid w:val="1A004525"/>
    <w:rsid w:val="1A6A6835"/>
    <w:rsid w:val="1AC437A4"/>
    <w:rsid w:val="1B0B24B2"/>
    <w:rsid w:val="1B0B4F2F"/>
    <w:rsid w:val="1B436B54"/>
    <w:rsid w:val="1D1066F5"/>
    <w:rsid w:val="1D271DC8"/>
    <w:rsid w:val="1D5530B1"/>
    <w:rsid w:val="1E024D4F"/>
    <w:rsid w:val="1E154419"/>
    <w:rsid w:val="1E990AA4"/>
    <w:rsid w:val="1F1C3BAF"/>
    <w:rsid w:val="1F3A5DE3"/>
    <w:rsid w:val="1FCAB64F"/>
    <w:rsid w:val="1FDE0FFE"/>
    <w:rsid w:val="206F5F60"/>
    <w:rsid w:val="220628E4"/>
    <w:rsid w:val="231554EA"/>
    <w:rsid w:val="23A81EB5"/>
    <w:rsid w:val="23C57D5C"/>
    <w:rsid w:val="241A61E3"/>
    <w:rsid w:val="26290297"/>
    <w:rsid w:val="2668100C"/>
    <w:rsid w:val="268F2373"/>
    <w:rsid w:val="27D843EB"/>
    <w:rsid w:val="29A46C7B"/>
    <w:rsid w:val="2A7523C5"/>
    <w:rsid w:val="2B6106D8"/>
    <w:rsid w:val="2BBB12E0"/>
    <w:rsid w:val="2BEF6F0D"/>
    <w:rsid w:val="2D623914"/>
    <w:rsid w:val="2DE03BB8"/>
    <w:rsid w:val="2E191452"/>
    <w:rsid w:val="2E1B3283"/>
    <w:rsid w:val="2E697617"/>
    <w:rsid w:val="2EEB70FA"/>
    <w:rsid w:val="306673E9"/>
    <w:rsid w:val="30CB7A59"/>
    <w:rsid w:val="31CC460C"/>
    <w:rsid w:val="31FD7870"/>
    <w:rsid w:val="32056724"/>
    <w:rsid w:val="32371A8B"/>
    <w:rsid w:val="32596095"/>
    <w:rsid w:val="32EA54FC"/>
    <w:rsid w:val="32F8C307"/>
    <w:rsid w:val="339477F7"/>
    <w:rsid w:val="33FD2358"/>
    <w:rsid w:val="340842AA"/>
    <w:rsid w:val="3575771D"/>
    <w:rsid w:val="35EB5C31"/>
    <w:rsid w:val="369E0EF6"/>
    <w:rsid w:val="36B32ACF"/>
    <w:rsid w:val="37DFE570"/>
    <w:rsid w:val="37FF70F9"/>
    <w:rsid w:val="38820727"/>
    <w:rsid w:val="38835197"/>
    <w:rsid w:val="38AD71CE"/>
    <w:rsid w:val="38CD161E"/>
    <w:rsid w:val="391E49EA"/>
    <w:rsid w:val="39531E2A"/>
    <w:rsid w:val="39A276E1"/>
    <w:rsid w:val="39E575EF"/>
    <w:rsid w:val="3A9B1346"/>
    <w:rsid w:val="3B334302"/>
    <w:rsid w:val="3B5D25CD"/>
    <w:rsid w:val="3BAF791C"/>
    <w:rsid w:val="3C2F2BED"/>
    <w:rsid w:val="3D185D83"/>
    <w:rsid w:val="3EA70056"/>
    <w:rsid w:val="3F6835F7"/>
    <w:rsid w:val="3FFFCCCB"/>
    <w:rsid w:val="40085897"/>
    <w:rsid w:val="42976F25"/>
    <w:rsid w:val="43EB7F48"/>
    <w:rsid w:val="46CA462D"/>
    <w:rsid w:val="47372A84"/>
    <w:rsid w:val="474653BD"/>
    <w:rsid w:val="47813469"/>
    <w:rsid w:val="47941A71"/>
    <w:rsid w:val="47D91699"/>
    <w:rsid w:val="486D6DCE"/>
    <w:rsid w:val="487B1097"/>
    <w:rsid w:val="4A641AAE"/>
    <w:rsid w:val="4AD0710B"/>
    <w:rsid w:val="4B26717E"/>
    <w:rsid w:val="4BD9365E"/>
    <w:rsid w:val="4C1A4723"/>
    <w:rsid w:val="4DC031E4"/>
    <w:rsid w:val="4F4C5455"/>
    <w:rsid w:val="53E977FC"/>
    <w:rsid w:val="53F7C880"/>
    <w:rsid w:val="54F55170"/>
    <w:rsid w:val="553219A3"/>
    <w:rsid w:val="55BB6F76"/>
    <w:rsid w:val="55CFE320"/>
    <w:rsid w:val="5682029D"/>
    <w:rsid w:val="56F64328"/>
    <w:rsid w:val="57312724"/>
    <w:rsid w:val="57E030D0"/>
    <w:rsid w:val="5A326E76"/>
    <w:rsid w:val="5A382944"/>
    <w:rsid w:val="5A7B3690"/>
    <w:rsid w:val="5BA7B32D"/>
    <w:rsid w:val="5BD971CC"/>
    <w:rsid w:val="5C02145B"/>
    <w:rsid w:val="5C950492"/>
    <w:rsid w:val="5CCA7690"/>
    <w:rsid w:val="5D35760E"/>
    <w:rsid w:val="5D727373"/>
    <w:rsid w:val="5E070123"/>
    <w:rsid w:val="5E086AD1"/>
    <w:rsid w:val="5E2F405E"/>
    <w:rsid w:val="5E5774EB"/>
    <w:rsid w:val="5E8175E2"/>
    <w:rsid w:val="5E92742B"/>
    <w:rsid w:val="5EEF5B00"/>
    <w:rsid w:val="5F0F421B"/>
    <w:rsid w:val="5F1E79F9"/>
    <w:rsid w:val="5F366678"/>
    <w:rsid w:val="5F7A755A"/>
    <w:rsid w:val="5F7B034F"/>
    <w:rsid w:val="5F7DDC44"/>
    <w:rsid w:val="5FB011CE"/>
    <w:rsid w:val="5FC54B4B"/>
    <w:rsid w:val="63802886"/>
    <w:rsid w:val="64FD94D9"/>
    <w:rsid w:val="65DA0F56"/>
    <w:rsid w:val="661029C7"/>
    <w:rsid w:val="66691D63"/>
    <w:rsid w:val="6737716A"/>
    <w:rsid w:val="677E0294"/>
    <w:rsid w:val="679737EC"/>
    <w:rsid w:val="68273FF7"/>
    <w:rsid w:val="6848469A"/>
    <w:rsid w:val="6A251896"/>
    <w:rsid w:val="6BD5BBE7"/>
    <w:rsid w:val="6BDD4A92"/>
    <w:rsid w:val="6C000472"/>
    <w:rsid w:val="6C2814B5"/>
    <w:rsid w:val="6C746ECB"/>
    <w:rsid w:val="6D7C3514"/>
    <w:rsid w:val="6E0A6E8C"/>
    <w:rsid w:val="6ED0363B"/>
    <w:rsid w:val="6F017762"/>
    <w:rsid w:val="6F07001F"/>
    <w:rsid w:val="6F6D4CA2"/>
    <w:rsid w:val="71641E18"/>
    <w:rsid w:val="72C47013"/>
    <w:rsid w:val="74862C03"/>
    <w:rsid w:val="75963CF6"/>
    <w:rsid w:val="763E0E8A"/>
    <w:rsid w:val="76E37D44"/>
    <w:rsid w:val="77816BF1"/>
    <w:rsid w:val="7797CEDD"/>
    <w:rsid w:val="77BF5BDE"/>
    <w:rsid w:val="77D7F48C"/>
    <w:rsid w:val="7ACC0CD4"/>
    <w:rsid w:val="7B6FCDAA"/>
    <w:rsid w:val="7B76CCDB"/>
    <w:rsid w:val="7BB86609"/>
    <w:rsid w:val="7BBF77BA"/>
    <w:rsid w:val="7BDFF640"/>
    <w:rsid w:val="7BE7D603"/>
    <w:rsid w:val="7D146922"/>
    <w:rsid w:val="7D5F2213"/>
    <w:rsid w:val="7DBBA714"/>
    <w:rsid w:val="7E2D0162"/>
    <w:rsid w:val="7E5C7C58"/>
    <w:rsid w:val="7EDF052A"/>
    <w:rsid w:val="7EFF03EB"/>
    <w:rsid w:val="7EFF77ED"/>
    <w:rsid w:val="7F776141"/>
    <w:rsid w:val="7F7D128A"/>
    <w:rsid w:val="7F7E85F8"/>
    <w:rsid w:val="7F7FB99E"/>
    <w:rsid w:val="7FBEB605"/>
    <w:rsid w:val="7FDB5999"/>
    <w:rsid w:val="7FDE4A2F"/>
    <w:rsid w:val="7FF7975D"/>
    <w:rsid w:val="7FFF2972"/>
    <w:rsid w:val="9EF73911"/>
    <w:rsid w:val="9F395856"/>
    <w:rsid w:val="9F7F345C"/>
    <w:rsid w:val="A5BD91A0"/>
    <w:rsid w:val="ADEF3320"/>
    <w:rsid w:val="B7DF865A"/>
    <w:rsid w:val="B9DA4B29"/>
    <w:rsid w:val="BBBB26E1"/>
    <w:rsid w:val="BDFF04AF"/>
    <w:rsid w:val="BFBFE1C2"/>
    <w:rsid w:val="CFFE260E"/>
    <w:rsid w:val="D9BFA78E"/>
    <w:rsid w:val="DF9DBA85"/>
    <w:rsid w:val="DFAF4956"/>
    <w:rsid w:val="DFF7C28D"/>
    <w:rsid w:val="DFF93876"/>
    <w:rsid w:val="E79F79CE"/>
    <w:rsid w:val="E9EF6A5B"/>
    <w:rsid w:val="EEBFE61A"/>
    <w:rsid w:val="EF3E40EA"/>
    <w:rsid w:val="EFEF0A0D"/>
    <w:rsid w:val="EFEFAAED"/>
    <w:rsid w:val="EFFD19AA"/>
    <w:rsid w:val="F3FF8502"/>
    <w:rsid w:val="F5D7EDA4"/>
    <w:rsid w:val="F73F7215"/>
    <w:rsid w:val="F7FF368B"/>
    <w:rsid w:val="FBB70EF4"/>
    <w:rsid w:val="FBDF7C49"/>
    <w:rsid w:val="FBFF283A"/>
    <w:rsid w:val="FEFF0202"/>
    <w:rsid w:val="FF4F1C4C"/>
    <w:rsid w:val="FFF9C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7">
    <w:name w:val="heading 4"/>
    <w:basedOn w:val="1"/>
    <w:next w:val="1"/>
    <w:qFormat/>
    <w:uiPriority w:val="0"/>
    <w:pPr>
      <w:keepNext/>
      <w:jc w:val="center"/>
      <w:outlineLvl w:val="3"/>
    </w:pPr>
    <w:rPr>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style>
  <w:style w:type="paragraph" w:styleId="3">
    <w:name w:val="envelope return"/>
    <w:basedOn w:val="1"/>
    <w:unhideWhenUsed/>
    <w:qFormat/>
    <w:uiPriority w:val="99"/>
    <w:pPr>
      <w:snapToGrid w:val="0"/>
    </w:pPr>
    <w:rPr>
      <w:rFonts w:ascii="Arial" w:hAnsi="Arial"/>
    </w:rPr>
  </w:style>
  <w:style w:type="paragraph" w:styleId="8">
    <w:name w:val="table of authorities"/>
    <w:basedOn w:val="1"/>
    <w:next w:val="1"/>
    <w:unhideWhenUsed/>
    <w:qFormat/>
    <w:uiPriority w:val="99"/>
    <w:pPr>
      <w:ind w:left="420" w:leftChars="200"/>
    </w:pPr>
  </w:style>
  <w:style w:type="paragraph" w:styleId="9">
    <w:name w:val="Normal Indent"/>
    <w:basedOn w:val="1"/>
    <w:qFormat/>
    <w:uiPriority w:val="0"/>
    <w:pPr>
      <w:ind w:firstLine="420"/>
    </w:pPr>
    <w:rPr>
      <w:kern w:val="0"/>
      <w:sz w:val="20"/>
      <w:szCs w:val="20"/>
    </w:rPr>
  </w:style>
  <w:style w:type="paragraph" w:styleId="10">
    <w:name w:val="annotation text"/>
    <w:basedOn w:val="1"/>
    <w:link w:val="41"/>
    <w:qFormat/>
    <w:uiPriority w:val="0"/>
    <w:pPr>
      <w:jc w:val="left"/>
    </w:pPr>
  </w:style>
  <w:style w:type="paragraph" w:styleId="11">
    <w:name w:val="Body Text"/>
    <w:basedOn w:val="1"/>
    <w:next w:val="1"/>
    <w:qFormat/>
    <w:uiPriority w:val="0"/>
    <w:rPr>
      <w:rFonts w:ascii="仿宋_GB2312" w:eastAsia="仿宋_GB2312"/>
      <w:kern w:val="0"/>
      <w:sz w:val="24"/>
      <w:szCs w:val="20"/>
    </w:rPr>
  </w:style>
  <w:style w:type="paragraph" w:styleId="12">
    <w:name w:val="Plain Text"/>
    <w:basedOn w:val="1"/>
    <w:qFormat/>
    <w:uiPriority w:val="0"/>
    <w:rPr>
      <w:rFonts w:ascii="宋体" w:hAnsi="Courier New"/>
      <w:szCs w:val="20"/>
    </w:rPr>
  </w:style>
  <w:style w:type="paragraph" w:styleId="13">
    <w:name w:val="Balloon Text"/>
    <w:basedOn w:val="1"/>
    <w:link w:val="4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pPr>
    <w:rPr>
      <w:b/>
    </w:rPr>
  </w:style>
  <w:style w:type="paragraph" w:styleId="16">
    <w:name w:val="toc 1"/>
    <w:basedOn w:val="1"/>
    <w:next w:val="1"/>
    <w:qFormat/>
    <w:uiPriority w:val="0"/>
    <w:pPr>
      <w:adjustRightInd w:val="0"/>
      <w:jc w:val="left"/>
      <w:textAlignment w:val="baseline"/>
    </w:pPr>
    <w:rPr>
      <w:sz w:val="24"/>
    </w:rPr>
  </w:style>
  <w:style w:type="paragraph" w:styleId="17">
    <w:name w:val="Body Text Indent 3"/>
    <w:basedOn w:val="1"/>
    <w:qFormat/>
    <w:uiPriority w:val="0"/>
    <w:pPr>
      <w:spacing w:line="520" w:lineRule="exact"/>
      <w:ind w:firstLine="539" w:firstLineChars="184"/>
    </w:pPr>
    <w:rPr>
      <w:rFonts w:ascii="宋体"/>
      <w:b/>
      <w:spacing w:val="6"/>
      <w:sz w:val="2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10"/>
    <w:next w:val="10"/>
    <w:link w:val="42"/>
    <w:qFormat/>
    <w:uiPriority w:val="0"/>
    <w:rPr>
      <w:b/>
      <w:bCs/>
    </w:rPr>
  </w:style>
  <w:style w:type="paragraph" w:styleId="21">
    <w:name w:val="Body Text First Indent"/>
    <w:basedOn w:val="11"/>
    <w:qFormat/>
    <w:uiPriority w:val="0"/>
    <w:pPr>
      <w:spacing w:after="120"/>
      <w:ind w:firstLine="420" w:firstLineChars="100"/>
    </w:pPr>
    <w:rPr>
      <w:rFonts w:ascii="Times New Roman" w:eastAsia="宋体"/>
      <w:szCs w:val="24"/>
    </w:rPr>
  </w:style>
  <w:style w:type="paragraph" w:styleId="22">
    <w:name w:val="Body Text First Indent 2"/>
    <w:basedOn w:val="2"/>
    <w:qFormat/>
    <w:uiPriority w:val="0"/>
    <w:pPr>
      <w:ind w:firstLine="20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annotation reference"/>
    <w:basedOn w:val="25"/>
    <w:qFormat/>
    <w:uiPriority w:val="0"/>
    <w:rPr>
      <w:sz w:val="21"/>
      <w:szCs w:val="21"/>
    </w:rPr>
  </w:style>
  <w:style w:type="paragraph" w:customStyle="1" w:styleId="28">
    <w:name w:val="正文文本首行缩进 21"/>
    <w:basedOn w:val="29"/>
    <w:qFormat/>
    <w:uiPriority w:val="0"/>
    <w:pPr>
      <w:spacing w:after="0" w:line="360" w:lineRule="auto"/>
      <w:ind w:left="0" w:firstLine="420"/>
    </w:pPr>
    <w:rPr>
      <w:rFonts w:ascii="宋体" w:hAnsi="宋体"/>
      <w:szCs w:val="20"/>
    </w:rPr>
  </w:style>
  <w:style w:type="paragraph" w:customStyle="1" w:styleId="29">
    <w:name w:val="正文文本缩进1"/>
    <w:basedOn w:val="1"/>
    <w:next w:val="30"/>
    <w:unhideWhenUsed/>
    <w:qFormat/>
    <w:uiPriority w:val="0"/>
    <w:pPr>
      <w:spacing w:after="120"/>
      <w:ind w:left="420"/>
    </w:pPr>
  </w:style>
  <w:style w:type="paragraph" w:customStyle="1" w:styleId="30">
    <w:name w:val="寄信人地址1"/>
    <w:basedOn w:val="1"/>
    <w:unhideWhenUsed/>
    <w:qFormat/>
    <w:uiPriority w:val="99"/>
    <w:rPr>
      <w:rFonts w:ascii="Arial" w:hAnsi="Arial"/>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3">
    <w:name w:val="msonormalcxspmiddle"/>
    <w:basedOn w:val="1"/>
    <w:qFormat/>
    <w:uiPriority w:val="0"/>
    <w:pPr>
      <w:widowControl/>
      <w:spacing w:before="100" w:beforeAutospacing="1" w:after="100" w:afterAutospacing="1"/>
      <w:jc w:val="left"/>
    </w:pPr>
    <w:rPr>
      <w:rFonts w:ascii="宋体" w:hAnsi="宋体" w:cs="宋体"/>
      <w:kern w:val="0"/>
      <w:sz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p0"/>
    <w:basedOn w:val="1"/>
    <w:qFormat/>
    <w:uiPriority w:val="0"/>
    <w:pPr>
      <w:widowControl/>
    </w:pPr>
    <w:rPr>
      <w:rFonts w:ascii="Calibri" w:hAnsi="Calibri"/>
      <w:kern w:val="0"/>
      <w:szCs w:val="20"/>
    </w:rPr>
  </w:style>
  <w:style w:type="paragraph" w:customStyle="1" w:styleId="36">
    <w:name w:val="正文 + 宋体"/>
    <w:basedOn w:val="1"/>
    <w:qFormat/>
    <w:uiPriority w:val="0"/>
    <w:pPr>
      <w:widowControl/>
      <w:autoSpaceDE w:val="0"/>
      <w:autoSpaceDN w:val="0"/>
      <w:spacing w:line="360" w:lineRule="auto"/>
      <w:textAlignment w:val="bottom"/>
    </w:pPr>
    <w:rPr>
      <w:rFonts w:ascii="宋体" w:hAnsi="宋体"/>
    </w:rPr>
  </w:style>
  <w:style w:type="paragraph" w:styleId="37">
    <w:name w:val="List Paragraph"/>
    <w:basedOn w:val="1"/>
    <w:unhideWhenUsed/>
    <w:qFormat/>
    <w:uiPriority w:val="99"/>
    <w:pPr>
      <w:ind w:firstLine="420" w:firstLineChars="200"/>
    </w:pPr>
  </w:style>
  <w:style w:type="paragraph" w:customStyle="1" w:styleId="38">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39">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0">
    <w:name w:val="批注框文本 字符"/>
    <w:basedOn w:val="25"/>
    <w:link w:val="13"/>
    <w:qFormat/>
    <w:uiPriority w:val="0"/>
    <w:rPr>
      <w:kern w:val="2"/>
      <w:sz w:val="18"/>
      <w:szCs w:val="18"/>
    </w:rPr>
  </w:style>
  <w:style w:type="character" w:customStyle="1" w:styleId="41">
    <w:name w:val="批注文字 字符"/>
    <w:basedOn w:val="25"/>
    <w:link w:val="10"/>
    <w:qFormat/>
    <w:uiPriority w:val="0"/>
    <w:rPr>
      <w:kern w:val="2"/>
      <w:sz w:val="21"/>
      <w:szCs w:val="21"/>
    </w:rPr>
  </w:style>
  <w:style w:type="character" w:customStyle="1" w:styleId="42">
    <w:name w:val="批注主题 字符"/>
    <w:basedOn w:val="41"/>
    <w:link w:val="20"/>
    <w:qFormat/>
    <w:uiPriority w:val="0"/>
    <w:rPr>
      <w:b/>
      <w:bCs/>
      <w:kern w:val="2"/>
      <w:sz w:val="21"/>
      <w:szCs w:val="21"/>
    </w:rPr>
  </w:style>
  <w:style w:type="character" w:customStyle="1" w:styleId="43">
    <w:name w:val="font21"/>
    <w:basedOn w:val="25"/>
    <w:qFormat/>
    <w:uiPriority w:val="0"/>
    <w:rPr>
      <w:rFonts w:hint="eastAsia" w:ascii="宋体" w:hAnsi="宋体" w:eastAsia="宋体" w:cs="宋体"/>
      <w:color w:val="FF0000"/>
      <w:sz w:val="22"/>
      <w:szCs w:val="22"/>
      <w:u w:val="none"/>
    </w:rPr>
  </w:style>
  <w:style w:type="paragraph" w:customStyle="1" w:styleId="44">
    <w:name w:val="Table Text"/>
    <w:qFormat/>
    <w:uiPriority w:val="0"/>
    <w:pPr>
      <w:suppressAutoHyphens/>
      <w:snapToGrid w:val="0"/>
      <w:spacing w:before="80" w:after="80"/>
    </w:pPr>
    <w:rPr>
      <w:rFonts w:ascii="Arial" w:hAnsi="Arial" w:eastAsia="宋体" w:cs="Arial"/>
      <w:kern w:val="1"/>
      <w:sz w:val="18"/>
      <w:lang w:val="en-US" w:eastAsia="zh-CN" w:bidi="ar-SA"/>
    </w:rPr>
  </w:style>
  <w:style w:type="paragraph" w:customStyle="1" w:styleId="4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46">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47">
    <w:name w:val="列表段落1"/>
    <w:basedOn w:val="1"/>
    <w:qFormat/>
    <w:uiPriority w:val="1"/>
    <w:rPr>
      <w:rFonts w:ascii="Calibri" w:hAnsi="Calibri"/>
    </w:rPr>
  </w:style>
  <w:style w:type="character" w:customStyle="1" w:styleId="48">
    <w:name w:val="font11"/>
    <w:qFormat/>
    <w:uiPriority w:val="0"/>
    <w:rPr>
      <w:rFonts w:ascii="Calibri" w:hAnsi="Calibri" w:cs="Calibri"/>
      <w:color w:val="0000FF"/>
      <w:sz w:val="24"/>
      <w:szCs w:val="24"/>
      <w:u w:val="none"/>
    </w:rPr>
  </w:style>
  <w:style w:type="paragraph" w:customStyle="1" w:styleId="49">
    <w:name w:val="列出段落1"/>
    <w:basedOn w:val="1"/>
    <w:qFormat/>
    <w:uiPriority w:val="0"/>
    <w:pPr>
      <w:snapToGrid w:val="0"/>
      <w:spacing w:line="360" w:lineRule="auto"/>
      <w:ind w:left="560"/>
    </w:pPr>
    <w:rPr>
      <w:rFonts w:ascii="仿宋_GB2312" w:hAnsi="Calibri" w:eastAsia="仿宋_GB2312"/>
      <w:sz w:val="28"/>
      <w:szCs w:val="28"/>
    </w:rPr>
  </w:style>
  <w:style w:type="paragraph" w:customStyle="1" w:styleId="50">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09e85717-d107-48d2-aa54-36652856d335</errorID>
      <errorWord>【2022】2号</errorWord>
      <group>L1_Knowledge</group>
      <groupName>知识性问题</groupName>
      <ability>L2_Knowledge</ability>
      <abilityName>其他知识</abilityName>
      <candidateList>
        <item>〔2022〕2号</item>
      </candidateList>
      <explain>发文字号格式错误。</explain>
      <paraID> 2878CD3</paraID>
      <start>14</start>
      <end>22</end>
      <status>modified</status>
      <modifiedWord>〔2022〕2号</modifiedWord>
      <trackRevisions>false</trackRevisions>
    </reviewItem>
    <reviewItem>
      <errorID>6f6dbfcb-9ae2-4baa-aa4e-15fdcc99aefa</errorID>
      <errorWord>(</errorWord>
      <group>L1_Format</group>
      <groupName>格式问题</groupName>
      <ability>L2_HalfPunc</ability>
      <abilityName>全半角检查</abilityName>
      <candidateList>
        <item>（</item>
      </candidateList>
      <explain>文本全半角错误。</explain>
      <paraID>5D50A5CE</paraID>
      <start>15</start>
      <end>16</end>
      <status>modified</status>
      <modifiedWord>（</modifiedWord>
      <trackRevisions>false</trackRevisions>
    </reviewItem>
    <reviewItem>
      <errorID>48e61ea1-0126-42a5-b012-76ab1b349c0d</errorID>
      <errorWord>)</errorWord>
      <group>L1_Format</group>
      <groupName>格式问题</groupName>
      <ability>L2_HalfPunc</ability>
      <abilityName>全半角检查</abilityName>
      <candidateList>
        <item>）</item>
      </candidateList>
      <explain>文本全半角错误。</explain>
      <paraID>5D50A5CE</paraID>
      <start>24</start>
      <end>25</end>
      <status>modified</status>
      <modifiedWord>）</modifiedWord>
      <trackRevisions>false</trackRevisions>
    </reviewItem>
    <reviewItem>
      <errorID>73af8113-97ca-49a5-ac6b-44676c201efa</errorID>
      <errorWord>(</errorWord>
      <group>L1_Format</group>
      <groupName>格式问题</groupName>
      <ability>L2_HalfPunc</ability>
      <abilityName>全半角检查</abilityName>
      <candidateList>
        <item>（</item>
      </candidateList>
      <explain>文本全半角错误。</explain>
      <paraID>5D50A5CE</paraID>
      <start>32</start>
      <end>33</end>
      <status>modified</status>
      <modifiedWord>（</modifiedWord>
      <trackRevisions>false</trackRevisions>
    </reviewItem>
    <reviewItem>
      <errorID>bbba88a6-d9e0-4ad1-8a47-64047ac83794</errorID>
      <errorWord>)</errorWord>
      <group>L1_Format</group>
      <groupName>格式问题</groupName>
      <ability>L2_HalfPunc</ability>
      <abilityName>全半角检查</abilityName>
      <candidateList>
        <item>）</item>
      </candidateList>
      <explain>文本全半角错误。</explain>
      <paraID>5D50A5CE</paraID>
      <start>42</start>
      <end>43</end>
      <status>modified</status>
      <modifiedWord>）</modifiedWord>
      <trackRevisions>false</trackRevisions>
    </reviewItem>
    <reviewItem>
      <errorID>a6bac4c0-f82d-4b70-a42b-23df645bb701</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4DC6C55E</paraID>
      <start>20</start>
      <end>22</end>
      <status>ignored</status>
      <modifiedWord/>
      <trackRevisions>false</trackRevisions>
    </reviewItem>
    <reviewItem>
      <errorID>ca34df0b-df26-4e6f-abbc-3e42723cb29e</errorID>
      <errorWord>&lt;</errorWord>
      <group>L1_Format</group>
      <groupName>格式问题</groupName>
      <ability>L2_HalfPunc</ability>
      <abilityName>全半角检查</abilityName>
      <candidateList>
        <item>〈</item>
      </candidateList>
      <explain>文本全半角错误。</explain>
      <paraID>3CB6D8D3</paraID>
      <start>37</start>
      <end>38</end>
      <status>ignored</status>
      <modifiedWord/>
      <trackRevisions>false</trackRevisions>
    </reviewItem>
    <reviewItem>
      <errorID>2e0ec9c7-464c-4d35-a064-979ab73c8503</errorID>
      <errorWord>&lt;</errorWord>
      <group>L1_Format</group>
      <groupName>格式问题</groupName>
      <ability>L2_HalfPunc</ability>
      <abilityName>全半角检查</abilityName>
      <candidateList>
        <item>〈</item>
      </candidateList>
      <explain>文本全半角错误。</explain>
      <paraID>709B5F31</paraID>
      <start>37</start>
      <end>38</end>
      <status>ignored</status>
      <modifiedWord/>
      <trackRevisions>false</trackRevisions>
    </reviewItem>
    <reviewItem>
      <errorID>9f7534dc-b300-4f57-8708-485fe56b5b7c</errorID>
      <errorWord>&lt;</errorWord>
      <group>L1_Format</group>
      <groupName>格式问题</groupName>
      <ability>L2_HalfPunc</ability>
      <abilityName>全半角检查</abilityName>
      <candidateList>
        <item>〈</item>
      </candidateList>
      <explain>文本全半角错误。</explain>
      <paraID>391CEC87</paraID>
      <start>26</start>
      <end>27</end>
      <status>ignored</status>
      <modifiedWord/>
      <trackRevisions>false</trackRevisions>
    </reviewItem>
    <reviewItem>
      <errorID>12ecbd93-dca8-4158-bb34-216f7aaf9c56</errorID>
      <errorWord>须</errorWord>
      <group>L1_Word</group>
      <groupName>字词问题</groupName>
      <ability>L2_Typo</ability>
      <abilityName>字词错误</abilityName>
      <candidateList>
        <item>需</item>
      </candidateList>
      <explain>存在发音相同字词的误用。</explain>
      <paraID>31C7D8E5</paraID>
      <start>11</start>
      <end>12</end>
      <status>modified</status>
      <modifiedWord>需</modifiedWord>
      <trackRevisions>false</trackRevisions>
    </reviewItem>
    <reviewItem>
      <errorID>90572b1d-257b-41c0-802d-516ece8e419a</errorID>
      <errorWord>“/</errorWord>
      <group>L1_Punc</group>
      <groupName>标点问题</groupName>
      <ability>L2_Punc</ability>
      <abilityName>标点符号检查</abilityName>
      <candidateList>
        <item>“</item>
      </candidateList>
      <explain/>
      <paraID>3948B385</paraID>
      <start>32</start>
      <end>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d7d4d-fb73-4ccc-8c06-c0d2cfff5f31}">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30</Pages>
  <Words>12459</Words>
  <Characters>12809</Characters>
  <Lines>85</Lines>
  <Paragraphs>24</Paragraphs>
  <TotalTime>14</TotalTime>
  <ScaleCrop>false</ScaleCrop>
  <LinksUpToDate>false</LinksUpToDate>
  <CharactersWithSpaces>13212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2025-07-07T15:40:00Z</dcterms:created>
  <dc:creator>admin</dc:creator>
  <cp:lastModifiedBy>nttiger</cp:lastModifiedBy>
  <cp:lastPrinted>2026-01-31T15:03:00Z</cp:lastPrinted>
  <dcterms:modified xsi:type="dcterms:W3CDTF">2026-04-30T02:55:48Z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66DF406DD12B49BDB98B94CCBCA310FD_13</vt:lpwstr>
  </property>
  <property fmtid="{D5CDD505-2E9C-101B-9397-08002B2CF9AE}" pid="4" name="KSOTemplateDocerSaveRecord">
    <vt:lpwstr>eyJoZGlkIjoiYzZiN2ZiMzJlNzBlNmEyYWUzNDZlYjA4Y2QzNmVjYjkiLCJ1c2VySWQiOiIxMzY5NjY0NTA2In0=</vt:lpwstr>
  </property>
</Properties>
</file>