
<file path=[Content_Types].xml><?xml version="1.0" encoding="utf-8"?>
<Types xmlns="http://schemas.openxmlformats.org/package/2006/content-types">
  <Default Extension="xlsx" ContentType="application/vnd.openxmlformats-officedocument.spreadsheetml.shee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 w:line="240" w:lineRule="auto"/>
        <w:ind w:left="360" w:right="360"/>
        <w:jc w:val="center"/>
        <w:rPr>
          <w:sz w:val="52"/>
          <w:szCs w:val="52"/>
        </w:rPr>
      </w:pPr>
      <w:r>
        <w:rPr>
          <w:rFonts w:hint="eastAsia" w:ascii="黑体" w:hAnsi="黑体" w:eastAsia="黑体"/>
          <w:color w:val="000000"/>
          <w:sz w:val="52"/>
          <w:szCs w:val="52"/>
          <w:lang w:val="en-US" w:eastAsia="zh-CN"/>
        </w:rPr>
        <w:t>膜结构车棚</w:t>
      </w:r>
      <w:r>
        <w:rPr>
          <w:rFonts w:ascii="黑体" w:hAnsi="黑体" w:eastAsia="黑体"/>
          <w:color w:val="000000"/>
          <w:sz w:val="52"/>
          <w:szCs w:val="52"/>
        </w:rPr>
        <w:t>结构计算书</w:t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黑体" w:hAnsi="黑体" w:eastAsia="黑体"/>
          <w:color w:val="000000"/>
          <w:sz w:val="72"/>
        </w:rPr>
        <w:t xml:space="preserve"> </w:t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黑体" w:hAnsi="黑体" w:eastAsia="黑体"/>
          <w:color w:val="000000"/>
          <w:sz w:val="72"/>
        </w:rPr>
        <w:t xml:space="preserve"> </w:t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黑体" w:hAnsi="黑体" w:eastAsia="黑体"/>
          <w:color w:val="000000"/>
          <w:sz w:val="72"/>
        </w:rPr>
        <w:t xml:space="preserve"> </w:t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黑体" w:hAnsi="黑体" w:eastAsia="黑体"/>
          <w:color w:val="000000"/>
          <w:sz w:val="72"/>
        </w:rPr>
        <w:t xml:space="preserve"> </w:t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黑体" w:hAnsi="黑体" w:eastAsia="黑体"/>
          <w:color w:val="000000"/>
          <w:sz w:val="72"/>
        </w:rPr>
        <w:t xml:space="preserve"> </w:t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黑体" w:hAnsi="黑体" w:eastAsia="黑体"/>
          <w:color w:val="000000"/>
          <w:sz w:val="72"/>
        </w:rPr>
        <w:t xml:space="preserve"> </w:t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黑体" w:hAnsi="黑体" w:eastAsia="黑体"/>
          <w:color w:val="000000"/>
          <w:sz w:val="72"/>
        </w:rPr>
        <w:t xml:space="preserve"> </w:t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黑体" w:hAnsi="黑体" w:eastAsia="黑体"/>
          <w:color w:val="000000"/>
          <w:sz w:val="72"/>
        </w:rPr>
        <w:t xml:space="preserve"> </w:t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华文仿宋" w:hAnsi="华文仿宋" w:eastAsia="华文仿宋"/>
          <w:color w:val="000000"/>
          <w:sz w:val="32"/>
        </w:rPr>
        <w:t>项目编号：空间结构No.1</w:t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华文仿宋" w:hAnsi="华文仿宋" w:eastAsia="华文仿宋"/>
          <w:color w:val="000000"/>
          <w:sz w:val="32"/>
        </w:rPr>
        <w:t>项目名称：空间结构</w:t>
      </w:r>
    </w:p>
    <w:p/>
    <w:p>
      <w:pPr>
        <w:sectPr>
          <w:pgSz w:w="11905" w:h="16840"/>
          <w:pgMar w:top="1814" w:right="1417" w:bottom="1814" w:left="1417" w:header="720" w:footer="720" w:gutter="0"/>
          <w:cols w:space="425" w:num="1"/>
          <w:docGrid w:type="lines" w:linePitch="312" w:charSpace="0"/>
        </w:sectPr>
      </w:pPr>
    </w:p>
    <w:p>
      <w:pPr>
        <w:rPr>
          <w:rFonts w:hint="eastAsia"/>
        </w:rPr>
      </w:pPr>
    </w:p>
    <w:p>
      <w:pPr>
        <w:numPr>
          <w:ilvl w:val="0"/>
          <w:numId w:val="1"/>
        </w:numPr>
        <w:spacing w:beforeLines="100" w:afterLines="100" w:line="240" w:lineRule="auto"/>
        <w:ind w:left="0" w:right="360" w:firstLineChars="0"/>
        <w:jc w:val="left"/>
        <w:outlineLvl w:val="1"/>
      </w:pPr>
      <w:r>
        <w:rPr>
          <w:rFonts w:ascii="黑体" w:hAnsi="黑体" w:eastAsia="黑体"/>
          <w:color w:val="000000"/>
          <w:sz w:val="28"/>
        </w:rPr>
        <w:t>设计依据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《工程结构通用规范》                        （GB55001-2021）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《钢结构设计标准》                           (GB50017-2017)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《钢结构通用规范》                          （GB55006-2021）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《冷弯薄壁型钢结构技术规范》                 (GB50018-2002)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《建筑结构荷载规范》                         (GB50009-2012)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《建筑抗震设计规范》                         (GB50011-2010)(2016年版)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《建筑与市政工程抗震通用规范》              （GB55002-2021）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《建筑地基基础设计规范》                     (GB50007-2011)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《建筑结构可靠性设计统一标准》               (GB50068-2018)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《钢管混凝土结构技术规范》                   (GB50936-2014)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《钢管混凝土结构设计规程》                   (CECS 28:2012)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《矩形钢管混凝土结构技术规程》               (CECS159-2004)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《钢结构焊接规范》                           (GB50661-2011)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《钢结构高强度螺栓连接技术规程》             (JGJ82-2011)</w:t>
      </w:r>
    </w:p>
    <w:p>
      <w:pPr>
        <w:numPr>
          <w:ilvl w:val="0"/>
          <w:numId w:val="1"/>
        </w:numPr>
        <w:spacing w:beforeLines="100" w:afterLines="100" w:line="240" w:lineRule="auto"/>
        <w:ind w:left="0" w:right="360" w:firstLineChars="0"/>
        <w:jc w:val="left"/>
        <w:outlineLvl w:val="1"/>
      </w:pPr>
      <w:r>
        <w:rPr>
          <w:rFonts w:ascii="黑体" w:hAnsi="黑体" w:eastAsia="黑体"/>
          <w:color w:val="000000"/>
          <w:sz w:val="28"/>
        </w:rPr>
        <w:t>软件信息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3D3S Design 2021.6（上海同磊土木工程技术有限公司）</w:t>
      </w:r>
    </w:p>
    <w:p>
      <w:pPr>
        <w:numPr>
          <w:ilvl w:val="0"/>
          <w:numId w:val="1"/>
        </w:numPr>
        <w:spacing w:beforeLines="100" w:afterLines="100" w:line="240" w:lineRule="auto"/>
        <w:ind w:left="0" w:right="360" w:firstLineChars="0"/>
        <w:jc w:val="left"/>
        <w:outlineLvl w:val="1"/>
      </w:pPr>
      <w:r>
        <w:rPr>
          <w:rFonts w:ascii="黑体" w:hAnsi="黑体" w:eastAsia="黑体"/>
          <w:color w:val="000000"/>
          <w:sz w:val="28"/>
        </w:rPr>
        <w:t>结构信息</w:t>
      </w:r>
    </w:p>
    <w:p>
      <w:pPr>
        <w:numPr>
          <w:ilvl w:val="1"/>
          <w:numId w:val="1"/>
        </w:numPr>
        <w:spacing w:beforeLines="100" w:afterLines="100" w:line="240" w:lineRule="auto"/>
        <w:ind w:left="0" w:right="360" w:firstLineChars="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总体信息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节点总数　　　　217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支座总数　　　　4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单元总数　　　　112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膜单元数　　　　360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材料种类　　　　2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截面种类　　　　9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荷载工况　　　　4</w:t>
      </w:r>
    </w:p>
    <w:p>
      <w:pPr>
        <w:numPr>
          <w:ilvl w:val="1"/>
          <w:numId w:val="1"/>
        </w:numPr>
        <w:spacing w:beforeLines="100" w:afterLines="100" w:line="240" w:lineRule="auto"/>
        <w:ind w:left="0" w:right="360" w:firstLineChars="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几何信息</w:t>
      </w:r>
    </w:p>
    <w:p>
      <w:pPr>
        <w:jc w:val="center"/>
      </w:pPr>
      <w:r>
        <w:drawing>
          <wp:inline distT="0" distB="0" distL="114300" distR="114300">
            <wp:extent cx="5486400" cy="38493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49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节点编号图（整体）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44"/>
        <w:gridCol w:w="940"/>
        <w:gridCol w:w="929"/>
        <w:gridCol w:w="929"/>
        <w:gridCol w:w="659"/>
        <w:gridCol w:w="709"/>
        <w:gridCol w:w="940"/>
        <w:gridCol w:w="929"/>
        <w:gridCol w:w="929"/>
        <w:gridCol w:w="668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9"/>
          <w:jc w:val="center"/>
        </w:trPr>
        <w:tc>
          <w:tcPr>
            <w:vMerge w:val="restart"/>
          </w:tcPr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节点信息表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节点号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x坐标(m)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y坐标(m)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z坐标(m)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备注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节点号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x坐标(m)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y坐标(m)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z坐标(m)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备注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1.782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2.432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3.527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1.794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2.399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3.515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2.858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2.386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2.848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1.515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0.840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1.792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2.398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0.848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1.782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2.432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2.562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3.529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1.399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2.859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1.419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2.490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2.183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1.427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2.484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2.490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0.835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2.562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4.182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0.953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3.527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2.856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1.038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2.180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1.050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2.578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1.505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1.039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0.836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0.953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4.182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2.743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3.519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2.848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0.659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2.178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0.673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0.658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0.842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2.743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2.792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3.491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0.224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2.831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0.280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2.177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0.296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2.749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1.523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0.278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0.864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2.792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2.432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3.524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2.399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2.855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2.563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1.507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0.838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2.573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2.398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2.432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2.996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2.562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3.528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2.969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2.857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2.949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2.490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2.180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2.941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2.484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2.947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2.490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0.834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2.966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2.996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2.562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4.182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3.414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3.526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3.365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2.855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3.330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2.179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3.317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2.578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3.328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0.835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3.361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3.414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3.838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2.743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3.518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3.759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2.847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3.709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2.177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3.694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3.709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0.842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3.756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3.838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2.743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4.266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2.792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3.490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4.143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2.830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4.088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2.176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2.749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1.522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4.089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0.863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4.147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4.266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2.792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4.863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4.842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2.694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5.522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0.278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5.509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0.658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6.177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0.295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2.749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6.178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0.673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6.831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0.279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6.848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0.658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7.491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0.224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7.519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2.792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2.743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5.504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1.039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6.180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1.050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2.579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6.857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1.037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7.528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0.953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5.504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2.490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6.180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1.426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2.484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6.855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1.419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2.489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7.526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1.398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2.562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4.838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1.794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2.398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5.507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6.855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7.524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1.792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2.398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1.782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2.432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5.515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6.848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7.515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8.840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8.869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0.224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9.510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0.658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9.527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0.280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10.179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0.673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0.296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2.749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10.848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0.659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10.835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0.278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11.516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11.496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2.743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12.179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2.792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8.833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9.506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1.039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10.180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1.050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2.578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10.857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1.038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11.525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12.182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0.953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8.834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9.504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2.489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10.180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1.427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2.483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10.857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2.490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11.528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1.399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12.182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2.562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8.839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1.793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2.398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9.505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10.180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10.853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11.526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1.792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2.399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12.182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1.782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2.432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8.848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9.515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10.848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11.515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12.179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4.266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2.792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3.838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2.743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11.498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4.147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3.756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10.839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4.089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10.852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3.709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10.185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4.071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2.749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10.184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3.693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9.532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4.088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9.516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3.709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8.873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4.143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8.844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3.759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4.266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2.792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3.838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2.743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12.182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3.414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11.526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3.361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10.856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3.328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10.183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3.317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2.578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9.507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3.329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8.836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3.365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3.414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12.182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2.996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2.562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11.530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2.967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10.861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2.946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2.490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10.183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2.941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2.484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9.505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2.948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2.490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8.835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2.969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2.996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2.562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2.432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11.526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2.573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2.398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10.856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10.182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2.563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9.507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8.838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2.399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2.432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7.523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3.759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7.494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4.144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6.854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3.709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6.836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4.088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6.183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3.695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6.182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2.750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5.514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3.709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5.527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4.089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4.846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3.756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2.694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4.146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7.528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3.363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6.859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3.329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6.183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3.317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2.578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5.505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3.329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2.586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3.363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7.528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2.967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6.858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2.947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2.490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6.184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2.941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2.484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5.508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2.948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2.489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4.837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2.968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7.525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2.574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2.398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6.856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6.182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2.563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5.508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4.839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2.398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支座1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支座1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支座1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支座1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3.838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2.743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2.743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2.743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3.838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2.743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</w:tbl>
    <w:p>
      <w:pPr>
        <w:jc w:val="center"/>
      </w:pPr>
      <w:r>
        <w:drawing>
          <wp:inline distT="0" distB="0" distL="114300" distR="114300">
            <wp:extent cx="5486400" cy="384937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49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单元编号图（整体）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0"/>
          <w:jc w:val="center"/>
        </w:trPr>
        <w:tc>
          <w:tcPr>
            <w:vMerge w:val="restart"/>
          </w:tcPr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单元信息表（注：等肢角钢的2、3轴分别对应u、v轴）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单元号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截面名称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材料名称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长度(m)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面积(mm</w:t>
            </w:r>
            <w:r>
              <w:rPr>
                <w:rFonts w:ascii="宋体" w:hAnsi="宋体" w:eastAsia="宋体"/>
                <w:color w:val="000000"/>
                <w:sz w:val="18"/>
                <w:vertAlign w:val="superscript"/>
              </w:rPr>
              <w:t>2</w:t>
            </w:r>
            <w:r>
              <w:rPr>
                <w:rFonts w:ascii="宋体" w:hAnsi="宋体" w:eastAsia="宋体"/>
                <w:color w:val="000000"/>
                <w:sz w:val="18"/>
              </w:rPr>
              <w:t>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绕2轴惯性矩(×10</w:t>
            </w:r>
            <w:r>
              <w:rPr>
                <w:rFonts w:ascii="宋体" w:hAnsi="宋体" w:eastAsia="宋体"/>
                <w:color w:val="000000"/>
                <w:sz w:val="18"/>
                <w:vertAlign w:val="superscript"/>
              </w:rPr>
              <w:t>4</w:t>
            </w:r>
            <w:r>
              <w:rPr>
                <w:rFonts w:ascii="宋体" w:hAnsi="宋体" w:eastAsia="宋体"/>
                <w:color w:val="000000"/>
                <w:sz w:val="18"/>
              </w:rPr>
              <w:t>mm</w:t>
            </w:r>
            <w:r>
              <w:rPr>
                <w:rFonts w:ascii="宋体" w:hAnsi="宋体" w:eastAsia="宋体"/>
                <w:color w:val="000000"/>
                <w:sz w:val="18"/>
                <w:vertAlign w:val="superscript"/>
              </w:rPr>
              <w:t>4</w:t>
            </w:r>
            <w:r>
              <w:rPr>
                <w:rFonts w:ascii="宋体" w:hAnsi="宋体" w:eastAsia="宋体"/>
                <w:color w:val="000000"/>
                <w:sz w:val="18"/>
              </w:rPr>
              <w:t>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绕3轴惯性矩(×10</w:t>
            </w:r>
            <w:r>
              <w:rPr>
                <w:rFonts w:ascii="宋体" w:hAnsi="宋体" w:eastAsia="宋体"/>
                <w:color w:val="000000"/>
                <w:sz w:val="18"/>
                <w:vertAlign w:val="superscript"/>
              </w:rPr>
              <w:t>4</w:t>
            </w:r>
            <w:r>
              <w:rPr>
                <w:rFonts w:ascii="宋体" w:hAnsi="宋体" w:eastAsia="宋体"/>
                <w:color w:val="000000"/>
                <w:sz w:val="18"/>
              </w:rPr>
              <w:t>mm</w:t>
            </w:r>
            <w:r>
              <w:rPr>
                <w:rFonts w:ascii="宋体" w:hAnsi="宋体" w:eastAsia="宋体"/>
                <w:color w:val="000000"/>
                <w:sz w:val="18"/>
                <w:vertAlign w:val="superscript"/>
              </w:rPr>
              <w:t>4</w:t>
            </w:r>
            <w:r>
              <w:rPr>
                <w:rFonts w:ascii="宋体" w:hAnsi="宋体" w:eastAsia="宋体"/>
                <w:color w:val="000000"/>
                <w:sz w:val="18"/>
              </w:rPr>
              <w:t>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绕2轴计算长度系数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绕3轴计算长度系数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i节点释放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j节点释放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0.690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0.654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0.654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0.703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0.654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0.654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0.691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0.654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0.655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0.692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0.694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0.655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0.654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0.699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0.703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0.654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0.691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0.695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0.655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0.654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0.699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85.93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H250x120x6x8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2.273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3324.00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3452.74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1.042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1.188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H250x120x6x8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2.273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3324.00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3452.74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1.188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H250x120x6x8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2.273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3324.00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3452.74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H250x120x6x8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2.273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3324.00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3452.74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1.042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1.188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150~170x120x6x8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2724.00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1089.20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170~190x120x6x8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2844.00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1443.35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190~210x120x6x8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2964.00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230.71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1854.38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210~230x120x6x8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3084.00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2324.69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230~250x120x6x8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3204.00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230.79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2856.67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150~170x120x6x8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2724.00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1089.20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170~190x120x6x8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2844.00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1443.35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190~210x120x6x8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2964.00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230.71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1854.38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210~230x120x6x8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3084.00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2324.69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230~250x120x6x8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3204.00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230.79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2856.67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150~170x120x6x8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2724.00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1089.20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170~190x120x6x8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2844.00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1443.35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190~210x120x6x8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2964.00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230.71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1854.38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210~230x120x6x8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3084.00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2324.69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230~250x120x6x8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3204.00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230.79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2856.67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150~170x120x6x8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2724.00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1089.20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170~190x120x6x8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2844.00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1443.35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190~210x120x6x8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2964.00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230.71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1854.38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210~230x120x6x8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3084.00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2324.69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230~250x120x6x8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3204.00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230.79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2856.67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230~250x120x6x8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3204.00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230.79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2856.67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210~230x120x6x8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3084.00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2324.69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190~210x120x6x8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2964.00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230.71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1854.38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170~190x120x6x8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2844.00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1443.35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150~170x120x6x8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2724.00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1089.20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230~250x120x6x8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3204.00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230.79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2856.67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210~230x120x6x8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3084.00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2324.69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190~210x120x6x8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2964.00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230.71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1854.38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170~190x120x6x8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2844.00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1443.35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150~170x120x6x8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2724.00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1089.20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230~250x120x6x8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3204.00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230.79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2856.67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210~230x120x6x8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3084.00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2324.69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190~210x120x6x8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2964.00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230.71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1854.38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170~190x120x6x8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2844.00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1443.35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150~170x120x6x8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2724.00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1089.20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230~250x120x6x8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3204.00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230.79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2856.67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210~230x120x6x8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3084.00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2324.69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190~210x120x6x8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2964.00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230.71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1854.38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170~190x120x6x8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2844.00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1443.35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150~170x120x6x8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2724.00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230.64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1089.20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φ89x4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3.400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1068.14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96.68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96.68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φ89x4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1068.14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96.68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96.68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φ89x4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1068.14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96.68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96.68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φ89x4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3.400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1068.14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96.68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96.68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φ89x4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1068.14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96.68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96.68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φ89x4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0.599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1068.14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96.68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96.68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矩250x150x4.0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3090.00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1234.00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2697.00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矩250x150x4.0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3090.00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1234.00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2697.00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矩250x150x4.0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3090.00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1234.00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2697.00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矩250x150x4.0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3090.00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1234.00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2697.00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矩250x150x4.0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3090.00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1234.00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2697.00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矩250x150x4.0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3090.00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1234.00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2697.00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矩250x150x4.0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3090.00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1234.00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2697.00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矩250x150x4.0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3090.00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1234.00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2697.00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矩250x150x4.0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3090.00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1234.00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2697.00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矩250x150x4.0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3090.00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1234.00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2697.00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矩250x150x4.0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3090.00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1234.00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2697.00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矩250x150x4.0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3090.00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1234.00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2697.00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矩250x150x4.0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3090.00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1234.00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2697.00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矩250x150x4.0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3090.00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1234.00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2697.00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矩250x150x4.0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3090.00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1234.00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2697.00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矩250x150x4.0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3090.00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1234.00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2697.00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矩250x150x4.0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3090.00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1234.00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2697.00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矩250x150x4.0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3090.00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1234.00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2697.00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φ89x4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0.737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1068.14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96.68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96.68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φ89x4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0.736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1068.14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96.68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96.68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φ89x4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0.737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1068.14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96.68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96.68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φ89x4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0.737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1068.14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96.68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96.68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φ89x4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3.400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1068.14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96.68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96.68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φ89x4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1068.14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96.68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96.68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φ89x4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1068.14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96.68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96.68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φ89x4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3.400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1068.14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96.68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96.68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</w:tbl>
    <w:p>
      <w:pPr>
        <w:jc w:val="center"/>
      </w:pPr>
      <w:r>
        <w:drawing>
          <wp:inline distT="0" distB="0" distL="114300" distR="114300">
            <wp:extent cx="5486400" cy="384937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49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截面编号图（整体）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0"/>
        <w:gridCol w:w="360"/>
        <w:gridCol w:w="360"/>
        <w:gridCol w:w="360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3"/>
          <w:jc w:val="center"/>
        </w:trPr>
        <w:tc>
          <w:tcPr>
            <w:vMerge w:val="restart"/>
          </w:tcPr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截面信息表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截面编号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截面类型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截面名称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构件总数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焊接对称工字型截面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H250x120x6x8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工字形楔形截面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230~250x120x6x8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工字形楔形截面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210~230x120x6x8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工字形楔形截面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190~210x120x6x8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工字形楔形截面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170~190x120x6x8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工字形楔形截面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150~170x120x6x8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矩形空心型钢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矩250x150x4.0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圆管截面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φ89x4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</w:t>
            </w:r>
          </w:p>
        </w:tc>
      </w:tr>
    </w:tbl>
    <w:p>
      <w:pPr>
        <w:numPr>
          <w:ilvl w:val="1"/>
          <w:numId w:val="1"/>
        </w:numPr>
        <w:spacing w:beforeLines="100" w:afterLines="100" w:line="240" w:lineRule="auto"/>
        <w:ind w:left="0" w:right="360" w:firstLineChars="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计算参数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(1)动力特性计算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计算振型数: 9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振型类型: 特征向量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(2)非线性计算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梁单元迭代方法：N-L法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最大迭代次数：16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荷载收敛：0.010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位移收敛：0.010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比例系数：0.100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荷载系数：1.000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考虑缺陷：否</w:t>
      </w:r>
    </w:p>
    <w:p>
      <w:pPr>
        <w:numPr>
          <w:ilvl w:val="1"/>
          <w:numId w:val="1"/>
        </w:numPr>
        <w:spacing w:beforeLines="100" w:afterLines="100" w:line="240" w:lineRule="auto"/>
        <w:ind w:left="0" w:right="360" w:firstLineChars="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设计参数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结构重要性系数：1.000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支撑临界角：15.000°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0"/>
        <w:gridCol w:w="360"/>
        <w:gridCol w:w="360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2"/>
          <w:jc w:val="center"/>
        </w:trPr>
        <w:tc>
          <w:tcPr>
            <w:vMerge w:val="restart"/>
          </w:tcPr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抗震等级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结构类型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抗震等级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构造措施的抗震等级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钢框架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三级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三级</w:t>
            </w:r>
          </w:p>
        </w:tc>
      </w:tr>
    </w:tbl>
    <w:p>
      <w:pPr>
        <w:spacing w:beforeLines="0" w:afterLines="0" w:line="240" w:lineRule="auto"/>
        <w:ind w:left="360" w:right="360"/>
        <w:jc w:val="left"/>
      </w:pPr>
    </w:p>
    <w:p>
      <w:pPr>
        <w:numPr>
          <w:ilvl w:val="0"/>
          <w:numId w:val="1"/>
        </w:numPr>
        <w:spacing w:beforeLines="100" w:afterLines="100" w:line="240" w:lineRule="auto"/>
        <w:ind w:left="0" w:right="360" w:firstLineChars="0"/>
        <w:jc w:val="left"/>
        <w:outlineLvl w:val="1"/>
      </w:pPr>
      <w:r>
        <w:rPr>
          <w:rFonts w:ascii="黑体" w:hAnsi="黑体" w:eastAsia="黑体"/>
          <w:color w:val="000000"/>
          <w:sz w:val="28"/>
        </w:rPr>
        <w:t>计算简图</w:t>
      </w:r>
    </w:p>
    <w:p>
      <w:pPr>
        <w:jc w:val="center"/>
      </w:pPr>
      <w:r>
        <w:drawing>
          <wp:inline distT="0" distB="0" distL="114300" distR="114300">
            <wp:extent cx="5486400" cy="3849370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49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计算简图（整体）</w:t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注：蓝色单元为普通单元，绿色单元为连接单元，绿色实心圆为支座，黄色实心圆为主从节点的主节点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6"/>
          <w:jc w:val="center"/>
        </w:trPr>
        <w:tc>
          <w:tcPr>
            <w:vMerge w:val="restart"/>
          </w:tcPr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支座信息表（单位: 刚度：kN/mm  kN*mm/rad  位移：mm rad）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支座类型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平动1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平动2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平动3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转动R1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转动R2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转动R3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刚性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刚性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刚性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刚性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刚性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刚性</w:t>
            </w:r>
          </w:p>
        </w:tc>
      </w:tr>
    </w:tbl>
    <w:p>
      <w:pPr>
        <w:spacing w:beforeLines="0" w:afterLines="0" w:line="240" w:lineRule="auto"/>
        <w:ind w:left="360" w:right="360"/>
        <w:jc w:val="left"/>
      </w:pPr>
    </w:p>
    <w:p>
      <w:pPr>
        <w:numPr>
          <w:ilvl w:val="0"/>
          <w:numId w:val="1"/>
        </w:numPr>
        <w:spacing w:beforeLines="100" w:afterLines="100" w:line="240" w:lineRule="auto"/>
        <w:ind w:left="0" w:right="360" w:firstLineChars="0"/>
        <w:jc w:val="left"/>
        <w:outlineLvl w:val="1"/>
      </w:pPr>
      <w:r>
        <w:rPr>
          <w:rFonts w:ascii="黑体" w:hAnsi="黑体" w:eastAsia="黑体"/>
          <w:color w:val="000000"/>
          <w:sz w:val="28"/>
        </w:rPr>
        <w:t>材料信息</w:t>
      </w:r>
    </w:p>
    <w:p>
      <w:pPr>
        <w:numPr>
          <w:ilvl w:val="1"/>
          <w:numId w:val="1"/>
        </w:numPr>
        <w:spacing w:beforeLines="100" w:afterLines="100" w:line="240" w:lineRule="auto"/>
        <w:ind w:left="0" w:right="360" w:firstLineChars="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材料特性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名称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材料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弹性模量(kN/mm2)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泊松比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线膨胀系数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设计强度(MPa)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质量密度(kg/mm3)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206.000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1.20e-05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按规范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7.85e-06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1.36e-05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按规范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7.85e-06</w:t>
            </w:r>
          </w:p>
        </w:tc>
      </w:tr>
    </w:tbl>
    <w:p>
      <w:pPr>
        <w:numPr>
          <w:ilvl w:val="1"/>
          <w:numId w:val="1"/>
        </w:numPr>
        <w:spacing w:beforeLines="100" w:afterLines="100" w:line="240" w:lineRule="auto"/>
        <w:ind w:left="0" w:right="360" w:firstLineChars="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材料统计</w:t>
      </w:r>
    </w:p>
    <w:p>
      <w:pPr>
        <w:jc w:val="center"/>
      </w:pPr>
      <w:r>
        <w:drawing>
          <wp:inline distT="0" distB="0" distL="0" distR="0">
            <wp:extent cx="5274310" cy="3076575"/>
            <wp:effectExtent l="0" t="0" r="21590" b="9525"/>
            <wp:docPr id="5" name="图表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0"/>
        <w:gridCol w:w="360"/>
        <w:gridCol w:w="360"/>
        <w:gridCol w:w="360"/>
        <w:gridCol w:w="360"/>
        <w:gridCol w:w="360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5"/>
          <w:jc w:val="center"/>
        </w:trPr>
        <w:tc>
          <w:tcPr>
            <w:vMerge w:val="restart"/>
          </w:tcPr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钢汇总表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截面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材性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数量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长度(m)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重量(kg)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矩250x150x4.0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291.079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H250x120x6x8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9.093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237.279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150~170x120x6x8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9.417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150~170x120x6x8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9.417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150~170x120x6x8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9.417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150~170x120x6x8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9.417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150~170x120x6x8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9.417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150~170x120x6x8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9.417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150~170x120x6x8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9.417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150~170x120x6x8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9.417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170~190x120x6x8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9.823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170~190x120x6x8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9.823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170~190x120x6x8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9.823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170~190x120x6x8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9.823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170~190x120x6x8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9.823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170~190x120x6x8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9.823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170~190x120x6x8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9.823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170~190x120x6x8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9.823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190~210x120x6x8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10.229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190~210x120x6x8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10.229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190~210x120x6x8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10.229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190~210x120x6x8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10.229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190~210x120x6x8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10.229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190~210x120x6x8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10.229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190~210x120x6x8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10.229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190~210x120x6x8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10.229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210~230x120x6x8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10.635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210~230x120x6x8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10.635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210~230x120x6x8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10.635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210~230x120x6x8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10.635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210~230x120x6x8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10.635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210~230x120x6x8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10.635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210~230x120x6x8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10.635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210~230x120x6x8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10.635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230~250x120x6x8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11.041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230~250x120x6x8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11.041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230~250x120x6x8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11.041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230~250x120x6x8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11.041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230~250x120x6x8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11.041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230~250x120x6x8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11.041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230~250x120x6x8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11.041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230~250x120x6x8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11.041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φ89x4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26.944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225.927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76 根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65.275 m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1163 kg</w:t>
            </w:r>
          </w:p>
        </w:tc>
      </w:tr>
    </w:tbl>
    <w:p>
      <w:pPr>
        <w:spacing w:beforeLines="0" w:afterLines="0" w:line="240" w:lineRule="auto"/>
        <w:ind w:left="360" w:right="360"/>
        <w:jc w:val="left"/>
      </w:pP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0"/>
        <w:gridCol w:w="360"/>
        <w:gridCol w:w="360"/>
        <w:gridCol w:w="360"/>
        <w:gridCol w:w="360"/>
        <w:gridCol w:w="360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5"/>
          <w:jc w:val="center"/>
        </w:trPr>
        <w:tc>
          <w:tcPr>
            <w:vMerge w:val="restart"/>
          </w:tcPr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索汇总表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截面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材性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数量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长度(m)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重量(kg)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坚宜佳索-φ12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钢绞线-1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24.155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16.294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 根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24.155 m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 kg</w:t>
            </w:r>
          </w:p>
        </w:tc>
      </w:tr>
    </w:tbl>
    <w:p>
      <w:pPr>
        <w:spacing w:beforeLines="0" w:afterLines="0" w:line="240" w:lineRule="auto"/>
        <w:ind w:left="360" w:right="360"/>
        <w:jc w:val="left"/>
      </w:pPr>
    </w:p>
    <w:p>
      <w:pPr>
        <w:numPr>
          <w:ilvl w:val="0"/>
          <w:numId w:val="1"/>
        </w:numPr>
        <w:spacing w:beforeLines="100" w:afterLines="100" w:line="240" w:lineRule="auto"/>
        <w:ind w:left="0" w:right="360" w:firstLineChars="0"/>
        <w:jc w:val="left"/>
        <w:outlineLvl w:val="1"/>
      </w:pPr>
      <w:r>
        <w:rPr>
          <w:rFonts w:ascii="黑体" w:hAnsi="黑体" w:eastAsia="黑体"/>
          <w:color w:val="000000"/>
          <w:sz w:val="28"/>
        </w:rPr>
        <w:t>荷载与组合</w:t>
      </w:r>
    </w:p>
    <w:p>
      <w:pPr>
        <w:numPr>
          <w:ilvl w:val="1"/>
          <w:numId w:val="1"/>
        </w:numPr>
        <w:spacing w:beforeLines="100" w:afterLines="100" w:line="240" w:lineRule="auto"/>
        <w:ind w:left="0" w:right="360" w:firstLineChars="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工况信息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0"/>
        <w:gridCol w:w="360"/>
        <w:gridCol w:w="360"/>
        <w:gridCol w:w="360"/>
        <w:gridCol w:w="360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工况号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荷载类型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自重系数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荷载说明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恒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活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风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风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</w:p>
        </w:tc>
      </w:tr>
    </w:tbl>
    <w:p>
      <w:pPr>
        <w:numPr>
          <w:ilvl w:val="1"/>
          <w:numId w:val="1"/>
        </w:numPr>
        <w:spacing w:beforeLines="100" w:afterLines="100" w:line="240" w:lineRule="auto"/>
        <w:ind w:left="0" w:right="360" w:firstLineChars="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荷载信息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(1)膜面荷载列表(力：kN；分布力：kN/m；弯矩：kN.m；分布弯矩：kN.m/m)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荷载类型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工况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荷载值/风压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体型系数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风振系数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修正系数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参考点高度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恒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活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风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0.450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风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0.450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-1.300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</w:tbl>
    <w:p>
      <w:pPr>
        <w:numPr>
          <w:ilvl w:val="2"/>
          <w:numId w:val="1"/>
        </w:numPr>
        <w:spacing w:beforeLines="100" w:afterLines="100" w:line="240" w:lineRule="auto"/>
        <w:ind w:left="0" w:right="360" w:firstLineChars="0"/>
        <w:jc w:val="left"/>
        <w:outlineLvl w:val="3"/>
      </w:pPr>
      <w:r>
        <w:rPr>
          <w:rFonts w:ascii="宋体" w:hAnsi="宋体" w:eastAsia="宋体"/>
          <w:b/>
          <w:color w:val="000000"/>
          <w:sz w:val="24"/>
        </w:rPr>
        <w:t>恒荷载</w:t>
      </w:r>
    </w:p>
    <w:p>
      <w:pPr>
        <w:numPr>
          <w:ilvl w:val="3"/>
          <w:numId w:val="1"/>
        </w:numPr>
        <w:spacing w:beforeLines="50" w:afterLines="50" w:line="240" w:lineRule="auto"/>
        <w:ind w:left="360" w:right="360" w:firstLineChars="0"/>
        <w:jc w:val="left"/>
        <w:outlineLvl w:val="4"/>
      </w:pPr>
      <w:r>
        <w:rPr>
          <w:rFonts w:ascii="宋体" w:hAnsi="宋体" w:eastAsia="宋体"/>
          <w:color w:val="000000"/>
          <w:sz w:val="21"/>
        </w:rPr>
        <w:t>恒荷载0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(1)恒荷载0膜面导荷载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0"/>
        <w:gridCol w:w="360"/>
        <w:gridCol w:w="360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2"/>
          <w:jc w:val="center"/>
        </w:trPr>
        <w:tc>
          <w:tcPr>
            <w:vMerge w:val="restart"/>
          </w:tcPr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膜面荷载表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荷载均布值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不均匀分布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否</w:t>
            </w:r>
          </w:p>
        </w:tc>
      </w:tr>
    </w:tbl>
    <w:p>
      <w:pPr>
        <w:jc w:val="center"/>
      </w:pPr>
      <w:r>
        <w:drawing>
          <wp:inline distT="0" distB="0" distL="114300" distR="114300">
            <wp:extent cx="5486400" cy="3163570"/>
            <wp:effectExtent l="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163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486400" cy="328930"/>
            <wp:effectExtent l="0" t="0" r="0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恒荷载工况0膜面导荷载分布图（整体）</w:t>
      </w:r>
    </w:p>
    <w:p>
      <w:pPr>
        <w:numPr>
          <w:ilvl w:val="2"/>
          <w:numId w:val="1"/>
        </w:numPr>
        <w:spacing w:beforeLines="100" w:afterLines="100" w:line="240" w:lineRule="auto"/>
        <w:ind w:left="0" w:right="360" w:firstLineChars="0"/>
        <w:jc w:val="left"/>
        <w:outlineLvl w:val="3"/>
      </w:pPr>
      <w:r>
        <w:rPr>
          <w:rFonts w:ascii="宋体" w:hAnsi="宋体" w:eastAsia="宋体"/>
          <w:b/>
          <w:color w:val="000000"/>
          <w:sz w:val="24"/>
        </w:rPr>
        <w:t>活荷载</w:t>
      </w:r>
    </w:p>
    <w:p>
      <w:pPr>
        <w:numPr>
          <w:ilvl w:val="3"/>
          <w:numId w:val="1"/>
        </w:numPr>
        <w:spacing w:beforeLines="50" w:afterLines="50" w:line="240" w:lineRule="auto"/>
        <w:ind w:left="360" w:right="360" w:firstLineChars="0"/>
        <w:jc w:val="left"/>
        <w:outlineLvl w:val="4"/>
      </w:pPr>
      <w:r>
        <w:rPr>
          <w:rFonts w:ascii="宋体" w:hAnsi="宋体" w:eastAsia="宋体"/>
          <w:color w:val="000000"/>
          <w:sz w:val="21"/>
        </w:rPr>
        <w:t>活荷载1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(1)活荷载1膜面导荷载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0"/>
        <w:gridCol w:w="360"/>
        <w:gridCol w:w="360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2"/>
          <w:jc w:val="center"/>
        </w:trPr>
        <w:tc>
          <w:tcPr>
            <w:vMerge w:val="restart"/>
          </w:tcPr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膜面荷载表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荷载均布值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不均匀分布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否</w:t>
            </w:r>
          </w:p>
        </w:tc>
      </w:tr>
    </w:tbl>
    <w:p>
      <w:pPr>
        <w:jc w:val="center"/>
      </w:pPr>
      <w:r>
        <w:drawing>
          <wp:inline distT="0" distB="0" distL="114300" distR="114300">
            <wp:extent cx="5486400" cy="3163570"/>
            <wp:effectExtent l="0" t="0" r="0" b="0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163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486400" cy="328930"/>
            <wp:effectExtent l="0" t="0" r="0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1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活荷载工况1膜面导荷载分布图（整体）</w:t>
      </w:r>
    </w:p>
    <w:p>
      <w:pPr>
        <w:numPr>
          <w:ilvl w:val="2"/>
          <w:numId w:val="1"/>
        </w:numPr>
        <w:spacing w:beforeLines="100" w:afterLines="100" w:line="240" w:lineRule="auto"/>
        <w:ind w:left="0" w:right="360" w:firstLineChars="0"/>
        <w:jc w:val="left"/>
        <w:outlineLvl w:val="3"/>
      </w:pPr>
      <w:r>
        <w:rPr>
          <w:rFonts w:ascii="宋体" w:hAnsi="宋体" w:eastAsia="宋体"/>
          <w:b/>
          <w:color w:val="000000"/>
          <w:sz w:val="24"/>
        </w:rPr>
        <w:t>风荷载</w:t>
      </w:r>
    </w:p>
    <w:p>
      <w:pPr>
        <w:numPr>
          <w:ilvl w:val="3"/>
          <w:numId w:val="1"/>
        </w:numPr>
        <w:spacing w:beforeLines="50" w:afterLines="50" w:line="240" w:lineRule="auto"/>
        <w:ind w:left="360" w:right="360" w:firstLineChars="0"/>
        <w:jc w:val="left"/>
        <w:outlineLvl w:val="4"/>
      </w:pPr>
      <w:r>
        <w:rPr>
          <w:rFonts w:ascii="宋体" w:hAnsi="宋体" w:eastAsia="宋体"/>
          <w:color w:val="000000"/>
          <w:sz w:val="21"/>
        </w:rPr>
        <w:t>基本参数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基本风压：0.45(kN/m</w:t>
      </w:r>
      <w:r>
        <w:rPr>
          <w:rFonts w:ascii="宋体" w:hAnsi="宋体" w:eastAsia="宋体"/>
          <w:color w:val="000000"/>
          <w:sz w:val="21"/>
          <w:vertAlign w:val="superscript"/>
        </w:rPr>
        <w:t>2</w:t>
      </w:r>
      <w:r>
        <w:rPr>
          <w:rFonts w:ascii="宋体" w:hAnsi="宋体" w:eastAsia="宋体"/>
          <w:color w:val="000000"/>
          <w:sz w:val="21"/>
        </w:rPr>
        <w:t>)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地面粗糙度：B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风计算用规范：《建筑结构荷载规范》(GB50009-2012)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风荷载计算用阻尼比：0.02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参考点高度Z0（m）：0.00</w:t>
      </w:r>
    </w:p>
    <w:p>
      <w:pPr>
        <w:numPr>
          <w:ilvl w:val="3"/>
          <w:numId w:val="1"/>
        </w:numPr>
        <w:spacing w:beforeLines="50" w:afterLines="50" w:line="240" w:lineRule="auto"/>
        <w:ind w:left="360" w:right="360" w:firstLineChars="0"/>
        <w:jc w:val="left"/>
        <w:outlineLvl w:val="4"/>
      </w:pPr>
      <w:r>
        <w:rPr>
          <w:rFonts w:ascii="宋体" w:hAnsi="宋体" w:eastAsia="宋体"/>
          <w:color w:val="000000"/>
          <w:sz w:val="21"/>
        </w:rPr>
        <w:t>风荷载2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(1)风荷载2膜面导荷载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0"/>
        <w:gridCol w:w="360"/>
        <w:gridCol w:w="360"/>
        <w:gridCol w:w="360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3"/>
          <w:jc w:val="center"/>
        </w:trPr>
        <w:tc>
          <w:tcPr>
            <w:vMerge w:val="restart"/>
          </w:tcPr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膜面荷载表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基本风压(kN/m</w:t>
            </w:r>
            <w:r>
              <w:rPr>
                <w:rFonts w:ascii="宋体" w:hAnsi="宋体" w:eastAsia="宋体"/>
                <w:color w:val="000000"/>
                <w:sz w:val="18"/>
                <w:vertAlign w:val="superscript"/>
              </w:rPr>
              <w:t>2</w:t>
            </w:r>
            <w:r>
              <w:rPr>
                <w:rFonts w:ascii="宋体" w:hAnsi="宋体" w:eastAsia="宋体"/>
                <w:color w:val="000000"/>
                <w:sz w:val="18"/>
              </w:rPr>
              <w:t>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体型系数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风振系数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0.450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</w:tr>
    </w:tbl>
    <w:p>
      <w:pPr>
        <w:jc w:val="center"/>
      </w:pPr>
      <w:r>
        <w:drawing>
          <wp:inline distT="0" distB="0" distL="114300" distR="114300">
            <wp:extent cx="5486400" cy="3163570"/>
            <wp:effectExtent l="0" t="0" r="0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163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486400" cy="328930"/>
            <wp:effectExtent l="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风荷载工况2体型系数分布图（整体）</w:t>
      </w:r>
    </w:p>
    <w:p>
      <w:pPr>
        <w:numPr>
          <w:ilvl w:val="3"/>
          <w:numId w:val="1"/>
        </w:numPr>
        <w:spacing w:beforeLines="50" w:afterLines="50" w:line="240" w:lineRule="auto"/>
        <w:ind w:left="360" w:right="360" w:firstLineChars="0"/>
        <w:jc w:val="left"/>
        <w:outlineLvl w:val="4"/>
      </w:pPr>
      <w:r>
        <w:rPr>
          <w:rFonts w:ascii="宋体" w:hAnsi="宋体" w:eastAsia="宋体"/>
          <w:color w:val="000000"/>
          <w:sz w:val="21"/>
        </w:rPr>
        <w:t>风荷载3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>(1)风荷载3膜面导荷载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0"/>
        <w:gridCol w:w="360"/>
        <w:gridCol w:w="360"/>
        <w:gridCol w:w="360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3"/>
          <w:jc w:val="center"/>
        </w:trPr>
        <w:tc>
          <w:tcPr>
            <w:vMerge w:val="restart"/>
          </w:tcPr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膜面荷载表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基本风压(kN/m</w:t>
            </w:r>
            <w:r>
              <w:rPr>
                <w:rFonts w:ascii="宋体" w:hAnsi="宋体" w:eastAsia="宋体"/>
                <w:color w:val="000000"/>
                <w:sz w:val="18"/>
                <w:vertAlign w:val="superscript"/>
              </w:rPr>
              <w:t>2</w:t>
            </w:r>
            <w:r>
              <w:rPr>
                <w:rFonts w:ascii="宋体" w:hAnsi="宋体" w:eastAsia="宋体"/>
                <w:color w:val="000000"/>
                <w:sz w:val="18"/>
              </w:rPr>
              <w:t>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体型系数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风振系数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0.450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-1.300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</w:tr>
    </w:tbl>
    <w:p>
      <w:pPr>
        <w:jc w:val="center"/>
      </w:pPr>
      <w:r>
        <w:drawing>
          <wp:inline distT="0" distB="0" distL="114300" distR="114300">
            <wp:extent cx="5486400" cy="3163570"/>
            <wp:effectExtent l="0" t="0" r="0" b="0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163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486400" cy="328930"/>
            <wp:effectExtent l="0" t="0" r="0" b="0"/>
            <wp:docPr id="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风荷载工况3体型系数分布图（整体）</w:t>
      </w:r>
    </w:p>
    <w:p>
      <w:pPr>
        <w:numPr>
          <w:ilvl w:val="1"/>
          <w:numId w:val="1"/>
        </w:numPr>
        <w:spacing w:beforeLines="100" w:afterLines="100" w:line="240" w:lineRule="auto"/>
        <w:ind w:left="0" w:right="360" w:firstLineChars="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荷载组合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 xml:space="preserve">    (1) 1.300 恒载 + 1.50活载1 + 1.000 初始态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 xml:space="preserve">    (2) 1.300 恒载 + 1.50风载2 + 1.000 初始态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 xml:space="preserve">    (3) 1.300 恒载 + 1.50风载3 + 1.000 初始态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 xml:space="preserve">    (4) 1.300 恒载 + 1.50活载1 + 1.50 x 0.60风载2 + 1.000 初始态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 xml:space="preserve">    (5) 1.300 恒载 + 1.50活载1 + 1.50 x 0.60风载3 + 1.000 初始态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 xml:space="preserve">    (6) 1.300 恒载 + 1.50 x 0.70活载1 + 1.50风载2 + 1.000 初始态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 xml:space="preserve">    (7) 1.300 恒载 + 1.50 x 0.70活载1 + 1.50风载3 + 1.000 初始态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 xml:space="preserve">    (8) 1.300 恒载 + 1.50 x 0.70活载1 + 1.50 x 0.60风载2 + 1.000 初始态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 xml:space="preserve">    (9) 1.300 恒载 + 1.50 x 0.70活载1 + 1.50 x 0.60风载3 + 1.000 初始态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 xml:space="preserve">    (10) 1.000 恒载 + 1.50风载2 + 1.000 初始态</w:t>
      </w:r>
    </w:p>
    <w:p>
      <w:pPr>
        <w:spacing w:beforeLines="50" w:afterLines="50" w:line="240" w:lineRule="auto"/>
        <w:ind w:left="360" w:right="360"/>
        <w:jc w:val="left"/>
      </w:pPr>
      <w:r>
        <w:rPr>
          <w:rFonts w:ascii="宋体" w:hAnsi="宋体" w:eastAsia="宋体"/>
          <w:color w:val="000000"/>
          <w:sz w:val="21"/>
        </w:rPr>
        <w:t xml:space="preserve">    (11) 1.000 恒载 + 1.50风载3 + 1.000 初始态</w:t>
      </w:r>
    </w:p>
    <w:p>
      <w:pPr>
        <w:numPr>
          <w:ilvl w:val="0"/>
          <w:numId w:val="1"/>
        </w:numPr>
        <w:spacing w:beforeLines="100" w:afterLines="100" w:line="240" w:lineRule="auto"/>
        <w:ind w:left="0" w:right="360" w:firstLineChars="0"/>
        <w:jc w:val="left"/>
        <w:outlineLvl w:val="1"/>
      </w:pPr>
      <w:r>
        <w:rPr>
          <w:rFonts w:ascii="黑体" w:hAnsi="黑体" w:eastAsia="黑体"/>
          <w:color w:val="000000"/>
          <w:sz w:val="28"/>
        </w:rPr>
        <w:t>非线性计算结果</w:t>
      </w:r>
    </w:p>
    <w:p>
      <w:pPr>
        <w:numPr>
          <w:ilvl w:val="1"/>
          <w:numId w:val="1"/>
        </w:numPr>
        <w:spacing w:beforeLines="100" w:afterLines="100" w:line="240" w:lineRule="auto"/>
        <w:ind w:left="0" w:right="360" w:firstLineChars="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非线性反力</w:t>
      </w:r>
    </w:p>
    <w:p>
      <w:pPr>
        <w:jc w:val="center"/>
      </w:pPr>
      <w:r>
        <w:drawing>
          <wp:inline distT="0" distB="0" distL="114300" distR="114300">
            <wp:extent cx="5486400" cy="3849370"/>
            <wp:effectExtent l="0" t="0" r="0" b="0"/>
            <wp:docPr id="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49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支座节点编号图（整体）</w:t>
      </w:r>
    </w:p>
    <w:p>
      <w:pPr>
        <w:numPr>
          <w:ilvl w:val="2"/>
          <w:numId w:val="1"/>
        </w:numPr>
        <w:spacing w:beforeLines="100" w:afterLines="100" w:line="240" w:lineRule="auto"/>
        <w:ind w:left="0" w:right="360" w:firstLineChars="0"/>
        <w:jc w:val="left"/>
        <w:outlineLvl w:val="3"/>
      </w:pPr>
      <w:r>
        <w:rPr>
          <w:rFonts w:ascii="宋体" w:hAnsi="宋体" w:eastAsia="宋体"/>
          <w:b/>
          <w:color w:val="000000"/>
          <w:sz w:val="24"/>
        </w:rPr>
        <w:t>最不利反力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9"/>
          <w:jc w:val="center"/>
        </w:trPr>
        <w:tc>
          <w:tcPr>
            <w:vMerge w:val="restart"/>
          </w:tcPr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非线性组合最不利反力表(承载能力)(单位：kN、kN.m)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节点号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控制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11.686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-0.547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11.686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-0.547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11.686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-0.547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1.672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11.686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-0.547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1.672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合力最大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11.686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-0.547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-0.674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-2.465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-0.500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1.672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-0.674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-2.465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-0.500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11.686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-0.547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-0.674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-2.465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-0.500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11.686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-0.547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0.227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-11.814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-1.592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-0.456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20.953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-0.456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20.953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0.227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-11.814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-1.592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合力最大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-0.456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20.953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-0.456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20.953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-0.456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20.953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0.227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-11.814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-1.592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-0.456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20.953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-0.456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20.953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20.884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-1.594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20.884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20.264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20.884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-0.228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-11.809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-0.176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合力最大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20.884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-0.228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-11.809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-0.176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11.884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-0.228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-11.809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-0.176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-1.594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-0.228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-11.809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-0.176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20.884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0.674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-2.465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0.151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11.708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0.151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11.708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1.672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0.273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0.674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-2.465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0.674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-2.465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合力最大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0.151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11.708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0.151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11.708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1.672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0.273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0.674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-2.465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0.151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11.708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0.151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11.708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0.151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11.708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9"/>
          <w:jc w:val="center"/>
        </w:trPr>
        <w:tc>
          <w:tcPr>
            <w:vMerge w:val="restart"/>
          </w:tcPr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非线性组合最不利反力表(正常使用)(单位：kN、kN.m)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节点号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控制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0.215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8.235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-0.391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0.215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8.235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-0.391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0.215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8.235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-0.391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-0.305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1.604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-0.227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0.215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8.235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-0.391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-0.305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1.604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-0.227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合力最大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0.215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8.235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-0.391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-0.512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-0.623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-0.380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-0.305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1.604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-0.227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-0.512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-0.623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-0.380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0.215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8.235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-0.391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-0.512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-0.623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-0.380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0.215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8.235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-0.391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0.177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-6.802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-0.054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-0.714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-0.322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14.363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0.559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-0.322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14.363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0.559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0.177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-6.802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-0.054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0.177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-6.802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-0.054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合力最大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-0.322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14.363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0.559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-0.322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14.363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0.559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-0.322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14.363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0.559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0.177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-6.802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-0.054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-0.714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-0.322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14.363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0.559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-0.322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14.363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0.559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14.310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-0.178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-6.806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-0.137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14.310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14.310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14.310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-0.178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-6.806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-0.137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合力最大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14.310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-0.178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-6.806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-0.137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11.917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-0.178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-6.806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-0.137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-0.178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-6.806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-0.137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-0.178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-6.806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-0.137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14.310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-0.621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8.252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-0.197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8.252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-0.197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-0.621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-0.621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-0.621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合力最大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8.252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-0.197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8.252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-0.197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-0.621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-0.621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8.252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-0.197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8.252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-0.197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M3最小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8.252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-0.197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</w:tbl>
    <w:p>
      <w:pPr>
        <w:numPr>
          <w:ilvl w:val="1"/>
          <w:numId w:val="1"/>
        </w:numPr>
        <w:spacing w:beforeLines="100" w:afterLines="100" w:line="240" w:lineRule="auto"/>
        <w:ind w:left="0" w:right="360" w:firstLineChars="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非线性内力</w:t>
      </w:r>
    </w:p>
    <w:p>
      <w:pPr>
        <w:numPr>
          <w:ilvl w:val="2"/>
          <w:numId w:val="1"/>
        </w:numPr>
        <w:spacing w:beforeLines="100" w:afterLines="100" w:line="240" w:lineRule="auto"/>
        <w:ind w:left="0" w:right="360" w:firstLineChars="0"/>
        <w:jc w:val="left"/>
        <w:outlineLvl w:val="3"/>
      </w:pPr>
      <w:r>
        <w:rPr>
          <w:rFonts w:ascii="宋体" w:hAnsi="宋体" w:eastAsia="宋体"/>
          <w:b/>
          <w:color w:val="000000"/>
          <w:sz w:val="24"/>
        </w:rPr>
        <w:t>非线性组合包络（承载能力）</w:t>
      </w:r>
    </w:p>
    <w:p>
      <w:pPr>
        <w:jc w:val="center"/>
      </w:pPr>
      <w:r>
        <w:drawing>
          <wp:inline distT="0" distB="0" distL="114300" distR="114300">
            <wp:extent cx="5486400" cy="3849370"/>
            <wp:effectExtent l="0" t="0" r="0" b="0"/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49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486400" cy="328930"/>
            <wp:effectExtent l="0" t="0" r="0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非线性承载能力轴力N最大包络云图:kN（整体）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0"/>
          <w:jc w:val="center"/>
        </w:trPr>
        <w:tc>
          <w:tcPr>
            <w:vMerge w:val="restart"/>
          </w:tcPr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轴力N最大的前10个单元的内力（单位：m, kN, kN.m）
 （承载能力）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单元号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位置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轴力N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扭矩M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23.170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23.166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23.160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23.065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21.201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21.176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21.155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21.085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20.905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20.867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</w:tbl>
    <w:p>
      <w:pPr>
        <w:jc w:val="center"/>
      </w:pPr>
      <w:r>
        <w:drawing>
          <wp:inline distT="0" distB="0" distL="114300" distR="114300">
            <wp:extent cx="5486400" cy="3849370"/>
            <wp:effectExtent l="0" t="0" r="0" b="0"/>
            <wp:docPr id="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49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486400" cy="328930"/>
            <wp:effectExtent l="0" t="0" r="0" b="0"/>
            <wp:docPr id="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非线性承载能力轴力N最小包络云图:kN（整体）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0"/>
          <w:jc w:val="center"/>
        </w:trPr>
        <w:tc>
          <w:tcPr>
            <w:vMerge w:val="restart"/>
          </w:tcPr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轴力N最小的前10个单元的内力（单位：m, kN, kN.m）
 （承载能力）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单元号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位置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轴力N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扭矩M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-30.540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-0.054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-30.283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0.736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-0.939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0.054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-30.034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-0.712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1.538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-0.009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-29.978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-0.053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-29.832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-0.753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0.964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0.081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-29.825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0.680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-0.829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0.047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-21.996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-0.983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-5.399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1.350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-0.085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-21.869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0.972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5.353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-1.874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-21.864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-0.980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-5.303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-0.079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-21.464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-0.975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5.361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-1.357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-0.090</w:t>
            </w:r>
          </w:p>
        </w:tc>
      </w:tr>
    </w:tbl>
    <w:p>
      <w:pPr>
        <w:jc w:val="center"/>
      </w:pPr>
      <w:r>
        <w:drawing>
          <wp:inline distT="0" distB="0" distL="114300" distR="114300">
            <wp:extent cx="5486400" cy="3849370"/>
            <wp:effectExtent l="0" t="0" r="0" b="0"/>
            <wp:docPr id="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49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486400" cy="328930"/>
            <wp:effectExtent l="0" t="0" r="0" b="0"/>
            <wp:docPr id="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非线性承载能力弯矩M2最大包络云图:kN.m（整体）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0"/>
          <w:jc w:val="center"/>
        </w:trPr>
        <w:tc>
          <w:tcPr>
            <w:vMerge w:val="restart"/>
          </w:tcPr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弯矩M2最大的前10个单元的内力（单位：m, kN, kN.m）
 （承载能力）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单元号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位置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轴力N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扭矩M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-5.477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-0.491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-6.241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6.154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0.206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-5.476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-0.501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-6.146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6.129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0.205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1.734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1.183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10.454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4.206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-0.535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1.861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1.186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10.367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4.185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-0.538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-6.385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-0.904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-5.349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0.249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3.482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0.472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-6.277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-0.893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-5.358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0.250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3.466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0.467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-6.978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-1.667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3.694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2.447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2.274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-28.142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-1.111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3.400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-28.057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1.108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2.377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0.062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3.400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-28.164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2.354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0.065</w:t>
            </w:r>
          </w:p>
        </w:tc>
      </w:tr>
    </w:tbl>
    <w:p>
      <w:pPr>
        <w:jc w:val="center"/>
      </w:pPr>
      <w:r>
        <w:drawing>
          <wp:inline distT="0" distB="0" distL="114300" distR="114300">
            <wp:extent cx="5486400" cy="3849370"/>
            <wp:effectExtent l="0" t="0" r="0" b="0"/>
            <wp:docPr id="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49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486400" cy="328930"/>
            <wp:effectExtent l="0" t="0" r="0" b="0"/>
            <wp:docPr id="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1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非线性承载能力弯矩M2最小包络云图:kN.m（整体）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0"/>
          <w:jc w:val="center"/>
        </w:trPr>
        <w:tc>
          <w:tcPr>
            <w:vMerge w:val="restart"/>
          </w:tcPr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弯矩M2最小的前10个单元的内力（单位：m, kN, kN.m）
 （承载能力）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单元号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位置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轴力N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扭矩M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-5.479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-0.502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6.155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-6.148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0.205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-5.464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-0.500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6.207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-6.142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0.205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1.186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-10.333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-4.168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-0.536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1.873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1.170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-10.058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-4.072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-0.528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-6.380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-0.904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5.359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-0.254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-3.496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0.473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-6.325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-0.892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5.310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-0.247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-3.468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0.470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-6.997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-1.669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-3.669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-2.417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2.283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3.400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-28.130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-1.113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-2.382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-7.069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-1.666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-3.518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-2.371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2.273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-16.992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1.224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6.329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-2.005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0.664</w:t>
            </w:r>
          </w:p>
        </w:tc>
      </w:tr>
    </w:tbl>
    <w:p>
      <w:pPr>
        <w:jc w:val="center"/>
      </w:pPr>
      <w:r>
        <w:drawing>
          <wp:inline distT="0" distB="0" distL="114300" distR="114300">
            <wp:extent cx="5486400" cy="3849370"/>
            <wp:effectExtent l="0" t="0" r="0" b="0"/>
            <wp:docPr id="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1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49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486400" cy="328930"/>
            <wp:effectExtent l="0" t="0" r="0" b="0"/>
            <wp:docPr id="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1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非线性承载能力弯矩M3最大包络云图:kN.m（整体）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0"/>
          <w:jc w:val="center"/>
        </w:trPr>
        <w:tc>
          <w:tcPr>
            <w:vMerge w:val="restart"/>
          </w:tcPr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弯矩M3最大的前10个单元的内力（单位：m, kN, kN.m）
 （承载能力）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单元号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位置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轴力N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扭矩M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-17.883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-5.266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-0.323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7.126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-17.893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-5.261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-0.059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7.123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-18.011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-5.256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0.489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7.118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-17.655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-5.257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-0.491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-0.298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7.111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2.006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5.345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7.094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-0.549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5.345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7.115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-0.545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5.344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6.807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1.995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5.344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7.073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-3.085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4.981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7.034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-3.091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4.979</w:t>
            </w:r>
          </w:p>
        </w:tc>
      </w:tr>
    </w:tbl>
    <w:p>
      <w:pPr>
        <w:jc w:val="center"/>
      </w:pPr>
      <w:r>
        <w:drawing>
          <wp:inline distT="0" distB="0" distL="114300" distR="114300">
            <wp:extent cx="5486400" cy="3849370"/>
            <wp:effectExtent l="0" t="0" r="0" b="0"/>
            <wp:docPr id="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1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49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486400" cy="328930"/>
            <wp:effectExtent l="0" t="0" r="0" b="0"/>
            <wp:docPr id="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1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非线性承载能力弯矩M3最小包络云图:kN.m（整体）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0"/>
          <w:jc w:val="center"/>
        </w:trPr>
        <w:tc>
          <w:tcPr>
            <w:vMerge w:val="restart"/>
          </w:tcPr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弯矩M3最小的前10个单元的内力（单位：m, kN, kN.m）
 （承载能力）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单元号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位置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轴力N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扭矩M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-14.715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5.852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-0.447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-0.452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-8.919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-13.804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5.809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-1.460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0.074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-0.783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-8.912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-13.776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5.807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-0.556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-8.894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-13.369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5.647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0.397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0.278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-8.828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-12.795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5.711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-0.712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-0.258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-6.600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-12.504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5.789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-0.484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-0.157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-6.584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-12.428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5.753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-6.568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-12.281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5.675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0.295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-6.560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6.685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-7.955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-6.099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6.716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-7.940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-0.078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-6.095</w:t>
            </w:r>
          </w:p>
        </w:tc>
      </w:tr>
    </w:tbl>
    <w:p>
      <w:pPr>
        <w:numPr>
          <w:ilvl w:val="2"/>
          <w:numId w:val="1"/>
        </w:numPr>
        <w:spacing w:beforeLines="100" w:afterLines="100" w:line="240" w:lineRule="auto"/>
        <w:ind w:left="0" w:right="360" w:firstLineChars="0"/>
        <w:jc w:val="left"/>
        <w:outlineLvl w:val="3"/>
      </w:pPr>
      <w:r>
        <w:rPr>
          <w:rFonts w:ascii="宋体" w:hAnsi="宋体" w:eastAsia="宋体"/>
          <w:b/>
          <w:color w:val="000000"/>
          <w:sz w:val="24"/>
        </w:rPr>
        <w:t>非线性组合包络（正常使用）</w:t>
      </w:r>
    </w:p>
    <w:p>
      <w:pPr>
        <w:jc w:val="center"/>
      </w:pPr>
      <w:r>
        <w:drawing>
          <wp:inline distT="0" distB="0" distL="114300" distR="114300">
            <wp:extent cx="5486400" cy="3849370"/>
            <wp:effectExtent l="0" t="0" r="0" b="0"/>
            <wp:docPr id="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1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49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486400" cy="328930"/>
            <wp:effectExtent l="0" t="0" r="0" b="0"/>
            <wp:docPr id="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1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非线性正常使用轴力N最大包络云图:kN（整体）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0"/>
          <w:jc w:val="center"/>
        </w:trPr>
        <w:tc>
          <w:tcPr>
            <w:vMerge w:val="restart"/>
          </w:tcPr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轴力N最大的前10个单元的内力（单位：m, kN, kN.m）
 （正常使用）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单元号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位置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轴力N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扭矩M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18.670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18.589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18.569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18.567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17.104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17.082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17.082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17.076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17.075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17.053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</w:tbl>
    <w:p>
      <w:pPr>
        <w:jc w:val="center"/>
      </w:pPr>
      <w:r>
        <w:drawing>
          <wp:inline distT="0" distB="0" distL="114300" distR="114300">
            <wp:extent cx="5486400" cy="3849370"/>
            <wp:effectExtent l="0" t="0" r="0" b="0"/>
            <wp:docPr id="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1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49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486400" cy="328930"/>
            <wp:effectExtent l="0" t="0" r="0" b="0"/>
            <wp:docPr id="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1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非线性正常使用轴力N最小包络云图:kN（整体）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0"/>
          <w:jc w:val="center"/>
        </w:trPr>
        <w:tc>
          <w:tcPr>
            <w:vMerge w:val="restart"/>
          </w:tcPr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轴力N最小的前10个单元的内力（单位：m, kN, kN.m）
 （正常使用）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单元号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位置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轴力N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扭矩M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-24.917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0.595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-0.747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-24.768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-0.039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-24.736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-0.577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1.256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-0.025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-24.584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0.551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-0.662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0.046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-24.583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-0.608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0.073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-24.371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-0.051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-18.087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-0.761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-4.455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1.109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-0.076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-18.010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-0.760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-4.387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1.077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-0.071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-17.998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4.423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-1.554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0.377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-17.693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-0.755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4.426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-1.113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-0.080</w:t>
            </w:r>
          </w:p>
        </w:tc>
      </w:tr>
    </w:tbl>
    <w:p>
      <w:pPr>
        <w:jc w:val="center"/>
      </w:pPr>
      <w:r>
        <w:drawing>
          <wp:inline distT="0" distB="0" distL="114300" distR="114300">
            <wp:extent cx="5486400" cy="3849370"/>
            <wp:effectExtent l="0" t="0" r="0" b="0"/>
            <wp:docPr id="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1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49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486400" cy="328930"/>
            <wp:effectExtent l="0" t="0" r="0" b="0"/>
            <wp:docPr id="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1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非线性正常使用弯矩M2最大包络云图:kN.m（整体）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0"/>
          <w:jc w:val="center"/>
        </w:trPr>
        <w:tc>
          <w:tcPr>
            <w:vMerge w:val="restart"/>
          </w:tcPr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弯矩M2最大的前10个单元的内力（单位：m, kN, kN.m）
 （正常使用）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单元号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位置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轴力N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扭矩M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-4.556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-5.096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5.107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0.102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-4.628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-0.123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-5.040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0.102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1.258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0.857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8.702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3.497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-0.379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1.355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0.859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8.608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3.471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-0.381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-5.345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-0.392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-4.445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0.243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2.909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0.203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-5.301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-0.386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-4.487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0.245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2.907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0.198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-5.870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-0.939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2.960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-0.290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1.977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1.181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-23.137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-0.889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1.913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0.006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3.400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-23.060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0.888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1.912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0.005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3.400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-23.160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0.875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0.007</w:t>
            </w:r>
          </w:p>
        </w:tc>
      </w:tr>
    </w:tbl>
    <w:p>
      <w:pPr>
        <w:jc w:val="center"/>
      </w:pPr>
      <w:r>
        <w:drawing>
          <wp:inline distT="0" distB="0" distL="114300" distR="114300">
            <wp:extent cx="5486400" cy="3849370"/>
            <wp:effectExtent l="0" t="0" r="0" b="0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1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49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486400" cy="328930"/>
            <wp:effectExtent l="0" t="0" r="0" b="0"/>
            <wp:docPr id="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1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非线性正常使用弯矩M2最小包络云图:kN.m（整体）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0"/>
          <w:jc w:val="center"/>
        </w:trPr>
        <w:tc>
          <w:tcPr>
            <w:vMerge w:val="restart"/>
          </w:tcPr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弯矩M2最小的前10个单元的内力（单位：m, kN, kN.m）
 （正常使用）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单元号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位置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轴力N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扭矩M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-4.632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-0.124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5.054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-5.103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0.102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-4.622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-0.123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5.085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-5.099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0.102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1.317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0.859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-8.591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-3.462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-0.380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0.848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-8.376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-3.386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-0.373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-5.346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-0.392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4.454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-2.921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0.203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-5.325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-0.383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4.448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-0.242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-2.905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0.202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-5.880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-0.941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-2.943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0.292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-1.949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1.187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3.400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-23.148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-0.893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-1.917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0.002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-6.029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-0.940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-2.769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0.283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-1.891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1.186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-14.053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0.977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5.187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-1.658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0.507</w:t>
            </w:r>
          </w:p>
        </w:tc>
      </w:tr>
    </w:tbl>
    <w:p>
      <w:pPr>
        <w:jc w:val="center"/>
      </w:pPr>
      <w:r>
        <w:drawing>
          <wp:inline distT="0" distB="0" distL="114300" distR="114300">
            <wp:extent cx="5486400" cy="3849370"/>
            <wp:effectExtent l="0" t="0" r="0" b="0"/>
            <wp:docPr id="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1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49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486400" cy="328930"/>
            <wp:effectExtent l="0" t="0" r="0" b="0"/>
            <wp:docPr id="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1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非线性正常使用弯矩M3最大包络云图:kN.m（整体）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0"/>
          <w:jc w:val="center"/>
        </w:trPr>
        <w:tc>
          <w:tcPr>
            <w:vMerge w:val="restart"/>
          </w:tcPr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弯矩M3最大的前10个单元的内力（单位：m, kN, kN.m）
 （正常使用）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单元号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位置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轴力N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扭矩M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-15.075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-3.509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0.317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4.511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-14.878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-3.517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-0.322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-0.224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4.507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-14.859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-3.510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0.703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-0.059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4.501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-14.646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-3.515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-0.489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4.500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5.348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-0.481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3.983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5.129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1.327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3.983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5.095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1.332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3.980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5.321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-0.482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3.980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5.318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-2.251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3.662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5.270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-2.251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3.659</w:t>
            </w:r>
          </w:p>
        </w:tc>
      </w:tr>
    </w:tbl>
    <w:p>
      <w:pPr>
        <w:jc w:val="center"/>
      </w:pPr>
      <w:r>
        <w:drawing>
          <wp:inline distT="0" distB="0" distL="114300" distR="114300">
            <wp:extent cx="5486400" cy="3849370"/>
            <wp:effectExtent l="0" t="0" r="0" b="0"/>
            <wp:docPr id="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1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49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486400" cy="328930"/>
            <wp:effectExtent l="0" t="0" r="0" b="0"/>
            <wp:docPr id="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1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非线性正常使用弯矩M3最小包络云图:kN.m（整体）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0"/>
          <w:jc w:val="center"/>
        </w:trPr>
        <w:tc>
          <w:tcPr>
            <w:vMerge w:val="restart"/>
          </w:tcPr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弯矩M3最小的前10个单元的内力（单位：m, kN, kN.m）
 （正常使用）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单元号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位置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轴力N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扭矩M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-11.091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3.922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-1.134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-0.627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-5.993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-11.746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3.944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-0.403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-0.391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-5.990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-11.062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3.919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-0.054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-5.981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-10.722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0.389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0.271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-5.941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-10.348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3.871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-0.632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-0.216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-4.449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-10.161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3.920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-0.481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-0.139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-4.441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-10.109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3.894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-0.058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-4.430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-9.953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3.844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0.323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-4.422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3.805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4.568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0.076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-4.406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-4.564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0.111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-0.071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-4.396</w:t>
            </w:r>
          </w:p>
        </w:tc>
      </w:tr>
    </w:tbl>
    <w:p>
      <w:pPr>
        <w:numPr>
          <w:ilvl w:val="1"/>
          <w:numId w:val="1"/>
        </w:numPr>
        <w:spacing w:beforeLines="100" w:afterLines="100" w:line="240" w:lineRule="auto"/>
        <w:ind w:left="0" w:right="360" w:firstLineChars="0"/>
        <w:jc w:val="left"/>
        <w:outlineLvl w:val="2"/>
      </w:pPr>
      <w:bookmarkStart w:id="0" w:name="_GoBack"/>
      <w:bookmarkEnd w:id="0"/>
      <w:r>
        <w:rPr>
          <w:rFonts w:ascii="黑体" w:hAnsi="黑体" w:eastAsia="黑体"/>
          <w:color w:val="000000"/>
          <w:sz w:val="24"/>
        </w:rPr>
        <w:t>包络膜应力</w:t>
      </w:r>
    </w:p>
    <w:p>
      <w:pPr>
        <w:jc w:val="center"/>
      </w:pPr>
      <w:r>
        <w:drawing>
          <wp:inline distT="0" distB="0" distL="114300" distR="114300">
            <wp:extent cx="5486400" cy="3163570"/>
            <wp:effectExtent l="0" t="0" r="0" b="0"/>
            <wp:docPr id="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1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163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486400" cy="328930"/>
            <wp:effectExtent l="0" t="0" r="0" b="0"/>
            <wp:docPr id="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1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 xml:space="preserve"> 最大包络应力图:MPa(整体)</w:t>
      </w:r>
    </w:p>
    <w:p>
      <w:pPr>
        <w:jc w:val="center"/>
      </w:pPr>
      <w:r>
        <w:drawing>
          <wp:inline distT="0" distB="0" distL="114300" distR="114300">
            <wp:extent cx="5486400" cy="3163570"/>
            <wp:effectExtent l="0" t="0" r="0" b="0"/>
            <wp:docPr id="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1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163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486400" cy="328930"/>
            <wp:effectExtent l="0" t="0" r="0" b="0"/>
            <wp:docPr id="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1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 xml:space="preserve"> 最小包络应力图:MPa(整体)</w:t>
      </w:r>
    </w:p>
    <w:p>
      <w:pPr>
        <w:numPr>
          <w:ilvl w:val="0"/>
          <w:numId w:val="1"/>
        </w:numPr>
        <w:spacing w:beforeLines="100" w:afterLines="100" w:line="240" w:lineRule="auto"/>
        <w:ind w:left="0" w:right="360" w:firstLineChars="0"/>
        <w:jc w:val="left"/>
        <w:outlineLvl w:val="1"/>
      </w:pPr>
      <w:r>
        <w:rPr>
          <w:rFonts w:ascii="黑体" w:hAnsi="黑体" w:eastAsia="黑体"/>
          <w:color w:val="000000"/>
          <w:sz w:val="28"/>
        </w:rPr>
        <w:t>验算结果</w:t>
      </w:r>
    </w:p>
    <w:p>
      <w:pPr>
        <w:numPr>
          <w:ilvl w:val="1"/>
          <w:numId w:val="1"/>
        </w:numPr>
        <w:spacing w:beforeLines="100" w:afterLines="100" w:line="240" w:lineRule="auto"/>
        <w:ind w:left="0" w:right="360" w:firstLineChars="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杆件应力比限值分布图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0"/>
        <w:gridCol w:w="360"/>
        <w:gridCol w:w="360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2"/>
          <w:jc w:val="center"/>
        </w:trPr>
        <w:tc>
          <w:tcPr>
            <w:vMerge w:val="restart"/>
          </w:tcPr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应力比限值表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应力比下限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应力比上限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</w:tr>
    </w:tbl>
    <w:p>
      <w:pPr>
        <w:jc w:val="center"/>
      </w:pPr>
      <w:r>
        <w:drawing>
          <wp:inline distT="0" distB="0" distL="114300" distR="114300">
            <wp:extent cx="5486400" cy="3849370"/>
            <wp:effectExtent l="0" t="0" r="0" b="0"/>
            <wp:docPr id="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1"/>
                    <pic:cNvPicPr>
                      <a:picLocks noChangeAspect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49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486400" cy="328930"/>
            <wp:effectExtent l="0" t="0" r="0" b="0"/>
            <wp:docPr id="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1"/>
                    <pic:cNvPicPr>
                      <a:picLocks noChangeAspect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应力比限值分布图（整体）</w:t>
      </w:r>
    </w:p>
    <w:p>
      <w:pPr>
        <w:numPr>
          <w:ilvl w:val="1"/>
          <w:numId w:val="1"/>
        </w:numPr>
        <w:spacing w:beforeLines="100" w:afterLines="100" w:line="240" w:lineRule="auto"/>
        <w:ind w:left="0" w:right="360" w:firstLineChars="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杆件应力比分布图</w:t>
      </w:r>
    </w:p>
    <w:p>
      <w:pPr>
        <w:jc w:val="center"/>
      </w:pPr>
      <w:r>
        <w:drawing>
          <wp:inline distT="0" distB="0" distL="0" distR="0">
            <wp:extent cx="5274310" cy="3076575"/>
            <wp:effectExtent l="0" t="0" r="21590" b="9525"/>
            <wp:docPr id="45" name="图表 4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8"/>
              </a:graphicData>
            </a:graphic>
          </wp:inline>
        </w:drawing>
      </w:r>
    </w:p>
    <w:p>
      <w:pPr>
        <w:numPr>
          <w:ilvl w:val="1"/>
          <w:numId w:val="1"/>
        </w:numPr>
        <w:spacing w:beforeLines="100" w:afterLines="100" w:line="240" w:lineRule="auto"/>
        <w:ind w:left="0" w:right="360" w:firstLineChars="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杆件验算结果云图</w:t>
      </w:r>
    </w:p>
    <w:p>
      <w:pPr>
        <w:numPr>
          <w:ilvl w:val="2"/>
          <w:numId w:val="1"/>
        </w:numPr>
        <w:spacing w:beforeLines="100" w:afterLines="100" w:line="240" w:lineRule="auto"/>
        <w:ind w:left="0" w:right="360" w:firstLineChars="0"/>
        <w:jc w:val="left"/>
        <w:outlineLvl w:val="3"/>
      </w:pPr>
      <w:r>
        <w:rPr>
          <w:rFonts w:ascii="宋体" w:hAnsi="宋体" w:eastAsia="宋体"/>
          <w:b/>
          <w:color w:val="000000"/>
          <w:sz w:val="24"/>
        </w:rPr>
        <w:t>强度应力比</w:t>
      </w:r>
    </w:p>
    <w:p>
      <w:pPr>
        <w:jc w:val="center"/>
      </w:pPr>
      <w:r>
        <w:drawing>
          <wp:inline distT="0" distB="0" distL="114300" distR="114300">
            <wp:extent cx="5486400" cy="3849370"/>
            <wp:effectExtent l="0" t="0" r="0" b="0"/>
            <wp:docPr id="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1"/>
                    <pic:cNvPicPr>
                      <a:picLocks noChangeAspect="1"/>
                    </pic:cNvPicPr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49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486400" cy="328930"/>
            <wp:effectExtent l="0" t="0" r="0" b="0"/>
            <wp:docPr id="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picture 1"/>
                    <pic:cNvPicPr>
                      <a:picLocks noChangeAspect="1"/>
                    </pic:cNvPicPr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Lines="50" w:afterLines="50" w:line="240" w:lineRule="auto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按“强度应力比”显示构件颜色（整体）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9"/>
          <w:jc w:val="center"/>
        </w:trPr>
        <w:tc>
          <w:tcPr>
            <w:vMerge w:val="restart"/>
          </w:tcPr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“强度应力比”最大的前 10 个单元的验算结果（所在组合号／情况号）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单元号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强度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绕2轴稳定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绕3轴稳定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沿2轴抗剪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沿3轴抗剪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沿2轴长细比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沿3轴长细比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验算结果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0.639(4/1)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0.636(4/1)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0.635(4/1)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0.630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0.633(11/1)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0.634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0.566(11/1)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0.566(11/1)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0.565(11/1)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0.582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0.561(11/1)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0.578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0.467(11/1)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0.094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0.467(11/1)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0.448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0.095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</w:tbl>
    <w:p>
      <w:pPr>
        <w:spacing w:beforeLines="0" w:afterLines="0" w:line="240" w:lineRule="auto"/>
        <w:ind w:left="360" w:right="360"/>
        <w:jc w:val="left"/>
      </w:pPr>
    </w:p>
    <w:p>
      <w:pPr>
        <w:numPr>
          <w:ilvl w:val="2"/>
          <w:numId w:val="1"/>
        </w:numPr>
        <w:spacing w:beforeLines="100" w:afterLines="100" w:line="240" w:lineRule="auto"/>
        <w:ind w:left="0" w:right="360" w:firstLineChars="0"/>
        <w:jc w:val="left"/>
        <w:outlineLvl w:val="3"/>
      </w:pPr>
      <w:r>
        <w:rPr>
          <w:rFonts w:ascii="宋体" w:hAnsi="宋体" w:eastAsia="宋体"/>
          <w:b/>
          <w:color w:val="000000"/>
          <w:sz w:val="24"/>
        </w:rPr>
        <w:t>绕2轴稳定应力比</w:t>
      </w:r>
    </w:p>
    <w:p>
      <w:pPr>
        <w:jc w:val="center"/>
      </w:pPr>
      <w:r>
        <w:drawing>
          <wp:inline distT="0" distB="0" distL="114300" distR="114300">
            <wp:extent cx="5486400" cy="3849370"/>
            <wp:effectExtent l="0" t="0" r="0" b="0"/>
            <wp:docPr id="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1"/>
                    <pic:cNvPicPr>
                      <a:picLocks noChangeAspect="1"/>
                    </pic:cNvPicPr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49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486400" cy="328930"/>
            <wp:effectExtent l="0" t="0" r="0" b="0"/>
            <wp:docPr id="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1"/>
                    <pic:cNvPicPr>
                      <a:picLocks noChangeAspect="1"/>
                    </pic:cNvPicPr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Lines="0" w:afterLines="0" w:line="240" w:lineRule="auto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按“绕2轴稳定应力比”显示构件颜色（整体）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9"/>
          <w:jc w:val="center"/>
        </w:trPr>
        <w:tc>
          <w:tcPr>
            <w:vMerge w:val="restart"/>
          </w:tcPr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“绕2轴稳定应力比”最大的前 10 个单元的验算结果（所在组合号／情况号）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单元号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强度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绕2轴稳定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绕3轴稳定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沿2轴抗剪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沿3轴抗剪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沿2轴长细比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沿3轴长细比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验算结果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0.639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0.635(11/1)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0.634(11/1)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0.636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0.631(11/1)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0.630(11/1)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0.443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0.433(4/1)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0.516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0.442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0.431(4/1)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0.514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0.427(4/1)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0.419(4/1)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0.371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0.372(11/1)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0.370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0.369(11/1)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</w:tbl>
    <w:p>
      <w:pPr>
        <w:spacing w:beforeLines="0" w:afterLines="0" w:line="240" w:lineRule="auto"/>
        <w:ind w:left="360" w:right="360"/>
        <w:jc w:val="left"/>
      </w:pPr>
    </w:p>
    <w:p>
      <w:pPr>
        <w:numPr>
          <w:ilvl w:val="2"/>
          <w:numId w:val="1"/>
        </w:numPr>
        <w:spacing w:beforeLines="100" w:afterLines="100" w:line="240" w:lineRule="auto"/>
        <w:ind w:left="0" w:right="360" w:firstLineChars="0"/>
        <w:jc w:val="left"/>
        <w:outlineLvl w:val="3"/>
      </w:pPr>
      <w:r>
        <w:rPr>
          <w:rFonts w:ascii="宋体" w:hAnsi="宋体" w:eastAsia="宋体"/>
          <w:b/>
          <w:color w:val="000000"/>
          <w:sz w:val="24"/>
        </w:rPr>
        <w:t>绕3轴稳定应力比</w:t>
      </w:r>
    </w:p>
    <w:p>
      <w:pPr>
        <w:jc w:val="center"/>
      </w:pPr>
      <w:r>
        <w:drawing>
          <wp:inline distT="0" distB="0" distL="114300" distR="114300">
            <wp:extent cx="5486400" cy="3849370"/>
            <wp:effectExtent l="0" t="0" r="0" b="0"/>
            <wp:docPr id="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1"/>
                    <pic:cNvPicPr>
                      <a:picLocks noChangeAspect="1"/>
                    </pic:cNvPicPr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49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486400" cy="328930"/>
            <wp:effectExtent l="0" t="0" r="0" b="0"/>
            <wp:docPr id="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1"/>
                    <pic:cNvPicPr>
                      <a:picLocks noChangeAspect="1"/>
                    </pic:cNvPicPr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Lines="0" w:afterLines="0" w:line="240" w:lineRule="auto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按“绕3轴稳定应力比”显示构件颜色（整体）</w:t>
      </w:r>
    </w:p>
    <w:tbl>
      <w:tblPr>
        <w:tblStyle w:val="2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9"/>
          <w:jc w:val="center"/>
        </w:trPr>
        <w:tc>
          <w:tcPr>
            <w:vMerge w:val="restart"/>
          </w:tcPr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“绕3轴稳定应力比”最大的前 10 个单元的验算结果（所在组合号／情况号）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单元号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强度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绕2轴稳定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绕3轴稳定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沿2轴抗剪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沿3轴抗剪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沿2轴长细比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沿3轴长细比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验算结果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0.639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0.759(4/1)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0.636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0.756(4/1)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0.634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0.755(11/1)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0.635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0.630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0.755(11/1)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84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0.584(3/1)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0.566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0.582(3/1)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0.582(3/1)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0.561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0.578(3/1)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0.443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0.433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0.516(4/1)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0.059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56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0.442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0.514(4/1)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0.012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0.058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</w:t>
            </w:r>
          </w:p>
        </w:tc>
        <w:tc>
          <w:p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</w:tbl>
    <w:p>
      <w:pPr>
        <w:spacing w:beforeLines="0" w:afterLines="0" w:line="240" w:lineRule="auto"/>
        <w:ind w:left="360" w:right="360"/>
        <w:jc w:val="left"/>
      </w:pPr>
    </w:p>
    <w:p>
      <w:pPr>
        <w:numPr>
          <w:ilvl w:val="1"/>
          <w:numId w:val="1"/>
        </w:numPr>
        <w:spacing w:beforeLines="100" w:afterLines="100" w:line="240" w:lineRule="auto"/>
        <w:ind w:left="0" w:right="360" w:firstLineChars="0"/>
        <w:jc w:val="left"/>
        <w:outlineLvl w:val="2"/>
      </w:pPr>
      <w:r>
        <w:rPr>
          <w:rFonts w:ascii="黑体" w:hAnsi="黑体" w:eastAsia="黑体"/>
          <w:color w:val="000000"/>
          <w:sz w:val="24"/>
        </w:rPr>
        <w:t>膜面验算结果</w:t>
      </w:r>
    </w:p>
    <w:p>
      <w:pPr>
        <w:numPr>
          <w:ilvl w:val="2"/>
          <w:numId w:val="1"/>
        </w:numPr>
        <w:spacing w:beforeLines="100" w:afterLines="100" w:line="240" w:lineRule="auto"/>
        <w:ind w:left="0" w:right="360" w:firstLineChars="0"/>
        <w:jc w:val="left"/>
        <w:outlineLvl w:val="3"/>
      </w:pPr>
      <w:r>
        <w:rPr>
          <w:rFonts w:ascii="宋体" w:hAnsi="宋体" w:eastAsia="宋体"/>
          <w:b/>
          <w:color w:val="000000"/>
          <w:sz w:val="24"/>
        </w:rPr>
        <w:t>膜面应力比云图</w:t>
      </w:r>
    </w:p>
    <w:p>
      <w:pPr>
        <w:jc w:val="center"/>
      </w:pPr>
      <w:r>
        <w:drawing>
          <wp:inline distT="0" distB="0" distL="114300" distR="114300">
            <wp:extent cx="5486400" cy="3163570"/>
            <wp:effectExtent l="0" t="0" r="0" b="0"/>
            <wp:docPr id="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icture 1"/>
                    <pic:cNvPicPr>
                      <a:picLocks noChangeAspect="1"/>
                    </pic:cNvPicPr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163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486400" cy="328930"/>
            <wp:effectExtent l="0" t="0" r="0" b="0"/>
            <wp:docPr id="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1"/>
                    <pic:cNvPicPr>
                      <a:picLocks noChangeAspect="1"/>
                    </pic:cNvPicPr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Lines="0" w:afterLines="0" w:line="240" w:lineRule="auto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 xml:space="preserve"> 最大应力比图(整体)</w:t>
      </w:r>
    </w:p>
    <w:p>
      <w:pPr>
        <w:jc w:val="center"/>
      </w:pPr>
      <w:r>
        <w:drawing>
          <wp:inline distT="0" distB="0" distL="114300" distR="114300">
            <wp:extent cx="5486400" cy="3163570"/>
            <wp:effectExtent l="0" t="0" r="0" b="0"/>
            <wp:docPr id="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1"/>
                    <pic:cNvPicPr>
                      <a:picLocks noChangeAspect="1"/>
                    </pic:cNvPicPr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163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486400" cy="328930"/>
            <wp:effectExtent l="0" t="0" r="0" b="0"/>
            <wp:docPr id="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1"/>
                    <pic:cNvPicPr>
                      <a:picLocks noChangeAspect="1"/>
                    </pic:cNvPicPr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Lines="0" w:afterLines="0" w:line="240" w:lineRule="auto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 xml:space="preserve"> 最小应力比图(整体)</w:t>
      </w:r>
    </w:p>
    <w:sect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A40A26"/>
    <w:multiLevelType w:val="multilevel"/>
    <w:tmpl w:val="61A40A26"/>
    <w:lvl w:ilvl="0" w:tentative="0">
      <w:start w:val="1"/>
      <w:numFmt w:val="decimal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kNTg5NjAwYjdlMDhiZjdiNDdiZmUzYzhkZDBjYTkifQ=="/>
  </w:docVars>
  <w:rsids>
    <w:rsidRoot w:val="00000000"/>
    <w:rsid w:val="001E09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chart" Target="charts/chart1.xml"/><Relationship Id="rId7" Type="http://schemas.openxmlformats.org/officeDocument/2006/relationships/image" Target="media/image4.wmf"/><Relationship Id="rId60" Type="http://schemas.openxmlformats.org/officeDocument/2006/relationships/fontTable" Target="fontTable.xml"/><Relationship Id="rId6" Type="http://schemas.openxmlformats.org/officeDocument/2006/relationships/image" Target="media/image3.wmf"/><Relationship Id="rId59" Type="http://schemas.openxmlformats.org/officeDocument/2006/relationships/numbering" Target="numbering.xml"/><Relationship Id="rId58" Type="http://schemas.openxmlformats.org/officeDocument/2006/relationships/image" Target="media/image53.wmf"/><Relationship Id="rId57" Type="http://schemas.openxmlformats.org/officeDocument/2006/relationships/image" Target="media/image52.wmf"/><Relationship Id="rId56" Type="http://schemas.openxmlformats.org/officeDocument/2006/relationships/image" Target="media/image51.wmf"/><Relationship Id="rId55" Type="http://schemas.openxmlformats.org/officeDocument/2006/relationships/image" Target="media/image50.wmf"/><Relationship Id="rId54" Type="http://schemas.openxmlformats.org/officeDocument/2006/relationships/image" Target="media/image49.wmf"/><Relationship Id="rId53" Type="http://schemas.openxmlformats.org/officeDocument/2006/relationships/image" Target="media/image48.wmf"/><Relationship Id="rId52" Type="http://schemas.openxmlformats.org/officeDocument/2006/relationships/image" Target="media/image47.wmf"/><Relationship Id="rId51" Type="http://schemas.openxmlformats.org/officeDocument/2006/relationships/image" Target="media/image46.wmf"/><Relationship Id="rId50" Type="http://schemas.openxmlformats.org/officeDocument/2006/relationships/image" Target="media/image45.wmf"/><Relationship Id="rId5" Type="http://schemas.openxmlformats.org/officeDocument/2006/relationships/image" Target="media/image2.wmf"/><Relationship Id="rId49" Type="http://schemas.openxmlformats.org/officeDocument/2006/relationships/image" Target="media/image44.wmf"/><Relationship Id="rId48" Type="http://schemas.openxmlformats.org/officeDocument/2006/relationships/chart" Target="charts/chart2.xml"/><Relationship Id="rId47" Type="http://schemas.openxmlformats.org/officeDocument/2006/relationships/image" Target="media/image43.wmf"/><Relationship Id="rId46" Type="http://schemas.openxmlformats.org/officeDocument/2006/relationships/image" Target="media/image42.wmf"/><Relationship Id="rId45" Type="http://schemas.openxmlformats.org/officeDocument/2006/relationships/image" Target="media/image41.wmf"/><Relationship Id="rId44" Type="http://schemas.openxmlformats.org/officeDocument/2006/relationships/image" Target="media/image40.wmf"/><Relationship Id="rId43" Type="http://schemas.openxmlformats.org/officeDocument/2006/relationships/image" Target="media/image39.wmf"/><Relationship Id="rId42" Type="http://schemas.openxmlformats.org/officeDocument/2006/relationships/image" Target="media/image38.wmf"/><Relationship Id="rId41" Type="http://schemas.openxmlformats.org/officeDocument/2006/relationships/image" Target="media/image37.wmf"/><Relationship Id="rId40" Type="http://schemas.openxmlformats.org/officeDocument/2006/relationships/image" Target="media/image36.wmf"/><Relationship Id="rId4" Type="http://schemas.openxmlformats.org/officeDocument/2006/relationships/image" Target="media/image1.wmf"/><Relationship Id="rId39" Type="http://schemas.openxmlformats.org/officeDocument/2006/relationships/image" Target="media/image35.wmf"/><Relationship Id="rId38" Type="http://schemas.openxmlformats.org/officeDocument/2006/relationships/image" Target="media/image34.wmf"/><Relationship Id="rId37" Type="http://schemas.openxmlformats.org/officeDocument/2006/relationships/image" Target="media/image33.wmf"/><Relationship Id="rId36" Type="http://schemas.openxmlformats.org/officeDocument/2006/relationships/image" Target="media/image32.wmf"/><Relationship Id="rId35" Type="http://schemas.openxmlformats.org/officeDocument/2006/relationships/image" Target="media/image31.wmf"/><Relationship Id="rId34" Type="http://schemas.openxmlformats.org/officeDocument/2006/relationships/image" Target="media/image30.wmf"/><Relationship Id="rId33" Type="http://schemas.openxmlformats.org/officeDocument/2006/relationships/image" Target="media/image29.wmf"/><Relationship Id="rId32" Type="http://schemas.openxmlformats.org/officeDocument/2006/relationships/image" Target="media/image28.wmf"/><Relationship Id="rId31" Type="http://schemas.openxmlformats.org/officeDocument/2006/relationships/image" Target="media/image27.wmf"/><Relationship Id="rId30" Type="http://schemas.openxmlformats.org/officeDocument/2006/relationships/image" Target="media/image26.wmf"/><Relationship Id="rId3" Type="http://schemas.openxmlformats.org/officeDocument/2006/relationships/theme" Target="theme/theme1.xml"/><Relationship Id="rId29" Type="http://schemas.openxmlformats.org/officeDocument/2006/relationships/image" Target="media/image25.wmf"/><Relationship Id="rId28" Type="http://schemas.openxmlformats.org/officeDocument/2006/relationships/image" Target="media/image24.wmf"/><Relationship Id="rId27" Type="http://schemas.openxmlformats.org/officeDocument/2006/relationships/image" Target="media/image23.wmf"/><Relationship Id="rId26" Type="http://schemas.openxmlformats.org/officeDocument/2006/relationships/image" Target="media/image22.wmf"/><Relationship Id="rId25" Type="http://schemas.openxmlformats.org/officeDocument/2006/relationships/image" Target="media/image21.wmf"/><Relationship Id="rId24" Type="http://schemas.openxmlformats.org/officeDocument/2006/relationships/image" Target="media/image20.wmf"/><Relationship Id="rId23" Type="http://schemas.openxmlformats.org/officeDocument/2006/relationships/image" Target="media/image19.wmf"/><Relationship Id="rId22" Type="http://schemas.openxmlformats.org/officeDocument/2006/relationships/image" Target="media/image18.wmf"/><Relationship Id="rId21" Type="http://schemas.openxmlformats.org/officeDocument/2006/relationships/image" Target="media/image17.wmf"/><Relationship Id="rId20" Type="http://schemas.openxmlformats.org/officeDocument/2006/relationships/image" Target="media/image16.wmf"/><Relationship Id="rId2" Type="http://schemas.openxmlformats.org/officeDocument/2006/relationships/settings" Target="settings.xml"/><Relationship Id="rId19" Type="http://schemas.openxmlformats.org/officeDocument/2006/relationships/image" Target="media/image15.wmf"/><Relationship Id="rId18" Type="http://schemas.openxmlformats.org/officeDocument/2006/relationships/image" Target="media/image14.wmf"/><Relationship Id="rId17" Type="http://schemas.openxmlformats.org/officeDocument/2006/relationships/image" Target="media/image13.wmf"/><Relationship Id="rId16" Type="http://schemas.openxmlformats.org/officeDocument/2006/relationships/image" Target="media/image12.wmf"/><Relationship Id="rId15" Type="http://schemas.openxmlformats.org/officeDocument/2006/relationships/image" Target="media/image11.wmf"/><Relationship Id="rId14" Type="http://schemas.openxmlformats.org/officeDocument/2006/relationships/image" Target="media/image10.wmf"/><Relationship Id="rId13" Type="http://schemas.openxmlformats.org/officeDocument/2006/relationships/image" Target="media/image9.wmf"/><Relationship Id="rId12" Type="http://schemas.openxmlformats.org/officeDocument/2006/relationships/image" Target="media/image8.wmf"/><Relationship Id="rId11" Type="http://schemas.openxmlformats.org/officeDocument/2006/relationships/image" Target="media/image7.wmf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Workbook2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Workbook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8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zh-CN" altLang="en-US" sz="1200">
                <a:latin typeface="+mn-ea"/>
                <a:ea typeface="+mn-ea"/>
              </a:rPr>
              <a:t>材料统计图</a:t>
            </a:r>
            <a:endParaRPr lang="zh-CN" altLang="en-US" sz="1200">
              <a:latin typeface="+mn-ea"/>
              <a:ea typeface="+mn-ea"/>
            </a:endParaRPr>
          </a:p>
        </c:rich>
      </c:tx>
      <c:layout/>
      <c:overlay val="0"/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圆管截面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  <c15:leaderLines/>
              </c:ext>
            </c:extLst>
          </c:dLbls>
          <c:cat>
            <c:strRef>
              <c:f>Sheet1!$A$2:$A$3</c:f>
              <c:strCache>
                <c:ptCount val="5"/>
                <c:pt idx="0">
                  <c:v>Q235B</c:v>
                </c:pt>
                <c:pt idx="1">
                  <c:v>钢绞线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5"/>
                <c:pt idx="0">
                  <c:v>225.927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矩形空心型钢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  <c15:leaderLines/>
              </c:ext>
            </c:extLst>
          </c:dLbls>
          <c:cat>
            <c:strRef>
              <c:f>Sheet1!$A$2:$A$3</c:f>
              <c:strCache>
                <c:ptCount val="5"/>
                <c:pt idx="0">
                  <c:v>Q235B</c:v>
                </c:pt>
                <c:pt idx="1">
                  <c:v>钢绞线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5"/>
                <c:pt idx="0">
                  <c:v>291.079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工字形楔形截面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  <c15:leaderLines/>
              </c:ext>
            </c:extLst>
          </c:dLbls>
          <c:cat>
            <c:strRef>
              <c:f>Sheet1!$A$2:$A$3</c:f>
              <c:strCache>
                <c:ptCount val="5"/>
                <c:pt idx="0">
                  <c:v>Q235B</c:v>
                </c:pt>
                <c:pt idx="1">
                  <c:v>钢绞线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5"/>
                <c:pt idx="0">
                  <c:v>409.17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焊接对称工字型截面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  <c15:leaderLines/>
              </c:ext>
            </c:extLst>
          </c:dLbls>
          <c:cat>
            <c:strRef>
              <c:f>Sheet1!$A$2:$A$3</c:f>
              <c:strCache>
                <c:ptCount val="5"/>
                <c:pt idx="0">
                  <c:v>Q235B</c:v>
                </c:pt>
                <c:pt idx="1">
                  <c:v>钢绞线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5"/>
                <c:pt idx="0">
                  <c:v>237.279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钢绞线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  <c15:leaderLines/>
              </c:ext>
            </c:extLst>
          </c:dLbls>
          <c:cat>
            <c:strRef>
              <c:f>Sheet1!$A$2:$A$3</c:f>
              <c:strCache>
                <c:ptCount val="5"/>
                <c:pt idx="0">
                  <c:v>Q235B</c:v>
                </c:pt>
                <c:pt idx="1">
                  <c:v>钢绞线</c:v>
                </c:pt>
              </c:strCache>
            </c:strRef>
          </c:cat>
          <c:val>
            <c:numRef>
              <c:f>Sheet1!$F$2:$F$3</c:f>
              <c:numCache>
                <c:formatCode>General</c:formatCode>
                <c:ptCount val="5"/>
                <c:pt idx="1">
                  <c:v>16.294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189192832"/>
        <c:axId val="189334272"/>
      </c:barChart>
      <c:catAx>
        <c:axId val="189192832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材料类型</a:t>
                </a:r>
                <a:endParaRPr lang="zh-CN" altLang="en-US"/>
              </a:p>
            </c:rich>
          </c:tx>
          <c:layout/>
          <c:overlay val="0"/>
        </c:title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189334272"/>
        <c:crosses val="autoZero"/>
        <c:auto val="1"/>
        <c:lblAlgn val="ctr"/>
        <c:lblOffset val="100"/>
        <c:noMultiLvlLbl val="0"/>
      </c:catAx>
      <c:valAx>
        <c:axId val="189334272"/>
        <c:scaling>
          <c:orientation val="minMax"/>
        </c:scaling>
        <c:delete val="0"/>
        <c:axPos val="l"/>
        <c:maj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材料用量(kg)</a:t>
                </a:r>
                <a:endParaRPr lang="zh-CN" altLang="en-US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189192832"/>
        <c:crosses val="autoZero"/>
        <c:crossBetween val="between"/>
      </c:valAx>
    </c:plotArea>
    <c:legend>
      <c:legendPos val="r"/>
      <c:layout/>
      <c:overlay val="0"/>
      <c:txPr>
        <a:bodyPr rot="0" spcFirstLastPara="0" vertOverflow="ellipsis" vert="horz" wrap="square" anchor="ctr" anchorCtr="1"/>
        <a:lstStyle/>
        <a:p>
          <a:pPr>
            <a:defRPr lang="zh-CN" sz="10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</c:chart>
  <c:spPr>
    <a:ln w="9525" cap="flat" cmpd="sng" algn="ctr">
      <a:noFill/>
      <a:prstDash val="solid"/>
      <a:round/>
    </a:ln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8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zh-CN" altLang="en-US" sz="1200">
                <a:latin typeface="+mn-ea"/>
                <a:ea typeface="+mn-ea"/>
              </a:rPr>
              <a:t>杆件应力比分布图</a:t>
            </a:r>
            <a:endParaRPr lang="zh-CN" altLang="en-US" sz="1200">
              <a:latin typeface="+mn-ea"/>
              <a:ea typeface="+mn-ea"/>
            </a:endParaRPr>
          </a:p>
        </c:rich>
      </c:tx>
      <c:layout/>
      <c:overlay val="0"/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百分比（%）</c:v>
                </c:pt>
              </c:strCache>
            </c:strRef>
          </c:tx>
          <c:invertIfNegative val="0"/>
          <c:dLbls>
            <c:delete val="1"/>
          </c:dLbls>
          <c:cat>
            <c:strRef>
              <c:f>Sheet1!$A$2:$A$11</c:f>
              <c:strCache>
                <c:ptCount val="5"/>
                <c:pt idx="0">
                  <c:v>0.0-0.1</c:v>
                </c:pt>
                <c:pt idx="1">
                  <c:v>0.1-0.2</c:v>
                </c:pt>
                <c:pt idx="2">
                  <c:v>0.2-0.3</c:v>
                </c:pt>
                <c:pt idx="3">
                  <c:v>0.3-0.4</c:v>
                </c:pt>
                <c:pt idx="4">
                  <c:v>0.4-0.5</c:v>
                </c:pt>
              </c:strCache>
            </c:strRef>
          </c:cat>
          <c:val>
            <c:numRef>
              <c:f>Sheet1!$B$2:$B$11</c:f>
              <c:numCache>
                <c:formatCode>General</c:formatCode>
                <c:ptCount val="5"/>
                <c:pt idx="0">
                  <c:v>9.8</c:v>
                </c:pt>
                <c:pt idx="1">
                  <c:v>32.1</c:v>
                </c:pt>
                <c:pt idx="2">
                  <c:v>2.7</c:v>
                </c:pt>
                <c:pt idx="3">
                  <c:v>37.5</c:v>
                </c:pt>
                <c:pt idx="4">
                  <c:v>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89192832"/>
        <c:axId val="189334272"/>
      </c:barChart>
      <c:catAx>
        <c:axId val="189192832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应力比</a:t>
                </a:r>
                <a:endParaRPr lang="zh-CN" altLang="en-US"/>
              </a:p>
            </c:rich>
          </c:tx>
          <c:layout/>
          <c:overlay val="0"/>
        </c:title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189334272"/>
        <c:crosses val="autoZero"/>
        <c:auto val="1"/>
        <c:lblAlgn val="ctr"/>
        <c:lblOffset val="100"/>
        <c:noMultiLvlLbl val="0"/>
      </c:catAx>
      <c:valAx>
        <c:axId val="189334272"/>
        <c:scaling>
          <c:orientation val="minMax"/>
        </c:scaling>
        <c:delete val="0"/>
        <c:axPos val="l"/>
        <c:maj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百分比（%）</a:t>
                </a:r>
                <a:endParaRPr lang="zh-CN" altLang="en-US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189192832"/>
        <c:crosses val="autoZero"/>
        <c:crossBetween val="between"/>
      </c:valAx>
    </c:plotArea>
    <c:legend>
      <c:legendPos val="r"/>
      <c:layout/>
      <c:overlay val="0"/>
      <c:txPr>
        <a:bodyPr rot="0" spcFirstLastPara="0" vertOverflow="ellipsis" vert="horz" wrap="square" anchor="ctr" anchorCtr="1"/>
        <a:lstStyle/>
        <a:p>
          <a:pPr>
            <a:defRPr lang="zh-CN" sz="10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</c:chart>
  <c:spPr>
    <a:ln w="9525" cap="flat" cmpd="sng" algn="ctr">
      <a:noFill/>
      <a:prstDash val="solid"/>
      <a:round/>
    </a:ln>
  </c:spPr>
  <c:txPr>
    <a:bodyPr/>
    <a:lstStyle/>
    <a:p>
      <a:pPr>
        <a:defRPr lang="zh-CN"/>
      </a:pPr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50</Pages>
  <Words>9172</Words>
  <Characters>28081</Characters>
  <TotalTime>2</TotalTime>
  <ScaleCrop>false</ScaleCrop>
  <LinksUpToDate>false</LinksUpToDate>
  <CharactersWithSpaces>28662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2024-06-01T04:39:38Z</dcterms:created>
  <dc:creator>Administrator</dc:creator>
  <cp:lastModifiedBy>张明</cp:lastModifiedBy>
  <dcterms:modified xsi:type="dcterms:W3CDTF">2024-06-01T04:42:17Z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72D86DFB891D4582816C1A3FAAA83E48_13</vt:lpwstr>
  </property>
</Properties>
</file>