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ind w:firstLine="0"/>
        <w:rPr>
          <w:rFonts w:hint="eastAsia" w:ascii="黑体" w:hAnsi="黑体" w:eastAsia="黑体" w:cs="黑体"/>
          <w:b/>
          <w:color w:val="auto"/>
          <w:sz w:val="52"/>
          <w:szCs w:val="52"/>
          <w:highlight w:val="none"/>
        </w:rPr>
      </w:pPr>
    </w:p>
    <w:p>
      <w:pPr>
        <w:pStyle w:val="7"/>
        <w:rPr>
          <w:rFonts w:hint="eastAsia" w:ascii="黑体" w:hAnsi="黑体" w:eastAsia="黑体" w:cs="黑体"/>
          <w:color w:val="auto"/>
          <w:highlight w:val="none"/>
        </w:rPr>
      </w:pPr>
      <w:bookmarkStart w:id="8" w:name="_GoBack"/>
      <w:bookmarkEnd w:id="8"/>
    </w:p>
    <w:p>
      <w:pPr>
        <w:pStyle w:val="121"/>
        <w:ind w:firstLine="0"/>
        <w:jc w:val="center"/>
        <w:rPr>
          <w:rFonts w:hint="eastAsia" w:ascii="黑体" w:hAnsi="黑体" w:eastAsia="黑体" w:cs="黑体"/>
          <w:color w:val="auto"/>
          <w:sz w:val="84"/>
          <w:highlight w:val="none"/>
        </w:rPr>
      </w:pPr>
      <w:bookmarkStart w:id="0" w:name="OLE_LINK1"/>
      <w:bookmarkStart w:id="1" w:name="OLE_LINK9"/>
      <w:bookmarkStart w:id="2" w:name="OLE_LINK2"/>
      <w:bookmarkStart w:id="3" w:name="OLE_LINK3"/>
      <w:r>
        <w:rPr>
          <w:rFonts w:hint="eastAsia" w:ascii="黑体" w:hAnsi="黑体" w:eastAsia="黑体" w:cs="黑体"/>
          <w:color w:val="auto"/>
          <w:sz w:val="84"/>
          <w:highlight w:val="none"/>
        </w:rPr>
        <w:t>竞争性谈判文件</w:t>
      </w:r>
    </w:p>
    <w:p>
      <w:pPr>
        <w:pStyle w:val="121"/>
        <w:ind w:firstLine="0"/>
        <w:jc w:val="center"/>
        <w:rPr>
          <w:rFonts w:hint="eastAsia" w:ascii="黑体" w:hAnsi="黑体" w:eastAsia="黑体" w:cs="黑体"/>
          <w:b/>
          <w:bCs/>
          <w:color w:val="auto"/>
          <w:sz w:val="84"/>
          <w:highlight w:val="none"/>
        </w:rPr>
      </w:pPr>
    </w:p>
    <w:p>
      <w:pPr>
        <w:pStyle w:val="121"/>
        <w:ind w:firstLine="0"/>
        <w:jc w:val="center"/>
        <w:rPr>
          <w:rFonts w:hint="eastAsia" w:ascii="黑体" w:hAnsi="黑体" w:eastAsia="黑体" w:cs="黑体"/>
          <w:b/>
          <w:bCs/>
          <w:color w:val="auto"/>
          <w:sz w:val="84"/>
          <w:highlight w:val="none"/>
        </w:rPr>
      </w:pPr>
    </w:p>
    <w:p>
      <w:pPr>
        <w:pStyle w:val="121"/>
        <w:ind w:left="2629" w:leftChars="495" w:hanging="1590" w:hangingChars="495"/>
        <w:jc w:val="both"/>
        <w:rPr>
          <w:rFonts w:hint="eastAsia" w:ascii="黑体" w:hAnsi="黑体" w:eastAsia="黑体" w:cs="黑体"/>
          <w:color w:val="auto"/>
          <w:sz w:val="28"/>
          <w:szCs w:val="28"/>
          <w:highlight w:val="none"/>
          <w:lang w:eastAsia="zh-CN"/>
        </w:rPr>
      </w:pPr>
      <w:r>
        <w:rPr>
          <w:rFonts w:hint="eastAsia" w:ascii="黑体" w:hAnsi="黑体" w:eastAsia="黑体" w:cs="黑体"/>
          <w:b/>
          <w:bCs/>
          <w:color w:val="auto"/>
          <w:sz w:val="32"/>
          <w:highlight w:val="none"/>
        </w:rPr>
        <w:t>项目名称：</w:t>
      </w:r>
      <w:r>
        <w:rPr>
          <w:rFonts w:hint="eastAsia" w:ascii="黑体" w:hAnsi="黑体" w:eastAsia="黑体" w:cs="黑体"/>
          <w:b/>
          <w:bCs/>
          <w:color w:val="auto"/>
          <w:sz w:val="32"/>
          <w:szCs w:val="32"/>
          <w:highlight w:val="none"/>
          <w:u w:val="single"/>
          <w:lang w:eastAsia="zh-CN"/>
        </w:rPr>
        <w:t>南通市通海中学教学装备采购及安装项目</w:t>
      </w:r>
    </w:p>
    <w:p>
      <w:pPr>
        <w:pStyle w:val="121"/>
        <w:spacing w:before="0" w:after="0"/>
        <w:ind w:firstLine="1054" w:firstLineChars="328"/>
        <w:rPr>
          <w:rFonts w:hint="eastAsia" w:ascii="黑体" w:hAnsi="黑体" w:eastAsia="黑体" w:cs="黑体"/>
          <w:b/>
          <w:bCs/>
          <w:color w:val="auto"/>
          <w:sz w:val="28"/>
          <w:szCs w:val="28"/>
          <w:highlight w:val="none"/>
          <w:u w:val="single"/>
          <w:lang w:val="en-US" w:eastAsia="zh-CN"/>
        </w:rPr>
      </w:pPr>
      <w:r>
        <w:rPr>
          <w:rFonts w:hint="eastAsia" w:ascii="黑体" w:hAnsi="黑体" w:eastAsia="黑体" w:cs="黑体"/>
          <w:b/>
          <w:bCs/>
          <w:color w:val="auto"/>
          <w:sz w:val="32"/>
          <w:highlight w:val="none"/>
        </w:rPr>
        <w:t>项目编号：</w:t>
      </w:r>
      <w:r>
        <w:rPr>
          <w:rFonts w:hint="eastAsia" w:ascii="黑体" w:hAnsi="黑体" w:eastAsia="黑体" w:cs="黑体"/>
          <w:b/>
          <w:bCs/>
          <w:color w:val="auto"/>
          <w:sz w:val="32"/>
          <w:highlight w:val="none"/>
          <w:u w:val="single"/>
          <w:lang w:val="en-US" w:eastAsia="zh-CN"/>
        </w:rPr>
        <w:t xml:space="preserve">  NTRTJT2023011                   </w:t>
      </w:r>
    </w:p>
    <w:p>
      <w:pPr>
        <w:pStyle w:val="121"/>
        <w:spacing w:before="0" w:after="0"/>
        <w:ind w:firstLine="0"/>
        <w:rPr>
          <w:rFonts w:hint="eastAsia" w:ascii="黑体" w:hAnsi="黑体" w:eastAsia="黑体" w:cs="黑体"/>
          <w:color w:val="auto"/>
          <w:highlight w:val="none"/>
        </w:rPr>
      </w:pPr>
    </w:p>
    <w:p>
      <w:pPr>
        <w:pStyle w:val="121"/>
        <w:spacing w:before="0" w:after="0"/>
        <w:ind w:firstLine="0"/>
        <w:rPr>
          <w:rFonts w:hint="eastAsia" w:ascii="黑体" w:hAnsi="黑体" w:eastAsia="黑体" w:cs="黑体"/>
          <w:color w:val="auto"/>
          <w:highlight w:val="none"/>
        </w:rPr>
      </w:pPr>
    </w:p>
    <w:p>
      <w:pPr>
        <w:pStyle w:val="121"/>
        <w:spacing w:before="0" w:after="0"/>
        <w:ind w:firstLine="0"/>
        <w:rPr>
          <w:rFonts w:hint="eastAsia" w:ascii="黑体" w:hAnsi="黑体" w:eastAsia="黑体" w:cs="黑体"/>
          <w:color w:val="auto"/>
          <w:highlight w:val="none"/>
        </w:rPr>
      </w:pPr>
    </w:p>
    <w:p>
      <w:pPr>
        <w:pStyle w:val="121"/>
        <w:spacing w:before="0" w:after="0"/>
        <w:ind w:firstLine="0"/>
        <w:rPr>
          <w:rFonts w:hint="eastAsia" w:ascii="黑体" w:hAnsi="黑体" w:eastAsia="黑体" w:cs="黑体"/>
          <w:color w:val="auto"/>
          <w:highlight w:val="none"/>
        </w:rPr>
      </w:pPr>
    </w:p>
    <w:p>
      <w:pPr>
        <w:pStyle w:val="121"/>
        <w:spacing w:before="0" w:after="0"/>
        <w:ind w:firstLine="0"/>
        <w:rPr>
          <w:rFonts w:hint="eastAsia" w:ascii="黑体" w:hAnsi="黑体" w:eastAsia="黑体" w:cs="黑体"/>
          <w:color w:val="auto"/>
          <w:highlight w:val="none"/>
        </w:rPr>
      </w:pPr>
    </w:p>
    <w:p>
      <w:pPr>
        <w:pStyle w:val="121"/>
        <w:spacing w:before="0" w:after="0"/>
        <w:ind w:firstLine="0"/>
        <w:rPr>
          <w:rFonts w:hint="eastAsia" w:ascii="黑体" w:hAnsi="黑体" w:eastAsia="黑体" w:cs="黑体"/>
          <w:color w:val="auto"/>
          <w:highlight w:val="none"/>
        </w:rPr>
      </w:pPr>
    </w:p>
    <w:p>
      <w:pPr>
        <w:autoSpaceDE w:val="0"/>
        <w:autoSpaceDN w:val="0"/>
        <w:adjustRightInd w:val="0"/>
        <w:spacing w:line="740" w:lineRule="exact"/>
        <w:rPr>
          <w:rFonts w:hint="eastAsia" w:ascii="黑体" w:hAnsi="黑体" w:eastAsia="黑体" w:cs="黑体"/>
          <w:b/>
          <w:bCs/>
          <w:color w:val="auto"/>
          <w:sz w:val="36"/>
          <w:szCs w:val="36"/>
          <w:highlight w:val="none"/>
          <w:u w:val="single"/>
          <w:lang w:val="en-US" w:eastAsia="zh-CN"/>
        </w:rPr>
      </w:pPr>
      <w:r>
        <w:rPr>
          <w:rFonts w:hint="eastAsia" w:ascii="黑体" w:hAnsi="黑体" w:eastAsia="黑体" w:cs="黑体"/>
          <w:b/>
          <w:color w:val="auto"/>
          <w:kern w:val="0"/>
          <w:sz w:val="32"/>
          <w:szCs w:val="32"/>
          <w:highlight w:val="none"/>
        </w:rPr>
        <w:t>采   购   人：</w:t>
      </w:r>
      <w:r>
        <w:rPr>
          <w:rFonts w:hint="eastAsia" w:ascii="黑体" w:hAnsi="黑体" w:eastAsia="黑体" w:cs="黑体"/>
          <w:b/>
          <w:color w:val="auto"/>
          <w:kern w:val="0"/>
          <w:sz w:val="32"/>
          <w:szCs w:val="32"/>
          <w:highlight w:val="none"/>
          <w:u w:val="single"/>
        </w:rPr>
        <w:t xml:space="preserve">      </w:t>
      </w:r>
      <w:r>
        <w:rPr>
          <w:rFonts w:hint="eastAsia" w:ascii="黑体" w:hAnsi="黑体" w:eastAsia="黑体" w:cs="黑体"/>
          <w:b/>
          <w:bCs/>
          <w:color w:val="auto"/>
          <w:sz w:val="32"/>
          <w:szCs w:val="32"/>
          <w:highlight w:val="none"/>
          <w:u w:val="single"/>
        </w:rPr>
        <w:t xml:space="preserve">南通市通海中学     </w:t>
      </w:r>
      <w:r>
        <w:rPr>
          <w:rFonts w:hint="eastAsia" w:ascii="黑体" w:hAnsi="黑体" w:eastAsia="黑体" w:cs="黑体"/>
          <w:b/>
          <w:bCs/>
          <w:color w:val="auto"/>
          <w:sz w:val="32"/>
          <w:szCs w:val="32"/>
          <w:highlight w:val="none"/>
          <w:u w:val="single"/>
          <w:lang w:val="en-US" w:eastAsia="zh-CN"/>
        </w:rPr>
        <w:t xml:space="preserve">  </w:t>
      </w:r>
    </w:p>
    <w:p>
      <w:pPr>
        <w:autoSpaceDE w:val="0"/>
        <w:autoSpaceDN w:val="0"/>
        <w:adjustRightInd w:val="0"/>
        <w:spacing w:line="740" w:lineRule="exact"/>
        <w:rPr>
          <w:rFonts w:hint="eastAsia" w:ascii="黑体" w:hAnsi="黑体" w:eastAsia="黑体" w:cs="黑体"/>
          <w:b/>
          <w:color w:val="auto"/>
          <w:kern w:val="0"/>
          <w:sz w:val="32"/>
          <w:szCs w:val="32"/>
          <w:highlight w:val="none"/>
          <w:u w:val="single"/>
          <w:lang w:val="en-US" w:eastAsia="zh-CN"/>
        </w:rPr>
      </w:pPr>
      <w:r>
        <w:rPr>
          <w:rFonts w:hint="eastAsia" w:ascii="黑体" w:hAnsi="黑体" w:eastAsia="黑体" w:cs="黑体"/>
          <w:b/>
          <w:color w:val="auto"/>
          <w:kern w:val="0"/>
          <w:sz w:val="32"/>
          <w:szCs w:val="32"/>
          <w:highlight w:val="none"/>
        </w:rPr>
        <w:t>谈判</w:t>
      </w:r>
      <w:r>
        <w:rPr>
          <w:rFonts w:hint="eastAsia" w:ascii="黑体" w:hAnsi="黑体" w:eastAsia="黑体" w:cs="黑体"/>
          <w:b/>
          <w:color w:val="auto"/>
          <w:kern w:val="0"/>
          <w:sz w:val="32"/>
          <w:szCs w:val="32"/>
          <w:highlight w:val="none"/>
          <w:lang w:eastAsia="zh-TW"/>
        </w:rPr>
        <w:t>代理机构</w:t>
      </w:r>
      <w:r>
        <w:rPr>
          <w:rFonts w:hint="eastAsia" w:ascii="黑体" w:hAnsi="黑体" w:eastAsia="黑体" w:cs="黑体"/>
          <w:b/>
          <w:color w:val="auto"/>
          <w:kern w:val="0"/>
          <w:sz w:val="32"/>
          <w:szCs w:val="32"/>
          <w:highlight w:val="none"/>
        </w:rPr>
        <w:t>：</w:t>
      </w:r>
      <w:r>
        <w:rPr>
          <w:rFonts w:hint="eastAsia" w:ascii="黑体" w:hAnsi="黑体" w:eastAsia="黑体" w:cs="黑体"/>
          <w:b/>
          <w:color w:val="auto"/>
          <w:kern w:val="0"/>
          <w:sz w:val="32"/>
          <w:szCs w:val="32"/>
          <w:highlight w:val="none"/>
          <w:u w:val="single"/>
          <w:lang w:val="en-US" w:eastAsia="zh-CN"/>
        </w:rPr>
        <w:t xml:space="preserve"> </w:t>
      </w:r>
      <w:r>
        <w:rPr>
          <w:rFonts w:hint="eastAsia" w:ascii="黑体" w:hAnsi="黑体" w:eastAsia="黑体" w:cs="黑体"/>
          <w:b/>
          <w:color w:val="auto"/>
          <w:sz w:val="32"/>
          <w:szCs w:val="32"/>
          <w:highlight w:val="none"/>
          <w:u w:val="single"/>
          <w:lang w:eastAsia="zh-CN"/>
        </w:rPr>
        <w:t>南通润通项目管理</w:t>
      </w:r>
      <w:r>
        <w:rPr>
          <w:rFonts w:hint="eastAsia" w:ascii="黑体" w:hAnsi="黑体" w:eastAsia="黑体" w:cs="黑体"/>
          <w:b/>
          <w:color w:val="auto"/>
          <w:sz w:val="32"/>
          <w:szCs w:val="32"/>
          <w:highlight w:val="none"/>
          <w:u w:val="single"/>
        </w:rPr>
        <w:t>有限公司</w:t>
      </w:r>
      <w:r>
        <w:rPr>
          <w:rFonts w:hint="eastAsia" w:ascii="黑体" w:hAnsi="黑体" w:eastAsia="黑体" w:cs="黑体"/>
          <w:b/>
          <w:color w:val="auto"/>
          <w:sz w:val="32"/>
          <w:szCs w:val="32"/>
          <w:highlight w:val="none"/>
          <w:u w:val="single"/>
          <w:lang w:val="en-US" w:eastAsia="zh-CN"/>
        </w:rPr>
        <w:t xml:space="preserve">  </w:t>
      </w:r>
    </w:p>
    <w:p>
      <w:pPr>
        <w:autoSpaceDE w:val="0"/>
        <w:autoSpaceDN w:val="0"/>
        <w:adjustRightInd w:val="0"/>
        <w:snapToGrid w:val="0"/>
        <w:spacing w:line="640" w:lineRule="exact"/>
        <w:rPr>
          <w:rFonts w:hint="eastAsia" w:ascii="黑体" w:hAnsi="黑体" w:eastAsia="黑体" w:cs="黑体"/>
          <w:b/>
          <w:color w:val="auto"/>
          <w:kern w:val="0"/>
          <w:sz w:val="32"/>
          <w:szCs w:val="32"/>
          <w:highlight w:val="none"/>
          <w:u w:val="single"/>
        </w:rPr>
      </w:pPr>
      <w:r>
        <w:rPr>
          <w:rFonts w:hint="eastAsia" w:ascii="黑体" w:hAnsi="黑体" w:eastAsia="黑体" w:cs="黑体"/>
          <w:b/>
          <w:color w:val="auto"/>
          <w:kern w:val="0"/>
          <w:sz w:val="32"/>
          <w:szCs w:val="32"/>
          <w:highlight w:val="none"/>
        </w:rPr>
        <w:t xml:space="preserve">日       期 : </w:t>
      </w:r>
      <w:r>
        <w:rPr>
          <w:rFonts w:hint="eastAsia" w:ascii="黑体" w:hAnsi="黑体" w:eastAsia="黑体" w:cs="黑体"/>
          <w:b/>
          <w:color w:val="auto"/>
          <w:kern w:val="0"/>
          <w:sz w:val="32"/>
          <w:szCs w:val="32"/>
          <w:highlight w:val="none"/>
          <w:u w:val="single"/>
        </w:rPr>
        <w:t xml:space="preserve">      202</w:t>
      </w:r>
      <w:r>
        <w:rPr>
          <w:rFonts w:hint="eastAsia" w:ascii="黑体" w:hAnsi="黑体" w:eastAsia="黑体" w:cs="黑体"/>
          <w:b/>
          <w:color w:val="auto"/>
          <w:kern w:val="0"/>
          <w:sz w:val="32"/>
          <w:szCs w:val="32"/>
          <w:highlight w:val="none"/>
          <w:u w:val="single"/>
          <w:lang w:val="en-US" w:eastAsia="zh-CN"/>
        </w:rPr>
        <w:t>3</w:t>
      </w:r>
      <w:r>
        <w:rPr>
          <w:rFonts w:hint="eastAsia" w:ascii="黑体" w:hAnsi="黑体" w:eastAsia="黑体" w:cs="黑体"/>
          <w:b/>
          <w:color w:val="auto"/>
          <w:kern w:val="0"/>
          <w:sz w:val="32"/>
          <w:szCs w:val="32"/>
          <w:highlight w:val="none"/>
          <w:u w:val="single"/>
        </w:rPr>
        <w:t>年1</w:t>
      </w:r>
      <w:r>
        <w:rPr>
          <w:rFonts w:hint="eastAsia" w:ascii="黑体" w:hAnsi="黑体" w:eastAsia="黑体" w:cs="黑体"/>
          <w:b/>
          <w:color w:val="auto"/>
          <w:kern w:val="0"/>
          <w:sz w:val="32"/>
          <w:szCs w:val="32"/>
          <w:highlight w:val="none"/>
          <w:u w:val="single"/>
          <w:lang w:val="en-US" w:eastAsia="zh-CN"/>
        </w:rPr>
        <w:t>1</w:t>
      </w:r>
      <w:r>
        <w:rPr>
          <w:rFonts w:hint="eastAsia" w:ascii="黑体" w:hAnsi="黑体" w:eastAsia="黑体" w:cs="黑体"/>
          <w:b/>
          <w:color w:val="auto"/>
          <w:kern w:val="0"/>
          <w:sz w:val="32"/>
          <w:szCs w:val="32"/>
          <w:highlight w:val="none"/>
          <w:u w:val="single"/>
        </w:rPr>
        <w:t>月</w:t>
      </w:r>
      <w:r>
        <w:rPr>
          <w:rFonts w:hint="eastAsia" w:ascii="黑体" w:hAnsi="黑体" w:eastAsia="黑体" w:cs="黑体"/>
          <w:b/>
          <w:color w:val="auto"/>
          <w:kern w:val="0"/>
          <w:sz w:val="32"/>
          <w:szCs w:val="32"/>
          <w:highlight w:val="none"/>
          <w:u w:val="single"/>
          <w:lang w:val="en-US" w:eastAsia="zh-CN"/>
        </w:rPr>
        <w:t>27</w:t>
      </w:r>
      <w:r>
        <w:rPr>
          <w:rFonts w:hint="eastAsia" w:ascii="黑体" w:hAnsi="黑体" w:eastAsia="黑体" w:cs="黑体"/>
          <w:b/>
          <w:color w:val="auto"/>
          <w:kern w:val="0"/>
          <w:sz w:val="32"/>
          <w:szCs w:val="32"/>
          <w:highlight w:val="none"/>
          <w:u w:val="single"/>
        </w:rPr>
        <w:t xml:space="preserve">日      </w:t>
      </w:r>
    </w:p>
    <w:p>
      <w:pPr>
        <w:autoSpaceDE w:val="0"/>
        <w:autoSpaceDN w:val="0"/>
        <w:adjustRightInd w:val="0"/>
        <w:spacing w:line="43" w:lineRule="exact"/>
        <w:textAlignment w:val="bottom"/>
        <w:rPr>
          <w:rFonts w:hint="eastAsia" w:ascii="黑体" w:hAnsi="黑体" w:eastAsia="黑体" w:cs="黑体"/>
          <w:color w:val="auto"/>
          <w:kern w:val="0"/>
          <w:sz w:val="6"/>
          <w:szCs w:val="6"/>
          <w:highlight w:val="none"/>
        </w:rPr>
      </w:pPr>
    </w:p>
    <w:p>
      <w:pPr>
        <w:snapToGrid w:val="0"/>
        <w:spacing w:line="420" w:lineRule="exact"/>
        <w:jc w:val="left"/>
        <w:rPr>
          <w:rFonts w:hint="eastAsia" w:ascii="黑体" w:hAnsi="黑体" w:eastAsia="黑体" w:cs="黑体"/>
          <w:color w:val="auto"/>
          <w:sz w:val="24"/>
          <w:highlight w:val="none"/>
        </w:rPr>
      </w:pPr>
    </w:p>
    <w:p>
      <w:pPr>
        <w:adjustRightInd w:val="0"/>
        <w:snapToGrid w:val="0"/>
        <w:spacing w:line="360" w:lineRule="auto"/>
        <w:ind w:firstLine="482" w:firstLineChars="200"/>
        <w:rPr>
          <w:rFonts w:hint="eastAsia" w:ascii="黑体" w:hAnsi="黑体" w:eastAsia="黑体" w:cs="黑体"/>
          <w:b/>
          <w:color w:val="auto"/>
          <w:sz w:val="24"/>
          <w:highlight w:val="none"/>
        </w:rPr>
      </w:pPr>
    </w:p>
    <w:p>
      <w:pPr>
        <w:rPr>
          <w:rFonts w:hint="eastAsia" w:ascii="黑体" w:hAnsi="黑体" w:eastAsia="黑体" w:cs="黑体"/>
          <w:color w:val="auto"/>
          <w:sz w:val="24"/>
          <w:highlight w:val="none"/>
        </w:rPr>
      </w:pPr>
    </w:p>
    <w:p>
      <w:pPr>
        <w:snapToGrid w:val="0"/>
        <w:spacing w:line="440" w:lineRule="exact"/>
        <w:rPr>
          <w:rFonts w:hint="eastAsia" w:ascii="黑体" w:hAnsi="黑体" w:eastAsia="黑体" w:cs="黑体"/>
          <w:color w:val="auto"/>
          <w:sz w:val="24"/>
          <w:highlight w:val="none"/>
        </w:rPr>
      </w:pPr>
    </w:p>
    <w:p>
      <w:pPr>
        <w:pStyle w:val="12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   录</w:t>
      </w:r>
    </w:p>
    <w:p>
      <w:pPr>
        <w:jc w:val="center"/>
        <w:rPr>
          <w:rFonts w:hint="eastAsia" w:ascii="黑体" w:hAnsi="黑体" w:eastAsia="黑体" w:cs="黑体"/>
          <w:b/>
          <w:color w:val="auto"/>
          <w:sz w:val="44"/>
          <w:szCs w:val="44"/>
          <w:highlight w:val="none"/>
        </w:rPr>
      </w:pPr>
    </w:p>
    <w:p>
      <w:pPr>
        <w:tabs>
          <w:tab w:val="left" w:pos="7740"/>
        </w:tabs>
        <w:spacing w:line="60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竞争性谈判采购邀请</w:t>
      </w:r>
    </w:p>
    <w:p>
      <w:pPr>
        <w:tabs>
          <w:tab w:val="left" w:pos="7740"/>
        </w:tabs>
        <w:spacing w:line="600" w:lineRule="exact"/>
        <w:ind w:firstLine="3116" w:firstLineChars="1113"/>
        <w:rPr>
          <w:rFonts w:hint="eastAsia" w:ascii="黑体" w:hAnsi="黑体" w:eastAsia="黑体" w:cs="黑体"/>
          <w:bCs/>
          <w:color w:val="auto"/>
          <w:sz w:val="28"/>
          <w:szCs w:val="28"/>
          <w:highlight w:val="none"/>
        </w:rPr>
      </w:pPr>
    </w:p>
    <w:p>
      <w:pPr>
        <w:tabs>
          <w:tab w:val="left" w:pos="7740"/>
        </w:tabs>
        <w:spacing w:line="60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谈判须知</w:t>
      </w:r>
    </w:p>
    <w:p>
      <w:pPr>
        <w:tabs>
          <w:tab w:val="left" w:pos="7740"/>
        </w:tabs>
        <w:spacing w:line="600" w:lineRule="exact"/>
        <w:ind w:firstLine="3116" w:firstLineChars="1113"/>
        <w:rPr>
          <w:rFonts w:hint="eastAsia" w:ascii="黑体" w:hAnsi="黑体" w:eastAsia="黑体" w:cs="黑体"/>
          <w:bCs/>
          <w:color w:val="auto"/>
          <w:sz w:val="28"/>
          <w:szCs w:val="28"/>
          <w:highlight w:val="none"/>
        </w:rPr>
      </w:pPr>
    </w:p>
    <w:p>
      <w:pPr>
        <w:tabs>
          <w:tab w:val="left" w:pos="7740"/>
        </w:tabs>
        <w:spacing w:line="60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采购合同条款及格式</w:t>
      </w:r>
    </w:p>
    <w:p>
      <w:pPr>
        <w:tabs>
          <w:tab w:val="left" w:pos="7740"/>
        </w:tabs>
        <w:spacing w:line="600" w:lineRule="exact"/>
        <w:ind w:firstLine="3116" w:firstLineChars="1113"/>
        <w:rPr>
          <w:rFonts w:hint="eastAsia" w:ascii="黑体" w:hAnsi="黑体" w:eastAsia="黑体" w:cs="黑体"/>
          <w:bCs/>
          <w:color w:val="auto"/>
          <w:sz w:val="28"/>
          <w:szCs w:val="28"/>
          <w:highlight w:val="none"/>
        </w:rPr>
      </w:pPr>
    </w:p>
    <w:p>
      <w:pPr>
        <w:tabs>
          <w:tab w:val="left" w:pos="7740"/>
        </w:tabs>
        <w:spacing w:line="60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项目需求</w:t>
      </w:r>
    </w:p>
    <w:p>
      <w:pPr>
        <w:tabs>
          <w:tab w:val="left" w:pos="7740"/>
        </w:tabs>
        <w:spacing w:line="600" w:lineRule="exact"/>
        <w:ind w:firstLine="3116" w:firstLineChars="1113"/>
        <w:rPr>
          <w:rFonts w:hint="eastAsia" w:ascii="黑体" w:hAnsi="黑体" w:eastAsia="黑体" w:cs="黑体"/>
          <w:bCs/>
          <w:color w:val="auto"/>
          <w:sz w:val="28"/>
          <w:szCs w:val="28"/>
          <w:highlight w:val="none"/>
        </w:rPr>
      </w:pPr>
    </w:p>
    <w:p>
      <w:pPr>
        <w:tabs>
          <w:tab w:val="left" w:pos="7740"/>
        </w:tabs>
        <w:spacing w:line="600" w:lineRule="exact"/>
        <w:ind w:firstLine="560" w:firstLineChars="200"/>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谈判响应文件格式</w:t>
      </w:r>
    </w:p>
    <w:p>
      <w:pPr>
        <w:tabs>
          <w:tab w:val="left" w:pos="7740"/>
        </w:tabs>
        <w:spacing w:line="600" w:lineRule="exact"/>
        <w:ind w:firstLine="3116" w:firstLineChars="1113"/>
        <w:rPr>
          <w:rFonts w:hint="eastAsia" w:ascii="黑体" w:hAnsi="黑体" w:eastAsia="黑体" w:cs="黑体"/>
          <w:bCs/>
          <w:color w:val="auto"/>
          <w:sz w:val="28"/>
          <w:szCs w:val="28"/>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pStyle w:val="141"/>
        <w:spacing w:line="480" w:lineRule="auto"/>
        <w:jc w:val="center"/>
        <w:rPr>
          <w:rFonts w:hint="eastAsia" w:ascii="黑体" w:hAnsi="黑体" w:eastAsia="黑体" w:cs="黑体"/>
          <w:color w:val="auto"/>
          <w:sz w:val="25"/>
          <w:highlight w:val="none"/>
        </w:rPr>
      </w:pPr>
      <w:r>
        <w:rPr>
          <w:rFonts w:hint="eastAsia" w:ascii="黑体" w:hAnsi="黑体" w:eastAsia="黑体" w:cs="黑体"/>
          <w:color w:val="auto"/>
          <w:sz w:val="48"/>
          <w:highlight w:val="none"/>
        </w:rPr>
        <w:t>竞争性谈判文件备案表</w:t>
      </w:r>
    </w:p>
    <w:tbl>
      <w:tblPr>
        <w:tblStyle w:val="43"/>
        <w:tblW w:w="8700" w:type="dxa"/>
        <w:jc w:val="center"/>
        <w:tblLayout w:type="fixed"/>
        <w:tblCellMar>
          <w:top w:w="0" w:type="dxa"/>
          <w:left w:w="5" w:type="dxa"/>
          <w:bottom w:w="0" w:type="dxa"/>
          <w:right w:w="5" w:type="dxa"/>
        </w:tblCellMar>
      </w:tblPr>
      <w:tblGrid>
        <w:gridCol w:w="8700"/>
      </w:tblGrid>
      <w:tr>
        <w:tblPrEx>
          <w:tblCellMar>
            <w:top w:w="0" w:type="dxa"/>
            <w:left w:w="5" w:type="dxa"/>
            <w:bottom w:w="0" w:type="dxa"/>
            <w:right w:w="5" w:type="dxa"/>
          </w:tblCellMar>
        </w:tblPrEx>
        <w:trPr>
          <w:trHeight w:val="2857" w:hRule="atLeast"/>
          <w:jc w:val="center"/>
        </w:trPr>
        <w:tc>
          <w:tcPr>
            <w:tcW w:w="8700" w:type="dxa"/>
            <w:tcBorders>
              <w:top w:val="single" w:color="000000" w:sz="4" w:space="0"/>
              <w:left w:val="single" w:color="000000" w:sz="4" w:space="0"/>
              <w:bottom w:val="single" w:color="000000" w:sz="4" w:space="0"/>
              <w:right w:val="single" w:color="000000" w:sz="4" w:space="0"/>
            </w:tcBorders>
            <w:noWrap/>
          </w:tcPr>
          <w:p>
            <w:pPr>
              <w:pStyle w:val="142"/>
              <w:keepNext w:val="0"/>
              <w:keepLines w:val="0"/>
              <w:suppressLineNumbers w:val="0"/>
              <w:spacing w:before="0" w:beforeAutospacing="0" w:after="0" w:afterAutospacing="0" w:line="360" w:lineRule="auto"/>
              <w:ind w:left="0" w:right="0"/>
              <w:rPr>
                <w:rFonts w:hint="eastAsia" w:ascii="黑体" w:hAnsi="黑体" w:eastAsia="黑体" w:cs="黑体"/>
                <w:color w:val="auto"/>
                <w:sz w:val="24"/>
                <w:highlight w:val="none"/>
              </w:rPr>
            </w:pPr>
          </w:p>
          <w:p>
            <w:pPr>
              <w:pStyle w:val="142"/>
              <w:keepNext w:val="0"/>
              <w:keepLines w:val="0"/>
              <w:suppressLineNumbers w:val="0"/>
              <w:tabs>
                <w:tab w:val="left" w:pos="5070"/>
              </w:tabs>
              <w:spacing w:before="0" w:beforeAutospacing="0" w:after="0" w:afterAutospacing="0" w:line="360" w:lineRule="auto"/>
              <w:ind w:left="0" w:right="0" w:firstLine="4560" w:firstLineChars="190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编制人：</w:t>
            </w:r>
            <w:r>
              <w:rPr>
                <w:rFonts w:hint="eastAsia" w:ascii="黑体" w:hAnsi="黑体" w:eastAsia="黑体" w:cs="黑体"/>
                <w:color w:val="auto"/>
                <w:sz w:val="24"/>
                <w:highlight w:val="none"/>
                <w:lang w:eastAsia="zh-CN"/>
              </w:rPr>
              <w:t>赵斌</w:t>
            </w:r>
          </w:p>
          <w:p>
            <w:pPr>
              <w:pStyle w:val="137"/>
              <w:keepNext w:val="0"/>
              <w:keepLines w:val="0"/>
              <w:suppressLineNumbers w:val="0"/>
              <w:spacing w:before="0" w:beforeAutospacing="0" w:after="0" w:afterAutospacing="0"/>
              <w:ind w:left="0" w:right="0"/>
              <w:rPr>
                <w:rFonts w:hint="eastAsia" w:ascii="黑体" w:hAnsi="黑体" w:eastAsia="黑体" w:cs="黑体"/>
                <w:color w:val="auto"/>
                <w:highlight w:val="none"/>
              </w:rPr>
            </w:pPr>
          </w:p>
          <w:p>
            <w:pPr>
              <w:pStyle w:val="137"/>
              <w:keepNext w:val="0"/>
              <w:keepLines w:val="0"/>
              <w:suppressLineNumbers w:val="0"/>
              <w:spacing w:before="0" w:beforeAutospacing="0" w:after="0" w:afterAutospacing="0"/>
              <w:ind w:left="0" w:right="0"/>
              <w:rPr>
                <w:rFonts w:hint="eastAsia" w:ascii="黑体" w:hAnsi="黑体" w:eastAsia="黑体" w:cs="黑体"/>
                <w:color w:val="auto"/>
                <w:highlight w:val="none"/>
              </w:rPr>
            </w:pPr>
          </w:p>
          <w:p>
            <w:pPr>
              <w:pStyle w:val="142"/>
              <w:keepNext w:val="0"/>
              <w:keepLines w:val="0"/>
              <w:suppressLineNumbers w:val="0"/>
              <w:tabs>
                <w:tab w:val="left" w:pos="5070"/>
              </w:tabs>
              <w:spacing w:before="0" w:beforeAutospacing="0" w:after="0" w:afterAutospacing="0" w:line="360" w:lineRule="auto"/>
              <w:ind w:left="0" w:right="0" w:firstLine="4560" w:firstLineChars="1900"/>
              <w:rPr>
                <w:rFonts w:hint="eastAsia" w:ascii="黑体" w:hAnsi="黑体" w:eastAsia="黑体" w:cs="黑体"/>
                <w:color w:val="auto"/>
                <w:sz w:val="24"/>
                <w:highlight w:val="none"/>
              </w:rPr>
            </w:pPr>
            <w:r>
              <w:rPr>
                <w:rFonts w:hint="eastAsia" w:ascii="黑体" w:hAnsi="黑体" w:eastAsia="黑体" w:cs="黑体"/>
                <w:color w:val="auto"/>
                <w:sz w:val="24"/>
                <w:highlight w:val="none"/>
              </w:rPr>
              <w:t>日期：  202</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 xml:space="preserve"> 年1</w:t>
            </w: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lang w:val="en-US" w:eastAsia="zh-CN"/>
              </w:rPr>
              <w:t>27</w:t>
            </w:r>
            <w:r>
              <w:rPr>
                <w:rFonts w:hint="eastAsia" w:ascii="黑体" w:hAnsi="黑体" w:eastAsia="黑体" w:cs="黑体"/>
                <w:color w:val="auto"/>
                <w:sz w:val="24"/>
                <w:highlight w:val="none"/>
              </w:rPr>
              <w:t>日</w:t>
            </w:r>
          </w:p>
        </w:tc>
      </w:tr>
      <w:tr>
        <w:tblPrEx>
          <w:tblCellMar>
            <w:top w:w="0" w:type="dxa"/>
            <w:left w:w="5" w:type="dxa"/>
            <w:bottom w:w="0" w:type="dxa"/>
            <w:right w:w="5" w:type="dxa"/>
          </w:tblCellMar>
        </w:tblPrEx>
        <w:trPr>
          <w:trHeight w:val="4200" w:hRule="atLeast"/>
          <w:jc w:val="center"/>
        </w:trPr>
        <w:tc>
          <w:tcPr>
            <w:tcW w:w="8700" w:type="dxa"/>
            <w:tcBorders>
              <w:top w:val="single" w:color="000000" w:sz="4" w:space="0"/>
              <w:left w:val="single" w:color="000000" w:sz="4" w:space="0"/>
              <w:bottom w:val="single" w:color="000000" w:sz="4" w:space="0"/>
              <w:right w:val="single" w:color="000000" w:sz="4" w:space="0"/>
            </w:tcBorders>
            <w:noWrap/>
          </w:tcPr>
          <w:p>
            <w:pPr>
              <w:pStyle w:val="142"/>
              <w:keepNext w:val="0"/>
              <w:keepLines w:val="0"/>
              <w:suppressLineNumbers w:val="0"/>
              <w:spacing w:before="0" w:beforeAutospacing="0" w:after="0" w:afterAutospacing="0" w:line="360" w:lineRule="auto"/>
              <w:ind w:left="0" w:right="0"/>
              <w:rPr>
                <w:rFonts w:hint="eastAsia" w:ascii="黑体" w:hAnsi="黑体" w:eastAsia="黑体" w:cs="黑体"/>
                <w:color w:val="auto"/>
                <w:sz w:val="24"/>
                <w:highlight w:val="none"/>
              </w:rPr>
            </w:pPr>
          </w:p>
          <w:p>
            <w:pPr>
              <w:pStyle w:val="142"/>
              <w:keepNext w:val="0"/>
              <w:keepLines w:val="0"/>
              <w:suppressLineNumbers w:val="0"/>
              <w:spacing w:before="0" w:beforeAutospacing="0" w:after="0" w:afterAutospacing="0" w:line="360" w:lineRule="auto"/>
              <w:ind w:left="0" w:right="0"/>
              <w:rPr>
                <w:rFonts w:hint="eastAsia" w:ascii="黑体" w:hAnsi="黑体" w:eastAsia="黑体" w:cs="黑体"/>
                <w:color w:val="auto"/>
                <w:sz w:val="24"/>
                <w:highlight w:val="none"/>
              </w:rPr>
            </w:pPr>
          </w:p>
          <w:p>
            <w:pPr>
              <w:pStyle w:val="143"/>
              <w:keepNext w:val="0"/>
              <w:keepLines w:val="0"/>
              <w:suppressLineNumbers w:val="0"/>
              <w:spacing w:before="0" w:beforeAutospacing="0" w:after="0" w:afterAutospacing="0"/>
              <w:ind w:left="0" w:right="0"/>
              <w:rPr>
                <w:rFonts w:hint="eastAsia" w:ascii="黑体" w:hAnsi="黑体" w:eastAsia="黑体" w:cs="黑体"/>
                <w:color w:val="auto"/>
                <w:sz w:val="24"/>
                <w:highlight w:val="none"/>
              </w:rPr>
            </w:pPr>
          </w:p>
          <w:p>
            <w:pPr>
              <w:pStyle w:val="142"/>
              <w:keepNext w:val="0"/>
              <w:keepLines w:val="0"/>
              <w:suppressLineNumbers w:val="0"/>
              <w:spacing w:before="0" w:beforeAutospacing="0" w:after="0" w:afterAutospacing="0"/>
              <w:ind w:left="0" w:right="0"/>
              <w:rPr>
                <w:rFonts w:hint="eastAsia" w:ascii="黑体" w:hAnsi="黑体" w:eastAsia="黑体" w:cs="黑体"/>
                <w:color w:val="auto"/>
                <w:highlight w:val="none"/>
              </w:rPr>
            </w:pPr>
          </w:p>
          <w:p>
            <w:pPr>
              <w:pStyle w:val="142"/>
              <w:keepNext w:val="0"/>
              <w:keepLines w:val="0"/>
              <w:suppressLineNumbers w:val="0"/>
              <w:spacing w:before="0" w:beforeAutospacing="0" w:after="0" w:afterAutospacing="0" w:line="360" w:lineRule="auto"/>
              <w:ind w:left="0" w:right="0" w:firstLine="1440" w:firstLineChars="600"/>
              <w:rPr>
                <w:rFonts w:hint="eastAsia" w:ascii="黑体" w:hAnsi="黑体" w:eastAsia="黑体" w:cs="黑体"/>
                <w:color w:val="auto"/>
                <w:sz w:val="24"/>
                <w:highlight w:val="none"/>
              </w:rPr>
            </w:pPr>
            <w:r>
              <w:rPr>
                <w:rFonts w:hint="eastAsia" w:ascii="黑体" w:hAnsi="黑体" w:eastAsia="黑体" w:cs="黑体"/>
                <w:color w:val="auto"/>
                <w:sz w:val="24"/>
                <w:highlight w:val="none"/>
              </w:rPr>
              <w:t>采购人(盖章)             代表人(签字)</w:t>
            </w:r>
          </w:p>
          <w:p>
            <w:pPr>
              <w:pStyle w:val="142"/>
              <w:keepNext w:val="0"/>
              <w:keepLines w:val="0"/>
              <w:suppressLineNumbers w:val="0"/>
              <w:spacing w:before="0" w:beforeAutospacing="0" w:after="0" w:afterAutospacing="0" w:line="360" w:lineRule="auto"/>
              <w:ind w:left="0" w:right="0"/>
              <w:rPr>
                <w:rFonts w:hint="eastAsia" w:ascii="黑体" w:hAnsi="黑体" w:eastAsia="黑体" w:cs="黑体"/>
                <w:color w:val="auto"/>
                <w:sz w:val="24"/>
                <w:highlight w:val="none"/>
              </w:rPr>
            </w:pPr>
          </w:p>
          <w:p>
            <w:pPr>
              <w:pStyle w:val="137"/>
              <w:keepNext w:val="0"/>
              <w:keepLines w:val="0"/>
              <w:suppressLineNumbers w:val="0"/>
              <w:spacing w:before="0" w:beforeAutospacing="0" w:after="0" w:afterAutospacing="0"/>
              <w:ind w:left="0" w:right="0" w:firstLine="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日期： 202</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年1</w:t>
            </w: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lang w:val="en-US" w:eastAsia="zh-CN"/>
              </w:rPr>
              <w:t>27</w:t>
            </w:r>
            <w:r>
              <w:rPr>
                <w:rFonts w:hint="eastAsia" w:ascii="黑体" w:hAnsi="黑体" w:eastAsia="黑体" w:cs="黑体"/>
                <w:color w:val="auto"/>
                <w:sz w:val="24"/>
                <w:highlight w:val="none"/>
              </w:rPr>
              <w:t>日</w:t>
            </w:r>
          </w:p>
          <w:p>
            <w:pPr>
              <w:pStyle w:val="142"/>
              <w:keepNext w:val="0"/>
              <w:keepLines w:val="0"/>
              <w:suppressLineNumbers w:val="0"/>
              <w:spacing w:before="0" w:beforeAutospacing="0" w:after="0" w:afterAutospacing="0" w:line="360" w:lineRule="auto"/>
              <w:ind w:left="0" w:right="0"/>
              <w:rPr>
                <w:rFonts w:hint="eastAsia" w:ascii="黑体" w:hAnsi="黑体" w:eastAsia="黑体" w:cs="黑体"/>
                <w:color w:val="auto"/>
                <w:sz w:val="24"/>
                <w:highlight w:val="none"/>
              </w:rPr>
            </w:pPr>
          </w:p>
        </w:tc>
      </w:tr>
      <w:tr>
        <w:tblPrEx>
          <w:tblCellMar>
            <w:top w:w="0" w:type="dxa"/>
            <w:left w:w="5" w:type="dxa"/>
            <w:bottom w:w="0" w:type="dxa"/>
            <w:right w:w="5" w:type="dxa"/>
          </w:tblCellMar>
        </w:tblPrEx>
        <w:trPr>
          <w:trHeight w:val="3224" w:hRule="atLeast"/>
          <w:jc w:val="center"/>
        </w:trPr>
        <w:tc>
          <w:tcPr>
            <w:tcW w:w="8700" w:type="dxa"/>
            <w:tcBorders>
              <w:top w:val="single" w:color="000000" w:sz="4" w:space="0"/>
              <w:left w:val="single" w:color="000000" w:sz="4" w:space="0"/>
              <w:bottom w:val="single" w:color="000000" w:sz="4" w:space="0"/>
              <w:right w:val="single" w:color="000000" w:sz="4" w:space="0"/>
            </w:tcBorders>
            <w:noWrap/>
          </w:tcPr>
          <w:p>
            <w:pPr>
              <w:pStyle w:val="142"/>
              <w:keepNext w:val="0"/>
              <w:keepLines w:val="0"/>
              <w:suppressLineNumbers w:val="0"/>
              <w:spacing w:before="0" w:beforeAutospacing="0" w:after="0" w:afterAutospacing="0" w:line="360" w:lineRule="auto"/>
              <w:ind w:left="0" w:right="0"/>
              <w:rPr>
                <w:rFonts w:hint="eastAsia" w:ascii="黑体" w:hAnsi="黑体" w:eastAsia="黑体" w:cs="黑体"/>
                <w:color w:val="auto"/>
                <w:sz w:val="24"/>
                <w:highlight w:val="none"/>
              </w:rPr>
            </w:pPr>
          </w:p>
          <w:p>
            <w:pPr>
              <w:pStyle w:val="143"/>
              <w:keepNext w:val="0"/>
              <w:keepLines w:val="0"/>
              <w:suppressLineNumbers w:val="0"/>
              <w:spacing w:before="0" w:beforeAutospacing="0" w:after="0" w:afterAutospacing="0"/>
              <w:ind w:left="0" w:right="0"/>
              <w:rPr>
                <w:rFonts w:hint="eastAsia" w:ascii="黑体" w:hAnsi="黑体" w:eastAsia="黑体" w:cs="黑体"/>
                <w:color w:val="auto"/>
                <w:highlight w:val="none"/>
              </w:rPr>
            </w:pPr>
          </w:p>
          <w:p>
            <w:pPr>
              <w:pStyle w:val="142"/>
              <w:keepNext w:val="0"/>
              <w:keepLines w:val="0"/>
              <w:suppressLineNumbers w:val="0"/>
              <w:spacing w:before="0" w:beforeAutospacing="0" w:after="0" w:afterAutospacing="0"/>
              <w:ind w:left="0" w:right="0"/>
              <w:rPr>
                <w:rFonts w:hint="eastAsia" w:ascii="黑体" w:hAnsi="黑体" w:eastAsia="黑体" w:cs="黑体"/>
                <w:color w:val="auto"/>
                <w:highlight w:val="none"/>
              </w:rPr>
            </w:pPr>
          </w:p>
          <w:p>
            <w:pPr>
              <w:pStyle w:val="142"/>
              <w:keepNext w:val="0"/>
              <w:keepLines w:val="0"/>
              <w:suppressLineNumbers w:val="0"/>
              <w:spacing w:before="0" w:beforeAutospacing="0" w:after="0" w:afterAutospacing="0"/>
              <w:ind w:left="0" w:right="0"/>
              <w:rPr>
                <w:rFonts w:hint="eastAsia" w:ascii="黑体" w:hAnsi="黑体" w:eastAsia="黑体" w:cs="黑体"/>
                <w:color w:val="auto"/>
                <w:highlight w:val="none"/>
              </w:rPr>
            </w:pPr>
          </w:p>
          <w:p>
            <w:pPr>
              <w:pStyle w:val="142"/>
              <w:keepNext w:val="0"/>
              <w:keepLines w:val="0"/>
              <w:suppressLineNumbers w:val="0"/>
              <w:spacing w:before="0" w:beforeAutospacing="0" w:after="0" w:afterAutospacing="0" w:line="360" w:lineRule="auto"/>
              <w:ind w:left="0" w:right="0" w:firstLine="1680" w:firstLineChars="700"/>
              <w:rPr>
                <w:rFonts w:hint="eastAsia" w:ascii="黑体" w:hAnsi="黑体" w:eastAsia="黑体" w:cs="黑体"/>
                <w:color w:val="auto"/>
                <w:sz w:val="24"/>
                <w:highlight w:val="none"/>
              </w:rPr>
            </w:pPr>
            <w:r>
              <w:rPr>
                <w:rFonts w:hint="eastAsia" w:ascii="黑体" w:hAnsi="黑体" w:eastAsia="黑体" w:cs="黑体"/>
                <w:color w:val="auto"/>
                <w:sz w:val="24"/>
                <w:highlight w:val="none"/>
              </w:rPr>
              <w:t>招标代理机构(盖章)        法定代表人(签字)</w:t>
            </w:r>
          </w:p>
          <w:p>
            <w:pPr>
              <w:pStyle w:val="137"/>
              <w:keepNext w:val="0"/>
              <w:keepLines w:val="0"/>
              <w:suppressLineNumbers w:val="0"/>
              <w:spacing w:before="0" w:beforeAutospacing="0" w:after="0" w:afterAutospacing="0"/>
              <w:ind w:left="0" w:right="0"/>
              <w:rPr>
                <w:rFonts w:hint="eastAsia" w:ascii="黑体" w:hAnsi="黑体" w:eastAsia="黑体" w:cs="黑体"/>
                <w:color w:val="auto"/>
                <w:sz w:val="24"/>
                <w:highlight w:val="none"/>
              </w:rPr>
            </w:pPr>
          </w:p>
          <w:p>
            <w:pPr>
              <w:pStyle w:val="137"/>
              <w:keepNext w:val="0"/>
              <w:keepLines w:val="0"/>
              <w:suppressLineNumbers w:val="0"/>
              <w:spacing w:before="0" w:beforeAutospacing="0" w:after="0" w:afterAutospacing="0"/>
              <w:ind w:left="0" w:right="0" w:firstLine="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日期： 202</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 xml:space="preserve"> 年1</w:t>
            </w: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lang w:val="en-US" w:eastAsia="zh-CN"/>
              </w:rPr>
              <w:t>27</w:t>
            </w:r>
            <w:r>
              <w:rPr>
                <w:rFonts w:hint="eastAsia" w:ascii="黑体" w:hAnsi="黑体" w:eastAsia="黑体" w:cs="黑体"/>
                <w:color w:val="auto"/>
                <w:sz w:val="24"/>
                <w:highlight w:val="none"/>
              </w:rPr>
              <w:t>日</w:t>
            </w:r>
          </w:p>
          <w:p>
            <w:pPr>
              <w:pStyle w:val="137"/>
              <w:keepNext w:val="0"/>
              <w:keepLines w:val="0"/>
              <w:suppressLineNumbers w:val="0"/>
              <w:spacing w:before="0" w:beforeAutospacing="0" w:after="0" w:afterAutospacing="0"/>
              <w:ind w:left="0" w:right="0" w:firstLine="0"/>
              <w:rPr>
                <w:rFonts w:hint="eastAsia" w:ascii="黑体" w:hAnsi="黑体" w:eastAsia="黑体" w:cs="黑体"/>
                <w:color w:val="auto"/>
                <w:sz w:val="24"/>
                <w:highlight w:val="none"/>
              </w:rPr>
            </w:pPr>
          </w:p>
          <w:p>
            <w:pPr>
              <w:pStyle w:val="137"/>
              <w:keepNext w:val="0"/>
              <w:keepLines w:val="0"/>
              <w:suppressLineNumbers w:val="0"/>
              <w:spacing w:before="0" w:beforeAutospacing="0" w:after="0" w:afterAutospacing="0"/>
              <w:ind w:left="0" w:right="0" w:firstLine="0"/>
              <w:jc w:val="center"/>
              <w:rPr>
                <w:rFonts w:hint="eastAsia" w:ascii="黑体" w:hAnsi="黑体" w:eastAsia="黑体" w:cs="黑体"/>
                <w:color w:val="auto"/>
                <w:sz w:val="24"/>
                <w:highlight w:val="none"/>
              </w:rPr>
            </w:pPr>
          </w:p>
        </w:tc>
      </w:tr>
    </w:tbl>
    <w:p>
      <w:pPr>
        <w:pStyle w:val="42"/>
        <w:ind w:firstLine="640"/>
        <w:rPr>
          <w:rFonts w:hint="eastAsia" w:ascii="黑体" w:hAnsi="黑体" w:eastAsia="黑体" w:cs="黑体"/>
          <w:color w:val="auto"/>
          <w:highlight w:val="none"/>
        </w:rPr>
      </w:pPr>
    </w:p>
    <w:p>
      <w:pPr>
        <w:pStyle w:val="42"/>
        <w:ind w:firstLine="0" w:firstLineChars="0"/>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numPr>
          <w:ilvl w:val="0"/>
          <w:numId w:val="2"/>
        </w:numPr>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竞争性谈判采购公告</w:t>
      </w:r>
    </w:p>
    <w:p>
      <w:pPr>
        <w:pStyle w:val="37"/>
        <w:shd w:val="clear" w:color="auto"/>
        <w:spacing w:before="0" w:beforeAutospacing="0" w:after="42" w:afterAutospacing="0" w:line="291" w:lineRule="atLeas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黑体" w:hAnsi="黑体" w:eastAsia="黑体" w:cs="黑体"/>
          <w:b w:val="0"/>
          <w:color w:val="auto"/>
          <w:sz w:val="24"/>
          <w:szCs w:val="24"/>
          <w:highlight w:val="none"/>
        </w:rPr>
      </w:pPr>
      <w:r>
        <w:rPr>
          <w:rFonts w:hint="eastAsia" w:ascii="黑体" w:hAnsi="黑体" w:eastAsia="黑体" w:cs="黑体"/>
          <w:color w:val="auto"/>
          <w:sz w:val="24"/>
          <w:szCs w:val="24"/>
          <w:highlight w:val="none"/>
          <w:lang w:eastAsia="zh-CN"/>
        </w:rPr>
        <w:t>南通市通海中学教学装备采购及安装项目</w:t>
      </w:r>
      <w:r>
        <w:rPr>
          <w:rFonts w:hint="eastAsia" w:ascii="黑体" w:hAnsi="黑体" w:eastAsia="黑体" w:cs="黑体"/>
          <w:color w:val="auto"/>
          <w:sz w:val="24"/>
          <w:szCs w:val="24"/>
          <w:highlight w:val="none"/>
        </w:rPr>
        <w:t>的潜在供应商应在代理机构处获取采购文件，并于</w:t>
      </w:r>
      <w:r>
        <w:rPr>
          <w:rFonts w:hint="eastAsia" w:ascii="黑体" w:hAnsi="黑体" w:eastAsia="黑体" w:cs="黑体"/>
          <w:b/>
          <w:bCs/>
          <w:color w:val="auto"/>
          <w:sz w:val="24"/>
          <w:szCs w:val="24"/>
          <w:highlight w:val="none"/>
          <w:u w:val="single"/>
        </w:rPr>
        <w:t>2023年</w:t>
      </w:r>
      <w:r>
        <w:rPr>
          <w:rFonts w:hint="eastAsia" w:ascii="黑体" w:hAnsi="黑体" w:eastAsia="黑体" w:cs="黑体"/>
          <w:b/>
          <w:bCs/>
          <w:color w:val="auto"/>
          <w:sz w:val="24"/>
          <w:szCs w:val="24"/>
          <w:highlight w:val="none"/>
          <w:u w:val="single"/>
          <w:lang w:val="en-US" w:eastAsia="zh-CN"/>
        </w:rPr>
        <w:t xml:space="preserve"> 12</w:t>
      </w:r>
      <w:r>
        <w:rPr>
          <w:rFonts w:hint="eastAsia" w:ascii="黑体" w:hAnsi="黑体" w:eastAsia="黑体" w:cs="黑体"/>
          <w:b/>
          <w:bCs/>
          <w:color w:val="auto"/>
          <w:sz w:val="24"/>
          <w:szCs w:val="24"/>
          <w:highlight w:val="none"/>
          <w:u w:val="single"/>
        </w:rPr>
        <w:t>月</w:t>
      </w:r>
      <w:r>
        <w:rPr>
          <w:rFonts w:hint="eastAsia" w:ascii="黑体" w:hAnsi="黑体" w:eastAsia="黑体" w:cs="黑体"/>
          <w:b/>
          <w:bCs/>
          <w:color w:val="auto"/>
          <w:sz w:val="24"/>
          <w:szCs w:val="24"/>
          <w:highlight w:val="none"/>
          <w:u w:val="single"/>
          <w:lang w:val="en-US" w:eastAsia="zh-CN"/>
        </w:rPr>
        <w:t>01</w:t>
      </w:r>
      <w:r>
        <w:rPr>
          <w:rFonts w:hint="eastAsia" w:ascii="黑体" w:hAnsi="黑体" w:eastAsia="黑体" w:cs="黑体"/>
          <w:b/>
          <w:bCs/>
          <w:color w:val="auto"/>
          <w:sz w:val="24"/>
          <w:szCs w:val="24"/>
          <w:highlight w:val="none"/>
          <w:u w:val="single"/>
        </w:rPr>
        <w:t>日</w:t>
      </w:r>
      <w:r>
        <w:rPr>
          <w:rFonts w:hint="eastAsia" w:ascii="黑体" w:hAnsi="黑体" w:eastAsia="黑体" w:cs="黑体"/>
          <w:b/>
          <w:bCs/>
          <w:color w:val="auto"/>
          <w:sz w:val="24"/>
          <w:szCs w:val="24"/>
          <w:highlight w:val="none"/>
          <w:u w:val="single"/>
          <w:lang w:val="en-US" w:eastAsia="zh-CN"/>
        </w:rPr>
        <w:t xml:space="preserve"> 15</w:t>
      </w:r>
      <w:r>
        <w:rPr>
          <w:rFonts w:hint="eastAsia" w:ascii="黑体" w:hAnsi="黑体" w:eastAsia="黑体" w:cs="黑体"/>
          <w:b/>
          <w:bCs/>
          <w:color w:val="auto"/>
          <w:sz w:val="24"/>
          <w:szCs w:val="24"/>
          <w:highlight w:val="none"/>
          <w:u w:val="single"/>
        </w:rPr>
        <w:t>点</w:t>
      </w:r>
      <w:r>
        <w:rPr>
          <w:rFonts w:hint="eastAsia" w:ascii="黑体" w:hAnsi="黑体" w:eastAsia="黑体" w:cs="黑体"/>
          <w:b/>
          <w:bCs/>
          <w:color w:val="auto"/>
          <w:sz w:val="24"/>
          <w:szCs w:val="24"/>
          <w:highlight w:val="none"/>
          <w:u w:val="single"/>
          <w:lang w:val="en-US" w:eastAsia="zh-CN"/>
        </w:rPr>
        <w:t>00</w:t>
      </w:r>
      <w:r>
        <w:rPr>
          <w:rFonts w:hint="eastAsia" w:ascii="黑体" w:hAnsi="黑体" w:eastAsia="黑体" w:cs="黑体"/>
          <w:b/>
          <w:bCs/>
          <w:color w:val="auto"/>
          <w:sz w:val="24"/>
          <w:szCs w:val="24"/>
          <w:highlight w:val="none"/>
          <w:u w:val="single"/>
        </w:rPr>
        <w:t>分（北京时间）前</w:t>
      </w:r>
      <w:r>
        <w:rPr>
          <w:rFonts w:hint="eastAsia" w:ascii="黑体" w:hAnsi="黑体" w:eastAsia="黑体" w:cs="黑体"/>
          <w:color w:val="auto"/>
          <w:sz w:val="24"/>
          <w:szCs w:val="24"/>
          <w:highlight w:val="none"/>
        </w:rPr>
        <w:t>提交响应文件</w:t>
      </w:r>
    </w:p>
    <w:p>
      <w:pPr>
        <w:pStyle w:val="6"/>
        <w:pageBreakBefore w:val="0"/>
        <w:kinsoku/>
        <w:wordWrap/>
        <w:overflowPunct/>
        <w:topLinePunct w:val="0"/>
        <w:bidi w:val="0"/>
        <w:snapToGrid/>
        <w:spacing w:before="0" w:after="0" w:line="360" w:lineRule="auto"/>
        <w:jc w:val="left"/>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一、项目基本情况</w:t>
      </w:r>
    </w:p>
    <w:p>
      <w:pPr>
        <w:pStyle w:val="121"/>
        <w:pageBreakBefore w:val="0"/>
        <w:kinsoku/>
        <w:wordWrap/>
        <w:overflowPunct/>
        <w:topLinePunct w:val="0"/>
        <w:bidi w:val="0"/>
        <w:snapToGrid/>
        <w:spacing w:before="0" w:after="0" w:line="360" w:lineRule="auto"/>
        <w:rPr>
          <w:rFonts w:hint="eastAsia" w:ascii="黑体" w:hAnsi="黑体" w:eastAsia="黑体" w:cs="黑体"/>
          <w:b w:val="0"/>
          <w:bCs w:val="0"/>
          <w:color w:val="auto"/>
          <w:kern w:val="2"/>
          <w:sz w:val="24"/>
          <w:szCs w:val="24"/>
          <w:highlight w:val="none"/>
          <w:u w:val="single"/>
          <w:lang w:val="en-US" w:eastAsia="zh-CN" w:bidi="ar-SA"/>
        </w:rPr>
      </w:pPr>
      <w:r>
        <w:rPr>
          <w:rFonts w:hint="eastAsia" w:ascii="黑体" w:hAnsi="黑体" w:eastAsia="黑体" w:cs="黑体"/>
          <w:color w:val="auto"/>
          <w:sz w:val="24"/>
          <w:highlight w:val="none"/>
        </w:rPr>
        <w:t>项目编号：</w:t>
      </w:r>
      <w:r>
        <w:rPr>
          <w:rFonts w:hint="eastAsia" w:ascii="黑体" w:hAnsi="黑体" w:eastAsia="黑体" w:cs="黑体"/>
          <w:b w:val="0"/>
          <w:bCs w:val="0"/>
          <w:color w:val="auto"/>
          <w:kern w:val="2"/>
          <w:sz w:val="24"/>
          <w:szCs w:val="24"/>
          <w:highlight w:val="none"/>
          <w:u w:val="single"/>
          <w:lang w:val="en-US" w:eastAsia="zh-CN" w:bidi="ar-SA"/>
        </w:rPr>
        <w:t>NTRTJT2023011</w:t>
      </w:r>
    </w:p>
    <w:p>
      <w:pPr>
        <w:pageBreakBefore w:val="0"/>
        <w:kinsoku/>
        <w:wordWrap/>
        <w:overflowPunct/>
        <w:topLinePunct w:val="0"/>
        <w:bidi w:val="0"/>
        <w:snapToGrid/>
        <w:spacing w:line="360" w:lineRule="auto"/>
        <w:ind w:firstLine="480" w:firstLineChars="200"/>
        <w:jc w:val="left"/>
        <w:rPr>
          <w:rFonts w:hint="eastAsia" w:ascii="黑体" w:hAnsi="黑体" w:eastAsia="黑体" w:cs="黑体"/>
          <w:b w:val="0"/>
          <w:bCs w:val="0"/>
          <w:color w:val="auto"/>
          <w:sz w:val="24"/>
          <w:highlight w:val="none"/>
          <w:u w:val="single"/>
          <w:lang w:eastAsia="zh-CN"/>
        </w:rPr>
      </w:pPr>
      <w:r>
        <w:rPr>
          <w:rFonts w:hint="eastAsia" w:ascii="黑体" w:hAnsi="黑体" w:eastAsia="黑体" w:cs="黑体"/>
          <w:b w:val="0"/>
          <w:bCs w:val="0"/>
          <w:color w:val="auto"/>
          <w:sz w:val="24"/>
          <w:highlight w:val="none"/>
        </w:rPr>
        <w:t>项目名称：</w:t>
      </w:r>
      <w:r>
        <w:rPr>
          <w:rFonts w:hint="eastAsia" w:ascii="黑体" w:hAnsi="黑体" w:eastAsia="黑体" w:cs="黑体"/>
          <w:b w:val="0"/>
          <w:bCs w:val="0"/>
          <w:color w:val="auto"/>
          <w:sz w:val="24"/>
          <w:highlight w:val="none"/>
          <w:u w:val="single"/>
          <w:lang w:eastAsia="zh-CN"/>
        </w:rPr>
        <w:t>南通市通海中学教学装备采购及安装项目</w:t>
      </w:r>
    </w:p>
    <w:p>
      <w:pPr>
        <w:pageBreakBefore w:val="0"/>
        <w:kinsoku/>
        <w:wordWrap/>
        <w:overflowPunct/>
        <w:topLinePunct w:val="0"/>
        <w:bidi w:val="0"/>
        <w:snapToGrid/>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采购方式：竞争性谈判</w:t>
      </w:r>
    </w:p>
    <w:p>
      <w:pPr>
        <w:pageBreakBefore w:val="0"/>
        <w:kinsoku/>
        <w:wordWrap/>
        <w:overflowPunct/>
        <w:topLinePunct w:val="0"/>
        <w:bidi w:val="0"/>
        <w:snapToGrid/>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预算金额：本项目预算价为</w:t>
      </w:r>
      <w:r>
        <w:rPr>
          <w:rFonts w:hint="eastAsia" w:ascii="黑体" w:hAnsi="黑体" w:eastAsia="黑体" w:cs="黑体"/>
          <w:color w:val="auto"/>
          <w:sz w:val="24"/>
          <w:highlight w:val="none"/>
          <w:lang w:val="en-US" w:eastAsia="zh-CN"/>
        </w:rPr>
        <w:t>12</w:t>
      </w:r>
      <w:r>
        <w:rPr>
          <w:rFonts w:hint="eastAsia" w:ascii="黑体" w:hAnsi="黑体" w:eastAsia="黑体" w:cs="黑体"/>
          <w:color w:val="auto"/>
          <w:sz w:val="24"/>
          <w:highlight w:val="none"/>
        </w:rPr>
        <w:t>万元。</w:t>
      </w:r>
    </w:p>
    <w:p>
      <w:pPr>
        <w:pageBreakBefore w:val="0"/>
        <w:kinsoku/>
        <w:wordWrap/>
        <w:overflowPunct/>
        <w:topLinePunct w:val="0"/>
        <w:bidi w:val="0"/>
        <w:snapToGrid/>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最高限价：最高限价为人民币</w:t>
      </w:r>
      <w:r>
        <w:rPr>
          <w:rFonts w:hint="eastAsia" w:ascii="黑体" w:hAnsi="黑体" w:eastAsia="黑体" w:cs="黑体"/>
          <w:color w:val="auto"/>
          <w:sz w:val="24"/>
          <w:highlight w:val="none"/>
          <w:lang w:val="en-US" w:eastAsia="zh-CN"/>
        </w:rPr>
        <w:t>12</w:t>
      </w:r>
      <w:r>
        <w:rPr>
          <w:rFonts w:hint="eastAsia" w:ascii="黑体" w:hAnsi="黑体" w:eastAsia="黑体" w:cs="黑体"/>
          <w:color w:val="auto"/>
          <w:sz w:val="24"/>
          <w:highlight w:val="none"/>
        </w:rPr>
        <w:t>万元，报价超过最高限价的</w:t>
      </w:r>
      <w:r>
        <w:rPr>
          <w:rFonts w:hint="eastAsia" w:ascii="黑体" w:hAnsi="黑体" w:eastAsia="黑体" w:cs="黑体"/>
          <w:color w:val="auto"/>
          <w:sz w:val="24"/>
          <w:highlight w:val="none"/>
          <w:lang w:val="en-US" w:eastAsia="zh-CN"/>
        </w:rPr>
        <w:t>做无效标处理</w:t>
      </w:r>
      <w:r>
        <w:rPr>
          <w:rFonts w:hint="eastAsia" w:ascii="黑体" w:hAnsi="黑体" w:eastAsia="黑体" w:cs="黑体"/>
          <w:color w:val="auto"/>
          <w:sz w:val="24"/>
          <w:highlight w:val="none"/>
        </w:rPr>
        <w:t>。</w:t>
      </w:r>
    </w:p>
    <w:p>
      <w:pPr>
        <w:pageBreakBefore w:val="0"/>
        <w:kinsoku/>
        <w:wordWrap/>
        <w:overflowPunct/>
        <w:topLinePunct w:val="0"/>
        <w:bidi w:val="0"/>
        <w:snapToGrid/>
        <w:spacing w:line="360" w:lineRule="auto"/>
        <w:ind w:firstLine="480" w:firstLineChars="200"/>
        <w:jc w:val="left"/>
        <w:rPr>
          <w:rFonts w:hint="eastAsia" w:ascii="黑体" w:hAnsi="黑体" w:eastAsia="黑体" w:cs="黑体"/>
          <w:color w:val="auto"/>
          <w:sz w:val="24"/>
          <w:highlight w:val="none"/>
          <w:u w:val="single"/>
          <w:lang w:eastAsia="zh-CN"/>
        </w:rPr>
      </w:pPr>
      <w:r>
        <w:rPr>
          <w:rFonts w:hint="eastAsia" w:ascii="黑体" w:hAnsi="黑体" w:eastAsia="黑体" w:cs="黑体"/>
          <w:color w:val="auto"/>
          <w:sz w:val="24"/>
          <w:highlight w:val="none"/>
        </w:rPr>
        <w:t>采购需求：</w:t>
      </w:r>
      <w:r>
        <w:rPr>
          <w:rFonts w:hint="eastAsia" w:ascii="黑体" w:hAnsi="黑体" w:eastAsia="黑体" w:cs="黑体"/>
          <w:b/>
          <w:bCs/>
          <w:color w:val="auto"/>
          <w:sz w:val="24"/>
          <w:highlight w:val="none"/>
        </w:rPr>
        <w:t>详见项目需求及清单</w:t>
      </w:r>
      <w:r>
        <w:rPr>
          <w:rFonts w:hint="eastAsia" w:ascii="黑体" w:hAnsi="黑体" w:eastAsia="黑体" w:cs="黑体"/>
          <w:b/>
          <w:bCs/>
          <w:color w:val="auto"/>
          <w:sz w:val="24"/>
          <w:highlight w:val="none"/>
          <w:lang w:eastAsia="zh-CN"/>
        </w:rPr>
        <w:t>。</w:t>
      </w:r>
    </w:p>
    <w:p>
      <w:pPr>
        <w:widowControl/>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交货期</w:t>
      </w:r>
      <w:r>
        <w:rPr>
          <w:rFonts w:hint="eastAsia" w:ascii="黑体" w:hAnsi="黑体" w:eastAsia="黑体" w:cs="黑体"/>
          <w:color w:val="auto"/>
          <w:sz w:val="24"/>
          <w:highlight w:val="none"/>
        </w:rPr>
        <w:t>要求：</w:t>
      </w:r>
      <w:r>
        <w:rPr>
          <w:rFonts w:hint="eastAsia" w:ascii="黑体" w:hAnsi="黑体" w:eastAsia="黑体" w:cs="黑体"/>
          <w:color w:val="auto"/>
          <w:sz w:val="24"/>
          <w:szCs w:val="24"/>
          <w:highlight w:val="none"/>
        </w:rPr>
        <w:t>自合同签定之日起</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天</w:t>
      </w:r>
      <w:r>
        <w:rPr>
          <w:rFonts w:hint="eastAsia" w:ascii="黑体" w:hAnsi="黑体" w:eastAsia="黑体" w:cs="黑体"/>
          <w:color w:val="auto"/>
          <w:sz w:val="24"/>
          <w:szCs w:val="24"/>
          <w:highlight w:val="none"/>
          <w:lang w:val="en-US" w:eastAsia="zh-CN"/>
        </w:rPr>
        <w:t>内供货完成</w:t>
      </w:r>
      <w:r>
        <w:rPr>
          <w:rFonts w:hint="eastAsia" w:ascii="黑体" w:hAnsi="黑体" w:eastAsia="黑体" w:cs="黑体"/>
          <w:color w:val="auto"/>
          <w:sz w:val="24"/>
          <w:szCs w:val="24"/>
          <w:highlight w:val="none"/>
        </w:rPr>
        <w:t>，原厂包装免费送至采购人指定地点。</w:t>
      </w:r>
    </w:p>
    <w:p>
      <w:pPr>
        <w:pStyle w:val="42"/>
        <w:pageBreakBefore w:val="0"/>
        <w:kinsoku/>
        <w:wordWrap/>
        <w:overflowPunct/>
        <w:topLinePunct w:val="0"/>
        <w:bidi w:val="0"/>
        <w:snapToGrid/>
        <w:spacing w:line="360" w:lineRule="auto"/>
        <w:ind w:firstLine="48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质量标准：</w:t>
      </w:r>
      <w:r>
        <w:rPr>
          <w:rFonts w:hint="eastAsia" w:ascii="黑体" w:hAnsi="黑体" w:eastAsia="黑体" w:cs="黑体"/>
          <w:color w:val="auto"/>
          <w:sz w:val="24"/>
          <w:szCs w:val="24"/>
          <w:highlight w:val="none"/>
          <w:u w:val="single"/>
        </w:rPr>
        <w:t>合格</w:t>
      </w:r>
      <w:r>
        <w:rPr>
          <w:rFonts w:hint="eastAsia" w:ascii="黑体" w:hAnsi="黑体" w:eastAsia="黑体" w:cs="黑体"/>
          <w:color w:val="auto"/>
          <w:sz w:val="24"/>
          <w:szCs w:val="24"/>
          <w:highlight w:val="none"/>
        </w:rPr>
        <w:t>。</w:t>
      </w:r>
    </w:p>
    <w:p>
      <w:pPr>
        <w:pageBreakBefore w:val="0"/>
        <w:kinsoku/>
        <w:wordWrap/>
        <w:overflowPunct/>
        <w:topLinePunct w:val="0"/>
        <w:bidi w:val="0"/>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本项目不接受联合体。</w:t>
      </w:r>
    </w:p>
    <w:p>
      <w:pPr>
        <w:pStyle w:val="6"/>
        <w:pageBreakBefore w:val="0"/>
        <w:kinsoku/>
        <w:wordWrap/>
        <w:overflowPunct/>
        <w:topLinePunct w:val="0"/>
        <w:bidi w:val="0"/>
        <w:snapToGrid/>
        <w:spacing w:before="0" w:after="0" w:line="360" w:lineRule="auto"/>
        <w:jc w:val="left"/>
        <w:textAlignment w:val="auto"/>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二、申请人的资格要求：</w:t>
      </w:r>
    </w:p>
    <w:p>
      <w:pPr>
        <w:pStyle w:val="37"/>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560"/>
        <w:jc w:val="both"/>
        <w:textAlignment w:val="auto"/>
        <w:rPr>
          <w:rFonts w:hint="eastAsia" w:ascii="黑体" w:hAnsi="黑体" w:eastAsia="黑体" w:cs="黑体"/>
          <w:i w:val="0"/>
          <w:iCs w:val="0"/>
          <w:caps w:val="0"/>
          <w:color w:val="auto"/>
          <w:spacing w:val="0"/>
          <w:sz w:val="24"/>
          <w:szCs w:val="24"/>
          <w:highlight w:val="none"/>
        </w:rPr>
      </w:pPr>
      <w:r>
        <w:rPr>
          <w:rFonts w:hint="eastAsia" w:ascii="黑体" w:hAnsi="黑体" w:eastAsia="黑体" w:cs="黑体"/>
          <w:i w:val="0"/>
          <w:iCs w:val="0"/>
          <w:caps w:val="0"/>
          <w:color w:val="auto"/>
          <w:spacing w:val="0"/>
          <w:sz w:val="24"/>
          <w:szCs w:val="24"/>
          <w:highlight w:val="none"/>
        </w:rPr>
        <w:t>1.满足《中华人民共和国政府采购法》第二十二条规定；</w:t>
      </w:r>
    </w:p>
    <w:p>
      <w:pPr>
        <w:pStyle w:val="37"/>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560"/>
        <w:jc w:val="both"/>
        <w:textAlignment w:val="auto"/>
        <w:rPr>
          <w:rFonts w:hint="eastAsia" w:ascii="黑体" w:hAnsi="黑体" w:eastAsia="黑体" w:cs="黑体"/>
          <w:i w:val="0"/>
          <w:iCs w:val="0"/>
          <w:caps w:val="0"/>
          <w:color w:val="auto"/>
          <w:spacing w:val="0"/>
          <w:sz w:val="24"/>
          <w:szCs w:val="24"/>
          <w:highlight w:val="none"/>
          <w:lang w:eastAsia="zh-CN"/>
        </w:rPr>
      </w:pPr>
      <w:r>
        <w:rPr>
          <w:rFonts w:hint="eastAsia" w:ascii="黑体" w:hAnsi="黑体" w:eastAsia="黑体" w:cs="黑体"/>
          <w:i w:val="0"/>
          <w:iCs w:val="0"/>
          <w:caps w:val="0"/>
          <w:color w:val="auto"/>
          <w:spacing w:val="0"/>
          <w:sz w:val="24"/>
          <w:szCs w:val="24"/>
          <w:highlight w:val="none"/>
        </w:rPr>
        <w:t>2.落实政府采购政策需满足的资格要求：本项目为专门面向中小企业采购的项目</w:t>
      </w:r>
      <w:r>
        <w:rPr>
          <w:rFonts w:hint="eastAsia" w:ascii="黑体" w:hAnsi="黑体" w:eastAsia="黑体" w:cs="黑体"/>
          <w:i w:val="0"/>
          <w:iCs w:val="0"/>
          <w:caps w:val="0"/>
          <w:color w:val="auto"/>
          <w:spacing w:val="0"/>
          <w:sz w:val="24"/>
          <w:szCs w:val="24"/>
          <w:highlight w:val="none"/>
          <w:lang w:eastAsia="zh-CN"/>
        </w:rPr>
        <w:t>（提供中小企业声明函）</w:t>
      </w:r>
    </w:p>
    <w:p>
      <w:pPr>
        <w:pStyle w:val="37"/>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56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本项目采购标的对应的中小企业划分标准所属行业</w:t>
      </w:r>
      <w:r>
        <w:rPr>
          <w:rFonts w:hint="eastAsia" w:ascii="黑体" w:hAnsi="黑体" w:eastAsia="黑体" w:cs="黑体"/>
          <w:b/>
          <w:bCs/>
          <w:color w:val="auto"/>
          <w:sz w:val="24"/>
          <w:szCs w:val="24"/>
          <w:highlight w:val="none"/>
          <w:u w:val="single"/>
          <w:lang w:val="en-US" w:eastAsia="zh-CN"/>
        </w:rPr>
        <w:t>为工业</w:t>
      </w:r>
      <w:r>
        <w:rPr>
          <w:rFonts w:hint="eastAsia" w:ascii="黑体" w:hAnsi="黑体" w:eastAsia="黑体" w:cs="黑体"/>
          <w:color w:val="auto"/>
          <w:sz w:val="24"/>
          <w:szCs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pageBreakBefore w:val="0"/>
        <w:widowControl/>
        <w:tabs>
          <w:tab w:val="left" w:pos="9223"/>
          <w:tab w:val="left" w:pos="10303"/>
          <w:tab w:val="left" w:pos="11383"/>
          <w:tab w:val="left" w:pos="12463"/>
          <w:tab w:val="left" w:pos="13543"/>
          <w:tab w:val="left" w:pos="14623"/>
          <w:tab w:val="left" w:pos="15703"/>
        </w:tabs>
        <w:kinsoku/>
        <w:wordWrap/>
        <w:overflowPunct/>
        <w:topLinePunct w:val="0"/>
        <w:bidi w:val="0"/>
        <w:snapToGrid/>
        <w:spacing w:line="360" w:lineRule="auto"/>
        <w:ind w:left="-297" w:firstLine="723" w:firstLineChars="300"/>
        <w:jc w:val="left"/>
        <w:textAlignment w:val="auto"/>
        <w:rPr>
          <w:rFonts w:hint="eastAsia" w:ascii="黑体" w:hAnsi="黑体" w:eastAsia="黑体" w:cs="黑体"/>
          <w:i w:val="0"/>
          <w:iCs w:val="0"/>
          <w:caps w:val="0"/>
          <w:color w:val="auto"/>
          <w:spacing w:val="0"/>
          <w:sz w:val="24"/>
          <w:szCs w:val="24"/>
          <w:highlight w:val="none"/>
          <w:lang w:eastAsia="zh-CN"/>
        </w:rPr>
      </w:pPr>
      <w:r>
        <w:rPr>
          <w:rFonts w:hint="eastAsia" w:ascii="黑体" w:hAnsi="黑体" w:eastAsia="黑体" w:cs="黑体"/>
          <w:b/>
          <w:bCs/>
          <w:color w:val="auto"/>
          <w:sz w:val="24"/>
          <w:highlight w:val="none"/>
        </w:rPr>
        <w:t>备注：本项目专门面向中小企业，不享受价格扣除优惠政策。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val="zh-CN" w:eastAsia="zh-CN"/>
        </w:rPr>
        <w:t>谈判单位</w:t>
      </w:r>
      <w:r>
        <w:rPr>
          <w:rFonts w:hint="eastAsia" w:ascii="黑体" w:hAnsi="黑体" w:eastAsia="黑体" w:cs="黑体"/>
          <w:color w:val="auto"/>
          <w:sz w:val="24"/>
          <w:szCs w:val="24"/>
          <w:highlight w:val="none"/>
          <w:lang w:val="en-US" w:eastAsia="zh-CN"/>
        </w:rPr>
        <w:t>在规定的投标截止时间内（样品送达接收时间：自2023年12月1日14:00至15:00止）送本谈判文件第四章清单中序号1、2、3号样品各一件至南通市通海中学，提供的样品主材、主要配件、尺寸须完全符合本谈判文件第四章清单中的技术参数要求，谈判小组根据提交的样品及相关佐证材料复印件（包括但不限于检测报告等佐证材料）相结合评审，若经谈判小组评审后不符合本询价文件要求的，资格审查不予通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注明：（1）提供的所有样品不得带有用来区分其它企业产品的明显标志（不得有商标等显示供应商信息的内容），否则视为无效投标；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（2）各投标单位需服从采购单位现场接收人员的安排，投标单位需考虑提前送样及安装时间，超时一律不予接收。接受样品联系人：张老师 ，联系号码：13962860509 ，样品到达后及时电话通知工作人员并签到。各投标单位的样品由采购代理机构编号登记，评委以编号为单位进行独立评定。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（3）在本项目竞谈文件规定时间内未按照竞谈文件要求提交样品或提交样品不全者，作为未实质性响应竞谈文件要求处理。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（4）投标样品需与成交后供货产品一致，成交单位样品作为供货大样封存。未成交单位的样品在本项目评审结束后及时取走，若评审后滞留丢失均由该投标单位负责。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中标单位须在中标后（以网上中标公示发布日起）3日内提供以上清单中所有产品（每个产品各提供一样）及相关检测报告原件给采购人核验，如投标时响应的内容与实际提供的产品不一致的或未按照以上要求提供所有资料及产品的，经采购人核实后，采购人有权取消其中标权利，并上报相关监管部门，录入投标企业失信黑名单。</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kern w:val="0"/>
          <w:sz w:val="24"/>
          <w:highlight w:val="none"/>
        </w:rPr>
        <w:t>响应供应商未被“信用中国”网站、中国政府采购网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如核实未通过，经谈判小组确认后资格审查不予通过</w:t>
      </w:r>
    </w:p>
    <w:p>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lang w:val="zh-CN"/>
        </w:rPr>
        <w:t>谈判单位</w:t>
      </w:r>
      <w:r>
        <w:rPr>
          <w:rFonts w:hint="eastAsia" w:ascii="黑体" w:hAnsi="黑体" w:eastAsia="黑体" w:cs="黑体"/>
          <w:color w:val="auto"/>
          <w:sz w:val="24"/>
          <w:szCs w:val="24"/>
          <w:highlight w:val="none"/>
          <w:lang w:val="en-US" w:eastAsia="zh-CN"/>
        </w:rPr>
        <w:t>的授权代表须为本单位的正式员工，提供投标单位开标前为其连续3个月缴纳的的社保证明；</w:t>
      </w:r>
    </w:p>
    <w:p>
      <w:pPr>
        <w:pageBreakBefore w:val="0"/>
        <w:widowControl/>
        <w:tabs>
          <w:tab w:val="left" w:pos="9223"/>
          <w:tab w:val="left" w:pos="10303"/>
          <w:tab w:val="left" w:pos="11383"/>
          <w:tab w:val="left" w:pos="12463"/>
          <w:tab w:val="left" w:pos="13543"/>
          <w:tab w:val="left" w:pos="14623"/>
          <w:tab w:val="left" w:pos="15703"/>
        </w:tabs>
        <w:kinsoku/>
        <w:wordWrap/>
        <w:overflowPunct/>
        <w:topLinePunct w:val="0"/>
        <w:bidi w:val="0"/>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7.投标单位须为家具</w:t>
      </w:r>
      <w:r>
        <w:rPr>
          <w:rFonts w:hint="eastAsia" w:ascii="黑体" w:hAnsi="黑体" w:eastAsia="黑体" w:cs="黑体"/>
          <w:color w:val="auto"/>
          <w:sz w:val="24"/>
          <w:szCs w:val="24"/>
          <w:highlight w:val="none"/>
        </w:rPr>
        <w:t>生产厂家</w:t>
      </w:r>
      <w:r>
        <w:rPr>
          <w:rFonts w:hint="eastAsia" w:ascii="黑体" w:hAnsi="黑体" w:eastAsia="黑体" w:cs="黑体"/>
          <w:color w:val="auto"/>
          <w:sz w:val="24"/>
          <w:szCs w:val="24"/>
          <w:highlight w:val="none"/>
          <w:lang w:eastAsia="zh-CN"/>
        </w:rPr>
        <w:t>。</w:t>
      </w:r>
    </w:p>
    <w:p>
      <w:pPr>
        <w:pStyle w:val="6"/>
        <w:shd w:val="clear"/>
        <w:spacing w:before="0" w:after="0" w:line="360" w:lineRule="auto"/>
        <w:jc w:val="left"/>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三、获取采购文件</w:t>
      </w:r>
    </w:p>
    <w:p>
      <w:pPr>
        <w:pStyle w:val="37"/>
        <w:keepNext w:val="0"/>
        <w:keepLines w:val="0"/>
        <w:pageBreakBefore w:val="0"/>
        <w:widowControl/>
        <w:shd w:val="clear" w:color="auto"/>
        <w:kinsoku/>
        <w:wordWrap/>
        <w:overflowPunct/>
        <w:topLinePunct w:val="0"/>
        <w:autoSpaceDE/>
        <w:autoSpaceDN/>
        <w:bidi w:val="0"/>
        <w:adjustRightInd/>
        <w:snapToGrid/>
        <w:spacing w:before="0" w:beforeAutospacing="0" w:after="42" w:afterAutospacing="0" w:line="360" w:lineRule="auto"/>
        <w:ind w:firstLine="482"/>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时间：2023年</w:t>
      </w:r>
      <w:r>
        <w:rPr>
          <w:rFonts w:hint="eastAsia" w:ascii="黑体" w:hAnsi="黑体" w:eastAsia="黑体" w:cs="黑体"/>
          <w:color w:val="auto"/>
          <w:sz w:val="24"/>
          <w:szCs w:val="24"/>
          <w:highlight w:val="none"/>
          <w:lang w:val="en-US" w:eastAsia="zh-CN"/>
        </w:rPr>
        <w:t>11</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 xml:space="preserve"> 27</w:t>
      </w:r>
      <w:r>
        <w:rPr>
          <w:rFonts w:hint="eastAsia" w:ascii="黑体" w:hAnsi="黑体" w:eastAsia="黑体" w:cs="黑体"/>
          <w:color w:val="auto"/>
          <w:sz w:val="24"/>
          <w:szCs w:val="24"/>
          <w:highlight w:val="none"/>
        </w:rPr>
        <w:t>日至2023年</w:t>
      </w:r>
      <w:r>
        <w:rPr>
          <w:rFonts w:hint="eastAsia" w:ascii="黑体" w:hAnsi="黑体" w:eastAsia="黑体" w:cs="黑体"/>
          <w:color w:val="auto"/>
          <w:sz w:val="24"/>
          <w:szCs w:val="24"/>
          <w:highlight w:val="none"/>
          <w:lang w:val="en-US" w:eastAsia="zh-CN"/>
        </w:rPr>
        <w:t xml:space="preserve"> 12</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lang w:val="en-US" w:eastAsia="zh-CN"/>
        </w:rPr>
        <w:t>01</w:t>
      </w:r>
      <w:r>
        <w:rPr>
          <w:rFonts w:hint="eastAsia" w:ascii="黑体" w:hAnsi="黑体" w:eastAsia="黑体" w:cs="黑体"/>
          <w:color w:val="auto"/>
          <w:sz w:val="24"/>
          <w:szCs w:val="24"/>
          <w:highlight w:val="none"/>
        </w:rPr>
        <w:t>日</w:t>
      </w:r>
      <w:r>
        <w:rPr>
          <w:rFonts w:hint="eastAsia" w:ascii="黑体" w:hAnsi="黑体" w:eastAsia="黑体" w:cs="黑体"/>
          <w:color w:val="auto"/>
          <w:sz w:val="24"/>
          <w:szCs w:val="24"/>
          <w:highlight w:val="none"/>
          <w:lang w:val="en-US" w:eastAsia="zh-CN"/>
        </w:rPr>
        <w:t>15:00</w:t>
      </w:r>
      <w:r>
        <w:rPr>
          <w:rFonts w:hint="eastAsia" w:ascii="黑体" w:hAnsi="黑体" w:eastAsia="黑体" w:cs="黑体"/>
          <w:color w:val="auto"/>
          <w:sz w:val="24"/>
          <w:szCs w:val="24"/>
          <w:highlight w:val="none"/>
        </w:rPr>
        <w:t>。</w:t>
      </w:r>
    </w:p>
    <w:p>
      <w:pPr>
        <w:pStyle w:val="37"/>
        <w:keepNext w:val="0"/>
        <w:keepLines w:val="0"/>
        <w:pageBreakBefore w:val="0"/>
        <w:widowControl/>
        <w:shd w:val="clear" w:color="auto"/>
        <w:kinsoku/>
        <w:wordWrap/>
        <w:overflowPunct/>
        <w:topLinePunct w:val="0"/>
        <w:autoSpaceDE/>
        <w:autoSpaceDN/>
        <w:bidi w:val="0"/>
        <w:adjustRightInd/>
        <w:snapToGrid/>
        <w:spacing w:before="0" w:beforeAutospacing="0" w:after="42" w:afterAutospacing="0" w:line="360" w:lineRule="auto"/>
        <w:ind w:firstLine="482"/>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地点：本项目采购代理机构处获取。</w:t>
      </w:r>
    </w:p>
    <w:p>
      <w:pPr>
        <w:pStyle w:val="37"/>
        <w:keepNext w:val="0"/>
        <w:keepLines w:val="0"/>
        <w:pageBreakBefore w:val="0"/>
        <w:widowControl/>
        <w:shd w:val="clear" w:color="auto"/>
        <w:kinsoku/>
        <w:wordWrap/>
        <w:overflowPunct/>
        <w:topLinePunct w:val="0"/>
        <w:autoSpaceDE/>
        <w:autoSpaceDN/>
        <w:bidi w:val="0"/>
        <w:adjustRightInd/>
        <w:snapToGrid/>
        <w:spacing w:before="0" w:beforeAutospacing="0" w:after="42" w:afterAutospacing="0" w:line="360" w:lineRule="auto"/>
        <w:ind w:firstLine="482"/>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方式：有意参加本项目响应的供应商，请提供营业执照副本复印件加盖公章和授权委托书原件（如需），于本项目采购公告开始时间至开标截止时间前一个工作日，与代理机构联系获取采购文件。电话：</w:t>
      </w:r>
      <w:r>
        <w:rPr>
          <w:rFonts w:hint="eastAsia" w:ascii="黑体" w:hAnsi="黑体" w:eastAsia="黑体" w:cs="黑体"/>
          <w:color w:val="auto"/>
          <w:sz w:val="24"/>
          <w:szCs w:val="24"/>
          <w:highlight w:val="none"/>
          <w:lang w:val="en-US" w:eastAsia="zh-CN"/>
        </w:rPr>
        <w:t>19812255667</w:t>
      </w:r>
    </w:p>
    <w:p>
      <w:pPr>
        <w:pStyle w:val="6"/>
        <w:shd w:val="clear"/>
        <w:spacing w:before="0" w:after="0" w:line="360" w:lineRule="auto"/>
        <w:jc w:val="left"/>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四、响应文件提交</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1、截止时间：</w:t>
      </w:r>
      <w:r>
        <w:rPr>
          <w:rFonts w:hint="eastAsia" w:ascii="黑体" w:hAnsi="黑体" w:eastAsia="黑体" w:cs="黑体"/>
          <w:b/>
          <w:bCs/>
          <w:color w:val="auto"/>
          <w:sz w:val="24"/>
          <w:highlight w:val="none"/>
          <w:u w:val="single"/>
        </w:rPr>
        <w:t>202</w:t>
      </w:r>
      <w:r>
        <w:rPr>
          <w:rFonts w:hint="eastAsia" w:ascii="黑体" w:hAnsi="黑体" w:eastAsia="黑体" w:cs="黑体"/>
          <w:b/>
          <w:bCs/>
          <w:color w:val="auto"/>
          <w:sz w:val="24"/>
          <w:highlight w:val="none"/>
          <w:u w:val="single"/>
          <w:lang w:val="en-US" w:eastAsia="zh-CN"/>
        </w:rPr>
        <w:t>3</w:t>
      </w:r>
      <w:r>
        <w:rPr>
          <w:rFonts w:hint="eastAsia" w:ascii="黑体" w:hAnsi="黑体" w:eastAsia="黑体" w:cs="黑体"/>
          <w:b/>
          <w:bCs/>
          <w:color w:val="auto"/>
          <w:sz w:val="24"/>
          <w:highlight w:val="none"/>
          <w:u w:val="single"/>
        </w:rPr>
        <w:t>年</w:t>
      </w:r>
      <w:r>
        <w:rPr>
          <w:rFonts w:hint="eastAsia" w:ascii="黑体" w:hAnsi="黑体" w:eastAsia="黑体" w:cs="黑体"/>
          <w:b/>
          <w:bCs/>
          <w:color w:val="auto"/>
          <w:sz w:val="24"/>
          <w:highlight w:val="none"/>
          <w:u w:val="single"/>
          <w:lang w:val="en-US" w:eastAsia="zh-CN"/>
        </w:rPr>
        <w:t xml:space="preserve">12 </w:t>
      </w:r>
      <w:r>
        <w:rPr>
          <w:rFonts w:hint="eastAsia" w:ascii="黑体" w:hAnsi="黑体" w:eastAsia="黑体" w:cs="黑体"/>
          <w:b/>
          <w:bCs/>
          <w:color w:val="auto"/>
          <w:sz w:val="24"/>
          <w:highlight w:val="none"/>
          <w:u w:val="single"/>
        </w:rPr>
        <w:t>月</w:t>
      </w:r>
      <w:r>
        <w:rPr>
          <w:rFonts w:hint="eastAsia" w:ascii="黑体" w:hAnsi="黑体" w:eastAsia="黑体" w:cs="黑体"/>
          <w:b/>
          <w:bCs/>
          <w:color w:val="auto"/>
          <w:sz w:val="24"/>
          <w:highlight w:val="none"/>
          <w:u w:val="single"/>
          <w:lang w:val="en-US" w:eastAsia="zh-CN"/>
        </w:rPr>
        <w:t>01</w:t>
      </w:r>
      <w:r>
        <w:rPr>
          <w:rFonts w:hint="eastAsia" w:ascii="黑体" w:hAnsi="黑体" w:eastAsia="黑体" w:cs="黑体"/>
          <w:b/>
          <w:bCs/>
          <w:color w:val="auto"/>
          <w:sz w:val="24"/>
          <w:highlight w:val="none"/>
          <w:u w:val="single"/>
        </w:rPr>
        <w:t>日</w:t>
      </w:r>
      <w:r>
        <w:rPr>
          <w:rFonts w:hint="eastAsia" w:ascii="黑体" w:hAnsi="黑体" w:eastAsia="黑体" w:cs="黑体"/>
          <w:b/>
          <w:bCs/>
          <w:color w:val="auto"/>
          <w:sz w:val="24"/>
          <w:highlight w:val="none"/>
          <w:u w:val="single"/>
          <w:lang w:val="en-US" w:eastAsia="zh-CN"/>
        </w:rPr>
        <w:t xml:space="preserve">15 </w:t>
      </w:r>
      <w:r>
        <w:rPr>
          <w:rFonts w:hint="eastAsia" w:ascii="黑体" w:hAnsi="黑体" w:eastAsia="黑体" w:cs="黑体"/>
          <w:b/>
          <w:bCs/>
          <w:color w:val="auto"/>
          <w:sz w:val="24"/>
          <w:highlight w:val="none"/>
          <w:u w:val="single"/>
        </w:rPr>
        <w:t>点</w:t>
      </w:r>
      <w:r>
        <w:rPr>
          <w:rFonts w:hint="eastAsia" w:ascii="黑体" w:hAnsi="黑体" w:eastAsia="黑体" w:cs="黑体"/>
          <w:b/>
          <w:bCs/>
          <w:color w:val="auto"/>
          <w:sz w:val="24"/>
          <w:highlight w:val="none"/>
          <w:u w:val="single"/>
          <w:lang w:val="en-US" w:eastAsia="zh-CN"/>
        </w:rPr>
        <w:t>00</w:t>
      </w:r>
      <w:r>
        <w:rPr>
          <w:rFonts w:hint="eastAsia" w:ascii="黑体" w:hAnsi="黑体" w:eastAsia="黑体" w:cs="黑体"/>
          <w:b/>
          <w:bCs/>
          <w:color w:val="auto"/>
          <w:sz w:val="24"/>
          <w:highlight w:val="none"/>
          <w:u w:val="single"/>
        </w:rPr>
        <w:t>分（北京时间）逾时</w:t>
      </w:r>
      <w:r>
        <w:rPr>
          <w:rFonts w:hint="eastAsia" w:ascii="黑体" w:hAnsi="黑体" w:eastAsia="黑体" w:cs="黑体"/>
          <w:color w:val="auto"/>
          <w:sz w:val="24"/>
          <w:highlight w:val="none"/>
        </w:rPr>
        <w:t>，将拒绝接受响应文件文档。</w:t>
      </w:r>
    </w:p>
    <w:p>
      <w:pPr>
        <w:pStyle w:val="17"/>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2、方式：</w:t>
      </w:r>
      <w:r>
        <w:rPr>
          <w:rFonts w:hint="eastAsia" w:ascii="黑体" w:hAnsi="黑体" w:eastAsia="黑体" w:cs="黑体"/>
          <w:b/>
          <w:bCs/>
          <w:color w:val="auto"/>
          <w:sz w:val="24"/>
          <w:szCs w:val="24"/>
          <w:highlight w:val="none"/>
        </w:rPr>
        <w:t>加密压缩电子投标文件发送至</w:t>
      </w:r>
      <w:r>
        <w:rPr>
          <w:rFonts w:hint="eastAsia" w:ascii="黑体" w:hAnsi="黑体" w:eastAsia="黑体" w:cs="黑体"/>
          <w:b/>
          <w:bCs/>
          <w:color w:val="auto"/>
          <w:sz w:val="24"/>
          <w:szCs w:val="24"/>
          <w:highlight w:val="none"/>
          <w:lang w:eastAsia="zh-CN"/>
        </w:rPr>
        <w:t>runtong20210163@163.com</w:t>
      </w:r>
      <w:r>
        <w:rPr>
          <w:rFonts w:hint="eastAsia" w:ascii="黑体" w:hAnsi="黑体" w:eastAsia="黑体" w:cs="黑体"/>
          <w:b/>
          <w:bCs/>
          <w:color w:val="auto"/>
          <w:sz w:val="24"/>
          <w:szCs w:val="24"/>
          <w:highlight w:val="none"/>
        </w:rPr>
        <w:t>，本项目不接受未经加密的压缩文件。</w:t>
      </w:r>
    </w:p>
    <w:p>
      <w:pPr>
        <w:pStyle w:val="6"/>
        <w:spacing w:before="0" w:after="0" w:line="360" w:lineRule="auto"/>
        <w:jc w:val="left"/>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五、公告期限</w:t>
      </w:r>
    </w:p>
    <w:p>
      <w:pPr>
        <w:spacing w:line="360" w:lineRule="auto"/>
        <w:ind w:firstLine="480" w:firstLineChars="200"/>
        <w:jc w:val="left"/>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自本公告发布之日起3个工作日。</w:t>
      </w:r>
    </w:p>
    <w:p>
      <w:pPr>
        <w:pStyle w:val="6"/>
        <w:numPr>
          <w:ilvl w:val="0"/>
          <w:numId w:val="3"/>
        </w:numPr>
        <w:spacing w:before="0" w:after="0" w:line="360" w:lineRule="auto"/>
        <w:jc w:val="left"/>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其他补充事宜</w:t>
      </w:r>
    </w:p>
    <w:p>
      <w:pPr>
        <w:snapToGrid w:val="0"/>
        <w:spacing w:line="420" w:lineRule="exact"/>
        <w:ind w:firstLine="420" w:firstLineChars="200"/>
        <w:jc w:val="left"/>
        <w:rPr>
          <w:rFonts w:hint="eastAsia" w:ascii="黑体" w:hAnsi="黑体" w:eastAsia="黑体" w:cs="黑体"/>
          <w:color w:val="auto"/>
          <w:sz w:val="24"/>
          <w:highlight w:val="none"/>
        </w:rPr>
      </w:pPr>
      <w:r>
        <w:rPr>
          <w:rFonts w:hint="eastAsia" w:ascii="黑体" w:hAnsi="黑体" w:eastAsia="黑体" w:cs="黑体"/>
          <w:color w:val="auto"/>
          <w:highlight w:val="none"/>
        </w:rPr>
        <w:t>1、</w:t>
      </w:r>
      <w:r>
        <w:rPr>
          <w:rFonts w:hint="eastAsia" w:ascii="黑体" w:hAnsi="黑体" w:eastAsia="黑体" w:cs="黑体"/>
          <w:color w:val="auto"/>
          <w:sz w:val="24"/>
          <w:highlight w:val="none"/>
        </w:rPr>
        <w:t>对项目需求部分的询问、质疑请向采购人提出，询问、质疑由采购人负责答复，没有质疑视为充分了现场条件，并在谈判报价时考虑相关费用。</w:t>
      </w:r>
    </w:p>
    <w:p>
      <w:pPr>
        <w:snapToGrid w:val="0"/>
        <w:spacing w:line="420" w:lineRule="exact"/>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2、请各供应商连续关注本网站可能发生的相关变化等信息。如没有及时获悉相关变化而引起的后果由供应商自负。</w:t>
      </w:r>
    </w:p>
    <w:p>
      <w:pPr>
        <w:snapToGrid w:val="0"/>
        <w:spacing w:line="420" w:lineRule="exact"/>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3、请各供应商认真对照资格要求，如不符合要求，无意或故意参与报名、谈判所产生的一切后果由供应商自行承担。</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color w:val="auto"/>
          <w:sz w:val="24"/>
          <w:highlight w:val="none"/>
        </w:rPr>
        <w:t>4、</w:t>
      </w:r>
      <w:r>
        <w:rPr>
          <w:rFonts w:hint="eastAsia" w:ascii="黑体" w:hAnsi="黑体" w:eastAsia="黑体" w:cs="黑体"/>
          <w:b/>
          <w:bCs/>
          <w:color w:val="auto"/>
          <w:sz w:val="24"/>
          <w:highlight w:val="none"/>
        </w:rPr>
        <w:t>远程不见面开标说明</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fldChar w:fldCharType="begin"/>
      </w:r>
      <w:r>
        <w:rPr>
          <w:rFonts w:hint="eastAsia" w:ascii="黑体" w:hAnsi="黑体" w:eastAsia="黑体" w:cs="黑体"/>
          <w:b/>
          <w:bCs/>
          <w:color w:val="auto"/>
          <w:sz w:val="24"/>
          <w:highlight w:val="none"/>
        </w:rPr>
        <w:instrText xml:space="preserve"> = 1 \* GB3 \* MERGEFORMAT </w:instrText>
      </w:r>
      <w:r>
        <w:rPr>
          <w:rFonts w:hint="eastAsia" w:ascii="黑体" w:hAnsi="黑体" w:eastAsia="黑体" w:cs="黑体"/>
          <w:b/>
          <w:bCs/>
          <w:color w:val="auto"/>
          <w:sz w:val="24"/>
          <w:highlight w:val="none"/>
        </w:rPr>
        <w:fldChar w:fldCharType="separate"/>
      </w:r>
      <w:r>
        <w:rPr>
          <w:rFonts w:hint="eastAsia" w:ascii="黑体" w:hAnsi="黑体" w:eastAsia="黑体" w:cs="黑体"/>
          <w:b/>
          <w:bCs/>
          <w:color w:val="auto"/>
          <w:sz w:val="24"/>
          <w:highlight w:val="none"/>
        </w:rPr>
        <w:t>①</w:t>
      </w:r>
      <w:r>
        <w:rPr>
          <w:rFonts w:hint="eastAsia" w:ascii="黑体" w:hAnsi="黑体" w:eastAsia="黑体" w:cs="黑体"/>
          <w:b/>
          <w:bCs/>
          <w:color w:val="auto"/>
          <w:sz w:val="24"/>
          <w:highlight w:val="none"/>
        </w:rPr>
        <w:fldChar w:fldCharType="end"/>
      </w:r>
      <w:r>
        <w:rPr>
          <w:rFonts w:hint="eastAsia" w:ascii="黑体" w:hAnsi="黑体" w:eastAsia="黑体" w:cs="黑体"/>
          <w:b/>
          <w:bCs/>
          <w:color w:val="auto"/>
          <w:sz w:val="24"/>
          <w:highlight w:val="none"/>
        </w:rPr>
        <w:t>本项目为不见面开标，供应商代表无需到达开标现场，但应确保电子投标文件在提交截止时间前提交至采购代理机构指定邮箱（指定邮箱号：</w:t>
      </w:r>
      <w:r>
        <w:rPr>
          <w:rFonts w:hint="eastAsia" w:ascii="黑体" w:hAnsi="黑体" w:eastAsia="黑体" w:cs="黑体"/>
          <w:b/>
          <w:bCs/>
          <w:color w:val="auto"/>
          <w:sz w:val="24"/>
          <w:szCs w:val="24"/>
          <w:highlight w:val="none"/>
          <w:lang w:eastAsia="zh-CN"/>
        </w:rPr>
        <w:t>runtong20210163@163.com</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"mailto:jszrntzb@163.com），如响应文件未及时上传至指定邮箱、解密失败或者电子标书损坏等，一切责任由供应商自行承担。" </w:instrText>
      </w:r>
      <w:r>
        <w:rPr>
          <w:rFonts w:hint="eastAsia" w:ascii="黑体" w:hAnsi="黑体" w:eastAsia="黑体" w:cs="黑体"/>
          <w:color w:val="auto"/>
          <w:highlight w:val="none"/>
        </w:rPr>
        <w:fldChar w:fldCharType="separate"/>
      </w:r>
      <w:r>
        <w:rPr>
          <w:rStyle w:val="54"/>
          <w:rFonts w:hint="eastAsia" w:ascii="黑体" w:hAnsi="黑体" w:eastAsia="黑体" w:cs="黑体"/>
          <w:b/>
          <w:bCs/>
          <w:color w:val="auto"/>
          <w:sz w:val="24"/>
          <w:highlight w:val="none"/>
        </w:rPr>
        <w:t>，邮件主题为：项目名称+单位全称+委托人联系方式），邮件主题不按本要求提交发送的，一律按未响应公告实质性要求拒绝参加投标；单位名称必须和营业执照及资质证书名称完全一致，否则按未响应招标公告实质要求拒绝其投标，如响应文件未及时上传至指定邮箱、解密失败或者电子标书损坏等，一切责任由供应商自行承担。</w:t>
      </w:r>
      <w:r>
        <w:rPr>
          <w:rStyle w:val="54"/>
          <w:rFonts w:hint="eastAsia" w:ascii="黑体" w:hAnsi="黑体" w:eastAsia="黑体" w:cs="黑体"/>
          <w:b/>
          <w:bCs/>
          <w:color w:val="auto"/>
          <w:sz w:val="24"/>
          <w:highlight w:val="none"/>
        </w:rPr>
        <w:fldChar w:fldCharType="end"/>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fldChar w:fldCharType="begin"/>
      </w:r>
      <w:r>
        <w:rPr>
          <w:rFonts w:hint="eastAsia" w:ascii="黑体" w:hAnsi="黑体" w:eastAsia="黑体" w:cs="黑体"/>
          <w:b/>
          <w:bCs/>
          <w:color w:val="auto"/>
          <w:sz w:val="24"/>
          <w:highlight w:val="none"/>
        </w:rPr>
        <w:instrText xml:space="preserve"> = 2 \* GB3 \* MERGEFORMAT </w:instrText>
      </w:r>
      <w:r>
        <w:rPr>
          <w:rFonts w:hint="eastAsia" w:ascii="黑体" w:hAnsi="黑体" w:eastAsia="黑体" w:cs="黑体"/>
          <w:b/>
          <w:bCs/>
          <w:color w:val="auto"/>
          <w:sz w:val="24"/>
          <w:highlight w:val="none"/>
        </w:rPr>
        <w:fldChar w:fldCharType="separate"/>
      </w:r>
      <w:r>
        <w:rPr>
          <w:rFonts w:hint="eastAsia" w:ascii="黑体" w:hAnsi="黑体" w:eastAsia="黑体" w:cs="黑体"/>
          <w:b/>
          <w:bCs/>
          <w:color w:val="auto"/>
          <w:sz w:val="24"/>
          <w:highlight w:val="none"/>
        </w:rPr>
        <w:t>②</w:t>
      </w:r>
      <w:r>
        <w:rPr>
          <w:rFonts w:hint="eastAsia" w:ascii="黑体" w:hAnsi="黑体" w:eastAsia="黑体" w:cs="黑体"/>
          <w:b/>
          <w:bCs/>
          <w:color w:val="auto"/>
          <w:sz w:val="24"/>
          <w:highlight w:val="none"/>
        </w:rPr>
        <w:fldChar w:fldCharType="end"/>
      </w:r>
      <w:r>
        <w:rPr>
          <w:rFonts w:hint="eastAsia" w:ascii="黑体" w:hAnsi="黑体" w:eastAsia="黑体" w:cs="黑体"/>
          <w:b/>
          <w:bCs/>
          <w:color w:val="auto"/>
          <w:sz w:val="24"/>
          <w:highlight w:val="none"/>
        </w:rPr>
        <w:t>开标现场由代理机构主持，采购人组织的评标委员会负责投标文件的评审。为确保本项目开标能够顺利进行，各供应商的授权委托人在开标前一小时以</w:t>
      </w:r>
      <w:r>
        <w:rPr>
          <w:rFonts w:hint="eastAsia" w:ascii="黑体" w:hAnsi="黑体" w:eastAsia="黑体" w:cs="黑体"/>
          <w:b/>
          <w:bCs/>
          <w:color w:val="auto"/>
          <w:sz w:val="24"/>
          <w:highlight w:val="none"/>
          <w:u w:val="single"/>
        </w:rPr>
        <w:t>项目名称+公司简称+委托人姓名</w:t>
      </w:r>
      <w:r>
        <w:rPr>
          <w:rFonts w:hint="eastAsia" w:ascii="黑体" w:hAnsi="黑体" w:eastAsia="黑体" w:cs="黑体"/>
          <w:b/>
          <w:bCs/>
          <w:color w:val="auto"/>
          <w:sz w:val="24"/>
          <w:highlight w:val="none"/>
        </w:rPr>
        <w:t>申请加QQ好友，QQ号：</w:t>
      </w:r>
      <w:r>
        <w:rPr>
          <w:rFonts w:hint="eastAsia" w:ascii="黑体" w:hAnsi="黑体" w:eastAsia="黑体" w:cs="黑体"/>
          <w:b/>
          <w:bCs/>
          <w:color w:val="auto"/>
          <w:sz w:val="24"/>
          <w:highlight w:val="none"/>
          <w:lang w:eastAsia="zh-CN"/>
        </w:rPr>
        <w:t>2322172834</w:t>
      </w:r>
      <w:r>
        <w:rPr>
          <w:rFonts w:hint="eastAsia" w:ascii="黑体" w:hAnsi="黑体" w:eastAsia="黑体" w:cs="黑体"/>
          <w:b/>
          <w:bCs/>
          <w:color w:val="auto"/>
          <w:sz w:val="24"/>
          <w:highlight w:val="none"/>
        </w:rPr>
        <w:t>”，招标代理机构通过QQ向投标人发送</w:t>
      </w:r>
      <w:r>
        <w:rPr>
          <w:rFonts w:hint="eastAsia" w:ascii="黑体" w:hAnsi="黑体" w:eastAsia="黑体" w:cs="黑体"/>
          <w:b/>
          <w:bCs/>
          <w:color w:val="auto"/>
          <w:sz w:val="24"/>
          <w:highlight w:val="none"/>
          <w:u w:val="single"/>
          <w:lang w:eastAsia="zh-CN"/>
        </w:rPr>
        <w:t>指令</w:t>
      </w:r>
      <w:r>
        <w:rPr>
          <w:rFonts w:hint="eastAsia" w:ascii="黑体" w:hAnsi="黑体" w:eastAsia="黑体" w:cs="黑体"/>
          <w:b/>
          <w:bCs/>
          <w:color w:val="auto"/>
          <w:sz w:val="24"/>
          <w:highlight w:val="none"/>
        </w:rPr>
        <w:t>。</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③开标截止时间后，采购代理机构在</w:t>
      </w:r>
      <w:r>
        <w:rPr>
          <w:rFonts w:hint="eastAsia" w:ascii="黑体" w:hAnsi="黑体" w:eastAsia="黑体" w:cs="黑体"/>
          <w:b/>
          <w:bCs/>
          <w:color w:val="auto"/>
          <w:sz w:val="24"/>
          <w:highlight w:val="none"/>
          <w:lang w:val="en-US" w:eastAsia="zh-CN"/>
        </w:rPr>
        <w:t>QQ里</w:t>
      </w:r>
      <w:r>
        <w:rPr>
          <w:rFonts w:hint="eastAsia" w:ascii="黑体" w:hAnsi="黑体" w:eastAsia="黑体" w:cs="黑体"/>
          <w:b/>
          <w:bCs/>
          <w:color w:val="auto"/>
          <w:sz w:val="24"/>
          <w:highlight w:val="none"/>
        </w:rPr>
        <w:t>发出资格审查解封密码的指令，投标供应商在接收到指令后在将资格审查解封密码私发给代理机构，在资格审查结束后，通过资格审查的供应商接收到代理机构指令后将“价格响应文件”解封密码私发给代理机构。</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④开评标全过程中，各投标人参与远程交互的授权委托人或法人代表应始终为同一个人，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⑤为顺利实现本项目开评标的远程交互，建议投标人配置的硬件设施有：电脑或手机、打印机、高速稳定的网络、电源（不间断）、音视频设备（话筒、耳麦、高清摄像头、音响）等。为保证交互效果，建议投标人选择封闭安静的办公地点参与远程交互。因投标人自身软硬件问题而导致在交互过程中出现不稳定或中断等情况的，由投标人自身承担一切后果。</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⑥投标人所提交的所有电子投标文件（包括不限于最终报价文件）必须为加盖企业公章后的原件电子扫描件，若未按要求加盖企业公章，则按无效投标处理，成交供应商中标后3个工作日内提供纸质投标文件原件。</w:t>
      </w:r>
    </w:p>
    <w:p>
      <w:pPr>
        <w:widowControl/>
        <w:shd w:val="clear" w:color="auto"/>
        <w:spacing w:line="500" w:lineRule="exact"/>
        <w:ind w:firstLine="470" w:firstLineChars="195"/>
        <w:rPr>
          <w:rFonts w:hint="eastAsia" w:ascii="黑体" w:hAnsi="黑体" w:eastAsia="黑体" w:cs="黑体"/>
          <w:b/>
          <w:bCs/>
          <w:color w:val="auto"/>
          <w:spacing w:val="7"/>
          <w:sz w:val="28"/>
          <w:szCs w:val="22"/>
          <w:highlight w:val="none"/>
          <w:u w:val="single"/>
        </w:rPr>
      </w:pPr>
      <w:r>
        <w:rPr>
          <w:rFonts w:hint="eastAsia" w:ascii="黑体" w:hAnsi="黑体" w:eastAsia="黑体" w:cs="黑体"/>
          <w:b/>
          <w:bCs/>
          <w:color w:val="auto"/>
          <w:sz w:val="24"/>
          <w:highlight w:val="none"/>
        </w:rPr>
        <w:t>5、电子投标文件加密说明：</w:t>
      </w:r>
      <w:r>
        <w:rPr>
          <w:rFonts w:hint="eastAsia" w:ascii="黑体" w:hAnsi="黑体" w:eastAsia="黑体" w:cs="黑体"/>
          <w:b/>
          <w:bCs/>
          <w:color w:val="auto"/>
          <w:sz w:val="24"/>
          <w:highlight w:val="none"/>
          <w:u w:val="single"/>
        </w:rPr>
        <w:t>电子投标文件分资格审查响应文件、价格响应文件两部分，需分别压缩成两个压缩文件，并设置两个不同的解封密码（密码设置方法</w:t>
      </w:r>
      <w:r>
        <w:rPr>
          <w:rFonts w:hint="eastAsia" w:ascii="黑体" w:hAnsi="黑体" w:eastAsia="黑体" w:cs="黑体"/>
          <w:b/>
          <w:bCs/>
          <w:color w:val="auto"/>
          <w:sz w:val="24"/>
          <w:highlight w:val="none"/>
          <w:u w:val="single"/>
          <w:lang w:val="en-US" w:eastAsia="zh-CN"/>
        </w:rPr>
        <w:t>详见竞谈文件第二章谈判须知</w:t>
      </w:r>
      <w:r>
        <w:rPr>
          <w:rFonts w:hint="eastAsia" w:ascii="黑体" w:hAnsi="黑体" w:eastAsia="黑体" w:cs="黑体"/>
          <w:b/>
          <w:bCs/>
          <w:color w:val="auto"/>
          <w:sz w:val="24"/>
          <w:highlight w:val="none"/>
          <w:u w:val="single"/>
        </w:rPr>
        <w:t>）。</w:t>
      </w:r>
    </w:p>
    <w:p>
      <w:pPr>
        <w:pStyle w:val="37"/>
        <w:snapToGrid w:val="0"/>
        <w:spacing w:before="0" w:beforeAutospacing="0" w:after="0" w:afterAutospacing="0" w:line="360" w:lineRule="auto"/>
        <w:ind w:firstLine="236" w:firstLineChars="98"/>
        <w:rPr>
          <w:rFonts w:hint="eastAsia" w:ascii="黑体" w:hAnsi="黑体" w:eastAsia="黑体" w:cs="黑体"/>
          <w:b/>
          <w:bCs/>
          <w:color w:val="auto"/>
          <w:highlight w:val="none"/>
          <w:lang w:val="zh-CN"/>
        </w:rPr>
      </w:pPr>
      <w:r>
        <w:rPr>
          <w:rFonts w:hint="eastAsia" w:ascii="黑体" w:hAnsi="黑体" w:eastAsia="黑体" w:cs="黑体"/>
          <w:b/>
          <w:bCs/>
          <w:color w:val="auto"/>
          <w:highlight w:val="none"/>
        </w:rPr>
        <w:t>6、特别说明：</w:t>
      </w:r>
      <w:r>
        <w:rPr>
          <w:rFonts w:hint="eastAsia" w:ascii="黑体" w:hAnsi="黑体" w:eastAsia="黑体" w:cs="黑体"/>
          <w:b/>
          <w:bCs/>
          <w:color w:val="auto"/>
          <w:highlight w:val="none"/>
          <w:lang w:val="zh-CN"/>
        </w:rPr>
        <w:t>本项目采用电子投标文件发送至指定邮箱，</w:t>
      </w:r>
      <w:r>
        <w:rPr>
          <w:rFonts w:hint="eastAsia" w:ascii="黑体" w:hAnsi="黑体" w:eastAsia="黑体" w:cs="黑体"/>
          <w:b/>
          <w:bCs/>
          <w:color w:val="auto"/>
          <w:highlight w:val="none"/>
        </w:rPr>
        <w:t>采用</w:t>
      </w:r>
      <w:r>
        <w:rPr>
          <w:rFonts w:hint="eastAsia" w:ascii="黑体" w:hAnsi="黑体" w:eastAsia="黑体" w:cs="黑体"/>
          <w:b/>
          <w:bCs/>
          <w:color w:val="auto"/>
          <w:highlight w:val="none"/>
          <w:lang w:val="zh-CN"/>
        </w:rPr>
        <w:t>不见面开标模式，对于此</w:t>
      </w:r>
      <w:r>
        <w:rPr>
          <w:rFonts w:hint="eastAsia" w:ascii="黑体" w:hAnsi="黑体" w:eastAsia="黑体" w:cs="黑体"/>
          <w:b/>
          <w:bCs/>
          <w:color w:val="auto"/>
          <w:highlight w:val="none"/>
        </w:rPr>
        <w:t>要求</w:t>
      </w:r>
      <w:r>
        <w:rPr>
          <w:rFonts w:hint="eastAsia" w:ascii="黑体" w:hAnsi="黑体" w:eastAsia="黑体" w:cs="黑体"/>
          <w:b/>
          <w:bCs/>
          <w:color w:val="auto"/>
          <w:highlight w:val="none"/>
          <w:lang w:val="zh-CN"/>
        </w:rPr>
        <w:t>，参与投标的供应商不得有任何异议。</w:t>
      </w:r>
    </w:p>
    <w:p>
      <w:pPr>
        <w:pStyle w:val="6"/>
        <w:spacing w:before="0" w:after="0" w:line="360" w:lineRule="auto"/>
        <w:jc w:val="left"/>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七、凡对本次采购提出询问，请按以下方式联系。</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1.采购人信息</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名 称：南通市通海中学</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地 址：南通市苏锡通园区</w:t>
      </w:r>
    </w:p>
    <w:p>
      <w:pPr>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联系方式： 0513-82521317</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2.采购代理机构信息</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名称：</w:t>
      </w:r>
      <w:r>
        <w:rPr>
          <w:rFonts w:hint="eastAsia" w:ascii="黑体" w:hAnsi="黑体" w:eastAsia="黑体" w:cs="黑体"/>
          <w:color w:val="auto"/>
          <w:sz w:val="24"/>
          <w:highlight w:val="none"/>
          <w:lang w:eastAsia="zh-CN"/>
        </w:rPr>
        <w:t>南通润通项目管理</w:t>
      </w:r>
      <w:r>
        <w:rPr>
          <w:rFonts w:hint="eastAsia" w:ascii="黑体" w:hAnsi="黑体" w:eastAsia="黑体" w:cs="黑体"/>
          <w:color w:val="auto"/>
          <w:sz w:val="24"/>
          <w:highlight w:val="none"/>
        </w:rPr>
        <w:t>有限公司</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地址：南通市开发区长通路9号飞马国际中心A座1</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0</w:t>
      </w:r>
      <w:r>
        <w:rPr>
          <w:rFonts w:hint="eastAsia" w:ascii="黑体" w:hAnsi="黑体" w:eastAsia="黑体" w:cs="黑体"/>
          <w:color w:val="auto"/>
          <w:sz w:val="24"/>
          <w:highlight w:val="none"/>
          <w:lang w:val="en-US" w:eastAsia="zh-CN"/>
        </w:rPr>
        <w:t>8</w:t>
      </w:r>
      <w:r>
        <w:rPr>
          <w:rFonts w:hint="eastAsia" w:ascii="黑体" w:hAnsi="黑体" w:eastAsia="黑体" w:cs="黑体"/>
          <w:color w:val="auto"/>
          <w:sz w:val="24"/>
          <w:highlight w:val="none"/>
        </w:rPr>
        <w:t>室</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联系方式：</w:t>
      </w:r>
      <w:r>
        <w:rPr>
          <w:rFonts w:hint="eastAsia" w:ascii="黑体" w:hAnsi="黑体" w:eastAsia="黑体" w:cs="黑体"/>
          <w:color w:val="auto"/>
          <w:sz w:val="24"/>
          <w:highlight w:val="none"/>
          <w:lang w:eastAsia="zh-CN"/>
        </w:rPr>
        <w:t>赵工</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szCs w:val="24"/>
          <w:highlight w:val="none"/>
          <w:lang w:val="en-US" w:eastAsia="zh-CN"/>
        </w:rPr>
        <w:t>19812255667</w:t>
      </w:r>
    </w:p>
    <w:p>
      <w:pPr>
        <w:spacing w:line="360" w:lineRule="auto"/>
        <w:ind w:firstLine="480" w:firstLineChars="200"/>
        <w:jc w:val="both"/>
        <w:rPr>
          <w:rFonts w:hint="eastAsia" w:ascii="黑体" w:hAnsi="黑体" w:eastAsia="黑体" w:cs="黑体"/>
          <w:color w:val="auto"/>
          <w:sz w:val="24"/>
          <w:highlight w:val="none"/>
        </w:rPr>
      </w:pPr>
      <w:r>
        <w:rPr>
          <w:rFonts w:hint="eastAsia" w:ascii="黑体" w:hAnsi="黑体" w:eastAsia="黑体" w:cs="黑体"/>
          <w:bCs/>
          <w:color w:val="auto"/>
          <w:sz w:val="24"/>
          <w:highlight w:val="none"/>
        </w:rPr>
        <w:t>采购人：</w:t>
      </w:r>
      <w:r>
        <w:rPr>
          <w:rFonts w:hint="eastAsia" w:ascii="黑体" w:hAnsi="黑体" w:eastAsia="黑体" w:cs="黑体"/>
          <w:color w:val="auto"/>
          <w:sz w:val="24"/>
          <w:highlight w:val="none"/>
        </w:rPr>
        <w:t>南通市通海中学</w:t>
      </w:r>
    </w:p>
    <w:p>
      <w:pPr>
        <w:snapToGrid w:val="0"/>
        <w:spacing w:line="360" w:lineRule="auto"/>
        <w:jc w:val="center"/>
        <w:rPr>
          <w:rFonts w:hint="eastAsia" w:ascii="黑体" w:hAnsi="黑体" w:eastAsia="黑体" w:cs="黑体"/>
          <w:bCs/>
          <w:color w:val="auto"/>
          <w:sz w:val="24"/>
          <w:highlight w:val="none"/>
        </w:rPr>
      </w:pPr>
      <w:r>
        <w:rPr>
          <w:rFonts w:hint="eastAsia" w:ascii="黑体" w:hAnsi="黑体" w:eastAsia="黑体" w:cs="黑体"/>
          <w:bCs/>
          <w:color w:val="auto"/>
          <w:sz w:val="24"/>
          <w:highlight w:val="none"/>
          <w:lang w:val="en-US" w:eastAsia="zh-CN"/>
        </w:rPr>
        <w:t xml:space="preserve">                             </w:t>
      </w:r>
      <w:r>
        <w:rPr>
          <w:rFonts w:hint="eastAsia" w:ascii="黑体" w:hAnsi="黑体" w:eastAsia="黑体" w:cs="黑体"/>
          <w:bCs/>
          <w:color w:val="auto"/>
          <w:sz w:val="24"/>
          <w:highlight w:val="none"/>
        </w:rPr>
        <w:t>202</w:t>
      </w:r>
      <w:r>
        <w:rPr>
          <w:rFonts w:hint="eastAsia" w:ascii="黑体" w:hAnsi="黑体" w:eastAsia="黑体" w:cs="黑体"/>
          <w:bCs/>
          <w:color w:val="auto"/>
          <w:sz w:val="24"/>
          <w:highlight w:val="none"/>
          <w:lang w:val="en-US" w:eastAsia="zh-CN"/>
        </w:rPr>
        <w:t>3</w:t>
      </w:r>
      <w:r>
        <w:rPr>
          <w:rFonts w:hint="eastAsia" w:ascii="黑体" w:hAnsi="黑体" w:eastAsia="黑体" w:cs="黑体"/>
          <w:bCs/>
          <w:color w:val="auto"/>
          <w:sz w:val="24"/>
          <w:highlight w:val="none"/>
        </w:rPr>
        <w:t>年</w:t>
      </w:r>
      <w:r>
        <w:rPr>
          <w:rFonts w:hint="eastAsia" w:ascii="黑体" w:hAnsi="黑体" w:eastAsia="黑体" w:cs="黑体"/>
          <w:bCs/>
          <w:color w:val="auto"/>
          <w:sz w:val="24"/>
          <w:highlight w:val="none"/>
          <w:lang w:val="en-US" w:eastAsia="zh-CN"/>
        </w:rPr>
        <w:t xml:space="preserve"> 11 </w:t>
      </w:r>
      <w:r>
        <w:rPr>
          <w:rFonts w:hint="eastAsia" w:ascii="黑体" w:hAnsi="黑体" w:eastAsia="黑体" w:cs="黑体"/>
          <w:bCs/>
          <w:color w:val="auto"/>
          <w:sz w:val="24"/>
          <w:highlight w:val="none"/>
        </w:rPr>
        <w:t>月</w:t>
      </w:r>
      <w:r>
        <w:rPr>
          <w:rFonts w:hint="eastAsia" w:ascii="黑体" w:hAnsi="黑体" w:eastAsia="黑体" w:cs="黑体"/>
          <w:bCs/>
          <w:color w:val="auto"/>
          <w:sz w:val="24"/>
          <w:highlight w:val="none"/>
          <w:lang w:val="en-US" w:eastAsia="zh-CN"/>
        </w:rPr>
        <w:t xml:space="preserve"> 27 </w:t>
      </w:r>
      <w:r>
        <w:rPr>
          <w:rFonts w:hint="eastAsia" w:ascii="黑体" w:hAnsi="黑体" w:eastAsia="黑体" w:cs="黑体"/>
          <w:bCs/>
          <w:color w:val="auto"/>
          <w:sz w:val="24"/>
          <w:highlight w:val="none"/>
        </w:rPr>
        <w:t>日</w:t>
      </w:r>
    </w:p>
    <w:p>
      <w:pPr>
        <w:pStyle w:val="76"/>
        <w:rPr>
          <w:rFonts w:hint="eastAsia" w:ascii="黑体" w:hAnsi="黑体" w:eastAsia="黑体" w:cs="黑体"/>
          <w:bCs/>
          <w:color w:val="auto"/>
          <w:sz w:val="24"/>
          <w:highlight w:val="none"/>
        </w:rPr>
      </w:pPr>
    </w:p>
    <w:p>
      <w:pPr>
        <w:rPr>
          <w:rFonts w:hint="eastAsia" w:ascii="黑体" w:hAnsi="黑体" w:eastAsia="黑体" w:cs="黑体"/>
          <w:b/>
          <w:color w:val="auto"/>
          <w:sz w:val="32"/>
          <w:szCs w:val="32"/>
          <w:highlight w:val="none"/>
        </w:rPr>
      </w:pPr>
    </w:p>
    <w:p>
      <w:pPr>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eastAsia="zh-CN"/>
        </w:rPr>
        <w:t>第二章</w:t>
      </w:r>
      <w:r>
        <w:rPr>
          <w:rFonts w:hint="eastAsia" w:ascii="黑体" w:hAnsi="黑体" w:eastAsia="黑体" w:cs="黑体"/>
          <w:b/>
          <w:color w:val="auto"/>
          <w:sz w:val="32"/>
          <w:szCs w:val="32"/>
          <w:highlight w:val="none"/>
          <w:lang w:val="en-US" w:eastAsia="zh-CN"/>
        </w:rPr>
        <w:t xml:space="preserve">  </w:t>
      </w:r>
      <w:r>
        <w:rPr>
          <w:rFonts w:hint="eastAsia" w:ascii="黑体" w:hAnsi="黑体" w:eastAsia="黑体" w:cs="黑体"/>
          <w:b/>
          <w:color w:val="auto"/>
          <w:sz w:val="32"/>
          <w:szCs w:val="32"/>
          <w:highlight w:val="none"/>
        </w:rPr>
        <w:t>谈判须知</w:t>
      </w:r>
    </w:p>
    <w:p>
      <w:pPr>
        <w:spacing w:line="560" w:lineRule="exact"/>
        <w:ind w:firstLine="480" w:firstLineChars="20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（参加竞争性谈判的供应商以下简称“谈判供应商”）</w:t>
      </w:r>
    </w:p>
    <w:p>
      <w:pPr>
        <w:spacing w:line="5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一、总则</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1、适用范围</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1.1 本竞争性谈判文件（以下简称谈判文件）仅适用此项目。</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2、项目采购方式</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2.1本次采购采取竞争性谈判的方式。</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3、合格的谈判供应商</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3.1满足本谈判文件“竞争性谈判采购邀请”中合格谈判供应商资格要求的规定。</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3.2 满足本谈判文件实质性要求和条件的规定。</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4、参加谈判费用</w:t>
      </w:r>
    </w:p>
    <w:p>
      <w:pPr>
        <w:tabs>
          <w:tab w:val="left" w:pos="900"/>
        </w:tabs>
        <w:spacing w:line="500" w:lineRule="exact"/>
        <w:ind w:firstLine="480" w:firstLineChars="200"/>
        <w:rPr>
          <w:rFonts w:hint="eastAsia" w:ascii="黑体" w:hAnsi="黑体" w:eastAsia="黑体" w:cs="黑体"/>
          <w:b/>
          <w:bCs/>
          <w:color w:val="auto"/>
          <w:sz w:val="24"/>
          <w:highlight w:val="none"/>
        </w:rPr>
      </w:pPr>
      <w:r>
        <w:rPr>
          <w:rFonts w:hint="eastAsia" w:ascii="黑体" w:hAnsi="黑体" w:eastAsia="黑体" w:cs="黑体"/>
          <w:color w:val="auto"/>
          <w:sz w:val="24"/>
          <w:highlight w:val="none"/>
        </w:rPr>
        <w:t>4.1</w:t>
      </w:r>
      <w:r>
        <w:rPr>
          <w:rFonts w:hint="eastAsia" w:ascii="黑体" w:hAnsi="黑体" w:eastAsia="黑体" w:cs="黑体"/>
          <w:bCs/>
          <w:color w:val="auto"/>
          <w:sz w:val="24"/>
          <w:highlight w:val="none"/>
        </w:rPr>
        <w:t>本次采购代理机构收取标书工本费300元，无论是否中标，该费用不予退还，在提交投标文件时支付。</w:t>
      </w:r>
      <w:r>
        <w:rPr>
          <w:rFonts w:hint="eastAsia" w:ascii="黑体" w:hAnsi="黑体" w:eastAsia="黑体" w:cs="黑体"/>
          <w:color w:val="auto"/>
          <w:sz w:val="24"/>
          <w:highlight w:val="none"/>
        </w:rPr>
        <w:t>供应商响应文件供应商应承担其编制谈判文件以及递交谈判文件所涉及的一切费用，否则视为放弃投标权利处理。无论投标结果如何，采购人对上述费用不负任何责任。</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5、谈判文件的约束力</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5.1供应商一旦下载了本谈判文件并决定参加谈判，即被认为接受了本谈判文件的规定和约束，并且视为自竞争性谈判公告期限届满之日起知道或应当知道自身权益是否受到了损害。</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6、谈判文件的询问及修改</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6.1任何要求对谈判文件进行询问的供应商，均应在提交首次响应文件截止时间2个工作日前</w:t>
      </w:r>
      <w:r>
        <w:rPr>
          <w:rFonts w:hint="eastAsia" w:ascii="黑体" w:hAnsi="黑体" w:eastAsia="黑体" w:cs="黑体"/>
          <w:b/>
          <w:bCs/>
          <w:color w:val="auto"/>
          <w:sz w:val="24"/>
          <w:highlight w:val="none"/>
        </w:rPr>
        <w:t>以电子文件形式（不具单位名称）发送至</w:t>
      </w:r>
      <w:r>
        <w:rPr>
          <w:rFonts w:hint="eastAsia" w:ascii="黑体" w:hAnsi="黑体" w:eastAsia="黑体" w:cs="黑体"/>
          <w:b/>
          <w:bCs/>
          <w:color w:val="auto"/>
          <w:sz w:val="24"/>
          <w:szCs w:val="24"/>
          <w:highlight w:val="none"/>
          <w:lang w:eastAsia="zh-CN"/>
        </w:rPr>
        <w:t>runtong20210163@163.com</w:t>
      </w:r>
      <w:r>
        <w:rPr>
          <w:rFonts w:hint="eastAsia" w:ascii="黑体" w:hAnsi="黑体" w:eastAsia="黑体" w:cs="黑体"/>
          <w:b/>
          <w:bCs/>
          <w:color w:val="auto"/>
          <w:sz w:val="24"/>
          <w:highlight w:val="none"/>
        </w:rPr>
        <w:t xml:space="preserve"> 邮箱</w:t>
      </w:r>
      <w:r>
        <w:rPr>
          <w:rFonts w:hint="eastAsia" w:ascii="黑体" w:hAnsi="黑体" w:eastAsia="黑体" w:cs="黑体"/>
          <w:color w:val="auto"/>
          <w:sz w:val="24"/>
          <w:highlight w:val="none"/>
        </w:rPr>
        <w:t>，向代理机构或采购人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至少1个工作日前，在南通市教育局网上发布更正公告形式通知所有获取谈判文件的供应商。不足1个工作日的，代理机构应当顺延提交首次响应文件截止时间。</w:t>
      </w:r>
    </w:p>
    <w:p>
      <w:pPr>
        <w:tabs>
          <w:tab w:val="left" w:pos="900"/>
        </w:tabs>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7、谈判文件的解释</w:t>
      </w:r>
    </w:p>
    <w:p>
      <w:pPr>
        <w:spacing w:line="50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7.1 本谈判文件由代理机构负责解释。</w:t>
      </w:r>
    </w:p>
    <w:p>
      <w:pPr>
        <w:spacing w:line="500" w:lineRule="exact"/>
        <w:ind w:firstLine="482" w:firstLineChars="200"/>
        <w:rPr>
          <w:rFonts w:hint="eastAsia" w:ascii="黑体" w:hAnsi="黑体" w:eastAsia="黑体" w:cs="黑体"/>
          <w:color w:val="auto"/>
          <w:sz w:val="24"/>
          <w:highlight w:val="none"/>
        </w:rPr>
      </w:pPr>
      <w:r>
        <w:rPr>
          <w:rFonts w:hint="eastAsia" w:ascii="黑体" w:hAnsi="黑体" w:eastAsia="黑体" w:cs="黑体"/>
          <w:b/>
          <w:color w:val="auto"/>
          <w:sz w:val="24"/>
          <w:highlight w:val="none"/>
        </w:rPr>
        <w:t>二 、谈判响应文件的编制（中标后提交）</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响应文件的组成（参见第五章），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2.响应文件的资格审查文件、价格响应文件各自装订成册。</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特别提示：</w:t>
      </w:r>
      <w:r>
        <w:rPr>
          <w:rFonts w:hint="eastAsia" w:ascii="黑体" w:hAnsi="黑体" w:eastAsia="黑体" w:cs="黑体"/>
          <w:b/>
          <w:bCs/>
          <w:color w:val="auto"/>
          <w:sz w:val="24"/>
          <w:highlight w:val="none"/>
        </w:rPr>
        <w:t>价格响应文件必须单独装订和封装，不得出现在资格审查文件之中</w:t>
      </w:r>
      <w:r>
        <w:rPr>
          <w:rFonts w:hint="eastAsia" w:ascii="黑体" w:hAnsi="黑体" w:eastAsia="黑体" w:cs="黑体"/>
          <w:color w:val="auto"/>
          <w:sz w:val="24"/>
          <w:highlight w:val="none"/>
        </w:rPr>
        <w:t>。</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3.谈判报价</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3.1参加谈判的供应商应按照谈判文件规定格式填报谈判响应报价表。只允许有一个报价，任何有选择的报价将不予接受。</w:t>
      </w:r>
    </w:p>
    <w:p>
      <w:pPr>
        <w:tabs>
          <w:tab w:val="left" w:pos="1980"/>
        </w:tabs>
        <w:adjustRightInd w:val="0"/>
        <w:snapToGrid w:val="0"/>
        <w:spacing w:line="360" w:lineRule="auto"/>
        <w:ind w:firstLine="480" w:firstLineChars="200"/>
        <w:rPr>
          <w:rFonts w:hint="eastAsia" w:ascii="黑体" w:hAnsi="黑体" w:eastAsia="黑体" w:cs="黑体"/>
          <w:bCs/>
          <w:color w:val="auto"/>
          <w:sz w:val="24"/>
          <w:highlight w:val="none"/>
        </w:rPr>
      </w:pPr>
      <w:r>
        <w:rPr>
          <w:rFonts w:hint="eastAsia" w:ascii="黑体" w:hAnsi="黑体" w:eastAsia="黑体" w:cs="黑体"/>
          <w:color w:val="auto"/>
          <w:sz w:val="24"/>
          <w:highlight w:val="none"/>
        </w:rPr>
        <w:t>3.2</w:t>
      </w:r>
      <w:r>
        <w:rPr>
          <w:rFonts w:hint="eastAsia" w:ascii="黑体" w:hAnsi="黑体" w:eastAsia="黑体" w:cs="黑体"/>
          <w:bCs/>
          <w:color w:val="auto"/>
          <w:sz w:val="24"/>
          <w:highlight w:val="none"/>
        </w:rPr>
        <w:t>参加谈判的供应商应按照谈判文件规定格式填报供应商响应文件报价表，在表内响应单位的报价应包括完成本次谈判范围内全部工作内容所需所有费用，包括但不限于谈判范围内的</w:t>
      </w:r>
      <w:r>
        <w:rPr>
          <w:rFonts w:hint="eastAsia" w:ascii="黑体" w:hAnsi="黑体" w:eastAsia="黑体" w:cs="黑体"/>
          <w:bCs/>
          <w:color w:val="auto"/>
          <w:sz w:val="24"/>
          <w:highlight w:val="none"/>
          <w:lang w:eastAsia="zh-CN"/>
        </w:rPr>
        <w:t>家具材料费、</w:t>
      </w:r>
      <w:r>
        <w:rPr>
          <w:rFonts w:hint="eastAsia" w:ascii="黑体" w:hAnsi="黑体" w:eastAsia="黑体" w:cs="黑体"/>
          <w:bCs/>
          <w:color w:val="auto"/>
          <w:sz w:val="24"/>
          <w:highlight w:val="none"/>
        </w:rPr>
        <w:t>人工费、机械设备费、安装费、安全及防护费用、职工的意外伤害险、</w:t>
      </w:r>
      <w:r>
        <w:rPr>
          <w:rFonts w:hint="eastAsia" w:ascii="黑体" w:hAnsi="黑体" w:eastAsia="黑体" w:cs="黑体"/>
          <w:bCs/>
          <w:color w:val="auto"/>
          <w:sz w:val="24"/>
          <w:highlight w:val="none"/>
          <w:lang w:val="en-US" w:eastAsia="zh-CN"/>
        </w:rPr>
        <w:t>检测费</w:t>
      </w:r>
      <w:r>
        <w:rPr>
          <w:rFonts w:hint="eastAsia" w:ascii="黑体" w:hAnsi="黑体" w:eastAsia="黑体" w:cs="黑体"/>
          <w:bCs/>
          <w:color w:val="auto"/>
          <w:sz w:val="24"/>
          <w:highlight w:val="none"/>
        </w:rPr>
        <w:t>、利润、税金及因各种不可抗力导致的费用等完成本项目所需的全部费用。谈判供应商应充分考虑自身实力、市场风险等因素，合理报价。除非合同条款中另有规定，否则，谈判供应商所报价格在合同实施期间不因市场变化因素而变动。</w:t>
      </w:r>
    </w:p>
    <w:p>
      <w:pPr>
        <w:tabs>
          <w:tab w:val="left" w:pos="1980"/>
        </w:tabs>
        <w:adjustRightInd w:val="0"/>
        <w:snapToGrid w:val="0"/>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bCs/>
          <w:color w:val="auto"/>
          <w:sz w:val="24"/>
          <w:highlight w:val="none"/>
        </w:rPr>
        <w:t>竞谈总报价（以人民币计价）应包括本项目的全部费用 (含一切必须的辅助材料费用)及相关服务费等。</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bCs/>
          <w:color w:val="auto"/>
          <w:sz w:val="24"/>
          <w:highlight w:val="none"/>
        </w:rPr>
        <w:t xml:space="preserve">3.2 </w:t>
      </w:r>
      <w:r>
        <w:rPr>
          <w:rFonts w:hint="eastAsia" w:ascii="黑体" w:hAnsi="黑体" w:eastAsia="黑体" w:cs="黑体"/>
          <w:color w:val="auto"/>
          <w:sz w:val="24"/>
          <w:highlight w:val="none"/>
        </w:rPr>
        <w:t>标的物</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bCs/>
          <w:color w:val="auto"/>
          <w:sz w:val="24"/>
          <w:highlight w:val="none"/>
        </w:rPr>
        <w:t>详见项目需求。</w:t>
      </w:r>
    </w:p>
    <w:p>
      <w:pPr>
        <w:spacing w:line="480" w:lineRule="exact"/>
        <w:ind w:firstLine="480" w:firstLineChars="200"/>
        <w:rPr>
          <w:rFonts w:hint="eastAsia" w:ascii="黑体" w:hAnsi="黑体" w:eastAsia="黑体" w:cs="黑体"/>
          <w:bCs/>
          <w:color w:val="auto"/>
          <w:sz w:val="24"/>
          <w:highlight w:val="none"/>
        </w:rPr>
      </w:pPr>
      <w:r>
        <w:rPr>
          <w:rFonts w:hint="eastAsia" w:ascii="黑体" w:hAnsi="黑体" w:eastAsia="黑体" w:cs="黑体"/>
          <w:color w:val="auto"/>
          <w:sz w:val="24"/>
          <w:highlight w:val="none"/>
        </w:rPr>
        <w:t xml:space="preserve">3.4 </w:t>
      </w:r>
      <w:r>
        <w:rPr>
          <w:rFonts w:hint="eastAsia" w:ascii="黑体" w:hAnsi="黑体" w:eastAsia="黑体" w:cs="黑体"/>
          <w:bCs/>
          <w:color w:val="auto"/>
          <w:sz w:val="24"/>
          <w:highlight w:val="none"/>
        </w:rPr>
        <w:t>其它费用处理</w:t>
      </w:r>
    </w:p>
    <w:p>
      <w:pPr>
        <w:spacing w:line="48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谈判文件未列明，而谈判供应商认为必需的费用也需列入报价。谈判文件中另有规定的按规定执行。</w:t>
      </w:r>
    </w:p>
    <w:p>
      <w:pPr>
        <w:spacing w:line="480" w:lineRule="exact"/>
        <w:ind w:firstLine="480" w:firstLineChars="200"/>
        <w:rPr>
          <w:rFonts w:hint="eastAsia" w:ascii="黑体" w:hAnsi="黑体" w:eastAsia="黑体" w:cs="黑体"/>
          <w:bCs/>
          <w:color w:val="auto"/>
          <w:sz w:val="24"/>
          <w:highlight w:val="none"/>
        </w:rPr>
      </w:pPr>
      <w:r>
        <w:rPr>
          <w:rFonts w:hint="eastAsia" w:ascii="黑体" w:hAnsi="黑体" w:eastAsia="黑体" w:cs="黑体"/>
          <w:color w:val="auto"/>
          <w:sz w:val="24"/>
          <w:highlight w:val="none"/>
        </w:rPr>
        <w:t>3.5报价采用的</w:t>
      </w:r>
      <w:r>
        <w:rPr>
          <w:rFonts w:hint="eastAsia" w:ascii="黑体" w:hAnsi="黑体" w:eastAsia="黑体" w:cs="黑体"/>
          <w:bCs/>
          <w:color w:val="auto"/>
          <w:sz w:val="24"/>
          <w:highlight w:val="none"/>
        </w:rPr>
        <w:t>货币</w:t>
      </w:r>
    </w:p>
    <w:p>
      <w:pPr>
        <w:spacing w:line="48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响应文件中的单价和总价，无特殊规定的采用人民币报价，以元为单位标注。谈判文件中另有规定的按规定执行。</w:t>
      </w:r>
    </w:p>
    <w:p>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3.6谈判响应</w:t>
      </w:r>
      <w:r>
        <w:rPr>
          <w:rFonts w:hint="eastAsia" w:ascii="黑体" w:hAnsi="黑体" w:eastAsia="黑体" w:cs="黑体"/>
          <w:bCs/>
          <w:color w:val="auto"/>
          <w:sz w:val="24"/>
          <w:highlight w:val="none"/>
        </w:rPr>
        <w:t>报价表上的价格应按谈判文件规定填写</w:t>
      </w:r>
      <w:r>
        <w:rPr>
          <w:rFonts w:hint="eastAsia" w:ascii="黑体" w:hAnsi="黑体" w:eastAsia="黑体" w:cs="黑体"/>
          <w:color w:val="auto"/>
          <w:sz w:val="24"/>
          <w:highlight w:val="none"/>
        </w:rPr>
        <w:t>。</w:t>
      </w:r>
    </w:p>
    <w:p>
      <w:pPr>
        <w:spacing w:line="360" w:lineRule="auto"/>
        <w:ind w:firstLine="352" w:firstLineChars="146"/>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三 、谈判响应文件的递交</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1.谈判供应商应准备</w:t>
      </w:r>
      <w:r>
        <w:rPr>
          <w:rFonts w:hint="eastAsia" w:ascii="黑体" w:hAnsi="黑体" w:eastAsia="黑体" w:cs="黑体"/>
          <w:color w:val="auto"/>
          <w:sz w:val="24"/>
          <w:highlight w:val="none"/>
          <w:u w:val="single"/>
        </w:rPr>
        <w:t>叁</w:t>
      </w:r>
      <w:r>
        <w:rPr>
          <w:rFonts w:hint="eastAsia" w:ascii="黑体" w:hAnsi="黑体" w:eastAsia="黑体" w:cs="黑体"/>
          <w:color w:val="auto"/>
          <w:sz w:val="24"/>
          <w:highlight w:val="none"/>
        </w:rPr>
        <w:t>份完整的响应文件，其中正本</w:t>
      </w:r>
      <w:r>
        <w:rPr>
          <w:rFonts w:hint="eastAsia" w:ascii="黑体" w:hAnsi="黑体" w:eastAsia="黑体" w:cs="黑体"/>
          <w:color w:val="auto"/>
          <w:sz w:val="24"/>
          <w:highlight w:val="none"/>
          <w:u w:val="single"/>
        </w:rPr>
        <w:t>壹</w:t>
      </w:r>
      <w:r>
        <w:rPr>
          <w:rFonts w:hint="eastAsia" w:ascii="黑体" w:hAnsi="黑体" w:eastAsia="黑体" w:cs="黑体"/>
          <w:color w:val="auto"/>
          <w:sz w:val="24"/>
          <w:highlight w:val="none"/>
        </w:rPr>
        <w:t>份，副本</w:t>
      </w:r>
      <w:r>
        <w:rPr>
          <w:rFonts w:hint="eastAsia" w:ascii="黑体" w:hAnsi="黑体" w:eastAsia="黑体" w:cs="黑体"/>
          <w:color w:val="auto"/>
          <w:sz w:val="24"/>
          <w:highlight w:val="none"/>
          <w:u w:val="single"/>
        </w:rPr>
        <w:t>贰</w:t>
      </w:r>
      <w:r>
        <w:rPr>
          <w:rFonts w:hint="eastAsia" w:ascii="黑体" w:hAnsi="黑体" w:eastAsia="黑体" w:cs="黑体"/>
          <w:color w:val="auto"/>
          <w:sz w:val="24"/>
          <w:highlight w:val="none"/>
        </w:rPr>
        <w:t>份，并标明“正本”或“副本”字样</w:t>
      </w:r>
      <w:r>
        <w:rPr>
          <w:rFonts w:hint="eastAsia" w:ascii="黑体" w:hAnsi="黑体" w:eastAsia="黑体" w:cs="黑体"/>
          <w:b/>
          <w:color w:val="auto"/>
          <w:sz w:val="24"/>
          <w:highlight w:val="none"/>
        </w:rPr>
        <w:t>。</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2.响应文件的第一册为“资格审查文件”，第二册为“价格响应文件”，第一册、第二册应分别密封</w:t>
      </w:r>
      <w:r>
        <w:rPr>
          <w:rFonts w:hint="eastAsia" w:ascii="黑体" w:hAnsi="黑体" w:eastAsia="黑体" w:cs="黑体"/>
          <w:b/>
          <w:color w:val="auto"/>
          <w:sz w:val="24"/>
          <w:highlight w:val="none"/>
        </w:rPr>
        <w:t>。</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3.响应文件正本（须用不能擦去的墨水书写或打印）须按谈判文件要求由法定代表人或被授权人签字或盖章，并加盖单位印章。副本可复印，但须加盖单位印章。</w:t>
      </w:r>
    </w:p>
    <w:p>
      <w:pPr>
        <w:snapToGrid w:val="0"/>
        <w:spacing w:line="460" w:lineRule="exact"/>
        <w:ind w:firstLine="494" w:firstLineChars="206"/>
        <w:outlineLvl w:val="1"/>
        <w:rPr>
          <w:rFonts w:hint="eastAsia" w:ascii="黑体" w:hAnsi="黑体" w:eastAsia="黑体" w:cs="黑体"/>
          <w:b/>
          <w:bCs/>
          <w:color w:val="auto"/>
          <w:sz w:val="24"/>
          <w:highlight w:val="none"/>
        </w:rPr>
      </w:pPr>
      <w:r>
        <w:rPr>
          <w:rFonts w:hint="eastAsia" w:ascii="黑体" w:hAnsi="黑体" w:eastAsia="黑体" w:cs="黑体"/>
          <w:color w:val="auto"/>
          <w:sz w:val="24"/>
          <w:highlight w:val="none"/>
        </w:rPr>
        <w:t>四、</w:t>
      </w:r>
      <w:r>
        <w:rPr>
          <w:rFonts w:hint="eastAsia" w:ascii="黑体" w:hAnsi="黑体" w:eastAsia="黑体" w:cs="黑体"/>
          <w:b/>
          <w:bCs/>
          <w:color w:val="auto"/>
          <w:sz w:val="24"/>
          <w:highlight w:val="none"/>
        </w:rPr>
        <w:t>投标报价</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1.本项目不接受任何有选择的报价。</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2.谈判报价均以人民币为报价的货币单位。</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3.报价表必须加盖供应商公章且必须经法定代表人或被委托授权人签署。</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4.谈判报价出现前后不一致的，按照下列规定修正：</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（1）谈判文件中报价表内容与谈判文件技术响应中内容明细不一致的，以报价表为准；</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（2）谈判文件中涉及大写金额和小写金额不一致的，以大写金额为准；</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（3）单价金额小数点或者百分比有明显错位的，以报价表（投标报价总表）的总价为准，并修改单价；</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（4）总价金额与按单价汇总金额不一致的，以单价金额计算结果为准。</w:t>
      </w:r>
    </w:p>
    <w:p>
      <w:pPr>
        <w:snapToGrid w:val="0"/>
        <w:spacing w:line="46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同时出现两种以上不一致的，按照前款规定的顺序修正。修正后的报价应当由供应商的法定代表人或其授权的代表签字确认后产生约束力，供应商不确认的，其投标无效。</w:t>
      </w:r>
    </w:p>
    <w:p>
      <w:pPr>
        <w:snapToGrid w:val="0"/>
        <w:spacing w:line="460" w:lineRule="exact"/>
        <w:ind w:firstLine="472" w:firstLineChars="196"/>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（5）后一轮报价高于前一轮的，不予采纳，</w:t>
      </w:r>
      <w:r>
        <w:rPr>
          <w:rFonts w:hint="eastAsia" w:ascii="黑体" w:hAnsi="黑体" w:eastAsia="黑体" w:cs="黑体"/>
          <w:b/>
          <w:bCs/>
          <w:color w:val="auto"/>
          <w:sz w:val="24"/>
          <w:szCs w:val="20"/>
          <w:highlight w:val="none"/>
          <w:lang w:eastAsia="zh-CN"/>
        </w:rPr>
        <w:t>同时</w:t>
      </w:r>
      <w:r>
        <w:rPr>
          <w:rFonts w:hint="eastAsia" w:ascii="黑体" w:hAnsi="黑体" w:eastAsia="黑体" w:cs="黑体"/>
          <w:b/>
          <w:bCs/>
          <w:color w:val="auto"/>
          <w:sz w:val="24"/>
          <w:highlight w:val="none"/>
        </w:rPr>
        <w:t>以前一轮报价作为后面轮次的报价</w:t>
      </w:r>
      <w:r>
        <w:rPr>
          <w:rFonts w:hint="eastAsia" w:ascii="黑体" w:hAnsi="黑体" w:eastAsia="黑体" w:cs="黑体"/>
          <w:b/>
          <w:bCs/>
          <w:color w:val="auto"/>
          <w:sz w:val="24"/>
          <w:highlight w:val="none"/>
          <w:lang w:eastAsia="zh-CN"/>
        </w:rPr>
        <w:t>；</w:t>
      </w:r>
      <w:r>
        <w:rPr>
          <w:rFonts w:hint="eastAsia" w:ascii="黑体" w:hAnsi="黑体" w:eastAsia="黑体" w:cs="黑体"/>
          <w:b/>
          <w:bCs/>
          <w:color w:val="auto"/>
          <w:sz w:val="24"/>
          <w:highlight w:val="none"/>
        </w:rPr>
        <w:t>供应商无正当原因放弃报价响应的，采购人将参照相关法律法规对其作出惩戒处理。</w:t>
      </w:r>
    </w:p>
    <w:p>
      <w:pPr>
        <w:snapToGrid w:val="0"/>
        <w:spacing w:line="460" w:lineRule="exact"/>
        <w:ind w:firstLine="470" w:firstLineChars="196"/>
        <w:outlineLvl w:val="1"/>
        <w:rPr>
          <w:rFonts w:hint="eastAsia" w:ascii="黑体" w:hAnsi="黑体" w:eastAsia="黑体" w:cs="黑体"/>
          <w:color w:val="auto"/>
          <w:sz w:val="24"/>
          <w:highlight w:val="none"/>
        </w:rPr>
      </w:pPr>
      <w:r>
        <w:rPr>
          <w:rFonts w:hint="eastAsia" w:ascii="黑体" w:hAnsi="黑体" w:eastAsia="黑体" w:cs="黑体"/>
          <w:color w:val="auto"/>
          <w:sz w:val="24"/>
          <w:highlight w:val="none"/>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p>
    <w:p>
      <w:pPr>
        <w:widowControl/>
        <w:snapToGrid w:val="0"/>
        <w:spacing w:line="360" w:lineRule="auto"/>
        <w:ind w:firstLine="482" w:firstLineChars="200"/>
        <w:jc w:val="lef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五、响应文件的递交时间</w:t>
      </w:r>
    </w:p>
    <w:p>
      <w:pPr>
        <w:snapToGrid w:val="0"/>
        <w:spacing w:line="460" w:lineRule="exact"/>
        <w:ind w:firstLine="472" w:firstLineChars="196"/>
        <w:outlineLvl w:val="1"/>
        <w:rPr>
          <w:rFonts w:hint="eastAsia" w:ascii="黑体" w:hAnsi="黑体" w:eastAsia="黑体" w:cs="黑体"/>
          <w:color w:val="auto"/>
          <w:sz w:val="24"/>
          <w:highlight w:val="none"/>
        </w:rPr>
      </w:pPr>
      <w:r>
        <w:rPr>
          <w:rFonts w:hint="eastAsia" w:ascii="黑体" w:hAnsi="黑体" w:eastAsia="黑体" w:cs="黑体"/>
          <w:b/>
          <w:color w:val="auto"/>
          <w:sz w:val="24"/>
          <w:highlight w:val="none"/>
          <w:u w:val="single"/>
        </w:rPr>
        <w:fldChar w:fldCharType="begin"/>
      </w:r>
      <w:r>
        <w:rPr>
          <w:rFonts w:hint="eastAsia" w:ascii="黑体" w:hAnsi="黑体" w:eastAsia="黑体" w:cs="黑体"/>
          <w:b/>
          <w:color w:val="auto"/>
          <w:sz w:val="24"/>
          <w:highlight w:val="none"/>
          <w:u w:val="single"/>
        </w:rPr>
        <w:instrText xml:space="preserve"> HYPERLINK "mailto:供应商必须在规定的响应文件接收截止时间前将加密压缩电子投标文件发送至runtong20210163@163.com邮箱。采购人将拒绝接收在响应文件接收截止时间后递交的响应文件。" </w:instrText>
      </w:r>
      <w:r>
        <w:rPr>
          <w:rFonts w:hint="eastAsia" w:ascii="黑体" w:hAnsi="黑体" w:eastAsia="黑体" w:cs="黑体"/>
          <w:b/>
          <w:color w:val="auto"/>
          <w:sz w:val="24"/>
          <w:highlight w:val="none"/>
          <w:u w:val="single"/>
        </w:rPr>
        <w:fldChar w:fldCharType="separate"/>
      </w:r>
      <w:r>
        <w:rPr>
          <w:rStyle w:val="54"/>
          <w:rFonts w:hint="eastAsia" w:ascii="黑体" w:hAnsi="黑体" w:eastAsia="黑体" w:cs="黑体"/>
          <w:b/>
          <w:color w:val="auto"/>
          <w:sz w:val="24"/>
          <w:highlight w:val="none"/>
        </w:rPr>
        <w:t>供应商必须在规定的响应文件接收截止时间前将加密压缩电子投标文件发送至</w:t>
      </w:r>
      <w:r>
        <w:rPr>
          <w:rStyle w:val="54"/>
          <w:rFonts w:hint="eastAsia" w:ascii="黑体" w:hAnsi="黑体" w:eastAsia="黑体" w:cs="黑体"/>
          <w:b/>
          <w:bCs/>
          <w:color w:val="auto"/>
          <w:sz w:val="24"/>
          <w:szCs w:val="24"/>
          <w:highlight w:val="none"/>
          <w:lang w:eastAsia="zh-CN"/>
        </w:rPr>
        <w:t>runtong20210163@163.com</w:t>
      </w:r>
      <w:r>
        <w:rPr>
          <w:rStyle w:val="54"/>
          <w:rFonts w:hint="eastAsia" w:ascii="黑体" w:hAnsi="黑体" w:eastAsia="黑体" w:cs="黑体"/>
          <w:b/>
          <w:color w:val="auto"/>
          <w:sz w:val="24"/>
          <w:highlight w:val="none"/>
        </w:rPr>
        <w:t>邮箱。采购人将拒绝接收在响应文件接收截止时间后递交的响应文件</w:t>
      </w:r>
      <w:r>
        <w:rPr>
          <w:rStyle w:val="54"/>
          <w:rFonts w:hint="eastAsia" w:ascii="黑体" w:hAnsi="黑体" w:eastAsia="黑体" w:cs="黑体"/>
          <w:color w:val="auto"/>
          <w:sz w:val="24"/>
          <w:highlight w:val="none"/>
        </w:rPr>
        <w:t>。</w:t>
      </w:r>
      <w:r>
        <w:rPr>
          <w:rFonts w:hint="eastAsia" w:ascii="黑体" w:hAnsi="黑体" w:eastAsia="黑体" w:cs="黑体"/>
          <w:b/>
          <w:color w:val="auto"/>
          <w:sz w:val="24"/>
          <w:highlight w:val="none"/>
          <w:u w:val="single"/>
        </w:rPr>
        <w:fldChar w:fldCharType="end"/>
      </w:r>
    </w:p>
    <w:p>
      <w:pPr>
        <w:widowControl/>
        <w:shd w:val="clear" w:color="auto" w:fill="FFFFFF"/>
        <w:spacing w:line="500" w:lineRule="exact"/>
        <w:ind w:firstLine="470" w:firstLineChars="195"/>
        <w:rPr>
          <w:rFonts w:hint="eastAsia" w:ascii="黑体" w:hAnsi="黑体" w:eastAsia="黑体" w:cs="黑体"/>
          <w:b/>
          <w:color w:val="auto"/>
          <w:sz w:val="24"/>
          <w:highlight w:val="none"/>
        </w:rPr>
      </w:pPr>
      <w:r>
        <w:rPr>
          <w:rFonts w:hint="eastAsia" w:ascii="黑体" w:hAnsi="黑体" w:eastAsia="黑体" w:cs="黑体"/>
          <w:b/>
          <w:bCs/>
          <w:color w:val="auto"/>
          <w:sz w:val="24"/>
          <w:highlight w:val="none"/>
        </w:rPr>
        <w:t>电子投标文件加密说明：</w:t>
      </w:r>
      <w:r>
        <w:rPr>
          <w:rFonts w:hint="eastAsia" w:ascii="黑体" w:hAnsi="黑体" w:eastAsia="黑体" w:cs="黑体"/>
          <w:b/>
          <w:bCs/>
          <w:color w:val="auto"/>
          <w:sz w:val="24"/>
          <w:highlight w:val="none"/>
          <w:u w:val="single"/>
        </w:rPr>
        <w:t>电子投标文件分资格审查响应文件、价格响应文件两部分，需分别压缩成两个压缩文件，并设置两个不同的解封密码</w:t>
      </w:r>
      <w:r>
        <w:rPr>
          <w:rFonts w:hint="eastAsia" w:ascii="黑体" w:hAnsi="黑体" w:eastAsia="黑体" w:cs="黑体"/>
          <w:b/>
          <w:bCs/>
          <w:color w:val="auto"/>
          <w:sz w:val="24"/>
          <w:highlight w:val="none"/>
        </w:rPr>
        <w:t>。</w:t>
      </w:r>
    </w:p>
    <w:p>
      <w:pPr>
        <w:tabs>
          <w:tab w:val="left" w:pos="5250"/>
        </w:tabs>
        <w:snapToGrid w:val="0"/>
        <w:spacing w:line="460" w:lineRule="exact"/>
        <w:ind w:firstLine="482" w:firstLineChars="200"/>
        <w:jc w:val="left"/>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（密码设置方法如下图所示）。</w:t>
      </w:r>
    </w:p>
    <w:p>
      <w:pPr>
        <w:pStyle w:val="2"/>
        <w:rPr>
          <w:rFonts w:hint="eastAsia" w:ascii="黑体" w:hAnsi="黑体" w:eastAsia="黑体" w:cs="黑体"/>
          <w:color w:val="auto"/>
          <w:highlight w:val="none"/>
        </w:rPr>
      </w:pPr>
      <w:r>
        <w:rPr>
          <w:rFonts w:hint="eastAsia" w:ascii="黑体" w:hAnsi="黑体" w:eastAsia="黑体" w:cs="黑体"/>
          <w:b/>
          <w:color w:val="auto"/>
          <w:spacing w:val="7"/>
          <w:sz w:val="28"/>
          <w:szCs w:val="22"/>
          <w:highlight w:val="none"/>
          <w:u w:val="single"/>
        </w:rPr>
        <w:drawing>
          <wp:inline distT="0" distB="0" distL="114300" distR="114300">
            <wp:extent cx="3960495" cy="3112135"/>
            <wp:effectExtent l="0" t="0" r="1905" b="12065"/>
            <wp:docPr id="10" name="图片 2" descr="7cead526c8755a0dba1900af112c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7cead526c8755a0dba1900af112c5c0"/>
                    <pic:cNvPicPr>
                      <a:picLocks noChangeAspect="1"/>
                    </pic:cNvPicPr>
                  </pic:nvPicPr>
                  <pic:blipFill>
                    <a:blip r:embed="rId8"/>
                    <a:stretch>
                      <a:fillRect/>
                    </a:stretch>
                  </pic:blipFill>
                  <pic:spPr>
                    <a:xfrm>
                      <a:off x="0" y="0"/>
                      <a:ext cx="3960495" cy="3112135"/>
                    </a:xfrm>
                    <a:prstGeom prst="rect">
                      <a:avLst/>
                    </a:prstGeom>
                    <a:noFill/>
                    <a:ln>
                      <a:noFill/>
                    </a:ln>
                  </pic:spPr>
                </pic:pic>
              </a:graphicData>
            </a:graphic>
          </wp:inline>
        </w:drawing>
      </w:r>
    </w:p>
    <w:p>
      <w:pPr>
        <w:widowControl/>
        <w:snapToGrid w:val="0"/>
        <w:spacing w:line="360" w:lineRule="auto"/>
        <w:ind w:firstLine="480" w:firstLineChars="200"/>
        <w:jc w:val="left"/>
        <w:rPr>
          <w:rFonts w:hint="eastAsia" w:ascii="黑体" w:hAnsi="黑体" w:eastAsia="黑体" w:cs="黑体"/>
          <w:b/>
          <w:color w:val="auto"/>
          <w:sz w:val="24"/>
          <w:highlight w:val="none"/>
        </w:rPr>
      </w:pPr>
      <w:r>
        <w:rPr>
          <w:rFonts w:hint="eastAsia" w:ascii="黑体" w:hAnsi="黑体" w:eastAsia="黑体" w:cs="黑体"/>
          <w:color w:val="auto"/>
          <w:sz w:val="24"/>
          <w:highlight w:val="none"/>
        </w:rPr>
        <w:t>六、</w:t>
      </w:r>
      <w:r>
        <w:rPr>
          <w:rFonts w:hint="eastAsia" w:ascii="黑体" w:hAnsi="黑体" w:eastAsia="黑体" w:cs="黑体"/>
          <w:b/>
          <w:color w:val="auto"/>
          <w:sz w:val="24"/>
          <w:highlight w:val="none"/>
        </w:rPr>
        <w:t>谈判响应文件及</w:t>
      </w:r>
      <w:r>
        <w:rPr>
          <w:rFonts w:hint="eastAsia" w:ascii="黑体" w:hAnsi="黑体" w:eastAsia="黑体" w:cs="黑体"/>
          <w:b/>
          <w:bCs/>
          <w:color w:val="auto"/>
          <w:sz w:val="24"/>
          <w:highlight w:val="none"/>
        </w:rPr>
        <w:t>谈判</w:t>
      </w:r>
      <w:r>
        <w:rPr>
          <w:rFonts w:hint="eastAsia" w:ascii="黑体" w:hAnsi="黑体" w:eastAsia="黑体" w:cs="黑体"/>
          <w:b/>
          <w:color w:val="auto"/>
          <w:sz w:val="24"/>
          <w:highlight w:val="none"/>
        </w:rPr>
        <w:t>费用</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1.谈判程序顺利进行后，所有的谈判响应文件都将作为档案保存，不论成交与否，代理机构均不退回。</w:t>
      </w:r>
    </w:p>
    <w:p>
      <w:pPr>
        <w:widowControl/>
        <w:snapToGrid w:val="0"/>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2.无论谈判过程和结果如何，参加谈判采购文件的供应商自行承担与本次项目谈判有关的全部费用。</w:t>
      </w:r>
    </w:p>
    <w:p>
      <w:pPr>
        <w:spacing w:line="5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七、谈判与评审</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1、谈判仪式</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1.1代理机构将在采购公告中规定的时间和地点组织谈判开始仪式，仪式由代理机构主持，供应商应委派携带有效证件的代表准时参加，参加仪式的代表需签名以证明其出席。</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2、谈判小组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 谈判开始仪式结束后，代理机构将立即组织谈判小组进行评审、谈判。</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2.2评标委员会构成共3人 ，按照政府采购的规定抽取 。</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2.3谈判小组应以科学、公正的态度参加评审、谈判工作并推荐成交候选人。评审专家在评审过程中不受任何干扰，独立、负责地提出评审意见，并对自己的评审意见承担责任。</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2.4谈判小组将对供应商的商业、技术秘密予以保密。</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3、评审过程的保密与公正</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3.1谈判开始仪式结束后，直至签订合同之日止，凡是与审查、澄清、评价和比较谈判响应文件的有关资料以及推荐建议等，均不得向供应商或与评审无关的其他人员透露。</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3.2在评审过程中，如果供应商试图向代理机构和参与评审的人员施加任何影响，有可能对其响应文件按无效处理。</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4、评审过程的澄清、说明和更正</w:t>
      </w:r>
    </w:p>
    <w:p>
      <w:pPr>
        <w:tabs>
          <w:tab w:val="left" w:pos="900"/>
        </w:tabs>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4.3 接到谈判小组澄清要求的供应商如未按规定做出澄清，其风险由供应商自行承担。</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5、对响应文件的初审</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5.1响应文件初审分为资格性检查和符合性检查。</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资格性检查：依据法律法规和采购文件的规定，对响应文件中的资格证明文件等进行审查，以确定供应商是否具备参加谈判的资格。</w:t>
      </w:r>
    </w:p>
    <w:p>
      <w:pPr>
        <w:spacing w:line="480" w:lineRule="exact"/>
        <w:ind w:firstLine="482" w:firstLineChars="200"/>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符合性检查：依据采购文件的规定，从响应文件的有效性、完整性和对采购文件的响应程度进行审查，以确定是否对采购文件的实质性要求作出响应。</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5.2在正式谈判之前，谈判小组将首先审查每份谈判响应文件是否实质性响应了采购文件的要求。实质性响应的谈判响应文件应该是与采购文件要求的全部条款、条件和规格相符，没有重大偏离或保留。</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5.3被认定为未实质性和符合性响应谈判文件的响应文件的情形</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 未按照采购文件规定要求密封、签署、盖章的；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（2） 响应供应商未按照竞谈文件要求上传电子响应文件的。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（3）同一响应供应商提交两个（含两个）以上不同的投标报价的。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（4）供应商的报价超过了采购预算或最高限价的；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（5）供应商不具备竞谈文件中规定资格要求的；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（6）未通过符合性检查的。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（7）不符合法律、法规和磋商文件中规定的其他实质性要求和条件的；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（8）不符合竞谈文件中规定的其他实质性要求和条件的。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（9）响应供应商被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（10） 响应文件含有采购人不能接受的附加条件的。</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11）评标委员会认为响应供应商的报价明显低于其他通过符合性审查响应供应商的报价，有可能影响产品质量或者不能诚信履约的，将通过评委要求其在合理的时间内提供说明，提供的说明按照代理指定的邮箱在规定时间内提交，必要时提交相关证明材料；响应供应商不能证明其报价合理性的，评标委员会应当将其作为无效投标处理。</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12）本项目采购产品被财政部、国家发改委、生态环境部等列入“节能产品品目清单”、“环境标志产品品目清单”强制采购范围，而响应供应商所投标产品不在强制采购范围内的。（投标产品如属于政府强制采购节能产品品目清单范围内，响应文件中必须提供国家确定的认证机构出具的、处于有效期之内的该节能产品认证证书图片）（该条款本项目不适用）。</w:t>
      </w:r>
    </w:p>
    <w:p>
      <w:pPr>
        <w:tabs>
          <w:tab w:val="left" w:pos="720"/>
        </w:tabs>
        <w:spacing w:line="460" w:lineRule="exact"/>
        <w:ind w:firstLine="482" w:firstLineChars="200"/>
        <w:outlineLvl w:val="2"/>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（13）响应文件未按照竞谈文件要求加盖公章。</w:t>
      </w:r>
    </w:p>
    <w:p>
      <w:pPr>
        <w:pStyle w:val="41"/>
        <w:ind w:firstLine="477" w:firstLineChars="198"/>
        <w:rPr>
          <w:rFonts w:hint="eastAsia" w:ascii="黑体" w:hAnsi="黑体" w:eastAsia="黑体" w:cs="黑体"/>
          <w:b/>
          <w:bCs/>
          <w:color w:val="auto"/>
          <w:sz w:val="24"/>
          <w:highlight w:val="none"/>
          <w:lang w:eastAsia="zh-CN"/>
        </w:rPr>
      </w:pPr>
      <w:r>
        <w:rPr>
          <w:rFonts w:hint="eastAsia" w:ascii="黑体" w:hAnsi="黑体" w:eastAsia="黑体" w:cs="黑体"/>
          <w:b/>
          <w:bCs/>
          <w:color w:val="auto"/>
          <w:sz w:val="24"/>
          <w:highlight w:val="none"/>
        </w:rPr>
        <w:t>（14）未</w:t>
      </w:r>
      <w:r>
        <w:rPr>
          <w:rFonts w:hint="eastAsia" w:ascii="黑体" w:hAnsi="黑体" w:eastAsia="黑体" w:cs="黑体"/>
          <w:b/>
          <w:bCs/>
          <w:color w:val="auto"/>
          <w:sz w:val="24"/>
          <w:highlight w:val="none"/>
          <w:lang w:val="en-US" w:eastAsia="zh-CN"/>
        </w:rPr>
        <w:t>按要求</w:t>
      </w:r>
      <w:r>
        <w:rPr>
          <w:rFonts w:hint="eastAsia" w:ascii="黑体" w:hAnsi="黑体" w:eastAsia="黑体" w:cs="黑体"/>
          <w:b/>
          <w:bCs/>
          <w:color w:val="auto"/>
          <w:sz w:val="24"/>
          <w:highlight w:val="none"/>
        </w:rPr>
        <w:t>提供商务部分正负偏离表和技术部分正负偏离表的</w:t>
      </w:r>
      <w:r>
        <w:rPr>
          <w:rFonts w:hint="eastAsia" w:ascii="黑体" w:hAnsi="黑体" w:eastAsia="黑体" w:cs="黑体"/>
          <w:b/>
          <w:bCs/>
          <w:color w:val="auto"/>
          <w:sz w:val="24"/>
          <w:highlight w:val="none"/>
          <w:lang w:eastAsia="zh-CN"/>
        </w:rPr>
        <w:t>。</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5.4未实质性响应谈判文件的响应文件按无效响应处理，谈判小组将予以拒绝，供应商不得通过修改或撤销不合要求的偏离或保留而使其谈判响应文件成为实质性响应的文件。</w:t>
      </w:r>
    </w:p>
    <w:p>
      <w:pPr>
        <w:pStyle w:val="16"/>
        <w:spacing w:line="440" w:lineRule="exact"/>
        <w:ind w:firstLine="480" w:firstLineChars="200"/>
        <w:rPr>
          <w:rFonts w:hint="eastAsia" w:ascii="黑体" w:hAnsi="黑体" w:eastAsia="黑体" w:cs="黑体"/>
          <w:b/>
          <w:color w:val="auto"/>
          <w:sz w:val="24"/>
          <w:szCs w:val="24"/>
          <w:highlight w:val="none"/>
        </w:rPr>
      </w:pPr>
      <w:r>
        <w:rPr>
          <w:rFonts w:hint="eastAsia" w:ascii="黑体" w:hAnsi="黑体" w:eastAsia="黑体" w:cs="黑体"/>
          <w:bCs/>
          <w:color w:val="auto"/>
          <w:sz w:val="24"/>
          <w:szCs w:val="24"/>
          <w:highlight w:val="none"/>
        </w:rPr>
        <w:t>5.5</w:t>
      </w:r>
      <w:r>
        <w:rPr>
          <w:rFonts w:hint="eastAsia" w:ascii="黑体" w:hAnsi="黑体" w:eastAsia="黑体" w:cs="黑体"/>
          <w:b/>
          <w:color w:val="auto"/>
          <w:sz w:val="24"/>
          <w:szCs w:val="24"/>
          <w:highlight w:val="none"/>
        </w:rPr>
        <w:t>响应供应商出现以下情形的，将被认定为投标人串通投标，其投标无效</w:t>
      </w:r>
    </w:p>
    <w:p>
      <w:pPr>
        <w:widowControl/>
        <w:spacing w:line="440" w:lineRule="exact"/>
        <w:ind w:firstLine="480" w:firstLineChars="200"/>
        <w:jc w:val="left"/>
        <w:rPr>
          <w:rFonts w:hint="eastAsia" w:ascii="黑体" w:hAnsi="黑体" w:eastAsia="黑体" w:cs="黑体"/>
          <w:b/>
          <w:color w:val="auto"/>
          <w:kern w:val="0"/>
          <w:sz w:val="24"/>
          <w:highlight w:val="none"/>
        </w:rPr>
      </w:pPr>
      <w:r>
        <w:rPr>
          <w:rFonts w:hint="eastAsia" w:ascii="黑体" w:hAnsi="黑体" w:eastAsia="黑体" w:cs="黑体"/>
          <w:color w:val="auto"/>
          <w:kern w:val="0"/>
          <w:sz w:val="24"/>
          <w:highlight w:val="none"/>
        </w:rPr>
        <w:t>（</w:t>
      </w:r>
      <w:r>
        <w:rPr>
          <w:rFonts w:hint="eastAsia" w:ascii="黑体" w:hAnsi="黑体" w:eastAsia="黑体" w:cs="黑体"/>
          <w:b/>
          <w:color w:val="auto"/>
          <w:kern w:val="0"/>
          <w:sz w:val="24"/>
          <w:highlight w:val="none"/>
        </w:rPr>
        <w:t>1）不同投标人的投标文件由同一单位或者个人编制；</w:t>
      </w:r>
    </w:p>
    <w:p>
      <w:pPr>
        <w:widowControl/>
        <w:spacing w:line="440" w:lineRule="exact"/>
        <w:jc w:val="left"/>
        <w:rPr>
          <w:rFonts w:hint="eastAsia" w:ascii="黑体" w:hAnsi="黑体" w:eastAsia="黑体" w:cs="黑体"/>
          <w:b/>
          <w:color w:val="auto"/>
          <w:kern w:val="0"/>
          <w:sz w:val="24"/>
          <w:highlight w:val="none"/>
        </w:rPr>
      </w:pPr>
      <w:r>
        <w:rPr>
          <w:rFonts w:hint="eastAsia" w:ascii="黑体" w:hAnsi="黑体" w:eastAsia="黑体" w:cs="黑体"/>
          <w:b/>
          <w:color w:val="auto"/>
          <w:kern w:val="0"/>
          <w:sz w:val="24"/>
          <w:highlight w:val="none"/>
        </w:rPr>
        <w:t>　　（2）不同投标人委托同一单位或者个人办理投标事宜；</w:t>
      </w:r>
    </w:p>
    <w:p>
      <w:pPr>
        <w:widowControl/>
        <w:spacing w:line="440" w:lineRule="exact"/>
        <w:jc w:val="left"/>
        <w:rPr>
          <w:rFonts w:hint="eastAsia" w:ascii="黑体" w:hAnsi="黑体" w:eastAsia="黑体" w:cs="黑体"/>
          <w:b/>
          <w:color w:val="auto"/>
          <w:kern w:val="0"/>
          <w:sz w:val="24"/>
          <w:highlight w:val="none"/>
        </w:rPr>
      </w:pPr>
      <w:r>
        <w:rPr>
          <w:rFonts w:hint="eastAsia" w:ascii="黑体" w:hAnsi="黑体" w:eastAsia="黑体" w:cs="黑体"/>
          <w:b/>
          <w:color w:val="auto"/>
          <w:kern w:val="0"/>
          <w:sz w:val="24"/>
          <w:highlight w:val="none"/>
        </w:rPr>
        <w:t>　　（3）不同投标人的投标文件载明的项目管理成员或者联系人员为同一人；</w:t>
      </w:r>
    </w:p>
    <w:p>
      <w:pPr>
        <w:widowControl/>
        <w:spacing w:line="440" w:lineRule="exact"/>
        <w:jc w:val="left"/>
        <w:rPr>
          <w:rFonts w:hint="eastAsia" w:ascii="黑体" w:hAnsi="黑体" w:eastAsia="黑体" w:cs="黑体"/>
          <w:b/>
          <w:color w:val="auto"/>
          <w:kern w:val="0"/>
          <w:sz w:val="24"/>
          <w:highlight w:val="none"/>
        </w:rPr>
      </w:pPr>
      <w:r>
        <w:rPr>
          <w:rFonts w:hint="eastAsia" w:ascii="黑体" w:hAnsi="黑体" w:eastAsia="黑体" w:cs="黑体"/>
          <w:b/>
          <w:color w:val="auto"/>
          <w:kern w:val="0"/>
          <w:sz w:val="24"/>
          <w:highlight w:val="none"/>
        </w:rPr>
        <w:t>　　（4）不同投标人的投标文件异常一致或者投标报价呈规律性差异；</w:t>
      </w:r>
    </w:p>
    <w:p>
      <w:pPr>
        <w:widowControl/>
        <w:spacing w:line="440" w:lineRule="exact"/>
        <w:jc w:val="left"/>
        <w:rPr>
          <w:rFonts w:hint="eastAsia" w:ascii="黑体" w:hAnsi="黑体" w:eastAsia="黑体" w:cs="黑体"/>
          <w:color w:val="auto"/>
          <w:highlight w:val="none"/>
        </w:rPr>
      </w:pPr>
      <w:r>
        <w:rPr>
          <w:rFonts w:hint="eastAsia" w:ascii="黑体" w:hAnsi="黑体" w:eastAsia="黑体" w:cs="黑体"/>
          <w:b/>
          <w:color w:val="auto"/>
          <w:kern w:val="0"/>
          <w:sz w:val="24"/>
          <w:highlight w:val="none"/>
        </w:rPr>
        <w:t>　　（5）不同投标人的投标文件相互混装。</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6、谈判程序及成交原则</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6.1谈判程序</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6.1.1 对于通过资格性和符合性审查的供应商，谈判小组所有成员将集中与单一供应商分别进行谈判。</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spacing w:line="480" w:lineRule="exact"/>
        <w:ind w:firstLine="480" w:firstLineChars="200"/>
        <w:rPr>
          <w:rFonts w:hint="eastAsia" w:ascii="黑体" w:hAnsi="黑体" w:eastAsia="黑体" w:cs="黑体"/>
          <w:b/>
          <w:bCs/>
          <w:color w:val="auto"/>
          <w:sz w:val="24"/>
          <w:highlight w:val="none"/>
        </w:rPr>
      </w:pPr>
      <w:r>
        <w:rPr>
          <w:rFonts w:hint="eastAsia" w:ascii="黑体" w:hAnsi="黑体" w:eastAsia="黑体" w:cs="黑体"/>
          <w:color w:val="auto"/>
          <w:sz w:val="24"/>
          <w:highlight w:val="none"/>
        </w:rPr>
        <w:t xml:space="preserve"> 6.1.2</w:t>
      </w:r>
      <w:r>
        <w:rPr>
          <w:rFonts w:hint="eastAsia" w:ascii="黑体" w:hAnsi="黑体" w:eastAsia="黑体" w:cs="黑体"/>
          <w:b/>
          <w:bCs/>
          <w:color w:val="auto"/>
          <w:sz w:val="24"/>
          <w:highlight w:val="none"/>
        </w:rPr>
        <w:t>在谈判过程中，谈判的任何一方不得透露与谈判有关的其他响应谈判的供应商的技术资料、价格及其他信息。</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最后报价是供应商响应文件的有效组成部分。符合《政府采购非招标采购方式管理暂行办法》第二十七条第二款规定情形的，提交最后报价的供应商可以为2家。</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代理机构将退还退出谈判的供应商的谈判保证金。</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snapToGrid w:val="0"/>
        <w:spacing w:line="460" w:lineRule="exact"/>
        <w:ind w:firstLine="482" w:firstLineChars="200"/>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6.1.5二次报价时投标供应商需在规定时间内将投标报价加盖公章并以扫描件的形式发送至QQ</w:t>
      </w:r>
      <w:r>
        <w:rPr>
          <w:rFonts w:hint="eastAsia" w:ascii="黑体" w:hAnsi="黑体" w:eastAsia="黑体" w:cs="黑体"/>
          <w:b/>
          <w:bCs/>
          <w:color w:val="auto"/>
          <w:sz w:val="24"/>
          <w:highlight w:val="none"/>
          <w:lang w:eastAsia="zh-CN"/>
        </w:rPr>
        <w:t>2322172834</w:t>
      </w:r>
      <w:r>
        <w:rPr>
          <w:rFonts w:hint="eastAsia" w:ascii="黑体" w:hAnsi="黑体" w:eastAsia="黑体" w:cs="黑体"/>
          <w:b/>
          <w:bCs/>
          <w:color w:val="auto"/>
          <w:sz w:val="24"/>
          <w:highlight w:val="none"/>
        </w:rPr>
        <w:t>；超过规定时间则为无效报价。</w:t>
      </w:r>
    </w:p>
    <w:p>
      <w:pPr>
        <w:snapToGrid w:val="0"/>
        <w:spacing w:line="460" w:lineRule="exact"/>
        <w:ind w:firstLine="482" w:firstLineChars="200"/>
        <w:rPr>
          <w:rFonts w:hint="eastAsia" w:ascii="黑体" w:hAnsi="黑体" w:eastAsia="黑体" w:cs="黑体"/>
          <w:color w:val="auto"/>
          <w:sz w:val="24"/>
          <w:highlight w:val="none"/>
        </w:rPr>
      </w:pPr>
      <w:r>
        <w:rPr>
          <w:rFonts w:hint="eastAsia" w:ascii="黑体" w:hAnsi="黑体" w:eastAsia="黑体" w:cs="黑体"/>
          <w:b/>
          <w:bCs/>
          <w:color w:val="auto"/>
          <w:sz w:val="24"/>
          <w:highlight w:val="none"/>
        </w:rPr>
        <w:t>6.1.6后一轮报价高于前一轮的，不予采纳，</w:t>
      </w:r>
      <w:r>
        <w:rPr>
          <w:rFonts w:hint="eastAsia" w:ascii="黑体" w:hAnsi="黑体" w:eastAsia="黑体" w:cs="黑体"/>
          <w:b/>
          <w:bCs/>
          <w:color w:val="auto"/>
          <w:sz w:val="24"/>
          <w:szCs w:val="20"/>
          <w:highlight w:val="none"/>
          <w:lang w:eastAsia="zh-CN"/>
        </w:rPr>
        <w:t>同时</w:t>
      </w:r>
      <w:r>
        <w:rPr>
          <w:rFonts w:hint="eastAsia" w:ascii="黑体" w:hAnsi="黑体" w:eastAsia="黑体" w:cs="黑体"/>
          <w:b/>
          <w:bCs/>
          <w:color w:val="auto"/>
          <w:sz w:val="24"/>
          <w:highlight w:val="none"/>
        </w:rPr>
        <w:t>以前一轮报价作为后面轮次的报价</w:t>
      </w:r>
      <w:r>
        <w:rPr>
          <w:rFonts w:hint="eastAsia" w:ascii="黑体" w:hAnsi="黑体" w:eastAsia="黑体" w:cs="黑体"/>
          <w:b/>
          <w:bCs/>
          <w:color w:val="auto"/>
          <w:sz w:val="24"/>
          <w:highlight w:val="none"/>
          <w:lang w:eastAsia="zh-CN"/>
        </w:rPr>
        <w:t>；</w:t>
      </w:r>
      <w:r>
        <w:rPr>
          <w:rFonts w:hint="eastAsia" w:ascii="黑体" w:hAnsi="黑体" w:eastAsia="黑体" w:cs="黑体"/>
          <w:b/>
          <w:bCs/>
          <w:color w:val="auto"/>
          <w:sz w:val="24"/>
          <w:highlight w:val="none"/>
        </w:rPr>
        <w:t>供应商无正当原因放弃报价响应的，采购人将参照相关法律法规对其作出惩戒处理。</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6.1.7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snapToGrid w:val="0"/>
        <w:spacing w:line="480" w:lineRule="exact"/>
        <w:ind w:firstLine="480" w:firstLineChars="200"/>
        <w:outlineLvl w:val="1"/>
        <w:rPr>
          <w:rFonts w:hint="eastAsia" w:ascii="黑体" w:hAnsi="黑体" w:eastAsia="黑体" w:cs="黑体"/>
          <w:b/>
          <w:color w:val="auto"/>
          <w:sz w:val="24"/>
          <w:highlight w:val="none"/>
        </w:rPr>
      </w:pPr>
      <w:r>
        <w:rPr>
          <w:rFonts w:hint="eastAsia" w:ascii="黑体" w:hAnsi="黑体" w:eastAsia="黑体" w:cs="黑体"/>
          <w:color w:val="auto"/>
          <w:sz w:val="24"/>
          <w:highlight w:val="none"/>
        </w:rPr>
        <w:t>6.1.8</w:t>
      </w:r>
      <w:r>
        <w:rPr>
          <w:rFonts w:hint="eastAsia" w:ascii="黑体" w:hAnsi="黑体" w:eastAsia="黑体" w:cs="黑体"/>
          <w:b/>
          <w:color w:val="auto"/>
          <w:sz w:val="24"/>
          <w:highlight w:val="none"/>
        </w:rPr>
        <w:t>评审步骤</w:t>
      </w:r>
    </w:p>
    <w:p>
      <w:pPr>
        <w:snapToGrid w:val="0"/>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1.评审步骤规定：</w:t>
      </w:r>
    </w:p>
    <w:p>
      <w:pPr>
        <w:snapToGrid w:val="0"/>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第一阶段：对每个响应谈判的供应商的谈判资格、技术响应文件进行审查。</w:t>
      </w:r>
    </w:p>
    <w:p>
      <w:pPr>
        <w:snapToGrid w:val="0"/>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第二阶段：谈判小组可集中与每个谈判供应商分别进行谈判：内容主要是对谈判响应文件中的项目方案的澄清、修正、补充、确认以及价格调整等。报价文件中的报价作为第一轮谈判报价。谈判文件有实质性变动的，谈判小组应当以书面形式通知所有谈判供应商。</w:t>
      </w:r>
    </w:p>
    <w:p>
      <w:pPr>
        <w:snapToGrid w:val="0"/>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第三阶段：谈判结束后，谈判小组要求所有作出有效的实质性响应的谈判供应商在规定的时间内提出最终报价，包括但不限于如最终澄清方案、有关承诺等。</w:t>
      </w:r>
    </w:p>
    <w:p>
      <w:pPr>
        <w:snapToGrid w:val="0"/>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第四阶段：谈判小组对谈判供应商的最终报价进行评议和比较，在实质性响应谈判文件，谈判小组将校核后的各谈判供应商的报价从低到高排序。报价相同时，抽签确定。</w:t>
      </w:r>
    </w:p>
    <w:p>
      <w:pPr>
        <w:snapToGrid w:val="0"/>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2.在谈判过程中，谈判供应商提交的澄清文件和最终报价文件，由谈判供应商的法人代表或被委托授权人签署后生效，谈判供应商受其约束。</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6.2 成交原则</w:t>
      </w:r>
    </w:p>
    <w:p>
      <w:pPr>
        <w:spacing w:line="48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6.2.1谈判小组将从质量和服务均能满足采购文件实质性响应要求的供应商中，</w:t>
      </w:r>
      <w:r>
        <w:rPr>
          <w:rFonts w:hint="eastAsia" w:ascii="黑体" w:hAnsi="黑体" w:eastAsia="黑体" w:cs="黑体"/>
          <w:b/>
          <w:color w:val="auto"/>
          <w:sz w:val="24"/>
          <w:highlight w:val="none"/>
        </w:rPr>
        <w:t>按照最后报价由低到高顺序推荐成交候选人。</w:t>
      </w:r>
    </w:p>
    <w:p>
      <w:pPr>
        <w:spacing w:line="48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采用最低评标价法的采购项目，以其中通过资格审查、有效报价最低的参加谈判；报价相同的，由采购人或者采购人委托谈判小组按照谈判文件规定的方式确定一个参加谈判的供应商，谈判文件未规定的采取随机抽取方式确定，其他无效。</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6.3采购活动终止的情况</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出现下列情形之一的，本次竞争性谈判采购活动将被终止：</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（1）因情况变化，不再符合规定的竞争性谈判采购方式适用情形的。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（2）出现影响采购公正的违法、违规行为的。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（3）在采购过程中符合竞争要求的供应商或者报价未超过采购预算的供应商不足3家的。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（4）因重大变故，采购任务取消的。</w:t>
      </w:r>
    </w:p>
    <w:p>
      <w:pPr>
        <w:spacing w:line="5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五、成交</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1、确定成交单位</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1.1谈判小组根据本采购文件规定评审办法、原始谈判记录和谈判结果，编写评审报告，推荐成交供应商。</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1.2确定成交供应商后，代理机构将在“ 南通市教育局网”发布成交结果公告，公告期限为1个工作日。</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1.3若有充分证据证明，成交供应商出现下列情况之一的，一经查实，将被取消成交资格：</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（1）提供虚假材料谋取成交的；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（2）与评审专家、采购人、其他供应商或者代理机构工作人员恶意串通的；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（3）向评审专家、采购人或代理机构工作人员行贿或者提供其他不正当利益的；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（4）恶意竞争，最终总报价明显低于其自身合理成本且又无法提供证明的；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（5）不满足本采购文件规定的实质性要求，但在评审过程中又未被谈判小组发现的；</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（6）成交后无正当理由拒不与采购人签订政府采购合同或者未按照采购文件确定的事项签订政府采购合同；</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（7）将政府采购合同转包；</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（8）法律、法规、规章规定的属于成交无效的其他情形。</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2、质疑处理</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参加谈判供应商认为采购文件、采购过程和采购结果使自己的权益受到损害的，可以在知道或应知其权益受到损害之日起七个工作日内，以书面形式向代理机构或采购人提出质疑。上述应知其权益受到损害之日，是指：</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2.1.1对可以质疑的采购文件提出质疑的，为收到采购文件之日或者采购文件公告期限届满之日；</w:t>
      </w:r>
      <w:r>
        <w:rPr>
          <w:rFonts w:hint="eastAsia" w:ascii="黑体" w:hAnsi="黑体" w:eastAsia="黑体" w:cs="黑体"/>
          <w:color w:val="auto"/>
          <w:sz w:val="24"/>
          <w:highlight w:val="none"/>
        </w:rPr>
        <w:br w:type="textWrapping"/>
      </w:r>
      <w:r>
        <w:rPr>
          <w:rFonts w:hint="eastAsia" w:ascii="黑体" w:hAnsi="黑体" w:eastAsia="黑体" w:cs="黑体"/>
          <w:color w:val="auto"/>
          <w:sz w:val="24"/>
          <w:highlight w:val="none"/>
        </w:rPr>
        <w:t>　　2.1.2对采购过程提出质疑的，为各采购程序环节结束之日；</w:t>
      </w:r>
      <w:r>
        <w:rPr>
          <w:rFonts w:hint="eastAsia" w:ascii="黑体" w:hAnsi="黑体" w:eastAsia="黑体" w:cs="黑体"/>
          <w:color w:val="auto"/>
          <w:sz w:val="24"/>
          <w:highlight w:val="none"/>
        </w:rPr>
        <w:br w:type="textWrapping"/>
      </w:r>
      <w:r>
        <w:rPr>
          <w:rFonts w:hint="eastAsia" w:ascii="黑体" w:hAnsi="黑体" w:eastAsia="黑体" w:cs="黑体"/>
          <w:color w:val="auto"/>
          <w:sz w:val="24"/>
          <w:highlight w:val="none"/>
        </w:rPr>
        <w:t>　　2.1.3对成交结果提出质疑的，为成交结果公告期限届满之日。</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2.2质疑必须以参加谈判供应商法定代表人或授权代表（响应文件中所确定的）原件送达的方式提交，未按上述要求提交的质疑函（含传真、电子邮件等）代理机构有权不予受理。</w:t>
      </w:r>
    </w:p>
    <w:p>
      <w:pPr>
        <w:adjustRightInd w:val="0"/>
        <w:snapToGrid w:val="0"/>
        <w:spacing w:line="500" w:lineRule="exact"/>
        <w:ind w:firstLine="480" w:firstLineChars="200"/>
        <w:rPr>
          <w:rFonts w:hint="eastAsia" w:ascii="黑体" w:hAnsi="黑体" w:eastAsia="黑体" w:cs="黑体"/>
          <w:b/>
          <w:color w:val="auto"/>
          <w:sz w:val="28"/>
          <w:szCs w:val="28"/>
          <w:highlight w:val="none"/>
        </w:rPr>
      </w:pPr>
      <w:r>
        <w:rPr>
          <w:rFonts w:hint="eastAsia" w:ascii="黑体" w:hAnsi="黑体" w:eastAsia="黑体" w:cs="黑体"/>
          <w:color w:val="auto"/>
          <w:sz w:val="24"/>
          <w:highlight w:val="none"/>
        </w:rPr>
        <w:t>2.3</w:t>
      </w:r>
      <w:r>
        <w:rPr>
          <w:rFonts w:hint="eastAsia" w:ascii="黑体" w:hAnsi="黑体" w:eastAsia="黑体" w:cs="黑体"/>
          <w:b/>
          <w:color w:val="auto"/>
          <w:sz w:val="24"/>
          <w:highlight w:val="none"/>
        </w:rPr>
        <w:t>以下情形的质疑不予受理</w:t>
      </w:r>
    </w:p>
    <w:p>
      <w:pPr>
        <w:adjustRightInd w:val="0"/>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2.3.1 内容不符合《政府采购质疑和投诉办法》第十二条规定的质疑。</w:t>
      </w:r>
    </w:p>
    <w:p>
      <w:pPr>
        <w:adjustRightInd w:val="0"/>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2.3.2 超出政府采购法定期限的质疑。</w:t>
      </w:r>
    </w:p>
    <w:p>
      <w:pPr>
        <w:adjustRightInd w:val="0"/>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2.3.3 未参加谈判活动的供应商或在谈判活动中自身权益未受到损害的供应商所提出的质疑。</w:t>
      </w:r>
    </w:p>
    <w:p>
      <w:pPr>
        <w:adjustRightInd w:val="0"/>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2.3.4供应商组成联合体参加谈判，联合体中任何一方或多方未按要求签字、盖章、加盖公章的质疑。</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2.4质疑函应当包括下列内容：</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2.4.1质疑供应商的名称、地址、邮编、联系人、联系电话；</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2.4.2具体的质疑事项及明确的请求；</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2.4.3认为自己合法权益受到损害或可能受到损害的相关证据材料；</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2.4.4提起质疑的日期；</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2.5代理机构收到质疑函后，将对质疑的形式和内容进行审查，如质疑函内容、格式不符合规定，代理机构将告知质疑人进行补正。</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2.6质疑人应当在法定质疑期限内进行补正并重新提交质疑函，拒不补正或者在法定期限内未重新提交质疑函的，为无效质疑，代理机构有权不予受理。</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2.7对于内容、格式符合规定的质疑函，代理机构应当在收到参加谈判供应商的书面质疑后七个工作日内作出答复，但答复的内容不得涉及商业秘密。</w:t>
      </w:r>
    </w:p>
    <w:p>
      <w:pPr>
        <w:spacing w:line="48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2.8供应商提出书面质疑必须有理、有据，不得恶意质疑或提交虚假质疑。否则，一经查实，代理机构有权依据政府采购的有关规定，报请政府采购监管部门对该供应商进行相应的行政处罚。</w:t>
      </w:r>
    </w:p>
    <w:p>
      <w:pPr>
        <w:spacing w:line="440" w:lineRule="exact"/>
        <w:ind w:firstLine="482" w:firstLineChars="200"/>
        <w:rPr>
          <w:rFonts w:hint="eastAsia" w:ascii="黑体" w:hAnsi="黑体" w:eastAsia="黑体" w:cs="黑体"/>
          <w:color w:val="auto"/>
          <w:sz w:val="24"/>
          <w:highlight w:val="none"/>
        </w:rPr>
      </w:pPr>
      <w:r>
        <w:rPr>
          <w:rFonts w:hint="eastAsia" w:ascii="黑体" w:hAnsi="黑体" w:eastAsia="黑体" w:cs="黑体"/>
          <w:b/>
          <w:bCs/>
          <w:color w:val="auto"/>
          <w:sz w:val="24"/>
          <w:highlight w:val="none"/>
        </w:rPr>
        <w:t>注明：本谈判文件要求所有投标供应商应在法定质疑期内一次性提出针对同一采购程序环节的质疑。</w:t>
      </w:r>
    </w:p>
    <w:p>
      <w:pPr>
        <w:spacing w:line="5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六、合同签订相关事项</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1、签订合同</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l成交供应商确定后，代理机构将向成交供应商发出成交通知书。成交供应商应按成交通知书规定的时间、地点,按照采购文件确定的事项与采购人签订政府采购合同，且不得迟于成交通知书发出之日起十五内，由此给采购人造成损失的，成交供应商还应承担赔偿责任。</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1.2 采购文件、成交供应商的谈判响应文件及谈判采购过程中有关澄清、承诺文件均应作为合同附件。</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48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2、履约保证金</w:t>
      </w:r>
    </w:p>
    <w:p>
      <w:pPr>
        <w:spacing w:line="360" w:lineRule="auto"/>
        <w:ind w:firstLine="480" w:firstLineChars="200"/>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rPr>
        <w:t>2.</w:t>
      </w:r>
      <w:r>
        <w:rPr>
          <w:rFonts w:hint="eastAsia" w:ascii="黑体" w:hAnsi="黑体" w:eastAsia="黑体" w:cs="黑体"/>
          <w:color w:val="auto"/>
          <w:kern w:val="0"/>
          <w:sz w:val="24"/>
          <w:highlight w:val="none"/>
          <w:lang w:val="zh-CN"/>
        </w:rPr>
        <w:t>1、本项目成交后的履约保证金为项目成交价的10%，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r>
        <w:rPr>
          <w:rFonts w:hint="eastAsia" w:ascii="黑体" w:hAnsi="黑体" w:eastAsia="黑体" w:cs="黑体"/>
          <w:color w:val="auto"/>
          <w:kern w:val="0"/>
          <w:sz w:val="24"/>
          <w:highlight w:val="none"/>
          <w:lang w:val="zh-CN"/>
        </w:rPr>
        <w:cr/>
      </w:r>
      <w:r>
        <w:rPr>
          <w:rFonts w:hint="eastAsia" w:ascii="黑体" w:hAnsi="黑体" w:eastAsia="黑体" w:cs="黑体"/>
          <w:color w:val="auto"/>
          <w:kern w:val="0"/>
          <w:sz w:val="24"/>
          <w:highlight w:val="none"/>
        </w:rPr>
        <w:t xml:space="preserve">   2.</w:t>
      </w:r>
      <w:r>
        <w:rPr>
          <w:rFonts w:hint="eastAsia" w:ascii="黑体" w:hAnsi="黑体" w:eastAsia="黑体" w:cs="黑体"/>
          <w:color w:val="auto"/>
          <w:kern w:val="0"/>
          <w:sz w:val="24"/>
          <w:highlight w:val="none"/>
          <w:lang w:val="zh-CN"/>
        </w:rPr>
        <w:t>2、成交供应商全部履约合同义务，经采购单位验收合格无质量、进度等问题的，采购人在验收合格后一次性退还履约保证金；</w:t>
      </w:r>
      <w:r>
        <w:rPr>
          <w:rFonts w:hint="eastAsia" w:ascii="黑体" w:hAnsi="黑体" w:eastAsia="黑体" w:cs="黑体"/>
          <w:color w:val="auto"/>
          <w:kern w:val="0"/>
          <w:sz w:val="24"/>
          <w:highlight w:val="none"/>
          <w:lang w:val="zh-CN"/>
        </w:rPr>
        <w:cr/>
      </w:r>
      <w:r>
        <w:rPr>
          <w:rFonts w:hint="eastAsia" w:ascii="黑体" w:hAnsi="黑体" w:eastAsia="黑体" w:cs="黑体"/>
          <w:color w:val="auto"/>
          <w:kern w:val="0"/>
          <w:sz w:val="24"/>
          <w:highlight w:val="none"/>
        </w:rPr>
        <w:t xml:space="preserve">   2.</w:t>
      </w:r>
      <w:r>
        <w:rPr>
          <w:rFonts w:hint="eastAsia" w:ascii="黑体" w:hAnsi="黑体" w:eastAsia="黑体" w:cs="黑体"/>
          <w:color w:val="auto"/>
          <w:kern w:val="0"/>
          <w:sz w:val="24"/>
          <w:highlight w:val="none"/>
          <w:lang w:val="zh-CN"/>
        </w:rPr>
        <w:t>3、发生以下情况的，履约保证金不予退还或部分退还：</w:t>
      </w:r>
      <w:r>
        <w:rPr>
          <w:rFonts w:hint="eastAsia" w:ascii="黑体" w:hAnsi="黑体" w:eastAsia="黑体" w:cs="黑体"/>
          <w:color w:val="auto"/>
          <w:kern w:val="0"/>
          <w:sz w:val="24"/>
          <w:highlight w:val="none"/>
          <w:lang w:val="zh-CN"/>
        </w:rPr>
        <w:cr/>
      </w:r>
      <w:r>
        <w:rPr>
          <w:rFonts w:hint="eastAsia" w:ascii="黑体" w:hAnsi="黑体" w:eastAsia="黑体" w:cs="黑体"/>
          <w:color w:val="auto"/>
          <w:kern w:val="0"/>
          <w:sz w:val="24"/>
          <w:highlight w:val="none"/>
          <w:lang w:val="zh-CN"/>
        </w:rPr>
        <w:t>a.签订合同后，成交供应商不履行合同义务的，采购单位有权全额扣除履约保证金，全额不予退还，同时采购单位亦有权终止合同，中标供应商还须承担相应的法律赔偿责任。</w:t>
      </w:r>
    </w:p>
    <w:p>
      <w:pPr>
        <w:spacing w:line="360" w:lineRule="auto"/>
        <w:ind w:firstLine="480" w:firstLineChars="200"/>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b.成交供应商在履约过程中发生违约行为，给采购单位造成损失的，采购单位有权在成交供应商缴纳的履约保证金中予以扣款，以弥补采购单位经济损失，不足的部分成交供应商另外补齐。</w:t>
      </w:r>
    </w:p>
    <w:p>
      <w:pPr>
        <w:pStyle w:val="98"/>
        <w:spacing w:before="0" w:after="0" w:line="480" w:lineRule="exact"/>
        <w:ind w:firstLine="482" w:firstLineChars="200"/>
        <w:jc w:val="both"/>
        <w:rPr>
          <w:rFonts w:hint="eastAsia" w:ascii="黑体" w:hAnsi="黑体" w:eastAsia="黑体" w:cs="黑体"/>
          <w:color w:val="auto"/>
          <w:kern w:val="0"/>
          <w:sz w:val="24"/>
          <w:szCs w:val="24"/>
          <w:highlight w:val="none"/>
          <w:lang w:val="zh-CN"/>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lang w:val="zh-CN"/>
        </w:rPr>
        <w:t>4、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w:t>
      </w:r>
    </w:p>
    <w:p>
      <w:pPr>
        <w:pStyle w:val="98"/>
        <w:numPr>
          <w:ilvl w:val="0"/>
          <w:numId w:val="4"/>
        </w:numPr>
        <w:spacing w:before="0" w:after="0" w:line="480" w:lineRule="exact"/>
        <w:ind w:firstLine="0" w:firstLineChars="0"/>
        <w:jc w:val="both"/>
        <w:rPr>
          <w:rFonts w:hint="eastAsia" w:ascii="黑体" w:hAnsi="黑体" w:eastAsia="黑体" w:cs="黑体"/>
          <w:bCs/>
          <w:color w:val="auto"/>
          <w:sz w:val="24"/>
          <w:szCs w:val="24"/>
          <w:highlight w:val="none"/>
        </w:rPr>
      </w:pPr>
      <w:r>
        <w:rPr>
          <w:rFonts w:hint="eastAsia" w:ascii="黑体" w:hAnsi="黑体" w:eastAsia="黑体" w:cs="黑体"/>
          <w:color w:val="auto"/>
          <w:kern w:val="0"/>
          <w:sz w:val="24"/>
          <w:szCs w:val="24"/>
          <w:highlight w:val="none"/>
          <w:lang w:val="zh-CN"/>
        </w:rPr>
        <w:t>代理服务费：</w:t>
      </w:r>
      <w:r>
        <w:rPr>
          <w:rFonts w:hint="eastAsia" w:ascii="黑体" w:hAnsi="黑体" w:eastAsia="黑体" w:cs="黑体"/>
          <w:bCs/>
          <w:color w:val="auto"/>
          <w:sz w:val="24"/>
          <w:szCs w:val="24"/>
          <w:highlight w:val="none"/>
        </w:rPr>
        <w:t>本项目采购代理服务费由成交人承担，请参加响应供应商在成本中自行考虑。</w:t>
      </w:r>
    </w:p>
    <w:p>
      <w:pPr>
        <w:snapToGrid w:val="0"/>
        <w:spacing w:line="44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（1）收取标准以最终成交价为基数，乘以采购代理服务收费费率，经计算后一次性收取。</w:t>
      </w:r>
    </w:p>
    <w:p>
      <w:pPr>
        <w:snapToGrid w:val="0"/>
        <w:spacing w:line="44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（2）采购代理服务费率标准：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2739" w:type="dxa"/>
            <w:noWrap/>
            <w:vAlign w:val="center"/>
          </w:tcPr>
          <w:p>
            <w:pPr>
              <w:keepNext w:val="0"/>
              <w:keepLines w:val="0"/>
              <w:suppressLineNumbers w:val="0"/>
              <w:snapToGrid w:val="0"/>
              <w:spacing w:before="0" w:beforeAutospacing="0" w:after="0" w:afterAutospacing="0" w:line="440" w:lineRule="exact"/>
              <w:ind w:left="0" w:right="0" w:firstLine="482" w:firstLineChars="200"/>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成交金额</w:t>
            </w:r>
          </w:p>
        </w:tc>
        <w:tc>
          <w:tcPr>
            <w:tcW w:w="5484" w:type="dxa"/>
            <w:noWrap/>
            <w:vAlign w:val="center"/>
          </w:tcPr>
          <w:p>
            <w:pPr>
              <w:keepNext w:val="0"/>
              <w:keepLines w:val="0"/>
              <w:suppressLineNumbers w:val="0"/>
              <w:snapToGrid w:val="0"/>
              <w:spacing w:before="0" w:beforeAutospacing="0" w:after="0" w:afterAutospacing="0" w:line="440" w:lineRule="exact"/>
              <w:ind w:left="0" w:right="0" w:firstLine="482" w:firstLineChars="200"/>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采购代理服务收费费率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739" w:type="dxa"/>
            <w:noWrap/>
            <w:vAlign w:val="center"/>
          </w:tcPr>
          <w:p>
            <w:pPr>
              <w:keepNext w:val="0"/>
              <w:keepLines w:val="0"/>
              <w:suppressLineNumbers w:val="0"/>
              <w:snapToGrid w:val="0"/>
              <w:spacing w:before="0" w:beforeAutospacing="0" w:after="0" w:afterAutospacing="0" w:line="440" w:lineRule="exact"/>
              <w:ind w:left="0" w:right="0" w:firstLine="480" w:firstLineChars="200"/>
              <w:outlineLvl w:val="1"/>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100万元以下</w:t>
            </w:r>
          </w:p>
        </w:tc>
        <w:tc>
          <w:tcPr>
            <w:tcW w:w="5484" w:type="dxa"/>
            <w:noWrap/>
            <w:vAlign w:val="center"/>
          </w:tcPr>
          <w:p>
            <w:pPr>
              <w:keepNext w:val="0"/>
              <w:keepLines w:val="0"/>
              <w:suppressLineNumbers w:val="0"/>
              <w:snapToGrid w:val="0"/>
              <w:spacing w:before="0" w:beforeAutospacing="0" w:after="0" w:afterAutospacing="0" w:line="440" w:lineRule="exact"/>
              <w:ind w:left="0" w:right="0" w:firstLine="480" w:firstLineChars="200"/>
              <w:outlineLvl w:val="1"/>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739" w:type="dxa"/>
            <w:noWrap/>
            <w:vAlign w:val="center"/>
          </w:tcPr>
          <w:p>
            <w:pPr>
              <w:keepNext w:val="0"/>
              <w:keepLines w:val="0"/>
              <w:suppressLineNumbers w:val="0"/>
              <w:snapToGrid w:val="0"/>
              <w:spacing w:before="0" w:beforeAutospacing="0" w:after="0" w:afterAutospacing="0" w:line="440" w:lineRule="exact"/>
              <w:ind w:left="0" w:right="0" w:firstLine="480" w:firstLineChars="200"/>
              <w:outlineLvl w:val="1"/>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备注</w:t>
            </w:r>
          </w:p>
        </w:tc>
        <w:tc>
          <w:tcPr>
            <w:tcW w:w="5484" w:type="dxa"/>
            <w:noWrap/>
            <w:vAlign w:val="center"/>
          </w:tcPr>
          <w:p>
            <w:pPr>
              <w:keepNext w:val="0"/>
              <w:keepLines w:val="0"/>
              <w:suppressLineNumbers w:val="0"/>
              <w:snapToGrid w:val="0"/>
              <w:spacing w:before="0" w:beforeAutospacing="0" w:after="0" w:afterAutospacing="0" w:line="440" w:lineRule="exact"/>
              <w:ind w:left="0" w:right="0" w:firstLine="480" w:firstLineChars="200"/>
              <w:outlineLvl w:val="1"/>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采购代理费用不足2000元的，按2000元收费。</w:t>
            </w:r>
          </w:p>
        </w:tc>
      </w:tr>
    </w:tbl>
    <w:p>
      <w:pPr>
        <w:numPr>
          <w:ilvl w:val="0"/>
          <w:numId w:val="5"/>
        </w:numPr>
        <w:snapToGrid w:val="0"/>
        <w:spacing w:line="440" w:lineRule="exact"/>
        <w:ind w:left="150" w:leftChars="0" w:firstLine="480" w:firstLineChars="0"/>
        <w:rPr>
          <w:rFonts w:hint="eastAsia" w:ascii="黑体" w:hAnsi="黑体" w:eastAsia="黑体" w:cs="黑体"/>
          <w:bCs/>
          <w:color w:val="auto"/>
          <w:sz w:val="24"/>
          <w:highlight w:val="none"/>
        </w:rPr>
      </w:pPr>
      <w:r>
        <w:rPr>
          <w:rFonts w:hint="eastAsia" w:ascii="黑体" w:hAnsi="黑体" w:eastAsia="黑体" w:cs="黑体"/>
          <w:bCs/>
          <w:color w:val="auto"/>
          <w:sz w:val="24"/>
          <w:highlight w:val="none"/>
          <w:lang w:val="en-US" w:eastAsia="zh-CN"/>
        </w:rPr>
        <w:t>领取中标通知书前一次性支付给代理单位；</w:t>
      </w:r>
    </w:p>
    <w:p>
      <w:pPr>
        <w:numPr>
          <w:ilvl w:val="0"/>
          <w:numId w:val="5"/>
        </w:numPr>
        <w:snapToGrid w:val="0"/>
        <w:spacing w:line="440" w:lineRule="exact"/>
        <w:ind w:left="150" w:leftChars="0" w:firstLine="480" w:firstLineChars="0"/>
        <w:rPr>
          <w:rFonts w:hint="eastAsia" w:ascii="黑体" w:hAnsi="黑体" w:eastAsia="黑体" w:cs="黑体"/>
          <w:bCs/>
          <w:color w:val="auto"/>
          <w:sz w:val="24"/>
          <w:highlight w:val="none"/>
        </w:rPr>
      </w:pPr>
      <w:r>
        <w:rPr>
          <w:rFonts w:hint="eastAsia" w:ascii="黑体" w:hAnsi="黑体" w:eastAsia="黑体" w:cs="黑体"/>
          <w:bCs/>
          <w:color w:val="auto"/>
          <w:sz w:val="24"/>
          <w:highlight w:val="none"/>
          <w:lang w:val="en-US" w:eastAsia="zh-CN"/>
        </w:rPr>
        <w:t>评标费按实由中标单位支付。</w:t>
      </w:r>
    </w:p>
    <w:p>
      <w:pPr>
        <w:pStyle w:val="5"/>
        <w:jc w:val="center"/>
        <w:rPr>
          <w:rFonts w:hint="eastAsia" w:ascii="黑体" w:hAnsi="黑体" w:eastAsia="黑体" w:cs="黑体"/>
          <w:color w:val="auto"/>
          <w:sz w:val="36"/>
          <w:szCs w:val="36"/>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36"/>
          <w:szCs w:val="36"/>
          <w:highlight w:val="none"/>
        </w:rPr>
        <w:t>第三章</w:t>
      </w:r>
      <w:bookmarkStart w:id="4" w:name="_Toc16938590"/>
      <w:bookmarkStart w:id="5" w:name="_Toc479962292"/>
      <w:bookmarkStart w:id="6" w:name="_Toc20823346"/>
      <w:bookmarkStart w:id="7" w:name="_Toc120614244"/>
      <w:r>
        <w:rPr>
          <w:rFonts w:hint="eastAsia" w:ascii="黑体" w:hAnsi="黑体" w:eastAsia="黑体" w:cs="黑体"/>
          <w:color w:val="auto"/>
          <w:sz w:val="36"/>
          <w:szCs w:val="36"/>
          <w:highlight w:val="none"/>
        </w:rPr>
        <w:t>合同条款及格式</w:t>
      </w:r>
    </w:p>
    <w:bookmarkEnd w:id="4"/>
    <w:bookmarkEnd w:id="5"/>
    <w:bookmarkEnd w:id="6"/>
    <w:bookmarkEnd w:id="7"/>
    <w:p>
      <w:pPr>
        <w:rPr>
          <w:rFonts w:hint="eastAsia" w:ascii="黑体" w:hAnsi="黑体" w:eastAsia="黑体" w:cs="黑体"/>
          <w:color w:val="auto"/>
          <w:highlight w:val="none"/>
        </w:rPr>
      </w:pPr>
    </w:p>
    <w:p>
      <w:pPr>
        <w:ind w:firstLine="120" w:firstLineChars="50"/>
        <w:rPr>
          <w:rFonts w:hint="eastAsia" w:ascii="黑体" w:hAnsi="黑体" w:eastAsia="黑体" w:cs="黑体"/>
          <w:color w:val="auto"/>
          <w:sz w:val="24"/>
          <w:highlight w:val="none"/>
        </w:rPr>
      </w:pPr>
    </w:p>
    <w:p>
      <w:pPr>
        <w:ind w:firstLine="120" w:firstLineChars="50"/>
        <w:rPr>
          <w:rFonts w:hint="eastAsia" w:ascii="黑体" w:hAnsi="黑体" w:eastAsia="黑体" w:cs="黑体"/>
          <w:color w:val="auto"/>
          <w:sz w:val="24"/>
          <w:highlight w:val="none"/>
        </w:rPr>
      </w:pPr>
      <w:r>
        <w:rPr>
          <w:rFonts w:hint="eastAsia" w:ascii="黑体" w:hAnsi="黑体" w:eastAsia="黑体" w:cs="黑体"/>
          <w:color w:val="auto"/>
          <w:sz w:val="24"/>
          <w:highlight w:val="none"/>
        </w:rPr>
        <w:t>甲方（买方）：合同编号：</w:t>
      </w:r>
    </w:p>
    <w:p>
      <w:pPr>
        <w:ind w:firstLine="120" w:firstLineChars="50"/>
        <w:rPr>
          <w:rFonts w:hint="eastAsia" w:ascii="黑体" w:hAnsi="黑体" w:eastAsia="黑体" w:cs="黑体"/>
          <w:color w:val="auto"/>
          <w:sz w:val="24"/>
          <w:highlight w:val="none"/>
        </w:rPr>
      </w:pPr>
      <w:r>
        <w:rPr>
          <w:rFonts w:hint="eastAsia" w:ascii="黑体" w:hAnsi="黑体" w:eastAsia="黑体" w:cs="黑体"/>
          <w:color w:val="auto"/>
          <w:sz w:val="24"/>
          <w:highlight w:val="none"/>
        </w:rPr>
        <w:t>乙方（卖方）：签约地点：</w:t>
      </w:r>
    </w:p>
    <w:p>
      <w:pPr>
        <w:rPr>
          <w:rFonts w:hint="eastAsia" w:ascii="黑体" w:hAnsi="黑体" w:eastAsia="黑体" w:cs="黑体"/>
          <w:color w:val="auto"/>
          <w:sz w:val="24"/>
          <w:highlight w:val="none"/>
        </w:rPr>
      </w:pPr>
    </w:p>
    <w:p>
      <w:pPr>
        <w:widowControl/>
        <w:spacing w:line="440" w:lineRule="exact"/>
        <w:ind w:firstLine="600" w:firstLineChars="25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根据《中华人民共和国民法典》及年月日的招标结果和招标文件的要求，经双方协商一致，签订本合同。</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一、合同标的</w:t>
      </w:r>
    </w:p>
    <w:p>
      <w:pPr>
        <w:tabs>
          <w:tab w:val="left" w:pos="420"/>
        </w:tabs>
        <w:spacing w:line="440" w:lineRule="exact"/>
        <w:ind w:left="420"/>
        <w:rPr>
          <w:rFonts w:hint="eastAsia" w:ascii="黑体" w:hAnsi="黑体" w:eastAsia="黑体" w:cs="黑体"/>
          <w:color w:val="auto"/>
          <w:sz w:val="24"/>
          <w:highlight w:val="none"/>
        </w:rPr>
      </w:pPr>
      <w:r>
        <w:rPr>
          <w:rFonts w:hint="eastAsia" w:ascii="黑体" w:hAnsi="黑体" w:eastAsia="黑体" w:cs="黑体"/>
          <w:color w:val="auto"/>
          <w:sz w:val="24"/>
          <w:highlight w:val="none"/>
        </w:rPr>
        <w:t>1、本合同标的为</w:t>
      </w:r>
      <w:r>
        <w:rPr>
          <w:rFonts w:hint="eastAsia" w:ascii="黑体" w:hAnsi="黑体" w:eastAsia="黑体" w:cs="黑体"/>
          <w:i/>
          <w:color w:val="auto"/>
          <w:sz w:val="24"/>
          <w:highlight w:val="none"/>
          <w:u w:val="single"/>
        </w:rPr>
        <w:t>（采购对象）</w:t>
      </w:r>
      <w:r>
        <w:rPr>
          <w:rFonts w:hint="eastAsia" w:ascii="黑体" w:hAnsi="黑体" w:eastAsia="黑体" w:cs="黑体"/>
          <w:color w:val="auto"/>
          <w:sz w:val="24"/>
          <w:highlight w:val="none"/>
        </w:rPr>
        <w:t>，包括货物供货、安装、验收、技术服务（包括技术资料、图纸的提供）、质保期保障等的全部内容。</w:t>
      </w:r>
    </w:p>
    <w:p>
      <w:pPr>
        <w:tabs>
          <w:tab w:val="left" w:pos="420"/>
        </w:tabs>
        <w:spacing w:line="440" w:lineRule="exact"/>
        <w:ind w:left="420"/>
        <w:rPr>
          <w:rFonts w:hint="eastAsia" w:ascii="黑体" w:hAnsi="黑体" w:eastAsia="黑体" w:cs="黑体"/>
          <w:color w:val="auto"/>
          <w:sz w:val="24"/>
          <w:highlight w:val="none"/>
        </w:rPr>
      </w:pPr>
      <w:r>
        <w:rPr>
          <w:rFonts w:hint="eastAsia" w:ascii="黑体" w:hAnsi="黑体" w:eastAsia="黑体" w:cs="黑体"/>
          <w:color w:val="auto"/>
          <w:sz w:val="24"/>
          <w:highlight w:val="none"/>
        </w:rPr>
        <w:t>2、供货货物名称、型号、规格、数量。</w:t>
      </w:r>
    </w:p>
    <w:tbl>
      <w:tblPr>
        <w:tblStyle w:val="43"/>
        <w:tblW w:w="0" w:type="auto"/>
        <w:tblInd w:w="828" w:type="dxa"/>
        <w:tblLayout w:type="fixed"/>
        <w:tblCellMar>
          <w:top w:w="0" w:type="dxa"/>
          <w:left w:w="0" w:type="dxa"/>
          <w:bottom w:w="0" w:type="dxa"/>
          <w:right w:w="0" w:type="dxa"/>
        </w:tblCellMar>
      </w:tblPr>
      <w:tblGrid>
        <w:gridCol w:w="849"/>
        <w:gridCol w:w="3111"/>
        <w:gridCol w:w="900"/>
        <w:gridCol w:w="3351"/>
      </w:tblGrid>
      <w:tr>
        <w:tblPrEx>
          <w:tblCellMar>
            <w:top w:w="0" w:type="dxa"/>
            <w:left w:w="0" w:type="dxa"/>
            <w:bottom w:w="0" w:type="dxa"/>
            <w:right w:w="0" w:type="dxa"/>
          </w:tblCellMar>
        </w:tblPrEx>
        <w:trPr>
          <w:trHeight w:val="227" w:hRule="atLeast"/>
        </w:trPr>
        <w:tc>
          <w:tcPr>
            <w:tcW w:w="84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包号</w:t>
            </w:r>
          </w:p>
        </w:tc>
        <w:tc>
          <w:tcPr>
            <w:tcW w:w="31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名称</w:t>
            </w:r>
          </w:p>
        </w:tc>
        <w:tc>
          <w:tcPr>
            <w:tcW w:w="9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数量</w:t>
            </w:r>
          </w:p>
        </w:tc>
        <w:tc>
          <w:tcPr>
            <w:tcW w:w="335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交货期</w:t>
            </w:r>
          </w:p>
        </w:tc>
      </w:tr>
      <w:tr>
        <w:tblPrEx>
          <w:tblCellMar>
            <w:top w:w="0" w:type="dxa"/>
            <w:left w:w="0" w:type="dxa"/>
            <w:bottom w:w="0" w:type="dxa"/>
            <w:right w:w="0" w:type="dxa"/>
          </w:tblCellMar>
        </w:tblPrEx>
        <w:trPr>
          <w:trHeight w:val="227" w:hRule="atLeast"/>
        </w:trPr>
        <w:tc>
          <w:tcPr>
            <w:tcW w:w="84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1</w:t>
            </w:r>
          </w:p>
        </w:tc>
        <w:tc>
          <w:tcPr>
            <w:tcW w:w="31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lang w:eastAsia="zh-CN"/>
              </w:rPr>
            </w:pPr>
            <w:r>
              <w:rPr>
                <w:rFonts w:hint="eastAsia" w:ascii="黑体" w:hAnsi="黑体" w:eastAsia="黑体" w:cs="黑体"/>
                <w:color w:val="auto"/>
                <w:kern w:val="0"/>
                <w:sz w:val="24"/>
                <w:highlight w:val="none"/>
                <w:lang w:eastAsia="zh-CN"/>
              </w:rPr>
              <w:t>具体见附件清单</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100" w:beforeAutospacing="1" w:after="100" w:afterAutospacing="1" w:line="500" w:lineRule="exact"/>
              <w:ind w:left="0" w:right="0"/>
              <w:jc w:val="center"/>
              <w:rPr>
                <w:rFonts w:hint="eastAsia" w:ascii="黑体" w:hAnsi="黑体" w:eastAsia="黑体" w:cs="黑体"/>
                <w:color w:val="auto"/>
                <w:kern w:val="0"/>
                <w:sz w:val="24"/>
                <w:highlight w:val="none"/>
              </w:rPr>
            </w:pPr>
          </w:p>
        </w:tc>
        <w:tc>
          <w:tcPr>
            <w:tcW w:w="335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黑体" w:hAnsi="黑体" w:eastAsia="黑体" w:cs="黑体"/>
                <w:color w:val="auto"/>
                <w:sz w:val="24"/>
                <w:highlight w:val="none"/>
              </w:rPr>
            </w:pPr>
            <w:r>
              <w:rPr>
                <w:rFonts w:hint="eastAsia" w:ascii="黑体" w:hAnsi="黑体" w:eastAsia="黑体" w:cs="黑体"/>
                <w:color w:val="auto"/>
                <w:sz w:val="24"/>
                <w:szCs w:val="24"/>
                <w:highlight w:val="none"/>
              </w:rPr>
              <w:t>自合同签定之日起</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天</w:t>
            </w:r>
            <w:r>
              <w:rPr>
                <w:rFonts w:hint="eastAsia" w:ascii="黑体" w:hAnsi="黑体" w:eastAsia="黑体" w:cs="黑体"/>
                <w:color w:val="auto"/>
                <w:sz w:val="24"/>
                <w:szCs w:val="24"/>
                <w:highlight w:val="none"/>
                <w:lang w:val="en-US" w:eastAsia="zh-CN"/>
              </w:rPr>
              <w:t>内所有货物供货完成</w:t>
            </w:r>
            <w:r>
              <w:rPr>
                <w:rFonts w:hint="eastAsia" w:ascii="黑体" w:hAnsi="黑体" w:eastAsia="黑体" w:cs="黑体"/>
                <w:color w:val="auto"/>
                <w:sz w:val="24"/>
                <w:szCs w:val="24"/>
                <w:highlight w:val="none"/>
              </w:rPr>
              <w:t>，原厂包装免费送至</w:t>
            </w:r>
            <w:r>
              <w:rPr>
                <w:rFonts w:hint="eastAsia" w:ascii="黑体" w:hAnsi="黑体" w:eastAsia="黑体" w:cs="黑体"/>
                <w:color w:val="auto"/>
                <w:sz w:val="24"/>
                <w:szCs w:val="24"/>
                <w:highlight w:val="none"/>
                <w:lang w:val="en-US" w:eastAsia="zh-CN"/>
              </w:rPr>
              <w:t>甲方</w:t>
            </w:r>
            <w:r>
              <w:rPr>
                <w:rFonts w:hint="eastAsia" w:ascii="黑体" w:hAnsi="黑体" w:eastAsia="黑体" w:cs="黑体"/>
                <w:color w:val="auto"/>
                <w:sz w:val="24"/>
                <w:szCs w:val="24"/>
                <w:highlight w:val="none"/>
              </w:rPr>
              <w:t>指定地点。</w:t>
            </w:r>
          </w:p>
          <w:p>
            <w:pPr>
              <w:keepNext w:val="0"/>
              <w:keepLines w:val="0"/>
              <w:widowControl/>
              <w:suppressLineNumbers w:val="0"/>
              <w:spacing w:before="0" w:beforeAutospacing="0" w:after="0" w:afterAutospacing="0" w:line="360" w:lineRule="auto"/>
              <w:ind w:left="0" w:right="0"/>
              <w:jc w:val="left"/>
              <w:textAlignment w:val="baseline"/>
              <w:rPr>
                <w:rFonts w:hint="eastAsia" w:ascii="黑体" w:hAnsi="黑体" w:eastAsia="黑体" w:cs="黑体"/>
                <w:color w:val="auto"/>
                <w:kern w:val="0"/>
                <w:sz w:val="24"/>
                <w:highlight w:val="none"/>
              </w:rPr>
            </w:pPr>
          </w:p>
        </w:tc>
      </w:tr>
    </w:tbl>
    <w:p>
      <w:pPr>
        <w:spacing w:line="440" w:lineRule="exact"/>
        <w:ind w:left="420" w:left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具体的供货范围、技术规格及详见合同附件</w:t>
      </w:r>
      <w:r>
        <w:rPr>
          <w:rFonts w:hint="eastAsia" w:ascii="黑体" w:hAnsi="黑体" w:eastAsia="黑体" w:cs="黑体"/>
          <w:b/>
          <w:color w:val="auto"/>
          <w:sz w:val="24"/>
          <w:highlight w:val="none"/>
          <w:lang w:eastAsia="zh-CN"/>
        </w:rPr>
        <w:t>清单</w:t>
      </w:r>
      <w:r>
        <w:rPr>
          <w:rFonts w:hint="eastAsia" w:ascii="黑体" w:hAnsi="黑体" w:eastAsia="黑体" w:cs="黑体"/>
          <w:color w:val="auto"/>
          <w:kern w:val="0"/>
          <w:sz w:val="24"/>
          <w:highlight w:val="none"/>
        </w:rPr>
        <w:t>，具体供货时间以买方要求为准。</w:t>
      </w:r>
    </w:p>
    <w:p>
      <w:pPr>
        <w:numPr>
          <w:ilvl w:val="0"/>
          <w:numId w:val="6"/>
        </w:numPr>
        <w:tabs>
          <w:tab w:val="left" w:pos="420"/>
        </w:tabs>
        <w:spacing w:line="440" w:lineRule="exact"/>
        <w:ind w:left="420"/>
        <w:rPr>
          <w:rFonts w:hint="eastAsia" w:ascii="黑体" w:hAnsi="黑体" w:eastAsia="黑体" w:cs="黑体"/>
          <w:color w:val="auto"/>
          <w:sz w:val="24"/>
          <w:highlight w:val="none"/>
        </w:rPr>
      </w:pPr>
      <w:r>
        <w:rPr>
          <w:rFonts w:hint="eastAsia" w:ascii="黑体" w:hAnsi="黑体" w:eastAsia="黑体" w:cs="黑体"/>
          <w:color w:val="auto"/>
          <w:sz w:val="24"/>
          <w:highlight w:val="none"/>
        </w:rPr>
        <w:t>卖方应对本合同项下其承担的全部工作实施有效管理，以确保实施进度符合合同附件的要求。</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二、价格</w:t>
      </w:r>
    </w:p>
    <w:p>
      <w:pPr>
        <w:tabs>
          <w:tab w:val="left" w:pos="72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1、合同总价：人民币（大写）（￥）。（价格明细清单见合同附件）</w:t>
      </w:r>
    </w:p>
    <w:p>
      <w:pPr>
        <w:tabs>
          <w:tab w:val="left" w:pos="72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2、合同总价包括了货物的</w:t>
      </w:r>
      <w:r>
        <w:rPr>
          <w:rFonts w:hint="eastAsia" w:ascii="黑体" w:hAnsi="黑体" w:eastAsia="黑体" w:cs="黑体"/>
          <w:color w:val="auto"/>
          <w:sz w:val="24"/>
          <w:highlight w:val="none"/>
          <w:lang w:eastAsia="zh-CN"/>
        </w:rPr>
        <w:t>材料费</w:t>
      </w:r>
      <w:r>
        <w:rPr>
          <w:rFonts w:hint="eastAsia" w:ascii="黑体" w:hAnsi="黑体" w:eastAsia="黑体" w:cs="黑体"/>
          <w:color w:val="auto"/>
          <w:sz w:val="24"/>
          <w:highlight w:val="none"/>
        </w:rPr>
        <w:t>、制造、包装、仓储、运输、保险以及卖方进行的安装、验收、技术服务、质保期保障服务等的全部含税费用，同时投标人所报价格在合同实施期间不因市场变化因素而变动。</w:t>
      </w:r>
    </w:p>
    <w:p>
      <w:pPr>
        <w:tabs>
          <w:tab w:val="left" w:pos="0"/>
          <w:tab w:val="left" w:pos="72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3、合同总价中包括用户需求书中列明所需的备品备件。</w:t>
      </w:r>
    </w:p>
    <w:p>
      <w:pPr>
        <w:tabs>
          <w:tab w:val="left" w:pos="0"/>
          <w:tab w:val="left" w:pos="72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4、本合同价格为固定</w:t>
      </w:r>
      <w:r>
        <w:rPr>
          <w:rFonts w:hint="eastAsia" w:ascii="黑体" w:hAnsi="黑体" w:eastAsia="黑体" w:cs="黑体"/>
          <w:color w:val="auto"/>
          <w:sz w:val="24"/>
          <w:highlight w:val="none"/>
          <w:lang w:val="en-US" w:eastAsia="zh-CN"/>
        </w:rPr>
        <w:t>综合</w:t>
      </w:r>
      <w:r>
        <w:rPr>
          <w:rFonts w:hint="eastAsia" w:ascii="黑体" w:hAnsi="黑体" w:eastAsia="黑体" w:cs="黑体"/>
          <w:color w:val="auto"/>
          <w:sz w:val="24"/>
          <w:highlight w:val="none"/>
        </w:rPr>
        <w:t>单价。</w:t>
      </w:r>
    </w:p>
    <w:p>
      <w:pPr>
        <w:tabs>
          <w:tab w:val="left" w:pos="0"/>
          <w:tab w:val="left" w:pos="72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5、总价金额与单价不一致的，以计算出的两个总价中低价为准，但单价金额小数点有明显错误的除外；对不同文字文本投标文件的解释发生异议的，以中文文本为准。</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三、货物产地及标准</w:t>
      </w:r>
    </w:p>
    <w:p>
      <w:pPr>
        <w:tabs>
          <w:tab w:val="left" w:pos="360"/>
          <w:tab w:val="left" w:pos="840"/>
          <w:tab w:val="left" w:pos="1050"/>
        </w:tabs>
        <w:spacing w:line="440" w:lineRule="exact"/>
        <w:ind w:left="360"/>
        <w:rPr>
          <w:rFonts w:hint="eastAsia" w:ascii="黑体" w:hAnsi="黑体" w:eastAsia="黑体" w:cs="黑体"/>
          <w:color w:val="auto"/>
          <w:sz w:val="24"/>
          <w:highlight w:val="none"/>
        </w:rPr>
      </w:pPr>
      <w:r>
        <w:rPr>
          <w:rFonts w:hint="eastAsia" w:ascii="黑体" w:hAnsi="黑体" w:eastAsia="黑体" w:cs="黑体"/>
          <w:color w:val="auto"/>
          <w:sz w:val="24"/>
          <w:highlight w:val="none"/>
        </w:rPr>
        <w:t>1、货物为</w:t>
      </w:r>
      <w:r>
        <w:rPr>
          <w:rFonts w:hint="eastAsia" w:ascii="黑体" w:hAnsi="黑体" w:eastAsia="黑体" w:cs="黑体"/>
          <w:color w:val="auto"/>
          <w:sz w:val="24"/>
          <w:highlight w:val="none"/>
          <w:u w:val="single"/>
        </w:rPr>
        <w:t>（制造厂商名称）</w:t>
      </w:r>
      <w:r>
        <w:rPr>
          <w:rFonts w:hint="eastAsia" w:ascii="黑体" w:hAnsi="黑体" w:eastAsia="黑体" w:cs="黑体"/>
          <w:color w:val="auto"/>
          <w:sz w:val="24"/>
          <w:highlight w:val="none"/>
        </w:rPr>
        <w:t>全新的（原装）产品。</w:t>
      </w:r>
    </w:p>
    <w:p>
      <w:pPr>
        <w:tabs>
          <w:tab w:val="left" w:pos="360"/>
          <w:tab w:val="left" w:pos="840"/>
          <w:tab w:val="left" w:pos="1050"/>
        </w:tabs>
        <w:spacing w:line="440" w:lineRule="exact"/>
        <w:ind w:left="360"/>
        <w:rPr>
          <w:rFonts w:hint="eastAsia" w:ascii="黑体" w:hAnsi="黑体" w:eastAsia="黑体" w:cs="黑体"/>
          <w:color w:val="auto"/>
          <w:sz w:val="24"/>
          <w:highlight w:val="none"/>
        </w:rPr>
      </w:pPr>
      <w:r>
        <w:rPr>
          <w:rFonts w:hint="eastAsia" w:ascii="黑体" w:hAnsi="黑体" w:eastAsia="黑体" w:cs="黑体"/>
          <w:color w:val="auto"/>
          <w:sz w:val="24"/>
          <w:highlight w:val="none"/>
        </w:rPr>
        <w:t>2、标准。</w:t>
      </w:r>
    </w:p>
    <w:p>
      <w:pPr>
        <w:tabs>
          <w:tab w:val="left" w:pos="360"/>
        </w:tabs>
        <w:spacing w:line="440" w:lineRule="exact"/>
        <w:ind w:left="360" w:firstLine="540"/>
        <w:rPr>
          <w:rFonts w:hint="eastAsia" w:ascii="黑体" w:hAnsi="黑体" w:eastAsia="黑体" w:cs="黑体"/>
          <w:color w:val="auto"/>
          <w:sz w:val="24"/>
          <w:highlight w:val="none"/>
        </w:rPr>
      </w:pPr>
      <w:r>
        <w:rPr>
          <w:rFonts w:hint="eastAsia" w:ascii="黑体" w:hAnsi="黑体" w:eastAsia="黑体" w:cs="黑体"/>
          <w:color w:val="auto"/>
          <w:sz w:val="24"/>
          <w:highlight w:val="none"/>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四、到货、安装的时间、地点</w:t>
      </w:r>
    </w:p>
    <w:p>
      <w:pPr>
        <w:tabs>
          <w:tab w:val="left" w:pos="360"/>
          <w:tab w:val="left" w:pos="1021"/>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1、到货及安装地点：采购人指定地点 。</w:t>
      </w:r>
    </w:p>
    <w:p>
      <w:pPr>
        <w:tabs>
          <w:tab w:val="left" w:pos="360"/>
          <w:tab w:val="left" w:pos="1021"/>
        </w:tabs>
        <w:spacing w:line="440" w:lineRule="exact"/>
        <w:ind w:firstLine="480" w:firstLineChars="2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2、安装时间安排如下：</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年月日开始</w:t>
      </w:r>
      <w:r>
        <w:rPr>
          <w:rFonts w:hint="eastAsia" w:ascii="黑体" w:hAnsi="黑体" w:eastAsia="黑体" w:cs="黑体"/>
          <w:color w:val="auto"/>
          <w:sz w:val="24"/>
          <w:highlight w:val="none"/>
          <w:lang w:eastAsia="zh-CN"/>
        </w:rPr>
        <w:t>供货并</w:t>
      </w:r>
      <w:r>
        <w:rPr>
          <w:rFonts w:hint="eastAsia" w:ascii="黑体" w:hAnsi="黑体" w:eastAsia="黑体" w:cs="黑体"/>
          <w:color w:val="auto"/>
          <w:sz w:val="24"/>
          <w:highlight w:val="none"/>
        </w:rPr>
        <w:t>安装；</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年月日安装完毕。</w:t>
      </w:r>
    </w:p>
    <w:p>
      <w:pPr>
        <w:tabs>
          <w:tab w:val="left" w:pos="824"/>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2）验收时间</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年月日至</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年月日。</w:t>
      </w:r>
    </w:p>
    <w:p>
      <w:pPr>
        <w:tabs>
          <w:tab w:val="left" w:pos="360"/>
          <w:tab w:val="left" w:pos="1021"/>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合同生效，买方按合同规定履行付款（如果合同约定是分期付款）等义务后，卖方应按本合同要求的交付使用时间将货物运至上款指定到货地点卸货、安装，并按《合同资料表》规定将到货时间提前通报买方。</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五、保密</w:t>
      </w:r>
    </w:p>
    <w:p>
      <w:pPr>
        <w:tabs>
          <w:tab w:val="left" w:pos="425"/>
          <w:tab w:val="left" w:pos="824"/>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未经买方事先书面同意，卖方不得将由买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425"/>
          <w:tab w:val="left" w:pos="824"/>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2、除了合同本身之外，上款所列举的任何物件均是买方的财产。如果买方有要求，卖方在完成合同后应将这些物件及全部复制件还给买方。</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六、技术文件</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1、卖方应在供货同时向买方提供所有有关本合同执行的技术文件。如果项目必需但合同又未作规定的要卖方才能提供的技术文件，卖方也应及时向买方提供。技术文件可以是手册、图纸或其他形式的文件资料。</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2、上述技术文件应包含保证买方能够正确进行安装、操作、检查、维修、维护、测试、验收和运作的需要的所有内容。</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3、买方完全按照技术文件的指导进行的任何安装、操作、检查维修、维护、测试、验收所引起的系统和/或货物或其部件的损坏由卖方承担责任。</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4、卖方应按照买方的要求提供上述技术文件一式两套给买方。</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5、所有卖方提供的技术文件的全部费用已包含在合同货物价格中。</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6、所有未列明交付时间的卖方应提供的技术文件，必须单独包装伴随货物按货物交付时间交付给买方。</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7、到货后买方如发现卖方未提供有关文件，可以推迟付款，直至卖方补齐有关文件。</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七、知识产权</w:t>
      </w:r>
    </w:p>
    <w:p>
      <w:pPr>
        <w:tabs>
          <w:tab w:val="left" w:pos="54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1、卖方应保证，买方在中华人民共和国使用该货物或货物的任何一部份时，免受第三方提出的侵犯其专利权、商标权或其他知识产权的起诉。如发生此类纠纷，由卖方承担一切责任。</w:t>
      </w:r>
    </w:p>
    <w:p>
      <w:pPr>
        <w:tabs>
          <w:tab w:val="left" w:pos="54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2、卖方为执行本合同而提供的技术资料的使用权归买方所有。</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八、履约保证金</w:t>
      </w:r>
    </w:p>
    <w:p>
      <w:pPr>
        <w:tabs>
          <w:tab w:val="left" w:pos="425"/>
          <w:tab w:val="left" w:pos="824"/>
        </w:tabs>
        <w:spacing w:line="440" w:lineRule="exact"/>
        <w:ind w:firstLine="466" w:firstLineChars="200"/>
        <w:rPr>
          <w:rFonts w:hint="eastAsia" w:ascii="黑体" w:hAnsi="黑体" w:eastAsia="黑体" w:cs="黑体"/>
          <w:b/>
          <w:color w:val="auto"/>
          <w:spacing w:val="-4"/>
          <w:sz w:val="24"/>
          <w:highlight w:val="none"/>
        </w:rPr>
      </w:pPr>
      <w:r>
        <w:rPr>
          <w:rFonts w:hint="eastAsia" w:ascii="黑体" w:hAnsi="黑体" w:eastAsia="黑体" w:cs="黑体"/>
          <w:b/>
          <w:color w:val="auto"/>
          <w:spacing w:val="-4"/>
          <w:sz w:val="24"/>
          <w:highlight w:val="none"/>
        </w:rPr>
        <w:t>1、签订合同前，按合同价的10%收取履约保证金，人民币：</w:t>
      </w:r>
      <w:r>
        <w:rPr>
          <w:rFonts w:hint="eastAsia" w:ascii="黑体" w:hAnsi="黑体" w:eastAsia="黑体" w:cs="黑体"/>
          <w:b/>
          <w:color w:val="auto"/>
          <w:spacing w:val="-4"/>
          <w:sz w:val="24"/>
          <w:highlight w:val="none"/>
          <w:u w:val="single"/>
        </w:rPr>
        <w:t>元</w:t>
      </w:r>
      <w:r>
        <w:rPr>
          <w:rFonts w:hint="eastAsia" w:ascii="黑体" w:hAnsi="黑体" w:eastAsia="黑体" w:cs="黑体"/>
          <w:b/>
          <w:color w:val="auto"/>
          <w:spacing w:val="-4"/>
          <w:sz w:val="24"/>
          <w:highlight w:val="none"/>
        </w:rPr>
        <w:t>。</w:t>
      </w:r>
    </w:p>
    <w:p>
      <w:pPr>
        <w:pStyle w:val="42"/>
        <w:ind w:firstLine="466"/>
        <w:rPr>
          <w:rFonts w:hint="eastAsia" w:ascii="黑体" w:hAnsi="黑体" w:eastAsia="黑体" w:cs="黑体"/>
          <w:b/>
          <w:color w:val="auto"/>
          <w:spacing w:val="-4"/>
          <w:sz w:val="24"/>
          <w:szCs w:val="24"/>
          <w:highlight w:val="none"/>
        </w:rPr>
      </w:pPr>
      <w:r>
        <w:rPr>
          <w:rFonts w:hint="eastAsia" w:ascii="黑体" w:hAnsi="黑体" w:eastAsia="黑体" w:cs="黑体"/>
          <w:b/>
          <w:color w:val="auto"/>
          <w:spacing w:val="-4"/>
          <w:sz w:val="24"/>
          <w:szCs w:val="24"/>
          <w:highlight w:val="none"/>
        </w:rPr>
        <w:t>注明：对政府采购信用档案中无不良记录的中小企业可免收履约保证金。</w:t>
      </w:r>
    </w:p>
    <w:p>
      <w:pPr>
        <w:tabs>
          <w:tab w:val="left" w:pos="425"/>
          <w:tab w:val="left" w:pos="824"/>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2、履约保证金用于补偿买方因卖方不能完成其合同义务而蒙受的损失。</w:t>
      </w:r>
    </w:p>
    <w:p>
      <w:pPr>
        <w:tabs>
          <w:tab w:val="left" w:pos="425"/>
          <w:tab w:val="left" w:pos="824"/>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3、在卖方完成其合同义务，包括任何保证义务后30天内，买方将把履约保证金退还卖方。</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九、包装、装卸和运输</w:t>
      </w:r>
    </w:p>
    <w:p>
      <w:pPr>
        <w:tabs>
          <w:tab w:val="left" w:pos="525"/>
          <w:tab w:val="left" w:pos="126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1、包装必须与运输方式相适应，包装方式的确定及包装费用均由卖方负责；由于不适当的包装而造成货物在运输过程中有任何损坏、丢失由卖方负责。</w:t>
      </w:r>
    </w:p>
    <w:p>
      <w:pPr>
        <w:tabs>
          <w:tab w:val="left" w:pos="525"/>
          <w:tab w:val="left" w:pos="126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2、包装应足以承受整个过程中的运输、转运、装卸、储存等，充分考虑到运输途中的各种情况（如暴露于恶劣气候等）和南通地区的气候特点，以及露天存放的需要。</w:t>
      </w:r>
    </w:p>
    <w:p>
      <w:pPr>
        <w:tabs>
          <w:tab w:val="left" w:pos="525"/>
          <w:tab w:val="left" w:pos="126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3、专用工具及备品备件应分别包装，并在包装箱外加以注明其用处。</w:t>
      </w:r>
    </w:p>
    <w:p>
      <w:pPr>
        <w:tabs>
          <w:tab w:val="left" w:pos="525"/>
          <w:tab w:val="left" w:pos="126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4、每一包装箱两个侧面用不褪色的油漆和明显易见的中文字样做出标记。</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标记内容包括：箱（件）号、装运标志（唛头）、毛重（kg）、尺码（长×宽×高，用mm表示）、净重（kg）、到货地址、收货人名称、货物名称、合同编号以及“勿近潮湿”、“小心轻放”、“此边向上”等。</w:t>
      </w:r>
    </w:p>
    <w:p>
      <w:pPr>
        <w:tabs>
          <w:tab w:val="left" w:pos="525"/>
          <w:tab w:val="left" w:pos="126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5、包装费、运费已包含在合同价内。</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十、装运单证</w:t>
      </w:r>
    </w:p>
    <w:p>
      <w:pPr>
        <w:spacing w:line="440" w:lineRule="exact"/>
        <w:ind w:left="360" w:firstLine="360"/>
        <w:rPr>
          <w:rFonts w:hint="eastAsia" w:ascii="黑体" w:hAnsi="黑体" w:eastAsia="黑体" w:cs="黑体"/>
          <w:color w:val="auto"/>
          <w:sz w:val="24"/>
          <w:highlight w:val="none"/>
        </w:rPr>
      </w:pPr>
      <w:r>
        <w:rPr>
          <w:rFonts w:hint="eastAsia" w:ascii="黑体" w:hAnsi="黑体" w:eastAsia="黑体" w:cs="黑体"/>
          <w:color w:val="auto"/>
          <w:sz w:val="24"/>
          <w:highlight w:val="none"/>
        </w:rPr>
        <w:t>采用铁路运输、船运或空运的以下单证原件在到货同时交给买方，其单证副本（或复印件）则应在到货前三天交给买方：</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1、装箱单一式三份，注明合同号、装运标志、货物内容、每件包装尺码及重量；</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2、制造厂出具的出厂质量及数量检验证明书各一式一份；</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十一、付款</w:t>
      </w:r>
    </w:p>
    <w:p>
      <w:pPr>
        <w:spacing w:line="440" w:lineRule="exact"/>
        <w:ind w:firstLine="480" w:firstLineChars="200"/>
        <w:rPr>
          <w:rFonts w:hint="eastAsia" w:ascii="黑体" w:hAnsi="黑体" w:eastAsia="黑体" w:cs="黑体"/>
          <w:b/>
          <w:bCs/>
          <w:color w:val="auto"/>
          <w:sz w:val="24"/>
          <w:highlight w:val="none"/>
        </w:rPr>
      </w:pPr>
      <w:r>
        <w:rPr>
          <w:rFonts w:hint="eastAsia" w:ascii="黑体" w:hAnsi="黑体" w:eastAsia="黑体" w:cs="黑体"/>
          <w:color w:val="auto"/>
          <w:kern w:val="0"/>
          <w:sz w:val="24"/>
          <w:highlight w:val="none"/>
          <w:lang w:val="zh-CN"/>
        </w:rPr>
        <w:t>1、乙方提交履约保证金后双方签订合同</w:t>
      </w:r>
      <w:r>
        <w:rPr>
          <w:rFonts w:hint="eastAsia" w:ascii="黑体" w:hAnsi="黑体" w:eastAsia="黑体" w:cs="黑体"/>
          <w:b/>
          <w:bCs/>
          <w:color w:val="auto"/>
          <w:sz w:val="24"/>
          <w:highlight w:val="none"/>
        </w:rPr>
        <w:t>，完成验收合格后10个工作日内支付成交金额的100%。</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2、所有款项由甲方按相关财务支付规定办理支付手续。</w:t>
      </w:r>
    </w:p>
    <w:p>
      <w:pPr>
        <w:tabs>
          <w:tab w:val="left" w:pos="420"/>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3、付款方式：采用支票、银行汇付（含电汇）等形式。</w:t>
      </w:r>
    </w:p>
    <w:p>
      <w:pPr>
        <w:tabs>
          <w:tab w:val="left" w:pos="420"/>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4、每笔款项支付时，卖方同时向买方提供相应金额的正式发票。</w:t>
      </w:r>
    </w:p>
    <w:p>
      <w:pPr>
        <w:tabs>
          <w:tab w:val="left" w:pos="420"/>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5、本合同的付款时间为买方向政府采购支付部门提出支付申请的时间（不含政府财政支付部门审查的时间）。</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十二、产权与风险转移</w:t>
      </w:r>
    </w:p>
    <w:p>
      <w:pPr>
        <w:spacing w:line="440" w:lineRule="exact"/>
        <w:ind w:firstLine="540"/>
        <w:rPr>
          <w:rFonts w:hint="eastAsia" w:ascii="黑体" w:hAnsi="黑体" w:eastAsia="黑体" w:cs="黑体"/>
          <w:color w:val="auto"/>
          <w:sz w:val="24"/>
          <w:highlight w:val="none"/>
        </w:rPr>
      </w:pPr>
      <w:r>
        <w:rPr>
          <w:rFonts w:hint="eastAsia" w:ascii="黑体" w:hAnsi="黑体" w:eastAsia="黑体" w:cs="黑体"/>
          <w:color w:val="auto"/>
          <w:sz w:val="24"/>
          <w:highlight w:val="none"/>
        </w:rPr>
        <w:t>除非买卖双方另有规定，合同标的产权与风险转移遵守如下约定：</w:t>
      </w:r>
    </w:p>
    <w:p>
      <w:pPr>
        <w:tabs>
          <w:tab w:val="left" w:pos="435"/>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1、卖方交由承运人运输的在途货物，毁损、灭失的风险由卖方承担。</w:t>
      </w:r>
    </w:p>
    <w:p>
      <w:pPr>
        <w:tabs>
          <w:tab w:val="left" w:pos="435"/>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2、货物的产权，损坏、灭失的风险，在货物通过验收交付使用时起由卖方转移至买方。</w:t>
      </w:r>
    </w:p>
    <w:p>
      <w:pPr>
        <w:tabs>
          <w:tab w:val="left" w:pos="435"/>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3、因货物验收不合格买方拒收，或双方已解除合同，货物毁损、灭失的风险由卖方承担。</w:t>
      </w:r>
    </w:p>
    <w:p>
      <w:pPr>
        <w:tabs>
          <w:tab w:val="left" w:pos="435"/>
          <w:tab w:val="left" w:pos="540"/>
        </w:tabs>
        <w:spacing w:line="440" w:lineRule="exact"/>
        <w:ind w:firstLine="464" w:firstLineChars="200"/>
        <w:rPr>
          <w:rFonts w:hint="eastAsia" w:ascii="黑体" w:hAnsi="黑体" w:eastAsia="黑体" w:cs="黑体"/>
          <w:color w:val="auto"/>
          <w:spacing w:val="-4"/>
          <w:sz w:val="24"/>
          <w:highlight w:val="none"/>
        </w:rPr>
      </w:pPr>
      <w:r>
        <w:rPr>
          <w:rFonts w:hint="eastAsia" w:ascii="黑体" w:hAnsi="黑体" w:eastAsia="黑体" w:cs="黑体"/>
          <w:color w:val="auto"/>
          <w:spacing w:val="-4"/>
          <w:sz w:val="24"/>
          <w:highlight w:val="none"/>
        </w:rPr>
        <w:t>4、产权和风险的转移，不影响因卖方履行义务不符合约定，买方要求其承担违约责任的权利。</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十三、保险</w:t>
      </w:r>
    </w:p>
    <w:p>
      <w:pPr>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根据本合同关于产权与风险转移条款规定，卖方承担货物到达交货地点并安装、验收合格交付使用之前的所有风险。因此，卖方应按货物总价的110％价值为货物投保一切险、为派往买方服务的人员投保人身险、为货物交付前有关本项目活动可能涉及的第三方投保相关险种，保险费用均由卖方负责。</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十四、检验与测试</w:t>
      </w:r>
    </w:p>
    <w:p>
      <w:pPr>
        <w:tabs>
          <w:tab w:val="left" w:pos="540"/>
          <w:tab w:val="left" w:pos="840"/>
        </w:tabs>
        <w:spacing w:line="440" w:lineRule="exact"/>
        <w:ind w:firstLine="472" w:firstLineChars="200"/>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rPr>
        <w:t>1、买方或其代表有权检验和/或测试货物，以确认货物是否符合合同规格的要求，并且不承担额外的费用。合同条款的技术规格将说明买方要求进行的检验和测试，以及在何处进行这些检验和测试。买方将及时以书面形式把进行检验和/或买方测试代表的身份通知卖方。</w:t>
      </w:r>
    </w:p>
    <w:p>
      <w:pPr>
        <w:tabs>
          <w:tab w:val="left" w:pos="540"/>
          <w:tab w:val="left" w:pos="840"/>
        </w:tabs>
        <w:spacing w:line="440" w:lineRule="exact"/>
        <w:ind w:firstLine="472" w:firstLineChars="200"/>
        <w:rPr>
          <w:rFonts w:hint="eastAsia" w:ascii="黑体" w:hAnsi="黑体" w:eastAsia="黑体" w:cs="黑体"/>
          <w:color w:val="auto"/>
          <w:spacing w:val="-2"/>
          <w:sz w:val="24"/>
          <w:highlight w:val="none"/>
        </w:rPr>
      </w:pPr>
      <w:r>
        <w:rPr>
          <w:rFonts w:hint="eastAsia" w:ascii="黑体" w:hAnsi="黑体" w:eastAsia="黑体" w:cs="黑体"/>
          <w:color w:val="auto"/>
          <w:spacing w:val="-2"/>
          <w:sz w:val="24"/>
          <w:highlight w:val="none"/>
        </w:rPr>
        <w:t>2、检验和测试可以在卖方或其分包人的驻地、交货地和/或货物的最终目的地进行。如果在卖方或其分包人的驻地进行，检测人员应能得全部合理的设施和协助，买方不应承担费用。</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3、如果任何被检验或测试的货物不能满足规格的要求，买方可以拒绝接受该货物，卖方应更换被拒绝的货物，或者免费进行必要的修改以满足规格的要求。</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4、买方在货物到达的目的地后对货物进行检验、测试及必要时拒绝接受货物的权力将不会因为货物在卖方或其分包人的驻地已通过了买方或其代表的检验、测试和认可而受到限制或放弃。</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5、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6、如果货物是进口产品，且属于强制检验商品，卖方应附上经中国国家商检部门对货物的质量、规格、数量和重量进行检验并合格的检验证书。</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7、本“检验与测试”的有关条款不能免除卖方在本合同项下的保证义务或其它义务。</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十五、伴随服务</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应买方要求，卖方应提供下列服务的一项或各项，以及用户需求书规定的附加服务（如果有的话）。除非另有约定，所有服务费用已包含在合同总价中。</w:t>
      </w:r>
    </w:p>
    <w:p>
      <w:pPr>
        <w:tabs>
          <w:tab w:val="left" w:pos="630"/>
        </w:tabs>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1、安装</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1.1卖方必须向买方提供合同货物安装所需的材料及技术资料以及组装/维修所需工具。</w:t>
      </w:r>
    </w:p>
    <w:p>
      <w:pPr>
        <w:tabs>
          <w:tab w:val="left" w:pos="630"/>
        </w:tabs>
        <w:spacing w:line="440" w:lineRule="exact"/>
        <w:ind w:firstLine="464" w:firstLineChars="200"/>
        <w:rPr>
          <w:rFonts w:hint="eastAsia" w:ascii="黑体" w:hAnsi="黑体" w:eastAsia="黑体" w:cs="黑体"/>
          <w:color w:val="auto"/>
          <w:spacing w:val="-4"/>
          <w:sz w:val="24"/>
          <w:highlight w:val="none"/>
        </w:rPr>
      </w:pPr>
      <w:r>
        <w:rPr>
          <w:rFonts w:hint="eastAsia" w:ascii="黑体" w:hAnsi="黑体" w:eastAsia="黑体" w:cs="黑体"/>
          <w:color w:val="auto"/>
          <w:spacing w:val="-4"/>
          <w:sz w:val="24"/>
          <w:highlight w:val="none"/>
        </w:rPr>
        <w:t>1.2卖方在接到买方要求开始安装的通知后天内必须派合适的人员到现场进行安装。</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1.3卖方派出的安装人员应具备相关的专业知识、技术水平、相应资质和能力，熟悉本合同所述货物的规格、技术指标及安装工艺，有足够能力安装本合同的货物并使之达到本合同要求；</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1.4卖方已对买方现场进行详细考察，完全了解现场的状况及环境要求，并承诺不因上述原因对买方索赔；</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1.5卖方人员实施及监督所供货物的质量，并在双方商定的一定期限内对所供货物维护实施监督指导，但监督指导并不能免除卖方在质量保证期内所承担的义务。</w:t>
      </w:r>
    </w:p>
    <w:p>
      <w:pPr>
        <w:tabs>
          <w:tab w:val="left" w:pos="630"/>
        </w:tabs>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2、测试与验收</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2.1卖方必须在测试与验收前，向买方提供按本合同的技术规格、技术规范的要求进行的测试与验收方案。</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2.2卖方提供的货物不符合合同的质量要求，致使货物未达到买方要求的设计性能，买方可拒收货物或解除合同。</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2.3测试及验收工作由买方和/或卖方组织，验收合格后，买卖双方签署验收合格证书。</w:t>
      </w:r>
    </w:p>
    <w:p>
      <w:pPr>
        <w:tabs>
          <w:tab w:val="left" w:pos="63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2.4如果卖方没有按以上要求，按买方安排的时间进行有关工作，买方有权在相应的付款时间段推迟付款，直至卖方完成此时间段的工作。</w:t>
      </w:r>
    </w:p>
    <w:p>
      <w:pPr>
        <w:pStyle w:val="17"/>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产品到学校（单位）后的质量抽查。对于成交人提供的货物，送达后由南通市产品质量监督检验部门从中随机抽取进行全项检测，成交人不得指定，不得拒绝，检测合格方可交付用户方使用，检测费用由成交人承担。</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十六、合同转让与分包</w:t>
      </w:r>
    </w:p>
    <w:p>
      <w:pPr>
        <w:tabs>
          <w:tab w:val="left" w:pos="425"/>
          <w:tab w:val="left" w:pos="60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1、本合同卖方在任何情况下都不得全部或部份转让其应履行的合同义务。</w:t>
      </w:r>
    </w:p>
    <w:p>
      <w:pPr>
        <w:tabs>
          <w:tab w:val="left" w:pos="425"/>
          <w:tab w:val="left" w:pos="60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2、卖方拟将本合同的非主体、非关键性工作交由他人完成（分包，或更换分包人的），应事先征得买方同意，并提交证明拟分包人合格的文件，及卖方与分包人签订的分包合同予买方，且分包人不得再分包。</w:t>
      </w:r>
    </w:p>
    <w:p>
      <w:pPr>
        <w:tabs>
          <w:tab w:val="left" w:pos="425"/>
          <w:tab w:val="left" w:pos="60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3、卖方将本合同分包的，其就分包部份向买方负责，分包人就分包部份承担连带责任。</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十七、质量保证及售后服务</w:t>
      </w:r>
    </w:p>
    <w:p>
      <w:pPr>
        <w:tabs>
          <w:tab w:val="left" w:pos="425"/>
        </w:tabs>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1、质量保证</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1.1卖方应保证合同项下所供货物是全新的、未使用过的，是目前的型号。卖方进一步保证，合同项下提供的全部货物没有设计、材料或工艺上的缺陷（由于按买方的要求设计或按买方的规格提供的材料所产生的缺陷除外），或者没有因卖方的行为或疏忽而产生的缺陷，这些缺陷是所供货物在我国现行条件下正常使用可能产生的。</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1.2上述保证在货物验收合格交付买方使用之日起的质量保证期内有效，在质保期内卖方免费提供货物正常使用情况下发生故障的维修服务。</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1.3买方在质量保证期内发现缺陷应尽快以书面形式通知卖方。对质保期内的故障报修，卖方应按用户需求书及《售后服务承诺》规定设置服务热线，保证在接到报障后按《售后服务承诺》规定时间内到达买方现场，并于《售后服务承诺》规定时间内更换有缺陷的货物或部件、排除故障。卖方不能按时排除故障时，应提供备用设备给买方维持工作。</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1.4对质保期内的故障报修，如卖方未能做到上款的服务承诺，买方可采取必要的补救措施，但其风险和费用由卖方承担，买方根据合同规定对卖方行使的其它权力不受影响。由于卖方的保证服务不到位，质保期的到期时间将顺延。</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1.5质保期内因用户使用、管理不当所造成的损失由买方承担，卖方提供有偿服务。</w:t>
      </w:r>
    </w:p>
    <w:p>
      <w:pPr>
        <w:tabs>
          <w:tab w:val="left" w:pos="425"/>
        </w:tabs>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2、质量保证期后服务</w:t>
      </w:r>
    </w:p>
    <w:p>
      <w:pPr>
        <w:tabs>
          <w:tab w:val="left" w:pos="567"/>
        </w:tabs>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2.1以书面形式承诺维修服务；</w:t>
      </w:r>
    </w:p>
    <w:p>
      <w:pPr>
        <w:tabs>
          <w:tab w:val="left" w:pos="567"/>
        </w:tabs>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2.2保质保用期内非甲方的人为原因而出现产品质量及安装问题，由乙方负责包修、包换或包退，并承担因此而产生的一切费用。乙方应在收到甲方通知后2小时响应，24小时到达现场，48小时保证修复正常。</w:t>
      </w:r>
    </w:p>
    <w:p>
      <w:pPr>
        <w:tabs>
          <w:tab w:val="left" w:pos="567"/>
        </w:tabs>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2.3家具免费保修期均按厂家标准执行，但不得少于</w:t>
      </w:r>
      <w:r>
        <w:rPr>
          <w:rFonts w:hint="eastAsia" w:ascii="黑体" w:hAnsi="黑体" w:eastAsia="黑体" w:cs="黑体"/>
          <w:color w:val="auto"/>
          <w:sz w:val="24"/>
          <w:highlight w:val="none"/>
          <w:lang w:val="en-US" w:eastAsia="zh-CN"/>
        </w:rPr>
        <w:t>叁</w:t>
      </w:r>
      <w:r>
        <w:rPr>
          <w:rFonts w:hint="eastAsia" w:ascii="黑体" w:hAnsi="黑体" w:eastAsia="黑体" w:cs="黑体"/>
          <w:color w:val="auto"/>
          <w:sz w:val="24"/>
          <w:highlight w:val="none"/>
          <w:lang w:val="zh-CN"/>
        </w:rPr>
        <w:t>年，免费保修期从交货验收合格之日起计算；</w:t>
      </w:r>
    </w:p>
    <w:p>
      <w:pPr>
        <w:tabs>
          <w:tab w:val="left" w:pos="567"/>
        </w:tabs>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2.4保修期内，乙方负责对其提供的系统及全部货物进行维修，不再向甲方收取费用，但人为因素、自然因素（如火灾、雷击等）造成的故障除外。</w:t>
      </w:r>
    </w:p>
    <w:p>
      <w:pPr>
        <w:tabs>
          <w:tab w:val="left" w:pos="567"/>
        </w:tabs>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2.5所有货物保修服务方式均为乙方上门保修，即由乙方派员到甲方家具使用现场维修，由此产生的一切费用均由乙方承担。</w:t>
      </w:r>
    </w:p>
    <w:p>
      <w:pPr>
        <w:tabs>
          <w:tab w:val="left" w:pos="567"/>
        </w:tabs>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2.6保修期内，乙方应负责家具使用的稳定性。负责免费更换故障部件。若乙方提供的货物在功能上和性能上达不到设计要求的，甲方有权要求乙方进行及时完善的修改。</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zh-CN"/>
        </w:rPr>
        <w:t>2.7因货物的质量问题而发生争议，由江苏省南通市质检部门进行质量鉴定。货物符合质量标准的，鉴定费用由甲方承担；货物不符合质量标准的，鉴定费用由乙方承担。</w:t>
      </w:r>
      <w:r>
        <w:rPr>
          <w:rFonts w:hint="eastAsia" w:ascii="黑体" w:hAnsi="黑体" w:eastAsia="黑体" w:cs="黑体"/>
          <w:color w:val="auto"/>
          <w:sz w:val="24"/>
          <w:highlight w:val="none"/>
        </w:rPr>
        <w:t>质保期满后，若有零部件出现故障，经权威部门鉴定属于寿命异常问题（明显短于该零部件正常寿命）时，则由卖方负责免费更换及维修。</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2.8质保期满后，应买方要求，卖方应（参考当时的市场价格）按优惠价格与买方签订定期维修保养合同及提供买方所需零配件。</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2.9在备件停止生产的情况下，卖方应事先将要停止生产的计划通知买方，使买方有足够的时间采购所需备件；在备件停止生产后，卖方应免费向买方提供备件的图纸、资料。</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十八、索赔</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卖方对所供货物与合同要求不符负有责任，如经检验证实不符或缺陷存在的，包括潜在的缺陷或使用不合适的材料，买方可根据本合同有关质量保证或检验、安装的规定，在质量保证期内及时提出索赔，卖方同意买方选择下述一种或多种结合的方法解决索赔事宜：</w:t>
      </w:r>
    </w:p>
    <w:p>
      <w:pPr>
        <w:tabs>
          <w:tab w:val="left" w:pos="54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卖方同意买方退货，并将货物被拒收前买方已付的所有款项退还买方，卖方承担由此发生的一切损失和费用，包括利息、银行手续费、运费、保险费、检验费、仓储费、装卸费以及为保管、维护和退回被拒收货物所发生的其它必要费用。</w:t>
      </w:r>
    </w:p>
    <w:p>
      <w:pPr>
        <w:tabs>
          <w:tab w:val="left" w:pos="54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2、根据货物的疵劣和受损程度以及买方因此遭受损失的金额，经买卖双方商定，降低货物成交价格。</w:t>
      </w:r>
    </w:p>
    <w:p>
      <w:pPr>
        <w:tabs>
          <w:tab w:val="left" w:pos="540"/>
          <w:tab w:val="left" w:pos="105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用符合合同规定的规格、质量和性能要求的新零件、部件和/或设备来更换有缺陷的部份和/或修补缺陷部份，以使货物达到合同规定的规格、质量和性能，卖方承担一切费用和风险并负担买方遭受的一切损失。同时卖方相应延长被更换货物的质保期。</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卖方收到索赔通知后10天内，未给买方答复的，视为索赔已被卖方接受。卖方未能在收到索赔通知后10天内，或征得买方同意的延长期限内，按照买方从上列方法中选择的方案解决索赔事宜的，买方将有权从未付货款中扣回索赔金额，同时保留进一步要求索赔的权利。</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十九、不可抗力</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二十、逾期交货及逾期付款的赔偿</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除不可抗力因素外，如果卖方不能按照合同规定的时间交货和提供服务，应及时以书面形式将延迟的事实、可能延迟的时间和原因通知买方。买方收到卖方通知后，将尽快作出评价，决定是否同意延长交货期及收取误期赔偿费。买方在不影响合同项下的其它补救措施情况下，可从合同未付款中扣除误期违约金。违约金按</w:t>
      </w:r>
      <w:r>
        <w:rPr>
          <w:rFonts w:hint="eastAsia" w:ascii="黑体" w:hAnsi="黑体" w:eastAsia="黑体" w:cs="黑体"/>
          <w:color w:val="auto"/>
          <w:sz w:val="24"/>
          <w:highlight w:val="none"/>
          <w:u w:val="single"/>
        </w:rPr>
        <w:t xml:space="preserve">    2000  元/天</w:t>
      </w:r>
      <w:r>
        <w:rPr>
          <w:rFonts w:hint="eastAsia" w:ascii="黑体" w:hAnsi="黑体" w:eastAsia="黑体" w:cs="黑体"/>
          <w:color w:val="auto"/>
          <w:sz w:val="24"/>
          <w:highlight w:val="none"/>
        </w:rPr>
        <w:t>计算，且误期不能超出</w:t>
      </w:r>
      <w:r>
        <w:rPr>
          <w:rFonts w:hint="eastAsia" w:ascii="黑体" w:hAnsi="黑体" w:eastAsia="黑体" w:cs="黑体"/>
          <w:color w:val="auto"/>
          <w:sz w:val="24"/>
          <w:highlight w:val="none"/>
          <w:u w:val="single"/>
        </w:rPr>
        <w:t xml:space="preserve">  30 天</w:t>
      </w:r>
      <w:r>
        <w:rPr>
          <w:rFonts w:hint="eastAsia" w:ascii="黑体" w:hAnsi="黑体" w:eastAsia="黑体" w:cs="黑体"/>
          <w:color w:val="auto"/>
          <w:sz w:val="24"/>
          <w:highlight w:val="none"/>
        </w:rPr>
        <w:t>。一旦达此限期，买方有权解除合同。此时如果买方按合同支付了预付款的，买方有权选择要求卖方按双倍于预付款金额立即支付违约金。如按上述办法计算的违约金仍不足以补偿因卖方违约造成的损失，买方有权进一步向卖方提出索赔。</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2、如果买方未按合同约定期限支付货款的，应支付违约金。违约金按买卖双方约定计算。超过合同付款期限60天买方仍不付款，且造成卖方损失的，买方应支付赔偿予卖方。</w:t>
      </w:r>
    </w:p>
    <w:p>
      <w:pPr>
        <w:tabs>
          <w:tab w:val="left" w:pos="540"/>
          <w:tab w:val="left" w:pos="8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3、本合同中对于买方付款和卖方交付使用有先决条件约定的，按约定执行。</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二十一、合同变更</w:t>
      </w:r>
    </w:p>
    <w:p>
      <w:pPr>
        <w:tabs>
          <w:tab w:val="left" w:pos="0"/>
        </w:tabs>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1、卖方根据现场实际或施工情况，发现合同原计划或方案不尽合理，确实需变更原合同约定的货物的，应及时通知买方，并提出变更理由、修正方案、及变更清单，经双方协商并签署有关文件（作为合同附件）后实施。</w:t>
      </w:r>
    </w:p>
    <w:p>
      <w:pPr>
        <w:tabs>
          <w:tab w:val="left" w:pos="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因买方的原因变更合同货物的，买方应以书面形式通知卖方，并经双方协商一致签署有关变更文件。如因此造成卖方履行合同义务的价格或时间增减，将对合同价、交货时间进行公平调整。卖方据此要求的调整必须在收到买方通知后30天内提出。</w:t>
      </w:r>
    </w:p>
    <w:p>
      <w:pPr>
        <w:tabs>
          <w:tab w:val="left" w:pos="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3、无论是按原合同要求，或是根据现场实际情况作出变更提供货物，卖方都不能免除其对货物应承担的责任。</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二十二、合同解除和终止</w:t>
      </w:r>
    </w:p>
    <w:p>
      <w:pPr>
        <w:tabs>
          <w:tab w:val="left" w:pos="42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1、合同自然终止</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买卖双方各自完成合同规定的责任和义务，合同自然终止。</w:t>
      </w:r>
    </w:p>
    <w:p>
      <w:pPr>
        <w:tabs>
          <w:tab w:val="left" w:pos="42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2、合同因买方便利而解除或终止。</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2.1买方可在任何时候出于自身的便利向卖方发出书面通知终止或部份终止合同，终止通知应明确该终止合同是出于买方的便利，并明确合同终止的程度，以及终止的生效日期。</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2.2对卖方在收到终止通知后30天内已完成并准备装运的货物，买方应按合同价格和条款予以接收，对于剩下的货物，买方可：</w:t>
      </w:r>
    </w:p>
    <w:p>
      <w:pPr>
        <w:tabs>
          <w:tab w:val="left" w:pos="709"/>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2.2.1仅对部份货物按照原来合同价格和条款予以接受；或取消对所剩货物的采购，并按双方商定的金额向卖方支付部份完成的货物和服务以及以前已采购的材料和部件的费用。</w:t>
      </w:r>
    </w:p>
    <w:p>
      <w:pPr>
        <w:tabs>
          <w:tab w:val="left" w:pos="42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3、违约违规终止合同</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在买方对卖方违约违规而采取的任何补救措施不受影响的情况下，买方可向卖方发出书面的违约通知书，提出终止部份或全部合同：</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3.1如果卖方未能在合同规定的期限内提供货物（参见本合同有关逾期交货的条款）；</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3.2如果卖方未能履行合同规定的其它任何义务；</w:t>
      </w:r>
    </w:p>
    <w:p>
      <w:pPr>
        <w:tabs>
          <w:tab w:val="left" w:pos="567"/>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3.3如果买方认为卖方在本合同的投标竞争和实施过程中有违反有关政府采购的法律、法规，涉嫌用不正当手段影响买方采购过程，包括谎报或隐瞒事实、损害买方利益、干扰买方、评委、采购业主单位的招标、评标等行为。</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如果买方根据本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tabs>
          <w:tab w:val="left" w:pos="425"/>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4、因卖方破产而终止合同</w:t>
      </w:r>
    </w:p>
    <w:p>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如果卖方破产或无清偿能力，买方可在任何时候以书面形式通知卖方，提出终止合同且不给卖方补偿。该合同的终止将不损害或影响买方已经采取或将要采取的任何行动或补救措施的权力。</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二十三、争端的解决</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1、凡与本合同有关的一切争议，买卖双方应首先通过友好协商解决，如经协商后仍不能达成协议时，任何一方可以向开发区人民法院提出诉讼。</w:t>
      </w:r>
    </w:p>
    <w:p>
      <w:pPr>
        <w:tabs>
          <w:tab w:val="left" w:pos="420"/>
          <w:tab w:val="left" w:pos="5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2、在法院审理期间，除提交法院审理的事项外，合同其他部份仍应继续履行。</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二十四、适用法律</w:t>
      </w:r>
    </w:p>
    <w:p>
      <w:pPr>
        <w:tabs>
          <w:tab w:val="left" w:pos="540"/>
          <w:tab w:val="left" w:pos="168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1、本合同按照中华人民共和国的法律进行解释。</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二十五、通知</w:t>
      </w:r>
    </w:p>
    <w:p>
      <w:pPr>
        <w:tabs>
          <w:tab w:val="left" w:pos="540"/>
          <w:tab w:val="left" w:pos="29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1、本合同一方给对方的通知应用书面形式送达对方的地址，电传或传真要经对方的书面形式确认，以电报形式通知的，以邮电局发出电报的第二天视为送达。</w:t>
      </w:r>
    </w:p>
    <w:p>
      <w:pPr>
        <w:tabs>
          <w:tab w:val="left" w:pos="540"/>
          <w:tab w:val="left" w:pos="294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2、通知以送到日期或通知书的生效日期为生效日期，两者中以较迟的日期为准。</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二十六、税和关税</w:t>
      </w:r>
    </w:p>
    <w:p>
      <w:pPr>
        <w:tabs>
          <w:tab w:val="left" w:pos="420"/>
        </w:tabs>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1、根据中华人民共和国现行税法的有关规定执行。</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二十七、合同生效</w:t>
      </w:r>
    </w:p>
    <w:p>
      <w:pPr>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1、合同经双方授权代表签字盖章，且买方收到卖方提交的履约保证金后生效，合同签署日期以较迟签注的日期为准。</w:t>
      </w:r>
    </w:p>
    <w:p>
      <w:pPr>
        <w:spacing w:line="44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二十八、其它</w:t>
      </w:r>
    </w:p>
    <w:p>
      <w:pPr>
        <w:tabs>
          <w:tab w:val="left" w:pos="0"/>
          <w:tab w:val="left" w:pos="840"/>
        </w:tabs>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1、中标通知书、投标文件、招标文件及本合同之所有附件均为本合同的有效组成部份，与本合同具有同样法律效力，解释的顺序以文件生成时间在后的为准。</w:t>
      </w:r>
    </w:p>
    <w:p>
      <w:pPr>
        <w:tabs>
          <w:tab w:val="left" w:pos="0"/>
          <w:tab w:val="left" w:pos="840"/>
        </w:tabs>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2、在执行本合同的过程中，所有经买卖双方签署确认的文件（包括会议纪要、补充协议、合同修改书、往来信函等）均为本合同的有效组成部份，其生效日期为双方均签字盖章或确认之日期。</w:t>
      </w:r>
    </w:p>
    <w:p>
      <w:pPr>
        <w:tabs>
          <w:tab w:val="left" w:pos="0"/>
          <w:tab w:val="left" w:pos="840"/>
        </w:tabs>
        <w:spacing w:line="440" w:lineRule="exact"/>
        <w:ind w:firstLine="464" w:firstLineChars="200"/>
        <w:rPr>
          <w:rFonts w:hint="eastAsia" w:ascii="黑体" w:hAnsi="黑体" w:eastAsia="黑体" w:cs="黑体"/>
          <w:b/>
          <w:color w:val="auto"/>
          <w:spacing w:val="-4"/>
          <w:sz w:val="24"/>
          <w:highlight w:val="none"/>
        </w:rPr>
      </w:pPr>
      <w:r>
        <w:rPr>
          <w:rFonts w:hint="eastAsia" w:ascii="黑体" w:hAnsi="黑体" w:eastAsia="黑体" w:cs="黑体"/>
          <w:color w:val="auto"/>
          <w:spacing w:val="-4"/>
          <w:sz w:val="24"/>
          <w:highlight w:val="none"/>
        </w:rPr>
        <w:t>3、除买方事先以书面形式确认同意外，卖方不得部份或全部转让其应履行的合同项下的义务。</w:t>
      </w:r>
    </w:p>
    <w:p>
      <w:pPr>
        <w:tabs>
          <w:tab w:val="left" w:pos="0"/>
          <w:tab w:val="left" w:pos="840"/>
        </w:tabs>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4、本合同一式份，双方各执份。</w:t>
      </w:r>
    </w:p>
    <w:p>
      <w:pPr>
        <w:tabs>
          <w:tab w:val="left" w:pos="0"/>
          <w:tab w:val="left" w:pos="840"/>
        </w:tabs>
        <w:spacing w:line="440" w:lineRule="exact"/>
        <w:ind w:firstLine="480" w:firstLineChars="200"/>
        <w:rPr>
          <w:rFonts w:hint="eastAsia" w:ascii="黑体" w:hAnsi="黑体" w:eastAsia="黑体" w:cs="黑体"/>
          <w:b/>
          <w:color w:val="auto"/>
          <w:sz w:val="24"/>
          <w:highlight w:val="none"/>
        </w:rPr>
      </w:pPr>
      <w:r>
        <w:rPr>
          <w:rFonts w:hint="eastAsia" w:ascii="黑体" w:hAnsi="黑体" w:eastAsia="黑体" w:cs="黑体"/>
          <w:color w:val="auto"/>
          <w:sz w:val="24"/>
          <w:highlight w:val="none"/>
        </w:rPr>
        <w:t>5、本合同合计页A4纸张，缺页之合同为无效合同。</w:t>
      </w:r>
    </w:p>
    <w:p>
      <w:pPr>
        <w:spacing w:line="360" w:lineRule="auto"/>
        <w:rPr>
          <w:rFonts w:hint="eastAsia" w:ascii="黑体" w:hAnsi="黑体" w:eastAsia="黑体" w:cs="黑体"/>
          <w:color w:val="auto"/>
          <w:sz w:val="24"/>
          <w:highlight w:val="none"/>
        </w:rPr>
      </w:pPr>
    </w:p>
    <w:p>
      <w:pPr>
        <w:spacing w:line="360" w:lineRule="auto"/>
        <w:rPr>
          <w:rFonts w:hint="eastAsia" w:ascii="黑体" w:hAnsi="黑体" w:eastAsia="黑体" w:cs="黑体"/>
          <w:color w:val="auto"/>
          <w:sz w:val="24"/>
          <w:highlight w:val="none"/>
        </w:rPr>
      </w:pP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买方（盖章）：</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卖方（盖章）：</w:t>
      </w:r>
    </w:p>
    <w:p>
      <w:pPr>
        <w:spacing w:line="360" w:lineRule="auto"/>
        <w:ind w:firstLine="960" w:firstLineChars="400"/>
        <w:rPr>
          <w:rFonts w:hint="eastAsia" w:ascii="黑体" w:hAnsi="黑体" w:eastAsia="黑体" w:cs="黑体"/>
          <w:color w:val="auto"/>
          <w:sz w:val="24"/>
          <w:highlight w:val="none"/>
        </w:rPr>
      </w:pP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买方法定代表（签字）：</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卖方法定代表（签字）：</w:t>
      </w: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地址：</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地址：</w:t>
      </w: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邮政编码：</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邮政编码：</w:t>
      </w: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电话：</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电话：</w:t>
      </w: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传真：</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传真：</w:t>
      </w:r>
    </w:p>
    <w:p>
      <w:pPr>
        <w:tabs>
          <w:tab w:val="left" w:pos="4500"/>
        </w:tabs>
        <w:spacing w:line="360" w:lineRule="auto"/>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开户银行：</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开户银行：</w:t>
      </w:r>
    </w:p>
    <w:p>
      <w:pPr>
        <w:adjustRightInd w:val="0"/>
        <w:ind w:firstLine="960" w:firstLineChars="400"/>
        <w:jc w:val="left"/>
        <w:textAlignment w:val="baseline"/>
        <w:rPr>
          <w:rFonts w:hint="eastAsia" w:ascii="黑体" w:hAnsi="黑体" w:eastAsia="黑体" w:cs="黑体"/>
          <w:b/>
          <w:bCs/>
          <w:color w:val="auto"/>
          <w:kern w:val="0"/>
          <w:sz w:val="24"/>
          <w:highlight w:val="none"/>
        </w:rPr>
        <w:sectPr>
          <w:headerReference r:id="rId3" w:type="default"/>
          <w:footerReference r:id="rId4" w:type="default"/>
          <w:pgSz w:w="11906" w:h="16838"/>
          <w:pgMar w:top="1440" w:right="1800" w:bottom="1440" w:left="1800" w:header="720" w:footer="720" w:gutter="0"/>
          <w:cols w:space="720" w:num="1"/>
          <w:docGrid w:type="lines" w:linePitch="312" w:charSpace="0"/>
        </w:sectPr>
      </w:pPr>
      <w:r>
        <w:rPr>
          <w:rFonts w:hint="eastAsia" w:ascii="黑体" w:hAnsi="黑体" w:eastAsia="黑体" w:cs="黑体"/>
          <w:color w:val="auto"/>
          <w:sz w:val="24"/>
          <w:highlight w:val="none"/>
        </w:rPr>
        <w:t>开户账号：</w:t>
      </w:r>
      <w:r>
        <w:rPr>
          <w:rFonts w:hint="eastAsia" w:ascii="黑体" w:hAnsi="黑体" w:eastAsia="黑体" w:cs="黑体"/>
          <w:color w:val="auto"/>
          <w:sz w:val="24"/>
          <w:highlight w:val="none"/>
        </w:rPr>
        <w:tab/>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开户帐号</w:t>
      </w:r>
    </w:p>
    <w:p>
      <w:pPr>
        <w:spacing w:line="400" w:lineRule="exact"/>
        <w:rPr>
          <w:rFonts w:hint="eastAsia" w:ascii="黑体" w:hAnsi="黑体" w:eastAsia="黑体" w:cs="黑体"/>
          <w:color w:val="auto"/>
          <w:sz w:val="24"/>
          <w:highlight w:val="none"/>
        </w:rPr>
      </w:pP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2209" w:firstLineChars="500"/>
        <w:textAlignment w:val="auto"/>
        <w:rPr>
          <w:rFonts w:hint="eastAsia" w:ascii="黑体" w:hAnsi="黑体" w:eastAsia="黑体" w:cs="黑体"/>
          <w:b/>
          <w:bCs/>
          <w:color w:val="auto"/>
          <w:sz w:val="44"/>
          <w:szCs w:val="20"/>
          <w:highlight w:val="none"/>
        </w:rPr>
      </w:pPr>
      <w:r>
        <w:rPr>
          <w:rFonts w:hint="eastAsia" w:ascii="黑体" w:hAnsi="黑体" w:eastAsia="黑体" w:cs="黑体"/>
          <w:b/>
          <w:bCs/>
          <w:color w:val="auto"/>
          <w:sz w:val="44"/>
          <w:szCs w:val="20"/>
          <w:highlight w:val="none"/>
          <w:lang w:val="en-US" w:eastAsia="zh-CN"/>
        </w:rPr>
        <w:t xml:space="preserve"> </w:t>
      </w:r>
      <w:r>
        <w:rPr>
          <w:rFonts w:hint="eastAsia" w:ascii="黑体" w:hAnsi="黑体" w:eastAsia="黑体" w:cs="黑体"/>
          <w:b/>
          <w:bCs/>
          <w:color w:val="auto"/>
          <w:sz w:val="44"/>
          <w:szCs w:val="20"/>
          <w:highlight w:val="none"/>
        </w:rPr>
        <w:t>项目需求</w:t>
      </w:r>
    </w:p>
    <w:p>
      <w:pPr>
        <w:pStyle w:val="2"/>
        <w:numPr>
          <w:ilvl w:val="0"/>
          <w:numId w:val="0"/>
        </w:numPr>
        <w:ind w:left="420" w:leftChars="0"/>
        <w:rPr>
          <w:rFonts w:hint="eastAsia" w:ascii="黑体" w:hAnsi="黑体" w:eastAsia="黑体" w:cs="黑体"/>
          <w:color w:val="auto"/>
          <w:highlight w:val="none"/>
        </w:rPr>
      </w:pPr>
    </w:p>
    <w:p>
      <w:pPr>
        <w:pStyle w:val="81"/>
        <w:snapToGrid w:val="0"/>
        <w:spacing w:line="360" w:lineRule="auto"/>
        <w:ind w:firstLine="482" w:firstLineChars="200"/>
        <w:contextualSpacing/>
        <w:rPr>
          <w:rFonts w:hint="eastAsia" w:ascii="黑体" w:hAnsi="黑体" w:eastAsia="黑体" w:cs="黑体"/>
          <w:color w:val="auto"/>
          <w:kern w:val="0"/>
          <w:sz w:val="24"/>
          <w:szCs w:val="24"/>
          <w:highlight w:val="none"/>
          <w:lang w:val="zh-CN"/>
        </w:rPr>
      </w:pPr>
      <w:r>
        <w:rPr>
          <w:rFonts w:hint="eastAsia" w:ascii="黑体" w:hAnsi="黑体" w:eastAsia="黑体" w:cs="黑体"/>
          <w:b/>
          <w:color w:val="auto"/>
          <w:kern w:val="0"/>
          <w:sz w:val="24"/>
          <w:szCs w:val="24"/>
          <w:highlight w:val="none"/>
          <w:lang w:val="zh-CN"/>
        </w:rPr>
        <w:t>请投标人在投标前仔细研究项目需求说明。</w:t>
      </w:r>
      <w:r>
        <w:rPr>
          <w:rFonts w:hint="eastAsia" w:ascii="黑体" w:hAnsi="黑体" w:eastAsia="黑体" w:cs="黑体"/>
          <w:color w:val="auto"/>
          <w:kern w:val="0"/>
          <w:sz w:val="24"/>
          <w:szCs w:val="24"/>
          <w:highlight w:val="none"/>
          <w:lang w:val="zh-CN"/>
        </w:rPr>
        <w:t>投标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人提供的货物和服务同采购单位提出的项目需求说明中的技术、商务要求不同的，必须在《商</w:t>
      </w:r>
      <w:r>
        <w:rPr>
          <w:rFonts w:hint="eastAsia" w:ascii="黑体" w:hAnsi="黑体" w:eastAsia="黑体" w:cs="黑体"/>
          <w:color w:val="auto"/>
          <w:sz w:val="24"/>
          <w:szCs w:val="24"/>
          <w:highlight w:val="none"/>
        </w:rPr>
        <w:t>务部分正负偏离表》和《技术部分正负偏离表》上明示，如不明示的视同完全响应</w:t>
      </w:r>
      <w:r>
        <w:rPr>
          <w:rFonts w:hint="eastAsia" w:ascii="黑体" w:hAnsi="黑体" w:eastAsia="黑体" w:cs="黑体"/>
          <w:color w:val="auto"/>
          <w:kern w:val="0"/>
          <w:sz w:val="24"/>
          <w:szCs w:val="24"/>
          <w:highlight w:val="none"/>
          <w:lang w:val="zh-CN"/>
        </w:rPr>
        <w:t>。</w:t>
      </w:r>
    </w:p>
    <w:p>
      <w:pPr>
        <w:autoSpaceDE w:val="0"/>
        <w:autoSpaceDN w:val="0"/>
        <w:spacing w:before="1" w:line="360" w:lineRule="auto"/>
        <w:ind w:right="169" w:firstLine="480" w:firstLineChars="200"/>
        <w:jc w:val="left"/>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一、技术条款</w:t>
      </w:r>
    </w:p>
    <w:p>
      <w:pPr>
        <w:autoSpaceDE w:val="0"/>
        <w:autoSpaceDN w:val="0"/>
        <w:spacing w:before="1" w:line="360" w:lineRule="auto"/>
        <w:ind w:right="169" w:firstLine="480" w:firstLineChars="200"/>
        <w:jc w:val="left"/>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1.采购清单及技术参数要求</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136"/>
        <w:gridCol w:w="656"/>
        <w:gridCol w:w="656"/>
        <w:gridCol w:w="2404"/>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36"/>
                <w:szCs w:val="36"/>
                <w:highlight w:val="none"/>
                <w:u w:val="none"/>
              </w:rPr>
            </w:pPr>
            <w:r>
              <w:rPr>
                <w:rFonts w:hint="eastAsia" w:ascii="黑体" w:hAnsi="黑体" w:eastAsia="黑体" w:cs="黑体"/>
                <w:i w:val="0"/>
                <w:iCs w:val="0"/>
                <w:color w:val="auto"/>
                <w:kern w:val="0"/>
                <w:sz w:val="28"/>
                <w:szCs w:val="28"/>
                <w:highlight w:val="none"/>
                <w:u w:val="none"/>
                <w:lang w:val="en-US" w:eastAsia="zh-CN" w:bidi="ar"/>
              </w:rPr>
              <w:t>教学装备采购清单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序号</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名称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单位</w:t>
            </w:r>
          </w:p>
        </w:tc>
        <w:tc>
          <w:tcPr>
            <w:tcW w:w="1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参数</w:t>
            </w:r>
          </w:p>
        </w:tc>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款型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1</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讲台（提供样品）</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lang w:val="en-US"/>
              </w:rPr>
            </w:pPr>
            <w:r>
              <w:rPr>
                <w:rFonts w:hint="eastAsia" w:ascii="黑体" w:hAnsi="黑体" w:eastAsia="黑体" w:cs="黑体"/>
                <w:i w:val="0"/>
                <w:iCs w:val="0"/>
                <w:color w:val="auto"/>
                <w:kern w:val="0"/>
                <w:sz w:val="22"/>
                <w:szCs w:val="22"/>
                <w:highlight w:val="none"/>
                <w:u w:val="none"/>
                <w:lang w:val="en-US" w:eastAsia="zh-CN" w:bidi="ar"/>
              </w:rPr>
              <w:t>33</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张</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讲台尺寸：1400*600*1050mm；</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1、基材：采用18mm厚E0级实木多层板灰白色免漆板（颜色可选），表面胶合强度≥0.7MPa，表面耐磨磨耗值≤80mg/100r，表面无裂纹，鼓泡、变色、起皱等现象，甲醛释放量达到环保要求。</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2、封边：采用优质PVC同色封边，厚度≥1.2mm，甲醛释放量≤1.5mg/L，可迁移元素（可溶性重金属）铅、镉、铬、汞需符合家具用封边条技术要求。</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3、热熔胶：总挥发性有机物≤100g/L。</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0"/>
                <w:szCs w:val="20"/>
                <w:highlight w:val="none"/>
                <w:u w:val="none"/>
                <w:lang w:val="en-US" w:eastAsia="zh-CN" w:bidi="ar"/>
              </w:rPr>
              <w:t>4、五金配件：选用三合一连接件及阻尼导轨，具有安装快速，结构简单，连接牢固，开启快捷之特点。</w:t>
            </w:r>
          </w:p>
        </w:tc>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color w:val="auto"/>
                <w:highlight w:val="none"/>
              </w:rPr>
              <w:drawing>
                <wp:inline distT="0" distB="0" distL="114300" distR="114300">
                  <wp:extent cx="1755775" cy="1838325"/>
                  <wp:effectExtent l="0" t="0" r="1587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755775" cy="18383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2</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i w:val="0"/>
                <w:iCs w:val="0"/>
                <w:color w:val="auto"/>
                <w:kern w:val="0"/>
                <w:sz w:val="24"/>
                <w:szCs w:val="24"/>
                <w:highlight w:val="none"/>
                <w:u w:val="none"/>
                <w:lang w:val="en-US" w:eastAsia="zh-CN" w:bidi="ar"/>
              </w:rPr>
              <w:t>方凳</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（提供样品）</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lang w:val="en-US"/>
              </w:rPr>
            </w:pPr>
            <w:r>
              <w:rPr>
                <w:rFonts w:hint="eastAsia" w:ascii="黑体" w:hAnsi="黑体" w:eastAsia="黑体" w:cs="黑体"/>
                <w:i w:val="0"/>
                <w:iCs w:val="0"/>
                <w:color w:val="auto"/>
                <w:kern w:val="0"/>
                <w:sz w:val="22"/>
                <w:szCs w:val="22"/>
                <w:highlight w:val="none"/>
                <w:u w:val="none"/>
                <w:lang w:val="en-US" w:eastAsia="zh-CN" w:bidi="ar"/>
              </w:rPr>
              <w:t>33</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把</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黑体" w:hAnsi="黑体" w:eastAsia="黑体" w:cs="黑体"/>
                <w:i w:val="0"/>
                <w:iCs w:val="0"/>
                <w:color w:val="auto"/>
                <w:kern w:val="0"/>
                <w:sz w:val="22"/>
                <w:szCs w:val="22"/>
                <w:highlight w:val="none"/>
                <w:u w:val="none"/>
                <w:lang w:val="en-US" w:eastAsia="zh-CN" w:bidi="ar"/>
              </w:rPr>
            </w:pPr>
            <w:r>
              <w:rPr>
                <w:rFonts w:hint="eastAsia" w:ascii="黑体" w:hAnsi="黑体" w:eastAsia="黑体" w:cs="黑体"/>
                <w:i w:val="0"/>
                <w:iCs w:val="0"/>
                <w:color w:val="auto"/>
                <w:kern w:val="0"/>
                <w:sz w:val="22"/>
                <w:szCs w:val="22"/>
                <w:highlight w:val="none"/>
                <w:u w:val="none"/>
                <w:lang w:val="en-US" w:eastAsia="zh-CN" w:bidi="ar"/>
              </w:rPr>
              <w:t>规格：400*400*450mm</w:t>
            </w:r>
          </w:p>
          <w:p>
            <w:pPr>
              <w:keepNext w:val="0"/>
              <w:keepLines w:val="0"/>
              <w:widowControl/>
              <w:suppressLineNumbers w:val="0"/>
              <w:spacing w:before="0" w:beforeAutospacing="0" w:after="0" w:afterAutospacing="0"/>
              <w:ind w:left="0" w:right="0"/>
              <w:jc w:val="both"/>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整体采用榫卯结构坚固耐用木材含水率≤12%，木材拥有自然条纹，无死节、开裂、虫眼、腐眼等，经专业技师进行压、刨、铣、冲等处理后采用环保原子灰进行三次刮灰抹平，并打磨光滑，表面喷涂优质环保聚氨脂清漆，安全、无毒无味，凸显木材纹理，表面光滑无毛刺，无棱角处理，以维护使用者的安全。</w:t>
            </w:r>
          </w:p>
        </w:tc>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color w:val="auto"/>
                <w:highlight w:val="none"/>
              </w:rPr>
              <w:drawing>
                <wp:inline distT="0" distB="0" distL="114300" distR="114300">
                  <wp:extent cx="1215390" cy="1468755"/>
                  <wp:effectExtent l="0" t="0" r="3810" b="1714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rcRect l="12953" t="10238" r="14995" b="2347"/>
                          <a:stretch>
                            <a:fillRect/>
                          </a:stretch>
                        </pic:blipFill>
                        <pic:spPr>
                          <a:xfrm>
                            <a:off x="0" y="0"/>
                            <a:ext cx="1215390" cy="146875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3</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4"/>
                <w:szCs w:val="24"/>
                <w:highlight w:val="none"/>
                <w:u w:val="none"/>
                <w:lang w:val="en-US" w:eastAsia="zh-CN" w:bidi="ar"/>
              </w:rPr>
              <w:t>书柜（提供样品）</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lang w:val="en-US"/>
              </w:rPr>
            </w:pPr>
            <w:r>
              <w:rPr>
                <w:rFonts w:hint="eastAsia" w:ascii="黑体" w:hAnsi="黑体" w:eastAsia="黑体" w:cs="黑体"/>
                <w:i w:val="0"/>
                <w:iCs w:val="0"/>
                <w:color w:val="auto"/>
                <w:kern w:val="0"/>
                <w:sz w:val="22"/>
                <w:szCs w:val="22"/>
                <w:highlight w:val="none"/>
                <w:u w:val="none"/>
                <w:lang w:val="en-US" w:eastAsia="zh-CN" w:bidi="ar"/>
              </w:rPr>
              <w:t>33</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张</w:t>
            </w:r>
          </w:p>
        </w:tc>
        <w:tc>
          <w:tcPr>
            <w:tcW w:w="1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2"/>
                <w:szCs w:val="22"/>
                <w:highlight w:val="none"/>
                <w:u w:val="none"/>
                <w:lang w:val="en-US" w:eastAsia="zh-CN" w:bidi="ar"/>
              </w:rPr>
            </w:pPr>
            <w:r>
              <w:rPr>
                <w:rFonts w:hint="eastAsia" w:ascii="黑体" w:hAnsi="黑体" w:eastAsia="黑体" w:cs="黑体"/>
                <w:i w:val="0"/>
                <w:iCs w:val="0"/>
                <w:color w:val="auto"/>
                <w:kern w:val="0"/>
                <w:sz w:val="22"/>
                <w:szCs w:val="22"/>
                <w:highlight w:val="none"/>
                <w:u w:val="none"/>
                <w:lang w:val="en-US" w:eastAsia="zh-CN" w:bidi="ar"/>
              </w:rPr>
              <w:t>规格：1200*600*2000mm</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2"/>
                <w:szCs w:val="22"/>
                <w:highlight w:val="none"/>
                <w:u w:val="none"/>
                <w:lang w:val="en-US" w:eastAsia="zh-CN" w:bidi="ar"/>
              </w:rPr>
            </w:pPr>
            <w:r>
              <w:rPr>
                <w:rFonts w:hint="eastAsia" w:ascii="黑体" w:hAnsi="黑体" w:eastAsia="黑体" w:cs="黑体"/>
                <w:i w:val="0"/>
                <w:iCs w:val="0"/>
                <w:color w:val="auto"/>
                <w:kern w:val="0"/>
                <w:sz w:val="22"/>
                <w:szCs w:val="22"/>
                <w:highlight w:val="none"/>
                <w:u w:val="none"/>
                <w:lang w:val="en-US" w:eastAsia="zh-CN" w:bidi="ar"/>
              </w:rPr>
              <w:t>1、基材：采用18mm厚E0级实木多层板免漆板，表面胶合强度≥0.7MPa，表面耐磨磨耗值≤80mg/100r，表面无裂纹，鼓泡、变色、起皱等现象，甲醛释放量达到环保要求。</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2"/>
                <w:szCs w:val="22"/>
                <w:highlight w:val="none"/>
                <w:u w:val="none"/>
                <w:lang w:val="en-US" w:eastAsia="zh-CN" w:bidi="ar"/>
              </w:rPr>
            </w:pPr>
            <w:r>
              <w:rPr>
                <w:rFonts w:hint="eastAsia" w:ascii="黑体" w:hAnsi="黑体" w:eastAsia="黑体" w:cs="黑体"/>
                <w:i w:val="0"/>
                <w:iCs w:val="0"/>
                <w:color w:val="auto"/>
                <w:kern w:val="0"/>
                <w:sz w:val="22"/>
                <w:szCs w:val="22"/>
                <w:highlight w:val="none"/>
                <w:u w:val="none"/>
                <w:lang w:val="en-US" w:eastAsia="zh-CN" w:bidi="ar"/>
              </w:rPr>
              <w:t>2、封边：采用优质PVC同色封边，厚度≥1.2mm，甲醛释放量≤1.5mg/L，可迁移元素（可溶性重金属）铅、镉、铬、汞需符合家具用封边条技术要求。</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kern w:val="0"/>
                <w:sz w:val="22"/>
                <w:szCs w:val="22"/>
                <w:highlight w:val="none"/>
                <w:u w:val="none"/>
                <w:lang w:val="en-US" w:eastAsia="zh-CN" w:bidi="ar"/>
              </w:rPr>
            </w:pPr>
            <w:r>
              <w:rPr>
                <w:rFonts w:hint="eastAsia" w:ascii="黑体" w:hAnsi="黑体" w:eastAsia="黑体" w:cs="黑体"/>
                <w:i w:val="0"/>
                <w:iCs w:val="0"/>
                <w:color w:val="auto"/>
                <w:kern w:val="0"/>
                <w:sz w:val="22"/>
                <w:szCs w:val="22"/>
                <w:highlight w:val="none"/>
                <w:u w:val="none"/>
                <w:lang w:val="en-US" w:eastAsia="zh-CN" w:bidi="ar"/>
              </w:rPr>
              <w:t>3、热熔胶：总挥发性有机物≤100g/L。</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i w:val="0"/>
                <w:iCs w:val="0"/>
                <w:color w:val="auto"/>
                <w:kern w:val="0"/>
                <w:sz w:val="22"/>
                <w:szCs w:val="22"/>
                <w:highlight w:val="none"/>
                <w:u w:val="none"/>
                <w:lang w:val="en-US" w:eastAsia="zh-CN" w:bidi="ar"/>
              </w:rPr>
              <w:t>4、五金配件：选用三合一连接件及阻尼导轨，具有安装快速，结构简单，连接牢固，开启快捷之特点。</w:t>
            </w:r>
          </w:p>
        </w:tc>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2"/>
                <w:szCs w:val="22"/>
                <w:highlight w:val="none"/>
                <w:u w:val="none"/>
              </w:rPr>
            </w:pPr>
            <w:r>
              <w:rPr>
                <w:rFonts w:hint="eastAsia" w:ascii="黑体" w:hAnsi="黑体" w:eastAsia="黑体" w:cs="黑体"/>
                <w:color w:val="auto"/>
                <w:highlight w:val="none"/>
              </w:rPr>
              <w:drawing>
                <wp:inline distT="0" distB="0" distL="114300" distR="114300">
                  <wp:extent cx="1609725" cy="1824990"/>
                  <wp:effectExtent l="0" t="0" r="9525" b="381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1609725" cy="1824990"/>
                          </a:xfrm>
                          <a:prstGeom prst="rect">
                            <a:avLst/>
                          </a:prstGeom>
                          <a:noFill/>
                          <a:ln w="9525">
                            <a:noFill/>
                          </a:ln>
                        </pic:spPr>
                      </pic:pic>
                    </a:graphicData>
                  </a:graphic>
                </wp:inline>
              </w:drawing>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zh-CN" w:eastAsia="zh-CN"/>
        </w:rPr>
        <w:t>谈判单位</w:t>
      </w:r>
      <w:r>
        <w:rPr>
          <w:rFonts w:hint="eastAsia" w:ascii="黑体" w:hAnsi="黑体" w:eastAsia="黑体" w:cs="黑体"/>
          <w:color w:val="auto"/>
          <w:sz w:val="24"/>
          <w:szCs w:val="24"/>
          <w:highlight w:val="none"/>
          <w:lang w:val="en-US" w:eastAsia="zh-CN"/>
        </w:rPr>
        <w:t>在规定的投标截止时间内（样品送达接收时间：自2023年12月1日14:00至15:00止）送本谈判文件第四章清单中序号1、2、3号样品各一件至南通市通海中学，提供的样品主材、主要配件、尺寸须完全符合本谈判文件本章以上清单中的技术参数要求，谈判小组根据提交的样品及相关佐证材料复印件（包括但不限于检测报告等佐证材料）相结合评审，若经谈判小组评审后不符合本询价文件要求的，资格审查不予通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注明：（1）提供的所有样品不得带有用来区分其它企业产品的明显标志（不得有商标等显示供应商信息的内容），否则视为无效投标；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（2）各投标单位需服从采购单位现场接收人员的安排，投标单位需考虑提前送样及安装时间，超时一律不予接收。接受样品联系人：张老师 ，联系号码：13962860509 ，样品到达后及时电话通知工作人员并签到。各投标单位的样品由采购代理机构编号登记，评委以编号为单位进行独立评定。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（3）在本项目竞谈文件规定时间内未按照竞谈文件要求提交样品或提交样品不全者，作为未实质性响应竞谈文件要求处理。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（4）投标样品需与成交后供货产品一致，成交单位样品作为供货大样封存。未成交单位的样品在本项目评审结束后及时取走，若评审后滞留丢失均由该投标单位负责。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kern w:val="0"/>
          <w:sz w:val="24"/>
          <w:highlight w:val="none"/>
          <w:lang w:val="en-US" w:eastAsia="zh-CN"/>
        </w:rPr>
      </w:pPr>
      <w:r>
        <w:rPr>
          <w:rFonts w:hint="eastAsia" w:ascii="黑体" w:hAnsi="黑体" w:eastAsia="黑体" w:cs="黑体"/>
          <w:color w:val="auto"/>
          <w:sz w:val="24"/>
          <w:szCs w:val="24"/>
          <w:highlight w:val="none"/>
          <w:lang w:val="en-US" w:eastAsia="zh-CN"/>
        </w:rPr>
        <w:t>（5）中标单位须在中标后（以网上中标公示发布日起）3日内提供以上清单中所有产品（每个产品各提供一样）及相关检测报告原件给采购人核验，如投标时响应的内容与实际提供的产品不一致的或未按照以上要求提供所有资料及产品的，经采购人核实后，采购人有权取消其中标权利，并上报相关监管部门，录入投标企业失信黑名单。</w:t>
      </w:r>
    </w:p>
    <w:p>
      <w:pPr>
        <w:autoSpaceDE w:val="0"/>
        <w:autoSpaceDN w:val="0"/>
        <w:spacing w:before="1" w:line="360" w:lineRule="auto"/>
        <w:ind w:right="169"/>
        <w:jc w:val="left"/>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lang w:val="en-US" w:eastAsia="zh-CN"/>
        </w:rPr>
        <w:t>2</w:t>
      </w:r>
      <w:r>
        <w:rPr>
          <w:rFonts w:hint="eastAsia" w:ascii="黑体" w:hAnsi="黑体" w:eastAsia="黑体" w:cs="黑体"/>
          <w:color w:val="auto"/>
          <w:kern w:val="0"/>
          <w:sz w:val="24"/>
          <w:highlight w:val="none"/>
        </w:rPr>
        <w:t>、质量保证：</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rPr>
        <w:t>（1）</w:t>
      </w:r>
      <w:r>
        <w:rPr>
          <w:rFonts w:hint="eastAsia" w:ascii="黑体" w:hAnsi="黑体" w:eastAsia="黑体" w:cs="黑体"/>
          <w:color w:val="auto"/>
          <w:kern w:val="0"/>
          <w:sz w:val="24"/>
          <w:highlight w:val="none"/>
          <w:lang w:val="zh-CN"/>
        </w:rPr>
        <w:t>所有产品二年三包、</w:t>
      </w:r>
      <w:r>
        <w:rPr>
          <w:rFonts w:hint="eastAsia" w:ascii="黑体" w:hAnsi="黑体" w:eastAsia="黑体" w:cs="黑体"/>
          <w:color w:val="auto"/>
          <w:kern w:val="0"/>
          <w:sz w:val="24"/>
          <w:highlight w:val="none"/>
          <w:lang w:val="en-US" w:eastAsia="zh-CN"/>
        </w:rPr>
        <w:t>叁</w:t>
      </w:r>
      <w:r>
        <w:rPr>
          <w:rFonts w:hint="eastAsia" w:ascii="黑体" w:hAnsi="黑体" w:eastAsia="黑体" w:cs="黑体"/>
          <w:color w:val="auto"/>
          <w:kern w:val="0"/>
          <w:sz w:val="24"/>
          <w:highlight w:val="none"/>
          <w:lang w:val="zh-CN"/>
        </w:rPr>
        <w:t>年免费保修。</w:t>
      </w:r>
      <w:r>
        <w:rPr>
          <w:rFonts w:hint="eastAsia" w:ascii="黑体" w:hAnsi="黑体" w:eastAsia="黑体" w:cs="黑体"/>
          <w:color w:val="auto"/>
          <w:kern w:val="0"/>
          <w:sz w:val="24"/>
          <w:highlight w:val="none"/>
        </w:rPr>
        <w:t>响应供应商</w:t>
      </w:r>
      <w:r>
        <w:rPr>
          <w:rFonts w:hint="eastAsia" w:ascii="黑体" w:hAnsi="黑体" w:eastAsia="黑体" w:cs="黑体"/>
          <w:color w:val="auto"/>
          <w:kern w:val="0"/>
          <w:sz w:val="24"/>
          <w:highlight w:val="none"/>
          <w:lang w:val="zh-CN"/>
        </w:rPr>
        <w:t>为采购人提供的服务必须符合国家或行业相关标准。产品在三包期内，发生质量问题的经两次修理后仍出现质量问题时，响应供应商应无条件为采购人更换新的产品，如产品更换两次后仍出现质量问题时，响应供应商应无条件退货，维修、更换、退货产生的费用均由响应供应商负责；产品三包期自产品经采购人验收合格并交付使用之日起计算。在</w:t>
      </w:r>
      <w:r>
        <w:rPr>
          <w:rFonts w:hint="eastAsia" w:ascii="黑体" w:hAnsi="黑体" w:eastAsia="黑体" w:cs="黑体"/>
          <w:color w:val="auto"/>
          <w:kern w:val="0"/>
          <w:sz w:val="24"/>
          <w:highlight w:val="none"/>
          <w:lang w:val="en-US" w:eastAsia="zh-CN"/>
        </w:rPr>
        <w:t>家具</w:t>
      </w:r>
      <w:r>
        <w:rPr>
          <w:rFonts w:hint="eastAsia" w:ascii="黑体" w:hAnsi="黑体" w:eastAsia="黑体" w:cs="黑体"/>
          <w:color w:val="auto"/>
          <w:kern w:val="0"/>
          <w:sz w:val="24"/>
          <w:highlight w:val="none"/>
          <w:lang w:val="zh-CN"/>
        </w:rPr>
        <w:t>保修期内，一旦</w:t>
      </w:r>
      <w:r>
        <w:rPr>
          <w:rFonts w:hint="eastAsia" w:ascii="黑体" w:hAnsi="黑体" w:eastAsia="黑体" w:cs="黑体"/>
          <w:color w:val="auto"/>
          <w:kern w:val="0"/>
          <w:sz w:val="24"/>
          <w:highlight w:val="none"/>
          <w:lang w:val="en-US" w:eastAsia="zh-CN"/>
        </w:rPr>
        <w:t>家具</w:t>
      </w:r>
      <w:r>
        <w:rPr>
          <w:rFonts w:hint="eastAsia" w:ascii="黑体" w:hAnsi="黑体" w:eastAsia="黑体" w:cs="黑体"/>
          <w:color w:val="auto"/>
          <w:kern w:val="0"/>
          <w:sz w:val="24"/>
          <w:highlight w:val="none"/>
          <w:lang w:val="zh-CN"/>
        </w:rPr>
        <w:t>发生质量问题，响应供应商应在接到通知24小时内赶到现场进行修理，费用由响应供应商负责。有关产品“三包”标准，按国家有关规定执行。</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（2）响应供应商应当在保修期内，每年至少组织一次对本合同项下所有产品的巡检维护。</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（3）响应供应商应在收到采购人通知后48小时内，将出现质量问题的货物免费维修或更换完毕。</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（4）响应供应商与采购人签订合同后，应当根据采购人要求和使用单位建议，优化中标产品设计，并提供部分样品展示，等待采购人最终确认后方可批量生产。</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5）响应供应商与采购人签订合同后，产品生产过程中，采购人或其聘请的第三方有权到厂家就原辅材料、五金件等选材与投标文件的一致性及生产进度等情况进行监督检查，检验和测试货物，以确认货物是否符合合同规格的要求，并且不承担额外的费用，响应供应商必须无条件配合采购人、或其聘请的第三方机构提出的检验和测试要求，并予以积极配合。</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6）采购人有权对产品进行发货前的检测，但不作为验收。响应供应商应为采购人对产品检测提供方便。货物验收时，采购人有权提请第三方机构代为办理，随机抽取门、框进行破坏性检验，检测费用由响应供应商承担，检测结果表明其环保、安全指标不符合相关规定时，响应供应商必须无条件退货并承担因质量、安全问题造成的全部损失。响应供应商须予以积极配合。</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lang w:val="zh-CN"/>
        </w:rPr>
        <w:t>（7）其他要求：响应供应商提供的所有清单上的家具必须是未使用过的、表面和内部均无瑕疵的原厂原装、响应供应商必须按采购人确认的色板颜色交货。其中，颜色的改变不影响最终结算价格。</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二、付款方式</w:t>
      </w:r>
    </w:p>
    <w:p>
      <w:pPr>
        <w:spacing w:line="440" w:lineRule="exact"/>
        <w:ind w:firstLine="480" w:firstLineChars="200"/>
        <w:rPr>
          <w:rFonts w:hint="eastAsia" w:ascii="黑体" w:hAnsi="黑体" w:eastAsia="黑体" w:cs="黑体"/>
          <w:b/>
          <w:bCs/>
          <w:color w:val="auto"/>
          <w:sz w:val="24"/>
          <w:highlight w:val="none"/>
        </w:rPr>
      </w:pPr>
      <w:r>
        <w:rPr>
          <w:rFonts w:hint="eastAsia" w:ascii="黑体" w:hAnsi="黑体" w:eastAsia="黑体" w:cs="黑体"/>
          <w:color w:val="auto"/>
          <w:kern w:val="0"/>
          <w:sz w:val="24"/>
          <w:highlight w:val="none"/>
          <w:lang w:val="zh-CN"/>
        </w:rPr>
        <w:t>1、中标单位提交履约保证金后双方签订合同</w:t>
      </w:r>
      <w:r>
        <w:rPr>
          <w:rFonts w:hint="eastAsia" w:ascii="黑体" w:hAnsi="黑体" w:eastAsia="黑体" w:cs="黑体"/>
          <w:b/>
          <w:bCs/>
          <w:color w:val="auto"/>
          <w:sz w:val="24"/>
          <w:highlight w:val="none"/>
        </w:rPr>
        <w:t>，完成验收合格后10个工作日内支付成交金额的100%。</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lang w:val="zh-CN"/>
        </w:rPr>
      </w:pPr>
      <w:r>
        <w:rPr>
          <w:rFonts w:hint="eastAsia" w:ascii="黑体" w:hAnsi="黑体" w:eastAsia="黑体" w:cs="黑体"/>
          <w:color w:val="auto"/>
          <w:kern w:val="0"/>
          <w:sz w:val="24"/>
          <w:highlight w:val="none"/>
          <w:lang w:val="zh-CN"/>
        </w:rPr>
        <w:t>2、所有款项由采购人按相关财务支付规定办理支付手续。</w:t>
      </w:r>
    </w:p>
    <w:p>
      <w:pPr>
        <w:autoSpaceDE w:val="0"/>
        <w:autoSpaceDN w:val="0"/>
        <w:spacing w:before="1" w:line="360" w:lineRule="auto"/>
        <w:ind w:right="169" w:firstLine="480" w:firstLineChars="200"/>
        <w:jc w:val="left"/>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三、其他：中标供应商在签订合同前必须向采购人交纳履约保证金，履约保证金金额为中标价的10%，缴纳形式：转账、支票、汇票、银行保函等形式。本项目货物验收合格后一次性退还。</w:t>
      </w:r>
    </w:p>
    <w:p>
      <w:pPr>
        <w:widowControl/>
        <w:spacing w:line="360" w:lineRule="auto"/>
        <w:ind w:firstLine="480" w:firstLineChars="200"/>
        <w:jc w:val="left"/>
        <w:rPr>
          <w:rFonts w:hint="eastAsia" w:ascii="黑体" w:hAnsi="黑体" w:eastAsia="黑体" w:cs="黑体"/>
          <w:color w:val="auto"/>
          <w:sz w:val="24"/>
          <w:highlight w:val="none"/>
        </w:rPr>
      </w:pPr>
      <w:r>
        <w:rPr>
          <w:rFonts w:hint="eastAsia" w:ascii="黑体" w:hAnsi="黑体" w:eastAsia="黑体" w:cs="黑体"/>
          <w:color w:val="auto"/>
          <w:kern w:val="0"/>
          <w:sz w:val="24"/>
          <w:highlight w:val="none"/>
        </w:rPr>
        <w:t>四、</w:t>
      </w:r>
      <w:r>
        <w:rPr>
          <w:rFonts w:hint="eastAsia" w:ascii="黑体" w:hAnsi="黑体" w:eastAsia="黑体" w:cs="黑体"/>
          <w:color w:val="auto"/>
          <w:kern w:val="0"/>
          <w:sz w:val="24"/>
          <w:highlight w:val="none"/>
          <w:lang w:eastAsia="zh-CN"/>
        </w:rPr>
        <w:t>交货期</w:t>
      </w:r>
      <w:r>
        <w:rPr>
          <w:rFonts w:hint="eastAsia" w:ascii="黑体" w:hAnsi="黑体" w:eastAsia="黑体" w:cs="黑体"/>
          <w:color w:val="auto"/>
          <w:kern w:val="0"/>
          <w:sz w:val="24"/>
          <w:highlight w:val="none"/>
        </w:rPr>
        <w:t>要求：</w:t>
      </w:r>
      <w:r>
        <w:rPr>
          <w:rFonts w:hint="eastAsia" w:ascii="黑体" w:hAnsi="黑体" w:eastAsia="黑体" w:cs="黑体"/>
          <w:color w:val="auto"/>
          <w:sz w:val="24"/>
          <w:szCs w:val="24"/>
          <w:highlight w:val="none"/>
        </w:rPr>
        <w:t>自合同签定之日起</w:t>
      </w: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天</w:t>
      </w:r>
      <w:r>
        <w:rPr>
          <w:rFonts w:hint="eastAsia" w:ascii="黑体" w:hAnsi="黑体" w:eastAsia="黑体" w:cs="黑体"/>
          <w:color w:val="auto"/>
          <w:sz w:val="24"/>
          <w:szCs w:val="24"/>
          <w:highlight w:val="none"/>
          <w:lang w:val="en-US" w:eastAsia="zh-CN"/>
        </w:rPr>
        <w:t>内供货完成</w:t>
      </w:r>
      <w:r>
        <w:rPr>
          <w:rFonts w:hint="eastAsia" w:ascii="黑体" w:hAnsi="黑体" w:eastAsia="黑体" w:cs="黑体"/>
          <w:color w:val="auto"/>
          <w:sz w:val="24"/>
          <w:szCs w:val="24"/>
          <w:highlight w:val="none"/>
        </w:rPr>
        <w:t>，原厂包装免费送至采购人指定地点。</w:t>
      </w:r>
    </w:p>
    <w:p>
      <w:pPr>
        <w:spacing w:line="360" w:lineRule="auto"/>
        <w:ind w:firstLine="480" w:firstLineChars="200"/>
        <w:rPr>
          <w:rFonts w:hint="eastAsia" w:ascii="黑体" w:hAnsi="黑体" w:eastAsia="黑体" w:cs="黑体"/>
          <w:color w:val="auto"/>
          <w:kern w:val="0"/>
          <w:sz w:val="24"/>
          <w:highlight w:val="none"/>
        </w:rPr>
      </w:pPr>
    </w:p>
    <w:p>
      <w:pPr>
        <w:pStyle w:val="41"/>
        <w:ind w:firstLine="240"/>
        <w:rPr>
          <w:rFonts w:hint="eastAsia" w:ascii="黑体" w:hAnsi="黑体" w:eastAsia="黑体" w:cs="黑体"/>
          <w:color w:val="auto"/>
          <w:kern w:val="0"/>
          <w:sz w:val="24"/>
          <w:highlight w:val="none"/>
        </w:rPr>
      </w:pPr>
    </w:p>
    <w:p>
      <w:pPr>
        <w:spacing w:line="480" w:lineRule="exact"/>
        <w:jc w:val="center"/>
        <w:rPr>
          <w:rFonts w:hint="eastAsia" w:ascii="黑体" w:hAnsi="黑体" w:eastAsia="黑体" w:cs="黑体"/>
          <w:b/>
          <w:color w:val="auto"/>
          <w:sz w:val="44"/>
          <w:szCs w:val="44"/>
          <w:highlight w:val="none"/>
        </w:rPr>
      </w:pPr>
    </w:p>
    <w:p>
      <w:pPr>
        <w:spacing w:line="480" w:lineRule="exact"/>
        <w:jc w:val="center"/>
        <w:rPr>
          <w:rFonts w:hint="eastAsia" w:ascii="黑体" w:hAnsi="黑体" w:eastAsia="黑体" w:cs="黑体"/>
          <w:b/>
          <w:color w:val="auto"/>
          <w:sz w:val="44"/>
          <w:szCs w:val="44"/>
          <w:highlight w:val="none"/>
        </w:rPr>
      </w:pPr>
    </w:p>
    <w:p>
      <w:pPr>
        <w:spacing w:line="480" w:lineRule="exact"/>
        <w:jc w:val="center"/>
        <w:rPr>
          <w:rFonts w:hint="eastAsia" w:ascii="黑体" w:hAnsi="黑体" w:eastAsia="黑体" w:cs="黑体"/>
          <w:b/>
          <w:color w:val="auto"/>
          <w:sz w:val="44"/>
          <w:szCs w:val="44"/>
          <w:highlight w:val="none"/>
        </w:rPr>
      </w:pPr>
    </w:p>
    <w:p>
      <w:pPr>
        <w:spacing w:line="480" w:lineRule="exact"/>
        <w:jc w:val="center"/>
        <w:rPr>
          <w:rFonts w:hint="eastAsia" w:ascii="黑体" w:hAnsi="黑体" w:eastAsia="黑体" w:cs="黑体"/>
          <w:b/>
          <w:color w:val="auto"/>
          <w:sz w:val="44"/>
          <w:szCs w:val="44"/>
          <w:highlight w:val="none"/>
        </w:rPr>
      </w:pPr>
    </w:p>
    <w:p>
      <w:pPr>
        <w:spacing w:line="480" w:lineRule="exact"/>
        <w:jc w:val="center"/>
        <w:rPr>
          <w:rFonts w:hint="eastAsia" w:ascii="黑体" w:hAnsi="黑体" w:eastAsia="黑体" w:cs="黑体"/>
          <w:color w:val="auto"/>
          <w:sz w:val="44"/>
          <w:szCs w:val="44"/>
          <w:highlight w:val="none"/>
        </w:rPr>
      </w:pPr>
      <w:r>
        <w:rPr>
          <w:rFonts w:hint="eastAsia" w:ascii="黑体" w:hAnsi="黑体" w:eastAsia="黑体" w:cs="黑体"/>
          <w:b/>
          <w:color w:val="auto"/>
          <w:sz w:val="44"/>
          <w:szCs w:val="44"/>
          <w:highlight w:val="none"/>
        </w:rPr>
        <w:br w:type="page"/>
      </w:r>
      <w:r>
        <w:rPr>
          <w:rFonts w:hint="eastAsia" w:ascii="黑体" w:hAnsi="黑体" w:eastAsia="黑体" w:cs="黑体"/>
          <w:b/>
          <w:color w:val="auto"/>
          <w:sz w:val="44"/>
          <w:szCs w:val="44"/>
          <w:highlight w:val="none"/>
        </w:rPr>
        <w:t>第五章   谈判响应文件格式</w:t>
      </w:r>
    </w:p>
    <w:p>
      <w:pPr>
        <w:keepNext/>
        <w:keepLines/>
        <w:spacing w:before="260" w:after="260" w:line="416" w:lineRule="auto"/>
        <w:outlineLvl w:val="2"/>
        <w:rPr>
          <w:rFonts w:hint="eastAsia" w:ascii="黑体" w:hAnsi="黑体" w:eastAsia="黑体" w:cs="黑体"/>
          <w:b/>
          <w:color w:val="auto"/>
          <w:sz w:val="36"/>
          <w:szCs w:val="36"/>
          <w:highlight w:val="none"/>
        </w:rPr>
      </w:pPr>
      <w:r>
        <w:rPr>
          <w:rFonts w:hint="eastAsia" w:ascii="黑体" w:hAnsi="黑体" w:eastAsia="黑体" w:cs="黑体"/>
          <w:b/>
          <w:bCs/>
          <w:color w:val="auto"/>
          <w:sz w:val="32"/>
          <w:highlight w:val="none"/>
        </w:rPr>
        <w:t>封面</w:t>
      </w:r>
    </w:p>
    <w:p>
      <w:pPr>
        <w:ind w:firstLine="420"/>
        <w:rPr>
          <w:rFonts w:hint="eastAsia" w:ascii="黑体" w:hAnsi="黑体" w:eastAsia="黑体" w:cs="黑体"/>
          <w:color w:val="auto"/>
          <w:szCs w:val="20"/>
          <w:highlight w:val="none"/>
        </w:rPr>
      </w:pPr>
    </w:p>
    <w:p>
      <w:pPr>
        <w:jc w:val="center"/>
        <w:rPr>
          <w:rFonts w:hint="eastAsia" w:ascii="黑体" w:hAnsi="黑体" w:eastAsia="黑体" w:cs="黑体"/>
          <w:b/>
          <w:color w:val="auto"/>
          <w:sz w:val="72"/>
          <w:szCs w:val="21"/>
          <w:highlight w:val="none"/>
        </w:rPr>
      </w:pPr>
    </w:p>
    <w:p>
      <w:pPr>
        <w:jc w:val="center"/>
        <w:rPr>
          <w:rFonts w:hint="eastAsia" w:ascii="黑体" w:hAnsi="黑体" w:eastAsia="黑体" w:cs="黑体"/>
          <w:b/>
          <w:color w:val="auto"/>
          <w:sz w:val="72"/>
          <w:szCs w:val="21"/>
          <w:highlight w:val="none"/>
        </w:rPr>
      </w:pPr>
      <w:r>
        <w:rPr>
          <w:rFonts w:hint="eastAsia" w:ascii="黑体" w:hAnsi="黑体" w:eastAsia="黑体" w:cs="黑体"/>
          <w:b/>
          <w:color w:val="auto"/>
          <w:sz w:val="72"/>
          <w:szCs w:val="21"/>
          <w:highlight w:val="none"/>
        </w:rPr>
        <w:t>竞争性谈判响应文件</w:t>
      </w:r>
    </w:p>
    <w:p>
      <w:pPr>
        <w:adjustRightInd w:val="0"/>
        <w:spacing w:before="120" w:after="120" w:line="360" w:lineRule="auto"/>
        <w:jc w:val="center"/>
        <w:textAlignment w:val="baseline"/>
        <w:rPr>
          <w:rFonts w:hint="eastAsia" w:ascii="黑体" w:hAnsi="黑体" w:eastAsia="黑体" w:cs="黑体"/>
          <w:b/>
          <w:bCs/>
          <w:color w:val="auto"/>
          <w:kern w:val="0"/>
          <w:sz w:val="32"/>
          <w:highlight w:val="none"/>
        </w:rPr>
      </w:pPr>
      <w:r>
        <w:rPr>
          <w:rFonts w:hint="eastAsia" w:ascii="黑体" w:hAnsi="黑体" w:eastAsia="黑体" w:cs="黑体"/>
          <w:color w:val="auto"/>
          <w:kern w:val="0"/>
          <w:sz w:val="36"/>
          <w:szCs w:val="36"/>
          <w:highlight w:val="none"/>
          <w:u w:val="single"/>
        </w:rPr>
        <w:t>资格证明材料包/报价包</w:t>
      </w:r>
    </w:p>
    <w:p>
      <w:pPr>
        <w:ind w:firstLine="1084" w:firstLineChars="300"/>
        <w:rPr>
          <w:rFonts w:hint="eastAsia" w:ascii="黑体" w:hAnsi="黑体" w:eastAsia="黑体" w:cs="黑体"/>
          <w:b/>
          <w:color w:val="auto"/>
          <w:sz w:val="36"/>
          <w:szCs w:val="21"/>
          <w:highlight w:val="none"/>
        </w:rPr>
      </w:pPr>
      <w:r>
        <w:rPr>
          <w:rFonts w:hint="eastAsia" w:ascii="黑体" w:hAnsi="黑体" w:eastAsia="黑体" w:cs="黑体"/>
          <w:b/>
          <w:color w:val="auto"/>
          <w:sz w:val="36"/>
          <w:szCs w:val="21"/>
          <w:highlight w:val="none"/>
        </w:rPr>
        <w:t xml:space="preserve">               （正本或副本）</w:t>
      </w:r>
    </w:p>
    <w:p>
      <w:pPr>
        <w:ind w:firstLine="1084" w:firstLineChars="300"/>
        <w:rPr>
          <w:rFonts w:hint="eastAsia" w:ascii="黑体" w:hAnsi="黑体" w:eastAsia="黑体" w:cs="黑体"/>
          <w:b/>
          <w:color w:val="auto"/>
          <w:sz w:val="36"/>
          <w:szCs w:val="21"/>
          <w:highlight w:val="none"/>
        </w:rPr>
      </w:pPr>
    </w:p>
    <w:p>
      <w:pPr>
        <w:ind w:firstLine="1084" w:firstLineChars="300"/>
        <w:rPr>
          <w:rFonts w:hint="eastAsia" w:ascii="黑体" w:hAnsi="黑体" w:eastAsia="黑体" w:cs="黑体"/>
          <w:b/>
          <w:color w:val="auto"/>
          <w:sz w:val="36"/>
          <w:szCs w:val="21"/>
          <w:highlight w:val="none"/>
        </w:rPr>
      </w:pPr>
    </w:p>
    <w:p>
      <w:pPr>
        <w:ind w:firstLine="1084" w:firstLineChars="300"/>
        <w:rPr>
          <w:rFonts w:hint="eastAsia" w:ascii="黑体" w:hAnsi="黑体" w:eastAsia="黑体" w:cs="黑体"/>
          <w:b/>
          <w:color w:val="auto"/>
          <w:sz w:val="36"/>
          <w:szCs w:val="21"/>
          <w:highlight w:val="none"/>
        </w:rPr>
      </w:pPr>
    </w:p>
    <w:p>
      <w:pPr>
        <w:ind w:firstLine="1084" w:firstLineChars="300"/>
        <w:rPr>
          <w:rFonts w:hint="eastAsia" w:ascii="黑体" w:hAnsi="黑体" w:eastAsia="黑体" w:cs="黑体"/>
          <w:b/>
          <w:color w:val="auto"/>
          <w:sz w:val="36"/>
          <w:szCs w:val="21"/>
          <w:highlight w:val="none"/>
        </w:rPr>
      </w:pPr>
    </w:p>
    <w:p>
      <w:pPr>
        <w:ind w:firstLine="1084" w:firstLineChars="300"/>
        <w:rPr>
          <w:rFonts w:hint="eastAsia" w:ascii="黑体" w:hAnsi="黑体" w:eastAsia="黑体" w:cs="黑体"/>
          <w:b/>
          <w:color w:val="auto"/>
          <w:sz w:val="36"/>
          <w:szCs w:val="21"/>
          <w:highlight w:val="none"/>
        </w:rPr>
      </w:pPr>
    </w:p>
    <w:p>
      <w:pPr>
        <w:ind w:firstLine="1084" w:firstLineChars="300"/>
        <w:rPr>
          <w:rFonts w:hint="eastAsia" w:ascii="黑体" w:hAnsi="黑体" w:eastAsia="黑体" w:cs="黑体"/>
          <w:b/>
          <w:color w:val="auto"/>
          <w:sz w:val="36"/>
          <w:highlight w:val="none"/>
          <w:u w:val="single"/>
        </w:rPr>
      </w:pPr>
      <w:r>
        <w:rPr>
          <w:rFonts w:hint="eastAsia" w:ascii="黑体" w:hAnsi="黑体" w:eastAsia="黑体" w:cs="黑体"/>
          <w:b/>
          <w:color w:val="auto"/>
          <w:sz w:val="36"/>
          <w:highlight w:val="none"/>
        </w:rPr>
        <w:t>项 目 名 称：</w:t>
      </w:r>
    </w:p>
    <w:p>
      <w:pPr>
        <w:ind w:firstLine="1084" w:firstLineChars="300"/>
        <w:rPr>
          <w:rFonts w:hint="eastAsia" w:ascii="黑体" w:hAnsi="黑体" w:eastAsia="黑体" w:cs="黑体"/>
          <w:b/>
          <w:color w:val="auto"/>
          <w:sz w:val="36"/>
          <w:highlight w:val="none"/>
          <w:u w:val="single"/>
        </w:rPr>
      </w:pPr>
      <w:r>
        <w:rPr>
          <w:rFonts w:hint="eastAsia" w:ascii="黑体" w:hAnsi="黑体" w:eastAsia="黑体" w:cs="黑体"/>
          <w:b/>
          <w:color w:val="auto"/>
          <w:sz w:val="36"/>
          <w:highlight w:val="none"/>
        </w:rPr>
        <w:t>项 目 编 号：</w:t>
      </w:r>
    </w:p>
    <w:p>
      <w:pPr>
        <w:ind w:firstLine="1084" w:firstLineChars="300"/>
        <w:rPr>
          <w:rFonts w:hint="eastAsia" w:ascii="黑体" w:hAnsi="黑体" w:eastAsia="黑体" w:cs="黑体"/>
          <w:b/>
          <w:color w:val="auto"/>
          <w:sz w:val="36"/>
          <w:highlight w:val="none"/>
        </w:rPr>
      </w:pPr>
      <w:r>
        <w:rPr>
          <w:rFonts w:hint="eastAsia" w:ascii="黑体" w:hAnsi="黑体" w:eastAsia="黑体" w:cs="黑体"/>
          <w:b/>
          <w:color w:val="auto"/>
          <w:sz w:val="36"/>
          <w:highlight w:val="none"/>
        </w:rPr>
        <w:t>谈判供应商名称：</w:t>
      </w:r>
    </w:p>
    <w:p>
      <w:pPr>
        <w:ind w:firstLine="1084" w:firstLineChars="300"/>
        <w:rPr>
          <w:rFonts w:hint="eastAsia" w:ascii="黑体" w:hAnsi="黑体" w:eastAsia="黑体" w:cs="黑体"/>
          <w:b/>
          <w:color w:val="auto"/>
          <w:sz w:val="36"/>
          <w:highlight w:val="none"/>
        </w:rPr>
      </w:pPr>
      <w:r>
        <w:rPr>
          <w:rFonts w:hint="eastAsia" w:ascii="黑体" w:hAnsi="黑体" w:eastAsia="黑体" w:cs="黑体"/>
          <w:b/>
          <w:color w:val="auto"/>
          <w:sz w:val="36"/>
          <w:highlight w:val="none"/>
        </w:rPr>
        <w:t>谈判供应商地址：</w:t>
      </w:r>
    </w:p>
    <w:p>
      <w:pPr>
        <w:rPr>
          <w:rFonts w:hint="eastAsia" w:ascii="黑体" w:hAnsi="黑体" w:eastAsia="黑体" w:cs="黑体"/>
          <w:b/>
          <w:color w:val="auto"/>
          <w:sz w:val="36"/>
          <w:highlight w:val="none"/>
          <w:u w:val="single"/>
        </w:rPr>
      </w:pPr>
      <w:r>
        <w:rPr>
          <w:rFonts w:hint="eastAsia" w:ascii="黑体" w:hAnsi="黑体" w:eastAsia="黑体" w:cs="黑体"/>
          <w:b/>
          <w:color w:val="auto"/>
          <w:sz w:val="36"/>
          <w:highlight w:val="none"/>
        </w:rPr>
        <w:t xml:space="preserve">      日       期：</w:t>
      </w:r>
    </w:p>
    <w:p>
      <w:pPr>
        <w:adjustRightInd w:val="0"/>
        <w:spacing w:before="120" w:after="120" w:line="360" w:lineRule="auto"/>
        <w:ind w:right="99" w:rightChars="47"/>
        <w:jc w:val="center"/>
        <w:textAlignment w:val="baseline"/>
        <w:rPr>
          <w:rFonts w:hint="eastAsia" w:ascii="黑体" w:hAnsi="黑体" w:eastAsia="黑体" w:cs="黑体"/>
          <w:color w:val="auto"/>
          <w:kern w:val="0"/>
          <w:sz w:val="24"/>
          <w:highlight w:val="none"/>
        </w:rPr>
      </w:pPr>
    </w:p>
    <w:p>
      <w:pPr>
        <w:adjustRightInd w:val="0"/>
        <w:spacing w:line="360" w:lineRule="auto"/>
        <w:jc w:val="left"/>
        <w:textAlignment w:val="baseline"/>
        <w:rPr>
          <w:rFonts w:hint="eastAsia" w:ascii="黑体" w:hAnsi="黑体" w:eastAsia="黑体" w:cs="黑体"/>
          <w:color w:val="auto"/>
          <w:kern w:val="0"/>
          <w:sz w:val="24"/>
          <w:highlight w:val="none"/>
        </w:rPr>
      </w:pPr>
    </w:p>
    <w:p>
      <w:pPr>
        <w:adjustRightInd w:val="0"/>
        <w:spacing w:line="360" w:lineRule="auto"/>
        <w:jc w:val="left"/>
        <w:textAlignment w:val="baseline"/>
        <w:rPr>
          <w:rFonts w:hint="eastAsia" w:ascii="黑体" w:hAnsi="黑体" w:eastAsia="黑体" w:cs="黑体"/>
          <w:color w:val="auto"/>
          <w:kern w:val="0"/>
          <w:sz w:val="24"/>
          <w:highlight w:val="none"/>
        </w:rPr>
      </w:pPr>
    </w:p>
    <w:p>
      <w:pPr>
        <w:adjustRightInd w:val="0"/>
        <w:spacing w:line="360" w:lineRule="auto"/>
        <w:jc w:val="left"/>
        <w:textAlignment w:val="baseline"/>
        <w:rPr>
          <w:rFonts w:hint="eastAsia" w:ascii="黑体" w:hAnsi="黑体" w:eastAsia="黑体" w:cs="黑体"/>
          <w:color w:val="auto"/>
          <w:kern w:val="0"/>
          <w:sz w:val="24"/>
          <w:highlight w:val="none"/>
        </w:rPr>
      </w:pPr>
    </w:p>
    <w:p>
      <w:pPr>
        <w:pStyle w:val="76"/>
        <w:rPr>
          <w:rFonts w:hint="eastAsia" w:ascii="黑体" w:hAnsi="黑体" w:eastAsia="黑体" w:cs="黑体"/>
          <w:color w:val="auto"/>
          <w:kern w:val="0"/>
          <w:sz w:val="24"/>
          <w:highlight w:val="none"/>
        </w:rPr>
      </w:pPr>
    </w:p>
    <w:p>
      <w:pPr>
        <w:snapToGrid w:val="0"/>
        <w:spacing w:line="360" w:lineRule="auto"/>
        <w:jc w:val="center"/>
        <w:outlineLvl w:val="0"/>
        <w:rPr>
          <w:rFonts w:hint="eastAsia" w:ascii="黑体" w:hAnsi="黑体" w:eastAsia="黑体" w:cs="黑体"/>
          <w:color w:val="auto"/>
          <w:sz w:val="32"/>
          <w:szCs w:val="32"/>
          <w:highlight w:val="none"/>
        </w:rPr>
      </w:pPr>
      <w:r>
        <w:rPr>
          <w:rFonts w:hint="eastAsia" w:ascii="黑体" w:hAnsi="黑体" w:eastAsia="黑体" w:cs="黑体"/>
          <w:bCs/>
          <w:color w:val="auto"/>
          <w:sz w:val="30"/>
          <w:szCs w:val="30"/>
          <w:highlight w:val="none"/>
        </w:rPr>
        <w:t>第一部分  资格证明材料</w:t>
      </w:r>
      <w:r>
        <w:rPr>
          <w:rFonts w:hint="eastAsia" w:ascii="黑体" w:hAnsi="黑体" w:eastAsia="黑体" w:cs="黑体"/>
          <w:b/>
          <w:color w:val="auto"/>
          <w:sz w:val="30"/>
          <w:szCs w:val="30"/>
          <w:highlight w:val="none"/>
        </w:rPr>
        <w:t>（单独加密）</w:t>
      </w:r>
    </w:p>
    <w:p>
      <w:pPr>
        <w:spacing w:line="44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   录</w:t>
      </w:r>
    </w:p>
    <w:p>
      <w:pPr>
        <w:spacing w:line="440" w:lineRule="exact"/>
        <w:jc w:val="center"/>
        <w:rPr>
          <w:rFonts w:hint="eastAsia" w:ascii="黑体" w:hAnsi="黑体" w:eastAsia="黑体" w:cs="黑体"/>
          <w:color w:val="auto"/>
          <w:sz w:val="32"/>
          <w:szCs w:val="32"/>
          <w:highlight w:val="none"/>
        </w:rPr>
      </w:pPr>
    </w:p>
    <w:p>
      <w:pPr>
        <w:numPr>
          <w:ilvl w:val="0"/>
          <w:numId w:val="8"/>
        </w:numPr>
        <w:snapToGrid w:val="0"/>
        <w:spacing w:line="480" w:lineRule="exact"/>
        <w:ind w:left="-60" w:leftChars="0" w:firstLine="48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法定代表人参加谈判的，必须提供法人身份证明及法人身份证；非法定代表人参加的，必须提供法定代表人签名或盖章的授权委托书及被委托授权人身份证</w:t>
      </w:r>
      <w:r>
        <w:rPr>
          <w:rFonts w:hint="eastAsia" w:ascii="黑体" w:hAnsi="黑体" w:eastAsia="黑体" w:cs="黑体"/>
          <w:color w:val="auto"/>
          <w:sz w:val="24"/>
          <w:szCs w:val="24"/>
          <w:highlight w:val="none"/>
          <w:lang w:eastAsia="zh-CN"/>
        </w:rPr>
        <w:t>复印件</w:t>
      </w:r>
      <w:r>
        <w:rPr>
          <w:rFonts w:hint="eastAsia" w:ascii="黑体" w:hAnsi="黑体" w:eastAsia="黑体" w:cs="黑体"/>
          <w:color w:val="auto"/>
          <w:sz w:val="24"/>
          <w:szCs w:val="24"/>
          <w:highlight w:val="none"/>
        </w:rPr>
        <w:t>（须加盖公章）</w:t>
      </w:r>
      <w:r>
        <w:rPr>
          <w:rFonts w:hint="eastAsia" w:ascii="黑体" w:hAnsi="黑体" w:eastAsia="黑体" w:cs="黑体"/>
          <w:color w:val="auto"/>
          <w:sz w:val="24"/>
          <w:szCs w:val="24"/>
          <w:highlight w:val="none"/>
          <w:lang w:eastAsia="zh-CN"/>
        </w:rPr>
        <w:t>另外</w:t>
      </w:r>
      <w:r>
        <w:rPr>
          <w:rFonts w:hint="eastAsia" w:ascii="黑体" w:hAnsi="黑体" w:eastAsia="黑体" w:cs="黑体"/>
          <w:color w:val="auto"/>
          <w:sz w:val="24"/>
          <w:szCs w:val="24"/>
          <w:highlight w:val="none"/>
          <w:lang w:val="zh-CN"/>
        </w:rPr>
        <w:t>谈判单位</w:t>
      </w:r>
      <w:r>
        <w:rPr>
          <w:rFonts w:hint="eastAsia" w:ascii="黑体" w:hAnsi="黑体" w:eastAsia="黑体" w:cs="黑体"/>
          <w:color w:val="auto"/>
          <w:sz w:val="24"/>
          <w:szCs w:val="24"/>
          <w:highlight w:val="none"/>
          <w:lang w:val="en-US" w:eastAsia="zh-CN"/>
        </w:rPr>
        <w:t>的授权代表须为本单位的正式员工，提供本单位开标前为其连续3个月缴纳的的社保证明</w:t>
      </w:r>
      <w:r>
        <w:rPr>
          <w:rFonts w:hint="eastAsia" w:ascii="黑体" w:hAnsi="黑体" w:eastAsia="黑体" w:cs="黑体"/>
          <w:color w:val="auto"/>
          <w:sz w:val="24"/>
          <w:szCs w:val="24"/>
          <w:highlight w:val="none"/>
        </w:rPr>
        <w:t>。</w:t>
      </w:r>
    </w:p>
    <w:p>
      <w:pPr>
        <w:numPr>
          <w:ilvl w:val="0"/>
          <w:numId w:val="8"/>
        </w:numPr>
        <w:snapToGrid w:val="0"/>
        <w:spacing w:line="480" w:lineRule="exact"/>
        <w:ind w:left="-60" w:leftChars="0" w:firstLine="48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投标单位为家具制造商，提供</w:t>
      </w:r>
      <w:r>
        <w:rPr>
          <w:rFonts w:hint="eastAsia" w:ascii="黑体" w:hAnsi="黑体" w:eastAsia="黑体" w:cs="黑体"/>
          <w:b/>
          <w:bCs/>
          <w:color w:val="auto"/>
          <w:sz w:val="24"/>
          <w:szCs w:val="24"/>
          <w:highlight w:val="none"/>
          <w:lang w:eastAsia="zh-CN"/>
        </w:rPr>
        <w:t>营业执照，经营范围必须为</w:t>
      </w:r>
      <w:r>
        <w:rPr>
          <w:rFonts w:hint="eastAsia" w:ascii="黑体" w:hAnsi="黑体" w:eastAsia="黑体" w:cs="黑体"/>
          <w:b/>
          <w:bCs/>
          <w:color w:val="auto"/>
          <w:sz w:val="24"/>
          <w:szCs w:val="24"/>
          <w:highlight w:val="none"/>
          <w:lang w:val="en-US" w:eastAsia="zh-CN"/>
        </w:rPr>
        <w:t>家具生产厂家</w:t>
      </w:r>
      <w:r>
        <w:rPr>
          <w:rFonts w:hint="eastAsia" w:ascii="黑体" w:hAnsi="黑体" w:eastAsia="黑体" w:cs="黑体"/>
          <w:color w:val="auto"/>
          <w:sz w:val="24"/>
          <w:szCs w:val="24"/>
          <w:highlight w:val="none"/>
        </w:rPr>
        <w:t>。</w:t>
      </w:r>
    </w:p>
    <w:p>
      <w:pPr>
        <w:numPr>
          <w:ilvl w:val="0"/>
          <w:numId w:val="8"/>
        </w:numPr>
        <w:snapToGrid w:val="0"/>
        <w:spacing w:line="480" w:lineRule="exact"/>
        <w:ind w:left="-60" w:leftChars="0" w:firstLine="48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满足《中华人民共和国政府采购法》第二十二条规定声明函（按后附格式）。</w:t>
      </w:r>
    </w:p>
    <w:p>
      <w:pPr>
        <w:numPr>
          <w:ilvl w:val="0"/>
          <w:numId w:val="8"/>
        </w:numPr>
        <w:snapToGrid w:val="0"/>
        <w:spacing w:line="480" w:lineRule="exact"/>
        <w:ind w:left="-60" w:leftChars="0" w:firstLine="48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本项目为专门面向中小微企业采购项目（须按照财库〔2020〕46号文要求提供中小企业声明函，格式见附件）。</w:t>
      </w:r>
    </w:p>
    <w:p>
      <w:pPr>
        <w:numPr>
          <w:ilvl w:val="0"/>
          <w:numId w:val="8"/>
        </w:numPr>
        <w:snapToGrid w:val="0"/>
        <w:spacing w:line="480" w:lineRule="exact"/>
        <w:ind w:left="-60" w:leftChars="0" w:firstLine="480" w:firstLineChars="0"/>
        <w:rPr>
          <w:rFonts w:hint="eastAsia" w:ascii="黑体" w:hAnsi="黑体" w:eastAsia="黑体" w:cs="黑体"/>
          <w:b w:val="0"/>
          <w:bCs w:val="0"/>
          <w:color w:val="auto"/>
          <w:sz w:val="24"/>
          <w:szCs w:val="24"/>
          <w:highlight w:val="none"/>
        </w:rPr>
      </w:pPr>
      <w:r>
        <w:rPr>
          <w:rFonts w:hint="eastAsia" w:ascii="黑体" w:hAnsi="黑体" w:eastAsia="黑体" w:cs="黑体"/>
          <w:color w:val="auto"/>
          <w:kern w:val="0"/>
          <w:sz w:val="24"/>
          <w:szCs w:val="24"/>
          <w:highlight w:val="none"/>
        </w:rPr>
        <w:t>响应供应商未被“信用中国”网站、中国政府采购网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如核实未通过，经谈判小组确认后资格审查不予通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lang w:val="zh-CN" w:eastAsia="zh-CN"/>
        </w:rPr>
        <w:t>谈判单位</w:t>
      </w:r>
      <w:r>
        <w:rPr>
          <w:rFonts w:hint="eastAsia" w:ascii="黑体" w:hAnsi="黑体" w:eastAsia="黑体" w:cs="黑体"/>
          <w:color w:val="auto"/>
          <w:sz w:val="24"/>
          <w:szCs w:val="24"/>
          <w:highlight w:val="none"/>
          <w:lang w:val="en-US" w:eastAsia="zh-CN"/>
        </w:rPr>
        <w:t>在规定的投标截止时间内（样品送达接收时间：自2023年12月1日1400至15:00止）送本谈判文件第四章清单中序号1、2、3号样品各一件至南通市通海中学，提供的样品主材、主要配件、尺寸须完全符合本谈判文件第四章清单中的技术参数要求，谈判小组根据提交的样品及相关佐证材料复印件（包括但不限于检测报告等佐证材料）相结合评审，若经谈判小组评审后不符合本询价文件要求的，资格审查不予通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注明：（1）提供的所有样品不得带有用来区分其它企业产品的明显标志（不得有商标等显示供应商信息的内容），否则视为无效投标；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（2）各投标单位需服从采购单位现场接收人员的安排，投标单位需考虑提前送样及安装时间，超时一律不予接收。接受样品联系人：张老师 ，联系号码：13962860509 ，样品到达后及时电话通知工作人员并签到。各投标单位的样品由采购代理机构编号登记，评委以编号为单位进行独立评定。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（3）在本项目竞谈文件规定时间内未按照竞谈文件要求提交样品或提交样品不全者，作为未实质性响应竞谈文件要求处理。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（4）投标样品需与成交后供货产品一致，成交单位样品作为供货大样封存。未成交单位的样品在本项目评审结束后及时取走，若评审后滞留丢失均由该投标单位负责。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中标单位须在中标后（以网上中标公示发布日起）3日内提供以上清单中所有产品（每个产品各提供一样）及相关检测报告原件给采购人核验，如投标时响应的内容与实际提供的产品不一致的或未按照以上要求提供所有资料及产品的，经采购人核实后，采购人有权取消其中标权利，并上报相关监管部门，录入投标企业失信黑名单。</w:t>
      </w:r>
    </w:p>
    <w:p>
      <w:pPr>
        <w:snapToGrid w:val="0"/>
        <w:spacing w:line="480" w:lineRule="exact"/>
        <w:ind w:left="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.投标单位认为其他必要的材料。</w:t>
      </w:r>
    </w:p>
    <w:p>
      <w:pPr>
        <w:spacing w:line="460" w:lineRule="exact"/>
        <w:rPr>
          <w:rFonts w:hint="eastAsia" w:ascii="黑体" w:hAnsi="黑体" w:eastAsia="黑体" w:cs="黑体"/>
          <w:color w:val="auto"/>
          <w:sz w:val="24"/>
          <w:szCs w:val="24"/>
          <w:highlight w:val="none"/>
        </w:rPr>
      </w:pPr>
    </w:p>
    <w:p>
      <w:pPr>
        <w:pStyle w:val="76"/>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snapToGrid w:val="0"/>
        <w:spacing w:line="420" w:lineRule="exact"/>
        <w:jc w:val="center"/>
        <w:outlineLvl w:val="4"/>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br w:type="page"/>
      </w:r>
      <w:r>
        <w:rPr>
          <w:rFonts w:hint="eastAsia" w:ascii="黑体" w:hAnsi="黑体" w:eastAsia="黑体" w:cs="黑体"/>
          <w:b/>
          <w:bCs/>
          <w:color w:val="auto"/>
          <w:sz w:val="28"/>
          <w:szCs w:val="28"/>
          <w:highlight w:val="none"/>
        </w:rPr>
        <w:t>1、法定代表人身份证明</w:t>
      </w:r>
    </w:p>
    <w:p>
      <w:pPr>
        <w:snapToGrid w:val="0"/>
        <w:spacing w:line="420" w:lineRule="exact"/>
        <w:rPr>
          <w:rFonts w:hint="eastAsia" w:ascii="黑体" w:hAnsi="黑体" w:eastAsia="黑体" w:cs="黑体"/>
          <w:color w:val="auto"/>
          <w:sz w:val="24"/>
          <w:highlight w:val="none"/>
        </w:rPr>
      </w:pPr>
    </w:p>
    <w:p>
      <w:pPr>
        <w:snapToGrid w:val="0"/>
        <w:spacing w:line="420" w:lineRule="exact"/>
        <w:ind w:firstLine="48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u w:val="single"/>
        </w:rPr>
        <w:t>先生／女士：</w:t>
      </w:r>
      <w:r>
        <w:rPr>
          <w:rFonts w:hint="eastAsia" w:ascii="黑体" w:hAnsi="黑体" w:eastAsia="黑体" w:cs="黑体"/>
          <w:color w:val="auto"/>
          <w:sz w:val="24"/>
          <w:highlight w:val="none"/>
        </w:rPr>
        <w:t>现任我单位</w:t>
      </w:r>
      <w:r>
        <w:rPr>
          <w:rFonts w:hint="eastAsia" w:ascii="黑体" w:hAnsi="黑体" w:eastAsia="黑体" w:cs="黑体"/>
          <w:color w:val="auto"/>
          <w:sz w:val="24"/>
          <w:highlight w:val="none"/>
          <w:u w:val="single"/>
        </w:rPr>
        <w:t>　　　　　　　</w:t>
      </w:r>
      <w:r>
        <w:rPr>
          <w:rFonts w:hint="eastAsia" w:ascii="黑体" w:hAnsi="黑体" w:eastAsia="黑体" w:cs="黑体"/>
          <w:color w:val="auto"/>
          <w:sz w:val="24"/>
          <w:highlight w:val="none"/>
        </w:rPr>
        <w:t>职务，为法定代表人，特此证明。</w:t>
      </w:r>
    </w:p>
    <w:p>
      <w:pPr>
        <w:snapToGrid w:val="0"/>
        <w:spacing w:line="420" w:lineRule="exact"/>
        <w:ind w:firstLine="480"/>
        <w:jc w:val="center"/>
        <w:rPr>
          <w:rFonts w:hint="eastAsia" w:ascii="黑体" w:hAnsi="黑体" w:eastAsia="黑体" w:cs="黑体"/>
          <w:color w:val="auto"/>
          <w:sz w:val="24"/>
          <w:highlight w:val="none"/>
        </w:rPr>
      </w:pPr>
    </w:p>
    <w:p>
      <w:pPr>
        <w:snapToGrid w:val="0"/>
        <w:spacing w:line="420" w:lineRule="exact"/>
        <w:jc w:val="left"/>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身份证号码：</w:t>
      </w:r>
    </w:p>
    <w:p>
      <w:pPr>
        <w:snapToGrid w:val="0"/>
        <w:spacing w:line="420" w:lineRule="exact"/>
        <w:jc w:val="left"/>
        <w:rPr>
          <w:rFonts w:hint="eastAsia" w:ascii="黑体" w:hAnsi="黑体" w:eastAsia="黑体" w:cs="黑体"/>
          <w:color w:val="auto"/>
          <w:sz w:val="24"/>
          <w:highlight w:val="none"/>
          <w:u w:val="single"/>
        </w:rPr>
      </w:pPr>
    </w:p>
    <w:p>
      <w:pPr>
        <w:snapToGrid w:val="0"/>
        <w:spacing w:line="420" w:lineRule="exact"/>
        <w:ind w:firstLine="484" w:firstLineChars="202"/>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谈判供应商（盖章）</w:t>
      </w:r>
    </w:p>
    <w:p>
      <w:pPr>
        <w:snapToGrid w:val="0"/>
        <w:spacing w:line="420" w:lineRule="exact"/>
        <w:ind w:firstLine="484" w:firstLineChars="202"/>
        <w:jc w:val="right"/>
        <w:rPr>
          <w:rFonts w:hint="eastAsia" w:ascii="黑体" w:hAnsi="黑体" w:eastAsia="黑体" w:cs="黑体"/>
          <w:color w:val="auto"/>
          <w:sz w:val="24"/>
          <w:highlight w:val="none"/>
        </w:rPr>
      </w:pPr>
    </w:p>
    <w:p>
      <w:pPr>
        <w:snapToGrid w:val="0"/>
        <w:spacing w:line="420" w:lineRule="exact"/>
        <w:ind w:firstLine="484" w:firstLineChars="202"/>
        <w:jc w:val="right"/>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年    月    日</w:t>
      </w:r>
    </w:p>
    <w:p>
      <w:pPr>
        <w:snapToGrid w:val="0"/>
        <w:spacing w:line="420" w:lineRule="exact"/>
        <w:ind w:firstLine="321" w:firstLineChars="134"/>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注：提供法定代表人的身份证正反面原件扫描件并加盖公章。</w:t>
      </w:r>
    </w:p>
    <w:p>
      <w:pPr>
        <w:snapToGrid w:val="0"/>
        <w:spacing w:line="420" w:lineRule="exact"/>
        <w:jc w:val="left"/>
        <w:rPr>
          <w:rFonts w:hint="eastAsia" w:ascii="黑体" w:hAnsi="黑体" w:eastAsia="黑体" w:cs="黑体"/>
          <w:color w:val="auto"/>
          <w:sz w:val="24"/>
          <w:highlight w:val="none"/>
        </w:rPr>
      </w:pPr>
    </w:p>
    <w:p>
      <w:pPr>
        <w:snapToGrid w:val="0"/>
        <w:spacing w:line="420" w:lineRule="exact"/>
        <w:jc w:val="center"/>
        <w:rPr>
          <w:rFonts w:hint="eastAsia" w:ascii="黑体" w:hAnsi="黑体" w:eastAsia="黑体" w:cs="黑体"/>
          <w:color w:val="auto"/>
          <w:sz w:val="24"/>
          <w:highlight w:val="none"/>
        </w:rPr>
      </w:pPr>
    </w:p>
    <w:p>
      <w:pPr>
        <w:snapToGrid w:val="0"/>
        <w:spacing w:line="500" w:lineRule="exact"/>
        <w:jc w:val="center"/>
        <w:outlineLvl w:val="4"/>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2、法定代表人授权委托书</w:t>
      </w:r>
    </w:p>
    <w:p>
      <w:pPr>
        <w:snapToGrid w:val="0"/>
        <w:spacing w:line="500" w:lineRule="exact"/>
        <w:ind w:firstLine="484" w:firstLineChars="202"/>
        <w:rPr>
          <w:rFonts w:hint="eastAsia" w:ascii="黑体" w:hAnsi="黑体" w:eastAsia="黑体" w:cs="黑体"/>
          <w:color w:val="auto"/>
          <w:sz w:val="24"/>
          <w:highlight w:val="none"/>
        </w:rPr>
      </w:pPr>
      <w:r>
        <w:rPr>
          <w:rFonts w:hint="eastAsia" w:ascii="黑体" w:hAnsi="黑体" w:eastAsia="黑体" w:cs="黑体"/>
          <w:color w:val="auto"/>
          <w:sz w:val="24"/>
          <w:highlight w:val="none"/>
        </w:rPr>
        <w:t>本授权委托书声明：我</w:t>
      </w:r>
      <w:r>
        <w:rPr>
          <w:rFonts w:hint="eastAsia" w:ascii="黑体" w:hAnsi="黑体" w:eastAsia="黑体" w:cs="黑体"/>
          <w:color w:val="auto"/>
          <w:sz w:val="24"/>
          <w:highlight w:val="none"/>
          <w:u w:val="single"/>
        </w:rPr>
        <w:t>　　   　</w:t>
      </w:r>
      <w:r>
        <w:rPr>
          <w:rFonts w:hint="eastAsia" w:ascii="黑体" w:hAnsi="黑体" w:eastAsia="黑体" w:cs="黑体"/>
          <w:color w:val="auto"/>
          <w:sz w:val="24"/>
          <w:highlight w:val="none"/>
        </w:rPr>
        <w:t>（姓名）系</w:t>
      </w:r>
      <w:r>
        <w:rPr>
          <w:rFonts w:hint="eastAsia" w:ascii="黑体" w:hAnsi="黑体" w:eastAsia="黑体" w:cs="黑体"/>
          <w:color w:val="auto"/>
          <w:sz w:val="24"/>
          <w:highlight w:val="none"/>
          <w:u w:val="single"/>
        </w:rPr>
        <w:t>　　  　</w:t>
      </w:r>
      <w:r>
        <w:rPr>
          <w:rFonts w:hint="eastAsia" w:ascii="黑体" w:hAnsi="黑体" w:eastAsia="黑体" w:cs="黑体"/>
          <w:color w:val="auto"/>
          <w:sz w:val="24"/>
          <w:highlight w:val="none"/>
        </w:rPr>
        <w:t>（供应商名称）的法定代表人，现授权委托</w:t>
      </w:r>
      <w:r>
        <w:rPr>
          <w:rFonts w:hint="eastAsia" w:ascii="黑体" w:hAnsi="黑体" w:eastAsia="黑体" w:cs="黑体"/>
          <w:color w:val="auto"/>
          <w:sz w:val="24"/>
          <w:highlight w:val="none"/>
          <w:u w:val="single"/>
        </w:rPr>
        <w:t>　　   （</w:t>
      </w:r>
      <w:r>
        <w:rPr>
          <w:rFonts w:hint="eastAsia" w:ascii="黑体" w:hAnsi="黑体" w:eastAsia="黑体" w:cs="黑体"/>
          <w:color w:val="auto"/>
          <w:sz w:val="24"/>
          <w:highlight w:val="none"/>
        </w:rPr>
        <w:t>姓名）为我公司代理人，以本公司的名义参加本项目的谈判响应活动。代理人在开标、评标、合同谈判过程中所签署的一切文件和处理与之有关的一切事务，我均予以承认。</w:t>
      </w:r>
    </w:p>
    <w:p>
      <w:pPr>
        <w:snapToGrid w:val="0"/>
        <w:spacing w:line="500" w:lineRule="exact"/>
        <w:ind w:firstLine="484" w:firstLineChars="202"/>
        <w:rPr>
          <w:rFonts w:hint="eastAsia" w:ascii="黑体" w:hAnsi="黑体" w:eastAsia="黑体" w:cs="黑体"/>
          <w:color w:val="auto"/>
          <w:sz w:val="24"/>
          <w:highlight w:val="none"/>
        </w:rPr>
      </w:pPr>
      <w:r>
        <w:rPr>
          <w:rFonts w:hint="eastAsia" w:ascii="黑体" w:hAnsi="黑体" w:eastAsia="黑体" w:cs="黑体"/>
          <w:color w:val="auto"/>
          <w:sz w:val="24"/>
          <w:highlight w:val="none"/>
        </w:rPr>
        <w:t>被委托授权人无转委权。特此委托。</w:t>
      </w:r>
    </w:p>
    <w:p>
      <w:pPr>
        <w:snapToGrid w:val="0"/>
        <w:spacing w:line="420" w:lineRule="exact"/>
        <w:ind w:firstLine="972" w:firstLineChars="405"/>
        <w:rPr>
          <w:rFonts w:hint="eastAsia" w:ascii="黑体" w:hAnsi="黑体" w:eastAsia="黑体" w:cs="黑体"/>
          <w:color w:val="auto"/>
          <w:sz w:val="24"/>
          <w:highlight w:val="none"/>
        </w:rPr>
      </w:pPr>
    </w:p>
    <w:p>
      <w:pPr>
        <w:snapToGrid w:val="0"/>
        <w:spacing w:line="420" w:lineRule="exact"/>
        <w:ind w:firstLine="972" w:firstLineChars="405"/>
        <w:rPr>
          <w:rFonts w:hint="eastAsia" w:ascii="黑体" w:hAnsi="黑体" w:eastAsia="黑体" w:cs="黑体"/>
          <w:color w:val="auto"/>
          <w:sz w:val="24"/>
          <w:highlight w:val="none"/>
        </w:rPr>
      </w:pPr>
      <w:r>
        <w:rPr>
          <w:rFonts w:hint="eastAsia" w:ascii="黑体" w:hAnsi="黑体" w:eastAsia="黑体" w:cs="黑体"/>
          <w:color w:val="auto"/>
          <w:sz w:val="24"/>
          <w:highlight w:val="none"/>
        </w:rPr>
        <w:t>被委托授权人身份证号：</w:t>
      </w:r>
    </w:p>
    <w:p>
      <w:pPr>
        <w:snapToGrid w:val="0"/>
        <w:spacing w:line="420" w:lineRule="exact"/>
        <w:ind w:firstLine="972" w:firstLineChars="405"/>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法定代表人签字：</w:t>
      </w:r>
    </w:p>
    <w:p>
      <w:pPr>
        <w:snapToGrid w:val="0"/>
        <w:spacing w:line="420" w:lineRule="exact"/>
        <w:ind w:firstLine="972" w:firstLineChars="405"/>
        <w:rPr>
          <w:rFonts w:hint="eastAsia" w:ascii="黑体" w:hAnsi="黑体" w:eastAsia="黑体" w:cs="黑体"/>
          <w:color w:val="auto"/>
          <w:sz w:val="24"/>
          <w:highlight w:val="none"/>
        </w:rPr>
      </w:pPr>
      <w:r>
        <w:rPr>
          <w:rFonts w:hint="eastAsia" w:ascii="黑体" w:hAnsi="黑体" w:eastAsia="黑体" w:cs="黑体"/>
          <w:color w:val="auto"/>
          <w:sz w:val="24"/>
          <w:highlight w:val="none"/>
        </w:rPr>
        <w:t>被委托授权人签字：</w:t>
      </w:r>
    </w:p>
    <w:p>
      <w:pPr>
        <w:snapToGrid w:val="0"/>
        <w:spacing w:line="420" w:lineRule="exact"/>
        <w:ind w:firstLine="972" w:firstLineChars="405"/>
        <w:rPr>
          <w:rFonts w:hint="eastAsia" w:ascii="黑体" w:hAnsi="黑体" w:eastAsia="黑体" w:cs="黑体"/>
          <w:color w:val="auto"/>
          <w:sz w:val="24"/>
          <w:highlight w:val="none"/>
        </w:rPr>
      </w:pPr>
    </w:p>
    <w:p>
      <w:pPr>
        <w:snapToGrid w:val="0"/>
        <w:spacing w:line="420" w:lineRule="exact"/>
        <w:ind w:firstLine="484" w:firstLineChars="202"/>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谈判供应商（盖章）</w:t>
      </w:r>
    </w:p>
    <w:p>
      <w:pPr>
        <w:snapToGrid w:val="0"/>
        <w:spacing w:line="420" w:lineRule="exact"/>
        <w:ind w:firstLine="484" w:firstLineChars="202"/>
        <w:jc w:val="right"/>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年    月    日</w:t>
      </w:r>
    </w:p>
    <w:p>
      <w:pPr>
        <w:snapToGrid w:val="0"/>
        <w:spacing w:line="420" w:lineRule="exact"/>
        <w:ind w:firstLine="484" w:firstLineChars="202"/>
        <w:jc w:val="right"/>
        <w:rPr>
          <w:rFonts w:hint="eastAsia" w:ascii="黑体" w:hAnsi="黑体" w:eastAsia="黑体" w:cs="黑体"/>
          <w:bCs/>
          <w:color w:val="auto"/>
          <w:sz w:val="24"/>
          <w:highlight w:val="none"/>
        </w:rPr>
      </w:pPr>
    </w:p>
    <w:p>
      <w:pPr>
        <w:snapToGrid w:val="0"/>
        <w:spacing w:line="420" w:lineRule="exact"/>
        <w:ind w:firstLine="321" w:firstLineChars="134"/>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注：提供被委托授权人的身份证正反两面原件扫描件并加盖公章。</w:t>
      </w:r>
    </w:p>
    <w:p>
      <w:pPr>
        <w:jc w:val="center"/>
        <w:rPr>
          <w:rFonts w:hint="eastAsia" w:ascii="黑体" w:hAnsi="黑体" w:eastAsia="黑体" w:cs="黑体"/>
          <w:b/>
          <w:bCs/>
          <w:color w:val="auto"/>
          <w:sz w:val="28"/>
          <w:szCs w:val="28"/>
          <w:highlight w:val="none"/>
        </w:rPr>
      </w:pPr>
    </w:p>
    <w:p>
      <w:pPr>
        <w:jc w:val="center"/>
        <w:rPr>
          <w:rFonts w:hint="eastAsia" w:ascii="黑体" w:hAnsi="黑体" w:eastAsia="黑体" w:cs="黑体"/>
          <w:b/>
          <w:bCs/>
          <w:color w:val="auto"/>
          <w:sz w:val="28"/>
          <w:szCs w:val="28"/>
          <w:highlight w:val="none"/>
        </w:rPr>
      </w:pPr>
    </w:p>
    <w:p>
      <w:pPr>
        <w:pStyle w:val="41"/>
        <w:ind w:firstLine="280"/>
        <w:rPr>
          <w:rFonts w:hint="eastAsia" w:ascii="黑体" w:hAnsi="黑体" w:eastAsia="黑体" w:cs="黑体"/>
          <w:color w:val="auto"/>
          <w:highlight w:val="none"/>
        </w:rPr>
      </w:pPr>
    </w:p>
    <w:p>
      <w:pPr>
        <w:jc w:val="center"/>
        <w:rPr>
          <w:rFonts w:hint="eastAsia" w:ascii="黑体" w:hAnsi="黑体" w:eastAsia="黑体" w:cs="黑体"/>
          <w:b/>
          <w:bCs/>
          <w:color w:val="auto"/>
          <w:sz w:val="28"/>
          <w:szCs w:val="28"/>
          <w:highlight w:val="none"/>
        </w:rPr>
      </w:pPr>
    </w:p>
    <w:p>
      <w:pPr>
        <w:jc w:val="center"/>
        <w:rPr>
          <w:rFonts w:hint="eastAsia" w:ascii="黑体" w:hAnsi="黑体" w:eastAsia="黑体" w:cs="黑体"/>
          <w:b/>
          <w:color w:val="auto"/>
          <w:sz w:val="30"/>
          <w:szCs w:val="30"/>
          <w:highlight w:val="none"/>
        </w:rPr>
      </w:pPr>
      <w:r>
        <w:rPr>
          <w:rFonts w:hint="eastAsia" w:ascii="黑体" w:hAnsi="黑体" w:eastAsia="黑体" w:cs="黑体"/>
          <w:b/>
          <w:bCs/>
          <w:color w:val="auto"/>
          <w:sz w:val="28"/>
          <w:szCs w:val="28"/>
          <w:highlight w:val="none"/>
        </w:rPr>
        <w:t>3、</w:t>
      </w:r>
      <w:r>
        <w:rPr>
          <w:rFonts w:hint="eastAsia" w:ascii="黑体" w:hAnsi="黑体" w:eastAsia="黑体" w:cs="黑体"/>
          <w:b/>
          <w:color w:val="auto"/>
          <w:sz w:val="30"/>
          <w:szCs w:val="30"/>
          <w:highlight w:val="none"/>
        </w:rPr>
        <w:t>投标人符合《政府采购法》第二十二条规定条件的声明函</w:t>
      </w:r>
    </w:p>
    <w:p>
      <w:pPr>
        <w:spacing w:line="460" w:lineRule="exact"/>
        <w:rPr>
          <w:rFonts w:hint="eastAsia" w:ascii="黑体" w:hAnsi="黑体" w:eastAsia="黑体" w:cs="黑体"/>
          <w:b/>
          <w:bCs/>
          <w:color w:val="auto"/>
          <w:sz w:val="44"/>
          <w:szCs w:val="44"/>
          <w:highlight w:val="none"/>
        </w:rPr>
      </w:pPr>
    </w:p>
    <w:p>
      <w:pPr>
        <w:spacing w:line="520" w:lineRule="exact"/>
        <w:ind w:firstLine="480" w:firstLineChars="200"/>
        <w:rPr>
          <w:rFonts w:hint="eastAsia" w:ascii="黑体" w:hAnsi="黑体" w:eastAsia="黑体" w:cs="黑体"/>
          <w:b/>
          <w:bCs/>
          <w:color w:val="auto"/>
          <w:sz w:val="24"/>
          <w:highlight w:val="none"/>
        </w:rPr>
      </w:pPr>
      <w:r>
        <w:rPr>
          <w:rFonts w:hint="eastAsia" w:ascii="黑体" w:hAnsi="黑体" w:eastAsia="黑体" w:cs="黑体"/>
          <w:bCs/>
          <w:color w:val="auto"/>
          <w:sz w:val="24"/>
          <w:highlight w:val="none"/>
        </w:rPr>
        <w:t>我单位参加</w:t>
      </w:r>
      <w:r>
        <w:rPr>
          <w:rFonts w:hint="eastAsia" w:ascii="黑体" w:hAnsi="黑体" w:eastAsia="黑体" w:cs="黑体"/>
          <w:bCs/>
          <w:color w:val="auto"/>
          <w:sz w:val="24"/>
          <w:szCs w:val="21"/>
          <w:highlight w:val="none"/>
          <w:u w:val="single"/>
        </w:rPr>
        <w:t>________________ _</w:t>
      </w:r>
      <w:r>
        <w:rPr>
          <w:rFonts w:hint="eastAsia" w:ascii="黑体" w:hAnsi="黑体" w:eastAsia="黑体" w:cs="黑体"/>
          <w:bCs/>
          <w:color w:val="auto"/>
          <w:sz w:val="24"/>
          <w:szCs w:val="21"/>
          <w:highlight w:val="none"/>
        </w:rPr>
        <w:t>（项目名称），</w:t>
      </w:r>
      <w:r>
        <w:rPr>
          <w:rFonts w:hint="eastAsia" w:ascii="黑体" w:hAnsi="黑体" w:eastAsia="黑体" w:cs="黑体"/>
          <w:bCs/>
          <w:color w:val="auto"/>
          <w:sz w:val="24"/>
          <w:szCs w:val="21"/>
          <w:highlight w:val="none"/>
          <w:u w:val="single"/>
        </w:rPr>
        <w:t>_______ __________</w:t>
      </w:r>
      <w:r>
        <w:rPr>
          <w:rFonts w:hint="eastAsia" w:ascii="黑体" w:hAnsi="黑体" w:eastAsia="黑体" w:cs="黑体"/>
          <w:bCs/>
          <w:color w:val="auto"/>
          <w:sz w:val="24"/>
          <w:szCs w:val="21"/>
          <w:highlight w:val="none"/>
        </w:rPr>
        <w:t>（项目编号）投标活动。针对《中华人民共和国政府采购法》第二十二条规定做出如下声明：</w:t>
      </w:r>
    </w:p>
    <w:p>
      <w:pPr>
        <w:spacing w:line="520" w:lineRule="exact"/>
        <w:ind w:firstLine="482"/>
        <w:rPr>
          <w:rFonts w:hint="eastAsia" w:ascii="黑体" w:hAnsi="黑体" w:eastAsia="黑体" w:cs="黑体"/>
          <w:color w:val="auto"/>
          <w:sz w:val="24"/>
          <w:highlight w:val="none"/>
        </w:rPr>
      </w:pPr>
      <w:r>
        <w:rPr>
          <w:rFonts w:hint="eastAsia" w:ascii="黑体" w:hAnsi="黑体" w:eastAsia="黑体" w:cs="黑体"/>
          <w:bCs/>
          <w:color w:val="auto"/>
          <w:sz w:val="24"/>
          <w:szCs w:val="21"/>
          <w:highlight w:val="none"/>
        </w:rPr>
        <w:t>1.我单位具有独立承担民事责任的能力；</w:t>
      </w:r>
    </w:p>
    <w:p>
      <w:pP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2.我单位具有良好的商业信誉和健全的财务会计制度；</w:t>
      </w:r>
    </w:p>
    <w:p>
      <w:pP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3.我单位具有履行合同所必需的设备和专业技术能力；</w:t>
      </w:r>
    </w:p>
    <w:p>
      <w:pP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4.我单位有依法缴纳税收和社会保障资金的良好记录；</w:t>
      </w:r>
    </w:p>
    <w:p>
      <w:pP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黑体" w:hAnsi="黑体" w:eastAsia="黑体" w:cs="黑体"/>
          <w:color w:val="auto"/>
          <w:sz w:val="24"/>
          <w:highlight w:val="none"/>
        </w:rPr>
      </w:pPr>
      <w:r>
        <w:rPr>
          <w:rFonts w:hint="eastAsia" w:ascii="黑体" w:hAnsi="黑体" w:eastAsia="黑体" w:cs="黑体"/>
          <w:color w:val="auto"/>
          <w:sz w:val="24"/>
          <w:highlight w:val="none"/>
        </w:rPr>
        <w:t>6.我单位满足法律、行政法规规定的其他条件。</w:t>
      </w:r>
    </w:p>
    <w:p>
      <w:pPr>
        <w:spacing w:line="500" w:lineRule="exact"/>
        <w:ind w:firstLine="482"/>
        <w:rPr>
          <w:rFonts w:hint="eastAsia" w:ascii="黑体" w:hAnsi="黑体" w:eastAsia="黑体" w:cs="黑体"/>
          <w:color w:val="auto"/>
          <w:sz w:val="24"/>
          <w:highlight w:val="none"/>
        </w:rPr>
      </w:pPr>
    </w:p>
    <w:p>
      <w:pPr>
        <w:spacing w:line="500" w:lineRule="exact"/>
        <w:rPr>
          <w:rFonts w:hint="eastAsia" w:ascii="黑体" w:hAnsi="黑体" w:eastAsia="黑体" w:cs="黑体"/>
          <w:color w:val="auto"/>
          <w:sz w:val="24"/>
          <w:highlight w:val="none"/>
        </w:rPr>
      </w:pPr>
    </w:p>
    <w:p>
      <w:pPr>
        <w:spacing w:line="500" w:lineRule="exact"/>
        <w:rPr>
          <w:rFonts w:hint="eastAsia" w:ascii="黑体" w:hAnsi="黑体" w:eastAsia="黑体" w:cs="黑体"/>
          <w:bCs/>
          <w:color w:val="auto"/>
          <w:sz w:val="24"/>
          <w:szCs w:val="21"/>
          <w:highlight w:val="none"/>
        </w:rPr>
      </w:pPr>
    </w:p>
    <w:p>
      <w:pPr>
        <w:spacing w:line="500" w:lineRule="exact"/>
        <w:rPr>
          <w:rFonts w:hint="eastAsia" w:ascii="黑体" w:hAnsi="黑体" w:eastAsia="黑体" w:cs="黑体"/>
          <w:bCs/>
          <w:color w:val="auto"/>
          <w:sz w:val="24"/>
          <w:szCs w:val="21"/>
          <w:highlight w:val="none"/>
        </w:rPr>
      </w:pPr>
    </w:p>
    <w:p>
      <w:pPr>
        <w:spacing w:line="500" w:lineRule="exact"/>
        <w:rPr>
          <w:rFonts w:hint="eastAsia" w:ascii="黑体" w:hAnsi="黑体" w:eastAsia="黑体" w:cs="黑体"/>
          <w:bCs/>
          <w:color w:val="auto"/>
          <w:sz w:val="24"/>
          <w:szCs w:val="21"/>
          <w:highlight w:val="none"/>
        </w:rPr>
      </w:pPr>
    </w:p>
    <w:p>
      <w:pPr>
        <w:spacing w:line="460" w:lineRule="exact"/>
        <w:jc w:val="center"/>
        <w:rPr>
          <w:rFonts w:hint="eastAsia" w:ascii="黑体" w:hAnsi="黑体" w:eastAsia="黑体" w:cs="黑体"/>
          <w:bCs/>
          <w:color w:val="auto"/>
          <w:sz w:val="24"/>
          <w:szCs w:val="21"/>
          <w:highlight w:val="none"/>
        </w:rPr>
      </w:pPr>
      <w:r>
        <w:rPr>
          <w:rFonts w:hint="eastAsia" w:ascii="黑体" w:hAnsi="黑体" w:eastAsia="黑体" w:cs="黑体"/>
          <w:bCs/>
          <w:color w:val="auto"/>
          <w:sz w:val="24"/>
          <w:szCs w:val="21"/>
          <w:highlight w:val="none"/>
        </w:rPr>
        <w:t xml:space="preserve">                                             承诺人名称（公章）：</w:t>
      </w:r>
    </w:p>
    <w:p>
      <w:pPr>
        <w:spacing w:line="460" w:lineRule="exact"/>
        <w:jc w:val="right"/>
        <w:rPr>
          <w:rFonts w:hint="eastAsia" w:ascii="黑体" w:hAnsi="黑体" w:eastAsia="黑体" w:cs="黑体"/>
          <w:bCs/>
          <w:color w:val="auto"/>
          <w:sz w:val="24"/>
          <w:szCs w:val="21"/>
          <w:highlight w:val="none"/>
        </w:rPr>
      </w:pPr>
    </w:p>
    <w:p>
      <w:pPr>
        <w:pStyle w:val="76"/>
        <w:jc w:val="right"/>
        <w:rPr>
          <w:rFonts w:hint="eastAsia" w:ascii="黑体" w:hAnsi="黑体" w:eastAsia="黑体" w:cs="黑体"/>
          <w:bCs/>
          <w:color w:val="auto"/>
          <w:sz w:val="30"/>
          <w:szCs w:val="30"/>
          <w:highlight w:val="none"/>
        </w:rPr>
      </w:pPr>
      <w:r>
        <w:rPr>
          <w:rFonts w:hint="eastAsia" w:ascii="黑体" w:hAnsi="黑体" w:eastAsia="黑体" w:cs="黑体"/>
          <w:bCs/>
          <w:color w:val="auto"/>
          <w:sz w:val="24"/>
          <w:szCs w:val="21"/>
          <w:highlight w:val="none"/>
        </w:rPr>
        <w:t xml:space="preserve">                                 日期：</w:t>
      </w:r>
      <w:r>
        <w:rPr>
          <w:rFonts w:hint="eastAsia" w:ascii="黑体" w:hAnsi="黑体" w:eastAsia="黑体" w:cs="黑体"/>
          <w:bCs/>
          <w:color w:val="auto"/>
          <w:sz w:val="24"/>
          <w:szCs w:val="21"/>
          <w:highlight w:val="none"/>
          <w:u w:val="single"/>
        </w:rPr>
        <w:t>______</w:t>
      </w:r>
      <w:r>
        <w:rPr>
          <w:rFonts w:hint="eastAsia" w:ascii="黑体" w:hAnsi="黑体" w:eastAsia="黑体" w:cs="黑体"/>
          <w:bCs/>
          <w:color w:val="auto"/>
          <w:sz w:val="24"/>
          <w:szCs w:val="21"/>
          <w:highlight w:val="none"/>
        </w:rPr>
        <w:t>年月日</w:t>
      </w:r>
    </w:p>
    <w:p>
      <w:pPr>
        <w:spacing w:line="440" w:lineRule="exact"/>
        <w:ind w:firstLine="210"/>
        <w:jc w:val="center"/>
        <w:outlineLvl w:val="2"/>
        <w:rPr>
          <w:rFonts w:hint="eastAsia" w:ascii="黑体" w:hAnsi="黑体" w:eastAsia="黑体" w:cs="黑体"/>
          <w:b/>
          <w:color w:val="auto"/>
          <w:sz w:val="28"/>
          <w:szCs w:val="28"/>
          <w:highlight w:val="none"/>
        </w:rPr>
      </w:pPr>
      <w:r>
        <w:rPr>
          <w:rFonts w:hint="eastAsia" w:ascii="黑体" w:hAnsi="黑体" w:eastAsia="黑体" w:cs="黑体"/>
          <w:b/>
          <w:bCs/>
          <w:color w:val="auto"/>
          <w:sz w:val="28"/>
          <w:szCs w:val="28"/>
          <w:highlight w:val="none"/>
        </w:rPr>
        <w:br w:type="page"/>
      </w:r>
    </w:p>
    <w:p>
      <w:pPr>
        <w:snapToGrid w:val="0"/>
        <w:spacing w:line="300" w:lineRule="auto"/>
        <w:jc w:val="center"/>
        <w:outlineLvl w:val="0"/>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28"/>
          <w:szCs w:val="28"/>
          <w:highlight w:val="none"/>
        </w:rPr>
        <w:t>4、</w:t>
      </w:r>
      <w:r>
        <w:rPr>
          <w:rFonts w:hint="eastAsia" w:ascii="黑体" w:hAnsi="黑体" w:eastAsia="黑体" w:cs="黑体"/>
          <w:b/>
          <w:color w:val="auto"/>
          <w:sz w:val="32"/>
          <w:szCs w:val="32"/>
          <w:highlight w:val="none"/>
          <w:lang w:val="en-US" w:eastAsia="zh-CN"/>
        </w:rPr>
        <w:t>中小企业声明函（货物）</w:t>
      </w:r>
    </w:p>
    <w:p>
      <w:pPr>
        <w:snapToGrid w:val="0"/>
        <w:spacing w:line="360" w:lineRule="auto"/>
        <w:ind w:firstLine="480" w:firstLineChars="200"/>
        <w:outlineLvl w:val="0"/>
        <w:rPr>
          <w:rFonts w:hint="eastAsia" w:ascii="黑体" w:hAnsi="黑体" w:eastAsia="黑体" w:cs="黑体"/>
          <w:color w:val="auto"/>
          <w:sz w:val="24"/>
          <w:szCs w:val="24"/>
          <w:highlight w:val="none"/>
          <w:lang w:bidi="zh-CN"/>
        </w:rPr>
      </w:pPr>
      <w:r>
        <w:rPr>
          <w:rFonts w:hint="eastAsia" w:ascii="黑体" w:hAnsi="黑体" w:eastAsia="黑体" w:cs="黑体"/>
          <w:color w:val="auto"/>
          <w:sz w:val="24"/>
          <w:szCs w:val="24"/>
          <w:highlight w:val="none"/>
          <w:lang w:bidi="zh-CN"/>
        </w:rPr>
        <w:t>本公司（联合体）郑重声明，根据《政府采购促进中小企业发展管理办法》（财库﹝2020﹞46 号）的规定，本公司（联合体）参加</w:t>
      </w:r>
      <w:r>
        <w:rPr>
          <w:rFonts w:hint="eastAsia" w:ascii="黑体" w:hAnsi="黑体" w:eastAsia="黑体" w:cs="黑体"/>
          <w:color w:val="auto"/>
          <w:sz w:val="24"/>
          <w:szCs w:val="24"/>
          <w:highlight w:val="none"/>
          <w:u w:val="single"/>
          <w:lang w:bidi="zh-CN"/>
        </w:rPr>
        <w:t>（单位名称）</w:t>
      </w:r>
      <w:r>
        <w:rPr>
          <w:rFonts w:hint="eastAsia" w:ascii="黑体" w:hAnsi="黑体" w:eastAsia="黑体" w:cs="黑体"/>
          <w:color w:val="auto"/>
          <w:sz w:val="24"/>
          <w:szCs w:val="24"/>
          <w:highlight w:val="none"/>
          <w:lang w:bidi="zh-CN"/>
        </w:rPr>
        <w:t>的</w:t>
      </w:r>
      <w:r>
        <w:rPr>
          <w:rFonts w:hint="eastAsia" w:ascii="黑体" w:hAnsi="黑体" w:eastAsia="黑体" w:cs="黑体"/>
          <w:color w:val="auto"/>
          <w:sz w:val="24"/>
          <w:szCs w:val="24"/>
          <w:highlight w:val="none"/>
          <w:u w:val="single"/>
          <w:lang w:bidi="zh-CN"/>
        </w:rPr>
        <w:t>（项目名称）</w:t>
      </w:r>
      <w:r>
        <w:rPr>
          <w:rFonts w:hint="eastAsia" w:ascii="黑体" w:hAnsi="黑体" w:eastAsia="黑体" w:cs="黑体"/>
          <w:color w:val="auto"/>
          <w:sz w:val="24"/>
          <w:szCs w:val="24"/>
          <w:highlight w:val="none"/>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hint="eastAsia" w:ascii="黑体" w:hAnsi="黑体" w:eastAsia="黑体" w:cs="黑体"/>
          <w:color w:val="auto"/>
          <w:sz w:val="24"/>
          <w:szCs w:val="24"/>
          <w:highlight w:val="none"/>
          <w:lang w:bidi="zh-CN"/>
        </w:rPr>
      </w:pPr>
      <w:r>
        <w:rPr>
          <w:rFonts w:hint="eastAsia" w:ascii="黑体" w:hAnsi="黑体" w:eastAsia="黑体" w:cs="黑体"/>
          <w:color w:val="auto"/>
          <w:sz w:val="24"/>
          <w:szCs w:val="24"/>
          <w:highlight w:val="none"/>
          <w:lang w:bidi="zh-CN"/>
        </w:rPr>
        <w:t>1.</w:t>
      </w:r>
      <w:r>
        <w:rPr>
          <w:rFonts w:hint="eastAsia" w:ascii="黑体" w:hAnsi="黑体" w:eastAsia="黑体" w:cs="黑体"/>
          <w:color w:val="auto"/>
          <w:sz w:val="24"/>
          <w:szCs w:val="24"/>
          <w:highlight w:val="none"/>
          <w:u w:val="single"/>
          <w:lang w:bidi="zh-CN"/>
        </w:rPr>
        <w:t xml:space="preserve"> （标的名称）</w:t>
      </w:r>
      <w:r>
        <w:rPr>
          <w:rFonts w:hint="eastAsia" w:ascii="黑体" w:hAnsi="黑体" w:eastAsia="黑体" w:cs="黑体"/>
          <w:color w:val="auto"/>
          <w:sz w:val="24"/>
          <w:szCs w:val="24"/>
          <w:highlight w:val="none"/>
          <w:lang w:bidi="zh-CN"/>
        </w:rPr>
        <w:t xml:space="preserve"> ，属于</w:t>
      </w:r>
      <w:r>
        <w:rPr>
          <w:rFonts w:hint="eastAsia" w:ascii="黑体" w:hAnsi="黑体" w:eastAsia="黑体" w:cs="黑体"/>
          <w:color w:val="auto"/>
          <w:sz w:val="24"/>
          <w:szCs w:val="24"/>
          <w:highlight w:val="none"/>
          <w:u w:val="single"/>
          <w:lang w:val="en-US" w:bidi="zh-CN"/>
        </w:rPr>
        <w:t>工业</w:t>
      </w:r>
      <w:r>
        <w:rPr>
          <w:rFonts w:hint="eastAsia" w:ascii="黑体" w:hAnsi="黑体" w:eastAsia="黑体" w:cs="黑体"/>
          <w:color w:val="auto"/>
          <w:sz w:val="24"/>
          <w:szCs w:val="24"/>
          <w:highlight w:val="none"/>
          <w:u w:val="single"/>
          <w:lang w:bidi="zh-CN"/>
        </w:rPr>
        <w:t>（采购文件中明确的所属行业）</w:t>
      </w:r>
      <w:r>
        <w:rPr>
          <w:rFonts w:hint="eastAsia" w:ascii="黑体" w:hAnsi="黑体" w:eastAsia="黑体" w:cs="黑体"/>
          <w:color w:val="auto"/>
          <w:sz w:val="24"/>
          <w:szCs w:val="24"/>
          <w:highlight w:val="none"/>
          <w:lang w:bidi="zh-CN"/>
        </w:rPr>
        <w:t>行业；制造商为</w:t>
      </w:r>
      <w:r>
        <w:rPr>
          <w:rFonts w:hint="eastAsia" w:ascii="黑体" w:hAnsi="黑体" w:eastAsia="黑体" w:cs="黑体"/>
          <w:color w:val="auto"/>
          <w:sz w:val="24"/>
          <w:szCs w:val="24"/>
          <w:highlight w:val="none"/>
          <w:u w:val="single"/>
          <w:lang w:bidi="zh-CN"/>
        </w:rPr>
        <w:t>（企业名称）</w:t>
      </w:r>
      <w:r>
        <w:rPr>
          <w:rFonts w:hint="eastAsia" w:ascii="黑体" w:hAnsi="黑体" w:eastAsia="黑体" w:cs="黑体"/>
          <w:color w:val="auto"/>
          <w:sz w:val="24"/>
          <w:szCs w:val="24"/>
          <w:highlight w:val="none"/>
          <w:lang w:bidi="zh-CN"/>
        </w:rPr>
        <w:t>，从业人员</w:t>
      </w:r>
      <w:r>
        <w:rPr>
          <w:rFonts w:hint="eastAsia" w:ascii="黑体" w:hAnsi="黑体" w:eastAsia="黑体" w:cs="黑体"/>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ab/>
      </w:r>
      <w:r>
        <w:rPr>
          <w:rFonts w:hint="eastAsia" w:ascii="黑体" w:hAnsi="黑体" w:eastAsia="黑体" w:cs="黑体"/>
          <w:color w:val="auto"/>
          <w:sz w:val="24"/>
          <w:szCs w:val="24"/>
          <w:highlight w:val="none"/>
          <w:lang w:bidi="zh-CN"/>
        </w:rPr>
        <w:t>人，营业收入为</w:t>
      </w:r>
      <w:r>
        <w:rPr>
          <w:rFonts w:hint="eastAsia" w:ascii="黑体" w:hAnsi="黑体" w:eastAsia="黑体" w:cs="黑体"/>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ab/>
      </w:r>
      <w:r>
        <w:rPr>
          <w:rFonts w:hint="eastAsia" w:ascii="黑体" w:hAnsi="黑体" w:eastAsia="黑体" w:cs="黑体"/>
          <w:color w:val="auto"/>
          <w:sz w:val="24"/>
          <w:szCs w:val="24"/>
          <w:highlight w:val="none"/>
          <w:lang w:bidi="zh-CN"/>
        </w:rPr>
        <w:t>万元，资产总额为</w:t>
      </w:r>
      <w:r>
        <w:rPr>
          <w:rFonts w:hint="eastAsia" w:ascii="黑体" w:hAnsi="黑体" w:eastAsia="黑体" w:cs="黑体"/>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ab/>
      </w:r>
      <w:r>
        <w:rPr>
          <w:rFonts w:hint="eastAsia" w:ascii="黑体" w:hAnsi="黑体" w:eastAsia="黑体" w:cs="黑体"/>
          <w:color w:val="auto"/>
          <w:sz w:val="24"/>
          <w:szCs w:val="24"/>
          <w:highlight w:val="none"/>
          <w:lang w:bidi="zh-CN"/>
        </w:rPr>
        <w:t>万元，属于</w:t>
      </w:r>
      <w:r>
        <w:rPr>
          <w:rFonts w:hint="eastAsia" w:ascii="黑体" w:hAnsi="黑体" w:eastAsia="黑体" w:cs="黑体"/>
          <w:color w:val="auto"/>
          <w:sz w:val="24"/>
          <w:szCs w:val="24"/>
          <w:highlight w:val="none"/>
          <w:u w:val="single"/>
          <w:lang w:bidi="zh-CN"/>
        </w:rPr>
        <w:t>（中型企业、小型企业、微型企业）</w:t>
      </w:r>
      <w:r>
        <w:rPr>
          <w:rFonts w:hint="eastAsia" w:ascii="黑体" w:hAnsi="黑体" w:eastAsia="黑体" w:cs="黑体"/>
          <w:color w:val="auto"/>
          <w:sz w:val="24"/>
          <w:szCs w:val="24"/>
          <w:highlight w:val="none"/>
          <w:lang w:bidi="zh-CN"/>
        </w:rPr>
        <w:t>；</w:t>
      </w:r>
    </w:p>
    <w:p>
      <w:pPr>
        <w:snapToGrid w:val="0"/>
        <w:spacing w:line="360" w:lineRule="auto"/>
        <w:outlineLvl w:val="0"/>
        <w:rPr>
          <w:rFonts w:hint="eastAsia" w:ascii="黑体" w:hAnsi="黑体" w:eastAsia="黑体" w:cs="黑体"/>
          <w:color w:val="auto"/>
          <w:sz w:val="24"/>
          <w:szCs w:val="24"/>
          <w:highlight w:val="none"/>
          <w:lang w:bidi="zh-CN"/>
        </w:rPr>
      </w:pPr>
      <w:r>
        <w:rPr>
          <w:rFonts w:hint="eastAsia" w:ascii="黑体" w:hAnsi="黑体" w:eastAsia="黑体" w:cs="黑体"/>
          <w:color w:val="auto"/>
          <w:sz w:val="24"/>
          <w:szCs w:val="24"/>
          <w:highlight w:val="none"/>
          <w:lang w:bidi="zh-CN"/>
        </w:rPr>
        <w:t>2.</w:t>
      </w:r>
      <w:r>
        <w:rPr>
          <w:rFonts w:hint="eastAsia" w:ascii="黑体" w:hAnsi="黑体" w:eastAsia="黑体" w:cs="黑体"/>
          <w:i/>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 xml:space="preserve">（标的名称） </w:t>
      </w:r>
      <w:r>
        <w:rPr>
          <w:rFonts w:hint="eastAsia" w:ascii="黑体" w:hAnsi="黑体" w:eastAsia="黑体" w:cs="黑体"/>
          <w:color w:val="auto"/>
          <w:sz w:val="24"/>
          <w:szCs w:val="24"/>
          <w:highlight w:val="none"/>
          <w:lang w:bidi="zh-CN"/>
        </w:rPr>
        <w:t>，属于</w:t>
      </w:r>
      <w:r>
        <w:rPr>
          <w:rFonts w:hint="eastAsia" w:ascii="黑体" w:hAnsi="黑体" w:eastAsia="黑体" w:cs="黑体"/>
          <w:color w:val="auto"/>
          <w:sz w:val="24"/>
          <w:szCs w:val="24"/>
          <w:highlight w:val="none"/>
          <w:u w:val="single"/>
          <w:lang w:val="en-US" w:bidi="zh-CN"/>
        </w:rPr>
        <w:t>工业</w:t>
      </w:r>
      <w:r>
        <w:rPr>
          <w:rFonts w:hint="eastAsia" w:ascii="黑体" w:hAnsi="黑体" w:eastAsia="黑体" w:cs="黑体"/>
          <w:color w:val="auto"/>
          <w:sz w:val="24"/>
          <w:szCs w:val="24"/>
          <w:highlight w:val="none"/>
          <w:u w:val="single"/>
          <w:lang w:bidi="zh-CN"/>
        </w:rPr>
        <w:t>（采购文件中明确的所属行业）</w:t>
      </w:r>
      <w:r>
        <w:rPr>
          <w:rFonts w:hint="eastAsia" w:ascii="黑体" w:hAnsi="黑体" w:eastAsia="黑体" w:cs="黑体"/>
          <w:color w:val="auto"/>
          <w:sz w:val="24"/>
          <w:szCs w:val="24"/>
          <w:highlight w:val="none"/>
          <w:lang w:bidi="zh-CN"/>
        </w:rPr>
        <w:t>行业；制造商为</w:t>
      </w:r>
      <w:r>
        <w:rPr>
          <w:rFonts w:hint="eastAsia" w:ascii="黑体" w:hAnsi="黑体" w:eastAsia="黑体" w:cs="黑体"/>
          <w:color w:val="auto"/>
          <w:sz w:val="24"/>
          <w:szCs w:val="24"/>
          <w:highlight w:val="none"/>
          <w:u w:val="single"/>
          <w:lang w:bidi="zh-CN"/>
        </w:rPr>
        <w:t>（企业名称）</w:t>
      </w:r>
      <w:r>
        <w:rPr>
          <w:rFonts w:hint="eastAsia" w:ascii="黑体" w:hAnsi="黑体" w:eastAsia="黑体" w:cs="黑体"/>
          <w:color w:val="auto"/>
          <w:sz w:val="24"/>
          <w:szCs w:val="24"/>
          <w:highlight w:val="none"/>
          <w:lang w:bidi="zh-CN"/>
        </w:rPr>
        <w:t>，从业人员</w:t>
      </w:r>
      <w:r>
        <w:rPr>
          <w:rFonts w:hint="eastAsia" w:ascii="黑体" w:hAnsi="黑体" w:eastAsia="黑体" w:cs="黑体"/>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ab/>
      </w:r>
      <w:r>
        <w:rPr>
          <w:rFonts w:hint="eastAsia" w:ascii="黑体" w:hAnsi="黑体" w:eastAsia="黑体" w:cs="黑体"/>
          <w:color w:val="auto"/>
          <w:sz w:val="24"/>
          <w:szCs w:val="24"/>
          <w:highlight w:val="none"/>
          <w:lang w:bidi="zh-CN"/>
        </w:rPr>
        <w:t>人，营业收入为</w:t>
      </w:r>
      <w:r>
        <w:rPr>
          <w:rFonts w:hint="eastAsia" w:ascii="黑体" w:hAnsi="黑体" w:eastAsia="黑体" w:cs="黑体"/>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ab/>
      </w:r>
      <w:r>
        <w:rPr>
          <w:rFonts w:hint="eastAsia" w:ascii="黑体" w:hAnsi="黑体" w:eastAsia="黑体" w:cs="黑体"/>
          <w:color w:val="auto"/>
          <w:sz w:val="24"/>
          <w:szCs w:val="24"/>
          <w:highlight w:val="none"/>
          <w:lang w:bidi="zh-CN"/>
        </w:rPr>
        <w:t>万元，资产总额为</w:t>
      </w:r>
      <w:r>
        <w:rPr>
          <w:rFonts w:hint="eastAsia" w:ascii="黑体" w:hAnsi="黑体" w:eastAsia="黑体" w:cs="黑体"/>
          <w:color w:val="auto"/>
          <w:sz w:val="24"/>
          <w:szCs w:val="24"/>
          <w:highlight w:val="none"/>
          <w:u w:val="single"/>
          <w:lang w:bidi="zh-CN"/>
        </w:rPr>
        <w:t xml:space="preserve"> </w:t>
      </w:r>
      <w:r>
        <w:rPr>
          <w:rFonts w:hint="eastAsia" w:ascii="黑体" w:hAnsi="黑体" w:eastAsia="黑体" w:cs="黑体"/>
          <w:color w:val="auto"/>
          <w:sz w:val="24"/>
          <w:szCs w:val="24"/>
          <w:highlight w:val="none"/>
          <w:u w:val="single"/>
          <w:lang w:bidi="zh-CN"/>
        </w:rPr>
        <w:tab/>
      </w:r>
      <w:r>
        <w:rPr>
          <w:rFonts w:hint="eastAsia" w:ascii="黑体" w:hAnsi="黑体" w:eastAsia="黑体" w:cs="黑体"/>
          <w:color w:val="auto"/>
          <w:sz w:val="24"/>
          <w:szCs w:val="24"/>
          <w:highlight w:val="none"/>
          <w:lang w:bidi="zh-CN"/>
        </w:rPr>
        <w:t>万元，属于</w:t>
      </w:r>
      <w:r>
        <w:rPr>
          <w:rFonts w:hint="eastAsia" w:ascii="黑体" w:hAnsi="黑体" w:eastAsia="黑体" w:cs="黑体"/>
          <w:color w:val="auto"/>
          <w:sz w:val="24"/>
          <w:szCs w:val="24"/>
          <w:highlight w:val="none"/>
          <w:u w:val="single"/>
          <w:lang w:bidi="zh-CN"/>
        </w:rPr>
        <w:t>（中型企业、小型企业、微型企业）</w:t>
      </w:r>
      <w:r>
        <w:rPr>
          <w:rFonts w:hint="eastAsia" w:ascii="黑体" w:hAnsi="黑体" w:eastAsia="黑体" w:cs="黑体"/>
          <w:color w:val="auto"/>
          <w:sz w:val="24"/>
          <w:szCs w:val="24"/>
          <w:highlight w:val="none"/>
          <w:lang w:bidi="zh-CN"/>
        </w:rPr>
        <w:t>；</w:t>
      </w:r>
    </w:p>
    <w:p>
      <w:pPr>
        <w:snapToGrid w:val="0"/>
        <w:spacing w:line="360" w:lineRule="auto"/>
        <w:outlineLvl w:val="0"/>
        <w:rPr>
          <w:rFonts w:hint="eastAsia" w:ascii="黑体" w:hAnsi="黑体" w:eastAsia="黑体" w:cs="黑体"/>
          <w:b/>
          <w:bCs/>
          <w:color w:val="auto"/>
          <w:sz w:val="24"/>
          <w:szCs w:val="24"/>
          <w:highlight w:val="none"/>
          <w:lang w:val="en-US" w:eastAsia="zh-CN"/>
        </w:rPr>
      </w:pPr>
      <w:r>
        <w:rPr>
          <w:rFonts w:hint="eastAsia" w:ascii="黑体" w:hAnsi="黑体" w:eastAsia="黑体" w:cs="黑体"/>
          <w:color w:val="auto"/>
          <w:sz w:val="24"/>
          <w:szCs w:val="24"/>
          <w:highlight w:val="none"/>
          <w:lang w:bidi="zh-CN"/>
        </w:rPr>
        <w:t>……</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以上企业，不属于大企业的分支机构，不存在控股股东为大企业的情形，也不存在与大企业的负责人为同一人的情形。</w:t>
      </w:r>
    </w:p>
    <w:p>
      <w:pPr>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本企业对上述声明内容的真实性负责。如有虚假，将依法承担相应责任。</w:t>
      </w:r>
    </w:p>
    <w:p>
      <w:pPr>
        <w:spacing w:line="500" w:lineRule="exact"/>
        <w:ind w:right="1200" w:firstLine="480" w:firstLineChars="200"/>
        <w:jc w:val="right"/>
        <w:rPr>
          <w:rFonts w:hint="eastAsia" w:ascii="黑体" w:hAnsi="黑体" w:eastAsia="黑体" w:cs="黑体"/>
          <w:color w:val="auto"/>
          <w:sz w:val="24"/>
          <w:highlight w:val="none"/>
        </w:rPr>
      </w:pPr>
    </w:p>
    <w:p>
      <w:pPr>
        <w:spacing w:line="500" w:lineRule="exact"/>
        <w:ind w:right="1200" w:firstLine="480" w:firstLineChars="200"/>
        <w:jc w:val="right"/>
        <w:rPr>
          <w:rFonts w:hint="eastAsia" w:ascii="黑体" w:hAnsi="黑体" w:eastAsia="黑体" w:cs="黑体"/>
          <w:color w:val="auto"/>
          <w:sz w:val="24"/>
          <w:highlight w:val="none"/>
        </w:rPr>
      </w:pPr>
    </w:p>
    <w:p>
      <w:pPr>
        <w:spacing w:line="500" w:lineRule="exact"/>
        <w:ind w:right="1200"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企业名称（盖章）：                         </w:t>
      </w:r>
    </w:p>
    <w:p>
      <w:pPr>
        <w:spacing w:line="500" w:lineRule="exact"/>
        <w:ind w:right="960" w:firstLine="480" w:firstLineChars="20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日 期：</w:t>
      </w:r>
    </w:p>
    <w:p>
      <w:pPr>
        <w:spacing w:line="500" w:lineRule="exact"/>
        <w:ind w:firstLine="480" w:firstLineChars="200"/>
        <w:rPr>
          <w:rFonts w:hint="eastAsia" w:ascii="黑体" w:hAnsi="黑体" w:eastAsia="黑体" w:cs="黑体"/>
          <w:color w:val="auto"/>
          <w:sz w:val="24"/>
          <w:highlight w:val="none"/>
        </w:rPr>
      </w:pPr>
    </w:p>
    <w:p>
      <w:pPr>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注明：（1）从业人员、营业收入、资产总额填报上一年度数据，无上一年度数据的新成立企业可不填报。</w:t>
      </w:r>
    </w:p>
    <w:p>
      <w:pPr>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（2）中小企业应当按照按照财库（2020）46号文《政府采购促进中小企业发展管理办法》和“工信部联企业〔2011〕300号通知中的《中小企业划型标准规定》为准。如实填写并提交《中小企业声明函》。</w:t>
      </w:r>
    </w:p>
    <w:p>
      <w:pPr>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（3）残疾人福利性单位按照《关于促进残疾人就业政府采购政策的通知》（财库〔2017〕141号）有关规定执行。</w:t>
      </w:r>
    </w:p>
    <w:p>
      <w:pPr>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（4）监狱企业按照《关于政府采购支持监狱企业发展有关问题的通知》（财库【2014】68号）有关规定执行。</w:t>
      </w:r>
    </w:p>
    <w:p>
      <w:pPr>
        <w:pStyle w:val="7"/>
        <w:spacing w:line="360" w:lineRule="auto"/>
        <w:ind w:firstLine="2923" w:firstLineChars="104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r>
        <w:rPr>
          <w:rFonts w:hint="eastAsia" w:ascii="黑体" w:hAnsi="黑体" w:eastAsia="黑体" w:cs="黑体"/>
          <w:color w:val="auto"/>
          <w:sz w:val="28"/>
          <w:szCs w:val="28"/>
          <w:highlight w:val="none"/>
        </w:rPr>
        <w:t>5、投标人基本情况表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895"/>
        <w:gridCol w:w="1020"/>
        <w:gridCol w:w="1158"/>
        <w:gridCol w:w="310"/>
        <w:gridCol w:w="1244"/>
        <w:gridCol w:w="63"/>
        <w:gridCol w:w="71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投标人名称</w:t>
            </w:r>
          </w:p>
        </w:tc>
        <w:tc>
          <w:tcPr>
            <w:tcW w:w="7329" w:type="dxa"/>
            <w:gridSpan w:val="8"/>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注册地址</w:t>
            </w:r>
          </w:p>
        </w:tc>
        <w:tc>
          <w:tcPr>
            <w:tcW w:w="3383" w:type="dxa"/>
            <w:gridSpan w:val="4"/>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244"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邮政编码</w:t>
            </w:r>
          </w:p>
        </w:tc>
        <w:tc>
          <w:tcPr>
            <w:tcW w:w="2702"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联系方式</w:t>
            </w:r>
          </w:p>
        </w:tc>
        <w:tc>
          <w:tcPr>
            <w:tcW w:w="895"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联系人</w:t>
            </w:r>
          </w:p>
        </w:tc>
        <w:tc>
          <w:tcPr>
            <w:tcW w:w="2488"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244"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  话</w:t>
            </w:r>
          </w:p>
        </w:tc>
        <w:tc>
          <w:tcPr>
            <w:tcW w:w="2702"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vMerge w:val="continue"/>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895"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传  真</w:t>
            </w:r>
          </w:p>
        </w:tc>
        <w:tc>
          <w:tcPr>
            <w:tcW w:w="2488"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244"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网  址</w:t>
            </w:r>
          </w:p>
        </w:tc>
        <w:tc>
          <w:tcPr>
            <w:tcW w:w="2702"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企业统一社会信用代码</w:t>
            </w:r>
          </w:p>
        </w:tc>
        <w:tc>
          <w:tcPr>
            <w:tcW w:w="7329" w:type="dxa"/>
            <w:gridSpan w:val="8"/>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法定代表人</w:t>
            </w:r>
          </w:p>
        </w:tc>
        <w:tc>
          <w:tcPr>
            <w:tcW w:w="895"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1020"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技术职称</w:t>
            </w: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719"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电话</w:t>
            </w:r>
          </w:p>
        </w:tc>
        <w:tc>
          <w:tcPr>
            <w:tcW w:w="1920"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技术负责人</w:t>
            </w:r>
          </w:p>
        </w:tc>
        <w:tc>
          <w:tcPr>
            <w:tcW w:w="895"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1020"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技术职称</w:t>
            </w: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719"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电话</w:t>
            </w:r>
          </w:p>
        </w:tc>
        <w:tc>
          <w:tcPr>
            <w:tcW w:w="1920"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成立时间</w:t>
            </w:r>
          </w:p>
        </w:tc>
        <w:tc>
          <w:tcPr>
            <w:tcW w:w="1915"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5414" w:type="dxa"/>
            <w:gridSpan w:val="6"/>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企业资质等级</w:t>
            </w:r>
          </w:p>
        </w:tc>
        <w:tc>
          <w:tcPr>
            <w:tcW w:w="1915"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其中</w:t>
            </w: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注册建造师</w:t>
            </w:r>
          </w:p>
        </w:tc>
        <w:tc>
          <w:tcPr>
            <w:tcW w:w="2639"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营业执照号</w:t>
            </w:r>
          </w:p>
        </w:tc>
        <w:tc>
          <w:tcPr>
            <w:tcW w:w="1915"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vMerge w:val="continue"/>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高级职称人员</w:t>
            </w:r>
          </w:p>
        </w:tc>
        <w:tc>
          <w:tcPr>
            <w:tcW w:w="2639"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注册资金</w:t>
            </w:r>
          </w:p>
        </w:tc>
        <w:tc>
          <w:tcPr>
            <w:tcW w:w="1915"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vMerge w:val="continue"/>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中级职称人员</w:t>
            </w:r>
          </w:p>
        </w:tc>
        <w:tc>
          <w:tcPr>
            <w:tcW w:w="2639"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开户银行</w:t>
            </w:r>
          </w:p>
        </w:tc>
        <w:tc>
          <w:tcPr>
            <w:tcW w:w="1915"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vMerge w:val="continue"/>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初级职称人员</w:t>
            </w:r>
          </w:p>
        </w:tc>
        <w:tc>
          <w:tcPr>
            <w:tcW w:w="2639"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账号</w:t>
            </w:r>
          </w:p>
        </w:tc>
        <w:tc>
          <w:tcPr>
            <w:tcW w:w="1915"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158" w:type="dxa"/>
            <w:vMerge w:val="continue"/>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c>
          <w:tcPr>
            <w:tcW w:w="1617" w:type="dxa"/>
            <w:gridSpan w:val="3"/>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技  工</w:t>
            </w:r>
          </w:p>
        </w:tc>
        <w:tc>
          <w:tcPr>
            <w:tcW w:w="2639"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经营范围</w:t>
            </w:r>
          </w:p>
        </w:tc>
        <w:tc>
          <w:tcPr>
            <w:tcW w:w="7329" w:type="dxa"/>
            <w:gridSpan w:val="8"/>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23" w:type="dxa"/>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c>
          <w:tcPr>
            <w:tcW w:w="7329" w:type="dxa"/>
            <w:gridSpan w:val="8"/>
            <w:noWrap/>
            <w:vAlign w:val="center"/>
          </w:tcPr>
          <w:p>
            <w:pPr>
              <w:keepNext w:val="0"/>
              <w:keepLines w:val="0"/>
              <w:suppressLineNumbers w:val="0"/>
              <w:spacing w:before="0" w:beforeAutospacing="0" w:after="0" w:afterAutospacing="0" w:line="360" w:lineRule="auto"/>
              <w:ind w:left="0" w:right="0"/>
              <w:jc w:val="center"/>
              <w:rPr>
                <w:rFonts w:hint="eastAsia" w:ascii="黑体" w:hAnsi="黑体" w:eastAsia="黑体" w:cs="黑体"/>
                <w:color w:val="auto"/>
                <w:szCs w:val="21"/>
                <w:highlight w:val="none"/>
              </w:rPr>
            </w:pPr>
          </w:p>
        </w:tc>
      </w:tr>
    </w:tbl>
    <w:p>
      <w:pPr>
        <w:pStyle w:val="7"/>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6、资格证明材料所含内容的所有扫描件（加盖公章）</w:t>
      </w:r>
    </w:p>
    <w:p>
      <w:pPr>
        <w:pStyle w:val="7"/>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7、响应供应商认为其他必要的材料</w:t>
      </w:r>
    </w:p>
    <w:p>
      <w:pPr>
        <w:pStyle w:val="6"/>
        <w:spacing w:line="360" w:lineRule="auto"/>
        <w:rPr>
          <w:rFonts w:hint="eastAsia" w:ascii="黑体" w:hAnsi="黑体" w:eastAsia="黑体" w:cs="黑体"/>
          <w:bCs/>
          <w:color w:val="auto"/>
          <w:sz w:val="30"/>
          <w:szCs w:val="30"/>
          <w:highlight w:val="none"/>
        </w:rPr>
      </w:pPr>
      <w:r>
        <w:rPr>
          <w:rFonts w:hint="eastAsia" w:ascii="黑体" w:hAnsi="黑体" w:eastAsia="黑体" w:cs="黑体"/>
          <w:color w:val="auto"/>
          <w:sz w:val="28"/>
          <w:highlight w:val="none"/>
        </w:rPr>
        <w:br w:type="page"/>
      </w:r>
      <w:bookmarkEnd w:id="0"/>
      <w:bookmarkEnd w:id="1"/>
      <w:bookmarkEnd w:id="2"/>
      <w:bookmarkEnd w:id="3"/>
    </w:p>
    <w:p>
      <w:pPr>
        <w:spacing w:line="460" w:lineRule="exact"/>
        <w:ind w:firstLine="600" w:firstLineChars="200"/>
        <w:jc w:val="center"/>
        <w:rPr>
          <w:rFonts w:hint="eastAsia"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第二部分  报价标文件</w:t>
      </w:r>
      <w:r>
        <w:rPr>
          <w:rFonts w:hint="eastAsia" w:ascii="黑体" w:hAnsi="黑体" w:eastAsia="黑体" w:cs="黑体"/>
          <w:b/>
          <w:color w:val="auto"/>
          <w:sz w:val="30"/>
          <w:szCs w:val="30"/>
          <w:highlight w:val="none"/>
        </w:rPr>
        <w:t>（单独加密）</w:t>
      </w:r>
    </w:p>
    <w:p>
      <w:pPr>
        <w:spacing w:line="440" w:lineRule="exact"/>
        <w:jc w:val="center"/>
        <w:rPr>
          <w:rFonts w:hint="eastAsia" w:ascii="黑体" w:hAnsi="黑体" w:eastAsia="黑体" w:cs="黑体"/>
          <w:color w:val="auto"/>
          <w:sz w:val="32"/>
          <w:szCs w:val="32"/>
          <w:highlight w:val="none"/>
        </w:rPr>
      </w:pPr>
    </w:p>
    <w:p>
      <w:pPr>
        <w:spacing w:line="44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spacing w:line="440" w:lineRule="exact"/>
        <w:jc w:val="center"/>
        <w:rPr>
          <w:rFonts w:hint="eastAsia" w:ascii="黑体" w:hAnsi="黑体" w:eastAsia="黑体" w:cs="黑体"/>
          <w:color w:val="auto"/>
          <w:sz w:val="36"/>
          <w:szCs w:val="36"/>
          <w:highlight w:val="none"/>
        </w:rPr>
      </w:pPr>
    </w:p>
    <w:p>
      <w:pPr>
        <w:spacing w:line="440" w:lineRule="exact"/>
        <w:jc w:val="center"/>
        <w:rPr>
          <w:rFonts w:hint="eastAsia" w:ascii="黑体" w:hAnsi="黑体" w:eastAsia="黑体" w:cs="黑体"/>
          <w:color w:val="auto"/>
          <w:sz w:val="36"/>
          <w:szCs w:val="36"/>
          <w:highlight w:val="none"/>
        </w:rPr>
      </w:pPr>
    </w:p>
    <w:p>
      <w:pPr>
        <w:spacing w:line="460" w:lineRule="exact"/>
        <w:ind w:firstLine="470" w:firstLineChars="196"/>
        <w:rPr>
          <w:rFonts w:hint="eastAsia" w:ascii="黑体" w:hAnsi="黑体" w:eastAsia="黑体" w:cs="黑体"/>
          <w:color w:val="auto"/>
          <w:sz w:val="24"/>
          <w:highlight w:val="none"/>
        </w:rPr>
      </w:pPr>
      <w:r>
        <w:rPr>
          <w:rFonts w:hint="eastAsia" w:ascii="黑体" w:hAnsi="黑体" w:eastAsia="黑体" w:cs="黑体"/>
          <w:color w:val="auto"/>
          <w:sz w:val="24"/>
          <w:highlight w:val="none"/>
        </w:rPr>
        <w:t>1、封面</w:t>
      </w:r>
    </w:p>
    <w:p>
      <w:pPr>
        <w:spacing w:line="440" w:lineRule="exact"/>
        <w:ind w:left="426"/>
        <w:rPr>
          <w:rFonts w:hint="eastAsia" w:ascii="黑体" w:hAnsi="黑体" w:eastAsia="黑体" w:cs="黑体"/>
          <w:bCs/>
          <w:color w:val="auto"/>
          <w:sz w:val="24"/>
          <w:highlight w:val="none"/>
        </w:rPr>
      </w:pPr>
      <w:r>
        <w:rPr>
          <w:rFonts w:hint="eastAsia" w:ascii="黑体" w:hAnsi="黑体" w:eastAsia="黑体" w:cs="黑体"/>
          <w:color w:val="auto"/>
          <w:sz w:val="24"/>
          <w:highlight w:val="none"/>
        </w:rPr>
        <w:t>2、</w:t>
      </w:r>
      <w:r>
        <w:rPr>
          <w:rFonts w:hint="eastAsia" w:ascii="黑体" w:hAnsi="黑体" w:eastAsia="黑体" w:cs="黑体"/>
          <w:bCs/>
          <w:color w:val="auto"/>
          <w:sz w:val="24"/>
          <w:highlight w:val="none"/>
        </w:rPr>
        <w:t>谈判响应报价（首次）总表</w:t>
      </w:r>
    </w:p>
    <w:p>
      <w:pPr>
        <w:spacing w:line="440" w:lineRule="exact"/>
        <w:ind w:left="426"/>
        <w:rPr>
          <w:rFonts w:hint="eastAsia" w:ascii="黑体" w:hAnsi="黑体" w:eastAsia="黑体" w:cs="黑体"/>
          <w:bCs/>
          <w:color w:val="auto"/>
          <w:sz w:val="24"/>
          <w:highlight w:val="none"/>
          <w:lang w:val="en-US" w:eastAsia="zh-CN"/>
        </w:rPr>
      </w:pPr>
      <w:r>
        <w:rPr>
          <w:rFonts w:hint="eastAsia" w:ascii="黑体" w:hAnsi="黑体" w:eastAsia="黑体" w:cs="黑体"/>
          <w:bCs/>
          <w:color w:val="auto"/>
          <w:sz w:val="24"/>
          <w:highlight w:val="none"/>
          <w:lang w:val="en-US" w:eastAsia="zh-CN"/>
        </w:rPr>
        <w:t>3、分项报价表</w:t>
      </w:r>
    </w:p>
    <w:p>
      <w:pPr>
        <w:pStyle w:val="41"/>
        <w:ind w:firstLine="360" w:firstLineChars="150"/>
        <w:rPr>
          <w:rFonts w:hint="eastAsia" w:ascii="黑体" w:hAnsi="黑体" w:eastAsia="黑体" w:cs="黑体"/>
          <w:bCs/>
          <w:color w:val="auto"/>
          <w:sz w:val="24"/>
          <w:highlight w:val="none"/>
        </w:rPr>
      </w:pPr>
      <w:r>
        <w:rPr>
          <w:rFonts w:hint="eastAsia" w:ascii="黑体" w:hAnsi="黑体" w:eastAsia="黑体" w:cs="黑体"/>
          <w:bCs/>
          <w:color w:val="auto"/>
          <w:sz w:val="24"/>
          <w:highlight w:val="none"/>
          <w:lang w:val="en-US" w:eastAsia="zh-CN"/>
        </w:rPr>
        <w:t>4</w:t>
      </w:r>
      <w:r>
        <w:rPr>
          <w:rFonts w:hint="eastAsia" w:ascii="黑体" w:hAnsi="黑体" w:eastAsia="黑体" w:cs="黑体"/>
          <w:bCs/>
          <w:color w:val="auto"/>
          <w:sz w:val="24"/>
          <w:highlight w:val="none"/>
        </w:rPr>
        <w:t>、《商务部分正负偏离表》和《技术部分正负偏离表》</w:t>
      </w:r>
    </w:p>
    <w:p>
      <w:pPr>
        <w:spacing w:line="360" w:lineRule="auto"/>
        <w:ind w:firstLine="360" w:firstLineChars="150"/>
        <w:rPr>
          <w:rFonts w:hint="eastAsia" w:ascii="黑体" w:hAnsi="黑体" w:eastAsia="黑体" w:cs="黑体"/>
          <w:bCs/>
          <w:color w:val="auto"/>
          <w:sz w:val="24"/>
          <w:highlight w:val="none"/>
        </w:rPr>
      </w:pPr>
      <w:r>
        <w:rPr>
          <w:rFonts w:hint="eastAsia" w:ascii="黑体" w:hAnsi="黑体" w:eastAsia="黑体" w:cs="黑体"/>
          <w:bCs/>
          <w:color w:val="auto"/>
          <w:sz w:val="24"/>
          <w:highlight w:val="none"/>
          <w:lang w:val="en-US" w:eastAsia="zh-CN"/>
        </w:rPr>
        <w:t>5</w:t>
      </w:r>
      <w:r>
        <w:rPr>
          <w:rFonts w:hint="eastAsia" w:ascii="黑体" w:hAnsi="黑体" w:eastAsia="黑体" w:cs="黑体"/>
          <w:bCs/>
          <w:color w:val="auto"/>
          <w:sz w:val="24"/>
          <w:highlight w:val="none"/>
        </w:rPr>
        <w:t>、供应商响应文件报价表（最终）</w:t>
      </w:r>
    </w:p>
    <w:p>
      <w:pPr>
        <w:pStyle w:val="16"/>
        <w:rPr>
          <w:rFonts w:hint="eastAsia" w:ascii="黑体" w:hAnsi="黑体" w:eastAsia="黑体" w:cs="黑体"/>
          <w:color w:val="auto"/>
          <w:sz w:val="24"/>
          <w:szCs w:val="24"/>
          <w:highlight w:val="none"/>
        </w:rPr>
      </w:pPr>
    </w:p>
    <w:p>
      <w:pPr>
        <w:pStyle w:val="16"/>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明：1.供应商响应文件报价表（最终），此表投标报价请空着，根据招标代理人员开标现场要求，在规定时间内填写好并加盖响应单位公章后原件扫描提交给代理指定电子邮箱。在规定时间内未提供或未按照要求提交的，经谈判小组核实后，报价标不予得分。</w:t>
      </w:r>
    </w:p>
    <w:p>
      <w:pPr>
        <w:snapToGrid w:val="0"/>
        <w:spacing w:line="300" w:lineRule="auto"/>
        <w:ind w:firstLine="1340" w:firstLineChars="445"/>
        <w:contextualSpacing/>
        <w:jc w:val="left"/>
        <w:rPr>
          <w:rFonts w:hint="eastAsia" w:ascii="黑体" w:hAnsi="黑体" w:eastAsia="黑体" w:cs="黑体"/>
          <w:b/>
          <w:bCs/>
          <w:color w:val="auto"/>
          <w:sz w:val="30"/>
          <w:szCs w:val="30"/>
          <w:highlight w:val="none"/>
          <w:u w:val="single"/>
        </w:rPr>
      </w:pPr>
      <w:r>
        <w:rPr>
          <w:rFonts w:hint="eastAsia" w:ascii="黑体" w:hAnsi="黑体" w:eastAsia="黑体" w:cs="黑体"/>
          <w:b/>
          <w:bCs/>
          <w:color w:val="auto"/>
          <w:sz w:val="30"/>
          <w:szCs w:val="30"/>
          <w:highlight w:val="none"/>
          <w:u w:val="single"/>
        </w:rPr>
        <w:t>2.响应供应商在提交的报价标中未按本竞谈文件要求提供商务部分正负偏离表和技术部分正负偏离表的响应单位，经谈判小组核实后，不得进入最终报价，报价标做无效标处理。</w:t>
      </w:r>
    </w:p>
    <w:p>
      <w:pPr>
        <w:snapToGrid w:val="0"/>
        <w:spacing w:line="400" w:lineRule="exact"/>
        <w:ind w:firstLine="578" w:firstLineChars="192"/>
        <w:contextualSpacing/>
        <w:rPr>
          <w:rFonts w:hint="eastAsia" w:ascii="黑体" w:hAnsi="黑体" w:eastAsia="黑体" w:cs="黑体"/>
          <w:b/>
          <w:color w:val="auto"/>
          <w:kern w:val="0"/>
          <w:sz w:val="30"/>
          <w:szCs w:val="30"/>
          <w:highlight w:val="none"/>
        </w:rPr>
      </w:pPr>
    </w:p>
    <w:p>
      <w:pPr>
        <w:snapToGrid w:val="0"/>
        <w:spacing w:line="300" w:lineRule="auto"/>
        <w:ind w:firstLine="1113" w:firstLineChars="396"/>
        <w:contextualSpacing/>
        <w:jc w:val="left"/>
        <w:rPr>
          <w:rFonts w:hint="eastAsia" w:ascii="黑体" w:hAnsi="黑体" w:eastAsia="黑体" w:cs="黑体"/>
          <w:b/>
          <w:color w:val="auto"/>
          <w:kern w:val="0"/>
          <w:sz w:val="28"/>
          <w:szCs w:val="28"/>
          <w:highlight w:val="none"/>
        </w:rPr>
      </w:pPr>
    </w:p>
    <w:p>
      <w:pPr>
        <w:pStyle w:val="41"/>
        <w:ind w:firstLine="280"/>
        <w:rPr>
          <w:rFonts w:hint="eastAsia" w:ascii="黑体" w:hAnsi="黑体" w:eastAsia="黑体" w:cs="黑体"/>
          <w:color w:val="auto"/>
          <w:highlight w:val="none"/>
        </w:rPr>
      </w:pPr>
    </w:p>
    <w:p>
      <w:pPr>
        <w:snapToGrid w:val="0"/>
        <w:spacing w:beforeLines="100" w:line="420" w:lineRule="exact"/>
        <w:jc w:val="center"/>
        <w:outlineLvl w:val="3"/>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pStyle w:val="76"/>
        <w:rPr>
          <w:rFonts w:hint="eastAsia" w:ascii="黑体" w:hAnsi="黑体" w:eastAsia="黑体" w:cs="黑体"/>
          <w:color w:val="auto"/>
          <w:sz w:val="28"/>
          <w:szCs w:val="28"/>
          <w:highlight w:val="none"/>
        </w:rPr>
      </w:pPr>
    </w:p>
    <w:p>
      <w:pPr>
        <w:jc w:val="center"/>
        <w:rPr>
          <w:rFonts w:hint="eastAsia" w:ascii="黑体" w:hAnsi="黑体" w:eastAsia="黑体" w:cs="黑体"/>
          <w:b/>
          <w:color w:val="auto"/>
          <w:sz w:val="28"/>
          <w:szCs w:val="28"/>
          <w:highlight w:val="none"/>
        </w:rPr>
      </w:pPr>
    </w:p>
    <w:p>
      <w:pPr>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1、谈判响应报价（首次）总表</w:t>
      </w:r>
    </w:p>
    <w:p>
      <w:pPr>
        <w:ind w:firstLine="645"/>
        <w:rPr>
          <w:rFonts w:hint="eastAsia" w:ascii="黑体" w:hAnsi="黑体" w:eastAsia="黑体" w:cs="黑体"/>
          <w:color w:val="auto"/>
          <w:sz w:val="24"/>
          <w:highlight w:val="none"/>
        </w:rPr>
      </w:pPr>
    </w:p>
    <w:p>
      <w:pPr>
        <w:snapToGrid w:val="0"/>
        <w:spacing w:line="420" w:lineRule="exact"/>
        <w:ind w:left="1207" w:leftChars="342" w:hanging="489" w:hangingChars="204"/>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项目编号：</w:t>
      </w:r>
    </w:p>
    <w:p>
      <w:pPr>
        <w:snapToGrid w:val="0"/>
        <w:spacing w:line="420" w:lineRule="exact"/>
        <w:ind w:left="1214" w:hanging="1214" w:hangingChars="506"/>
        <w:rPr>
          <w:rFonts w:hint="eastAsia" w:ascii="黑体" w:hAnsi="黑体" w:eastAsia="黑体" w:cs="黑体"/>
          <w:bCs/>
          <w:color w:val="auto"/>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00"/>
        <w:gridCol w:w="5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kinsoku w:val="0"/>
              <w:topLinePunct/>
              <w:snapToGrid w:val="0"/>
              <w:spacing w:before="0" w:beforeAutospacing="0" w:after="0" w:afterAutospacing="0" w:line="420" w:lineRule="exact"/>
              <w:ind w:left="0" w:right="0"/>
              <w:jc w:val="center"/>
              <w:rPr>
                <w:rFonts w:hint="eastAsia" w:ascii="黑体" w:hAnsi="黑体" w:eastAsia="黑体" w:cs="黑体"/>
                <w:color w:val="auto"/>
                <w:sz w:val="24"/>
                <w:highlight w:val="none"/>
                <w:lang w:eastAsia="en-US"/>
              </w:rPr>
            </w:pPr>
            <w:r>
              <w:rPr>
                <w:rFonts w:hint="eastAsia" w:ascii="黑体" w:hAnsi="黑体" w:eastAsia="黑体" w:cs="黑体"/>
                <w:color w:val="auto"/>
                <w:sz w:val="24"/>
                <w:highlight w:val="none"/>
                <w:lang w:eastAsia="en-US"/>
              </w:rPr>
              <w:t>项目名称</w:t>
            </w:r>
          </w:p>
        </w:tc>
        <w:tc>
          <w:tcPr>
            <w:tcW w:w="54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kinsoku w:val="0"/>
              <w:topLinePunct/>
              <w:snapToGrid w:val="0"/>
              <w:spacing w:before="0" w:beforeAutospacing="0" w:after="0" w:afterAutospacing="0" w:line="42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谈判总报</w:t>
            </w:r>
            <w:r>
              <w:rPr>
                <w:rFonts w:hint="eastAsia" w:ascii="黑体" w:hAnsi="黑体" w:eastAsia="黑体" w:cs="黑体"/>
                <w:color w:val="auto"/>
                <w:sz w:val="24"/>
                <w:highlight w:val="none"/>
                <w:lang w:eastAsia="en-US"/>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9" w:hRule="atLeast"/>
          <w:jc w:val="center"/>
        </w:trPr>
        <w:tc>
          <w:tcPr>
            <w:tcW w:w="320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520" w:lineRule="exact"/>
              <w:ind w:left="1" w:right="0"/>
              <w:jc w:val="left"/>
              <w:textAlignment w:val="bottom"/>
              <w:rPr>
                <w:rFonts w:hint="eastAsia" w:ascii="黑体" w:hAnsi="黑体" w:eastAsia="黑体" w:cs="黑体"/>
                <w:b/>
                <w:bCs/>
                <w:color w:val="auto"/>
                <w:kern w:val="0"/>
                <w:sz w:val="24"/>
                <w:highlight w:val="none"/>
              </w:rPr>
            </w:pPr>
          </w:p>
        </w:tc>
        <w:tc>
          <w:tcPr>
            <w:tcW w:w="54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520" w:lineRule="exact"/>
              <w:ind w:left="1" w:right="0" w:firstLine="31" w:firstLineChars="11"/>
              <w:textAlignment w:val="bottom"/>
              <w:rPr>
                <w:rFonts w:hint="eastAsia"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大写：人民币</w:t>
            </w:r>
          </w:p>
          <w:p>
            <w:pPr>
              <w:keepNext w:val="0"/>
              <w:keepLines w:val="0"/>
              <w:suppressLineNumbers w:val="0"/>
              <w:spacing w:before="0" w:beforeAutospacing="0" w:after="0" w:afterAutospacing="0" w:line="520" w:lineRule="exact"/>
              <w:ind w:left="1" w:right="0" w:firstLine="31" w:firstLineChars="11"/>
              <w:textAlignment w:val="bottom"/>
              <w:rPr>
                <w:rFonts w:hint="eastAsia" w:ascii="黑体" w:hAnsi="黑体" w:eastAsia="黑体" w:cs="黑体"/>
                <w:color w:val="auto"/>
                <w:kern w:val="0"/>
                <w:sz w:val="24"/>
                <w:highlight w:val="none"/>
              </w:rPr>
            </w:pPr>
            <w:r>
              <w:rPr>
                <w:rFonts w:hint="eastAsia" w:ascii="黑体" w:hAnsi="黑体" w:eastAsia="黑体" w:cs="黑体"/>
                <w:b/>
                <w:color w:val="auto"/>
                <w:kern w:val="0"/>
                <w:sz w:val="28"/>
                <w:szCs w:val="28"/>
                <w:highlight w:val="none"/>
              </w:rPr>
              <w:t>小写：¥</w:t>
            </w:r>
          </w:p>
        </w:tc>
      </w:tr>
    </w:tbl>
    <w:p>
      <w:pPr>
        <w:snapToGrid w:val="0"/>
        <w:spacing w:line="420" w:lineRule="exact"/>
        <w:ind w:left="1214" w:hanging="1214" w:hangingChars="506"/>
        <w:rPr>
          <w:rFonts w:hint="eastAsia" w:ascii="黑体" w:hAnsi="黑体" w:eastAsia="黑体" w:cs="黑体"/>
          <w:color w:val="auto"/>
          <w:sz w:val="24"/>
          <w:highlight w:val="none"/>
        </w:rPr>
      </w:pPr>
    </w:p>
    <w:p>
      <w:pPr>
        <w:kinsoku w:val="0"/>
        <w:topLinePunct/>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谈判供应商：（盖章）             </w:t>
      </w:r>
    </w:p>
    <w:p>
      <w:pPr>
        <w:kinsoku w:val="0"/>
        <w:topLinePunct/>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法定代表人或被委托授权人（签字）：</w:t>
      </w:r>
    </w:p>
    <w:p>
      <w:pPr>
        <w:kinsoku w:val="0"/>
        <w:topLinePunct/>
        <w:snapToGrid w:val="0"/>
        <w:spacing w:line="42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日期：</w:t>
      </w:r>
    </w:p>
    <w:p>
      <w:pPr>
        <w:jc w:val="center"/>
        <w:rPr>
          <w:rFonts w:hint="eastAsia" w:ascii="黑体" w:hAnsi="黑体" w:eastAsia="黑体" w:cs="黑体"/>
          <w:b/>
          <w:color w:val="auto"/>
          <w:sz w:val="32"/>
          <w:szCs w:val="32"/>
          <w:highlight w:val="none"/>
        </w:rPr>
      </w:pPr>
    </w:p>
    <w:p>
      <w:pPr>
        <w:pStyle w:val="42"/>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注明：</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本项目专门面向中小企业，不享受价格扣除优惠政策。</w:t>
      </w:r>
    </w:p>
    <w:p>
      <w:pPr>
        <w:pStyle w:val="17"/>
        <w:spacing w:after="0" w:line="400" w:lineRule="exact"/>
        <w:ind w:left="0" w:leftChars="0" w:firstLine="480" w:firstLineChars="200"/>
        <w:rPr>
          <w:rFonts w:hint="eastAsia" w:ascii="黑体" w:hAnsi="黑体" w:eastAsia="黑体" w:cs="黑体"/>
          <w:bCs/>
          <w:iCs/>
          <w:color w:val="auto"/>
          <w:sz w:val="24"/>
          <w:szCs w:val="24"/>
          <w:highlight w:val="none"/>
        </w:rPr>
      </w:pPr>
      <w:r>
        <w:rPr>
          <w:rFonts w:hint="eastAsia" w:ascii="黑体" w:hAnsi="黑体" w:eastAsia="黑体" w:cs="黑体"/>
          <w:bCs/>
          <w:iCs/>
          <w:color w:val="auto"/>
          <w:sz w:val="24"/>
          <w:szCs w:val="24"/>
          <w:highlight w:val="none"/>
          <w:lang w:val="en-US" w:eastAsia="zh-CN"/>
        </w:rPr>
        <w:t>2.本项目投标报价为总价报价，投标</w:t>
      </w:r>
      <w:r>
        <w:rPr>
          <w:rFonts w:hint="eastAsia" w:ascii="黑体" w:hAnsi="黑体" w:eastAsia="黑体" w:cs="黑体"/>
          <w:bCs/>
          <w:iCs/>
          <w:color w:val="auto"/>
          <w:sz w:val="24"/>
          <w:szCs w:val="24"/>
          <w:highlight w:val="none"/>
        </w:rPr>
        <w:t>报价包括设备价格、附件和随机备件价格等完成安装所需的全部材料费、包装费、运杂费、运输保险费、资料费、安装费、调试费、检测费、配合费、保险、利润、税金、对采购人操作维护人员的培训费、合同包含的所有风险、责任等及投标人认为需要的其他费用等。</w:t>
      </w:r>
    </w:p>
    <w:p>
      <w:pPr>
        <w:snapToGrid w:val="0"/>
        <w:spacing w:line="420" w:lineRule="exact"/>
        <w:jc w:val="left"/>
        <w:rPr>
          <w:rFonts w:hint="eastAsia" w:ascii="黑体" w:hAnsi="黑体" w:eastAsia="黑体" w:cs="黑体"/>
          <w:color w:val="auto"/>
          <w:sz w:val="24"/>
          <w:highlight w:val="none"/>
        </w:rPr>
      </w:pPr>
    </w:p>
    <w:p>
      <w:pPr>
        <w:jc w:val="center"/>
        <w:rPr>
          <w:rFonts w:hint="eastAsia" w:ascii="黑体" w:hAnsi="黑体" w:eastAsia="黑体" w:cs="黑体"/>
          <w:b/>
          <w:color w:val="auto"/>
          <w:sz w:val="32"/>
          <w:szCs w:val="32"/>
          <w:highlight w:val="none"/>
        </w:rPr>
      </w:pPr>
    </w:p>
    <w:p>
      <w:pPr>
        <w:jc w:val="center"/>
        <w:rPr>
          <w:rFonts w:hint="eastAsia" w:ascii="黑体" w:hAnsi="黑体" w:eastAsia="黑体" w:cs="黑体"/>
          <w:b/>
          <w:color w:val="auto"/>
          <w:sz w:val="32"/>
          <w:szCs w:val="32"/>
          <w:highlight w:val="none"/>
        </w:rPr>
      </w:pPr>
    </w:p>
    <w:p>
      <w:pPr>
        <w:jc w:val="center"/>
        <w:rPr>
          <w:rFonts w:hint="eastAsia" w:ascii="黑体" w:hAnsi="黑体" w:eastAsia="黑体" w:cs="黑体"/>
          <w:b/>
          <w:color w:val="auto"/>
          <w:sz w:val="32"/>
          <w:szCs w:val="32"/>
          <w:highlight w:val="none"/>
        </w:rPr>
      </w:pPr>
    </w:p>
    <w:p>
      <w:pPr>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br w:type="page"/>
      </w:r>
      <w:r>
        <w:rPr>
          <w:rFonts w:hint="eastAsia" w:ascii="黑体" w:hAnsi="黑体" w:eastAsia="黑体" w:cs="黑体"/>
          <w:b/>
          <w:color w:val="auto"/>
          <w:sz w:val="32"/>
          <w:szCs w:val="32"/>
          <w:highlight w:val="none"/>
          <w:lang w:val="en-US" w:eastAsia="zh-CN"/>
        </w:rPr>
        <w:t>2、</w:t>
      </w:r>
      <w:r>
        <w:rPr>
          <w:rFonts w:hint="eastAsia" w:ascii="黑体" w:hAnsi="黑体" w:eastAsia="黑体" w:cs="黑体"/>
          <w:b/>
          <w:color w:val="auto"/>
          <w:sz w:val="32"/>
          <w:szCs w:val="32"/>
          <w:highlight w:val="none"/>
        </w:rPr>
        <w:t>分项报价表</w:t>
      </w:r>
    </w:p>
    <w:p>
      <w:pPr>
        <w:spacing w:line="460" w:lineRule="exact"/>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项目名称：</w:t>
      </w:r>
    </w:p>
    <w:tbl>
      <w:tblPr>
        <w:tblStyle w:val="43"/>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5"/>
        <w:gridCol w:w="992"/>
        <w:gridCol w:w="992"/>
        <w:gridCol w:w="1701"/>
        <w:gridCol w:w="851"/>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序号</w:t>
            </w:r>
          </w:p>
        </w:tc>
        <w:tc>
          <w:tcPr>
            <w:tcW w:w="160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设备名称</w:t>
            </w: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lang w:val="en-US" w:eastAsia="zh-CN"/>
              </w:rPr>
            </w:pPr>
            <w:r>
              <w:rPr>
                <w:rFonts w:hint="eastAsia" w:ascii="黑体" w:hAnsi="黑体" w:eastAsia="黑体" w:cs="黑体"/>
                <w:b/>
                <w:bCs/>
                <w:color w:val="auto"/>
                <w:highlight w:val="none"/>
                <w:lang w:val="en-US" w:eastAsia="zh-CN"/>
              </w:rPr>
              <w:t>款型</w:t>
            </w: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所投品牌</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lang w:val="en-US" w:eastAsia="zh-CN"/>
              </w:rPr>
              <w:t>技术参数及</w:t>
            </w:r>
            <w:r>
              <w:rPr>
                <w:rFonts w:hint="eastAsia" w:ascii="黑体" w:hAnsi="黑体" w:eastAsia="黑体" w:cs="黑体"/>
                <w:b/>
                <w:bCs/>
                <w:color w:val="auto"/>
                <w:highlight w:val="none"/>
              </w:rPr>
              <w:t>规格型号</w:t>
            </w: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数量</w:t>
            </w: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单位</w:t>
            </w:r>
          </w:p>
        </w:tc>
        <w:tc>
          <w:tcPr>
            <w:tcW w:w="851"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单价（元）</w:t>
            </w: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b/>
                <w:bCs/>
                <w:color w:val="auto"/>
                <w:highlight w:val="none"/>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60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60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60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60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60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851"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9" w:type="dxa"/>
            <w:gridSpan w:val="6"/>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highlight w:val="none"/>
              </w:rPr>
            </w:pPr>
            <w:r>
              <w:rPr>
                <w:rFonts w:hint="eastAsia" w:ascii="黑体" w:hAnsi="黑体" w:eastAsia="黑体" w:cs="黑体"/>
                <w:color w:val="auto"/>
                <w:sz w:val="24"/>
                <w:szCs w:val="24"/>
                <w:highlight w:val="none"/>
              </w:rPr>
              <w:t>合  计</w:t>
            </w:r>
          </w:p>
        </w:tc>
        <w:tc>
          <w:tcPr>
            <w:tcW w:w="992" w:type="dxa"/>
            <w:noWrap w:val="0"/>
            <w:vAlign w:val="top"/>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highlight w:val="none"/>
              </w:rPr>
            </w:pPr>
          </w:p>
        </w:tc>
        <w:tc>
          <w:tcPr>
            <w:tcW w:w="1843" w:type="dxa"/>
            <w:gridSpan w:val="2"/>
            <w:noWrap w:val="0"/>
            <w:vAlign w:val="top"/>
          </w:tcPr>
          <w:p>
            <w:pPr>
              <w:keepNext w:val="0"/>
              <w:keepLines w:val="0"/>
              <w:suppressLineNumbers w:val="0"/>
              <w:spacing w:before="0" w:beforeAutospacing="0" w:after="0" w:afterAutospacing="0" w:line="360" w:lineRule="auto"/>
              <w:ind w:left="0" w:right="0"/>
              <w:rPr>
                <w:rFonts w:hint="eastAsia" w:ascii="黑体" w:hAnsi="黑体" w:eastAsia="黑体" w:cs="黑体"/>
                <w:color w:val="auto"/>
                <w:sz w:val="24"/>
                <w:szCs w:val="24"/>
                <w:highlight w:val="none"/>
              </w:rPr>
            </w:pPr>
          </w:p>
        </w:tc>
      </w:tr>
    </w:tbl>
    <w:p>
      <w:pPr>
        <w:rPr>
          <w:rFonts w:hint="eastAsia" w:ascii="黑体" w:hAnsi="黑体" w:eastAsia="黑体" w:cs="黑体"/>
          <w:color w:val="auto"/>
          <w:sz w:val="24"/>
          <w:szCs w:val="24"/>
          <w:highlight w:val="none"/>
        </w:rPr>
      </w:pPr>
    </w:p>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投标人全称（加盖公章）：</w:t>
      </w:r>
    </w:p>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法定代表人（负责人）或授权代表签字：</w:t>
      </w:r>
    </w:p>
    <w:p>
      <w:pPr>
        <w:ind w:firstLine="480"/>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日期：  年  月  日</w:t>
      </w:r>
    </w:p>
    <w:p>
      <w:pPr>
        <w:ind w:firstLine="480"/>
        <w:rPr>
          <w:rFonts w:hint="eastAsia" w:ascii="黑体" w:hAnsi="黑体" w:eastAsia="黑体" w:cs="黑体"/>
          <w:color w:val="auto"/>
          <w:sz w:val="24"/>
          <w:szCs w:val="24"/>
          <w:highlight w:val="none"/>
        </w:rPr>
      </w:pPr>
    </w:p>
    <w:p>
      <w:pPr>
        <w:ind w:firstLine="480"/>
        <w:rPr>
          <w:rFonts w:hint="eastAsia" w:ascii="黑体" w:hAnsi="黑体" w:eastAsia="黑体" w:cs="黑体"/>
          <w:color w:val="auto"/>
          <w:sz w:val="24"/>
          <w:szCs w:val="24"/>
          <w:highlight w:val="none"/>
        </w:rPr>
      </w:pPr>
    </w:p>
    <w:p>
      <w:pPr>
        <w:ind w:firstLine="480"/>
        <w:rPr>
          <w:rFonts w:hint="eastAsia" w:ascii="黑体" w:hAnsi="黑体" w:eastAsia="黑体" w:cs="黑体"/>
          <w:color w:val="auto"/>
          <w:sz w:val="24"/>
          <w:szCs w:val="24"/>
          <w:highlight w:val="none"/>
        </w:rPr>
      </w:pPr>
    </w:p>
    <w:p>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填写说明：</w:t>
      </w:r>
    </w:p>
    <w:p>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bCs/>
          <w:iCs/>
          <w:color w:val="auto"/>
          <w:sz w:val="24"/>
          <w:szCs w:val="24"/>
          <w:highlight w:val="none"/>
        </w:rPr>
        <w:t>1、谈判响应报价和分项报价表必须加盖投标单位公章（原件扫描件无效）</w:t>
      </w:r>
      <w:r>
        <w:rPr>
          <w:rFonts w:hint="eastAsia" w:ascii="黑体" w:hAnsi="黑体" w:eastAsia="黑体" w:cs="黑体"/>
          <w:color w:val="auto"/>
          <w:sz w:val="24"/>
          <w:szCs w:val="24"/>
          <w:highlight w:val="none"/>
        </w:rPr>
        <w:t>。</w:t>
      </w:r>
    </w:p>
    <w:p>
      <w:pPr>
        <w:pStyle w:val="17"/>
        <w:spacing w:after="0" w:line="400" w:lineRule="exact"/>
        <w:ind w:left="0" w:leftChars="0" w:firstLine="480" w:firstLineChars="200"/>
        <w:rPr>
          <w:rFonts w:hint="eastAsia" w:ascii="黑体" w:hAnsi="黑体" w:eastAsia="黑体" w:cs="黑体"/>
          <w:bCs/>
          <w:iCs/>
          <w:color w:val="auto"/>
          <w:sz w:val="24"/>
          <w:szCs w:val="24"/>
          <w:highlight w:val="none"/>
        </w:rPr>
      </w:pPr>
      <w:r>
        <w:rPr>
          <w:rFonts w:hint="eastAsia" w:ascii="黑体" w:hAnsi="黑体" w:eastAsia="黑体" w:cs="黑体"/>
          <w:bCs/>
          <w:iCs/>
          <w:color w:val="auto"/>
          <w:sz w:val="24"/>
          <w:szCs w:val="24"/>
          <w:highlight w:val="none"/>
        </w:rPr>
        <w:t>2、报价包括设备价格、附件和随机备件价格等完成安装所需的全部材料费、包装费、运杂费、运输保险费、资料费、安装费、调试费、检测费、配合费、保险、利润、税金、对采购人操作维护人员的培训费、合同包含的所有风险、责任等及投标人认为需要的其他费用等。</w:t>
      </w:r>
    </w:p>
    <w:p>
      <w:pPr>
        <w:snapToGrid w:val="0"/>
        <w:spacing w:line="300" w:lineRule="auto"/>
        <w:contextualSpacing/>
        <w:jc w:val="left"/>
        <w:rPr>
          <w:rFonts w:hint="eastAsia" w:ascii="黑体" w:hAnsi="黑体" w:eastAsia="黑体" w:cs="黑体"/>
          <w:b/>
          <w:color w:val="auto"/>
          <w:sz w:val="32"/>
          <w:szCs w:val="32"/>
          <w:highlight w:val="none"/>
        </w:rPr>
      </w:pPr>
      <w:r>
        <w:rPr>
          <w:rFonts w:hint="eastAsia" w:ascii="黑体" w:hAnsi="黑体" w:eastAsia="黑体" w:cs="黑体"/>
          <w:b/>
          <w:iCs/>
          <w:color w:val="auto"/>
          <w:sz w:val="24"/>
          <w:szCs w:val="24"/>
          <w:highlight w:val="none"/>
          <w:lang w:val="zh-CN"/>
        </w:rPr>
        <w:t>注：投标人必须</w:t>
      </w:r>
      <w:r>
        <w:rPr>
          <w:rFonts w:hint="eastAsia" w:ascii="黑体" w:hAnsi="黑体" w:eastAsia="黑体" w:cs="黑体"/>
          <w:b/>
          <w:iCs/>
          <w:color w:val="auto"/>
          <w:sz w:val="24"/>
          <w:szCs w:val="24"/>
          <w:highlight w:val="none"/>
          <w:lang w:val="en-US" w:eastAsia="zh-CN"/>
        </w:rPr>
        <w:t>按照第四章清单顺序</w:t>
      </w:r>
      <w:r>
        <w:rPr>
          <w:rFonts w:hint="eastAsia" w:ascii="黑体" w:hAnsi="黑体" w:eastAsia="黑体" w:cs="黑体"/>
          <w:b/>
          <w:iCs/>
          <w:color w:val="auto"/>
          <w:sz w:val="24"/>
          <w:szCs w:val="24"/>
          <w:highlight w:val="none"/>
          <w:lang w:val="zh-CN"/>
        </w:rPr>
        <w:t>详细报出采购清单中各个子项的名称、品牌、规格型号、数量、单价。且本表各分项报价合计应当与投标报价总表报价合计相等。请各供应商务必按照以上要求填报，否则作为无效投标。</w:t>
      </w:r>
      <w:r>
        <w:rPr>
          <w:rFonts w:hint="eastAsia" w:ascii="黑体" w:hAnsi="黑体" w:eastAsia="黑体" w:cs="黑体"/>
          <w:b/>
          <w:iCs/>
          <w:color w:val="auto"/>
          <w:sz w:val="24"/>
          <w:szCs w:val="24"/>
          <w:highlight w:val="none"/>
          <w:lang w:val="en-US" w:eastAsia="zh-CN"/>
        </w:rPr>
        <w:t>若有漏项、缺项的做无效标处理。</w:t>
      </w:r>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b/>
          <w:color w:val="auto"/>
          <w:sz w:val="28"/>
          <w:szCs w:val="28"/>
          <w:highlight w:val="none"/>
          <w:lang w:val="en-US" w:eastAsia="zh-CN"/>
        </w:rPr>
        <w:t>3</w:t>
      </w:r>
      <w:r>
        <w:rPr>
          <w:rFonts w:hint="eastAsia" w:ascii="黑体" w:hAnsi="黑体" w:eastAsia="黑体" w:cs="黑体"/>
          <w:b/>
          <w:color w:val="auto"/>
          <w:sz w:val="28"/>
          <w:szCs w:val="28"/>
          <w:highlight w:val="none"/>
        </w:rPr>
        <w:t>、</w:t>
      </w:r>
      <w:r>
        <w:rPr>
          <w:rFonts w:hint="eastAsia" w:ascii="黑体" w:hAnsi="黑体" w:eastAsia="黑体" w:cs="黑体"/>
          <w:b/>
          <w:color w:val="auto"/>
          <w:sz w:val="32"/>
          <w:szCs w:val="32"/>
          <w:highlight w:val="none"/>
        </w:rPr>
        <w:t>商务部分正负偏离表</w:t>
      </w:r>
    </w:p>
    <w:p>
      <w:pPr>
        <w:ind w:firstLine="560" w:firstLineChars="20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（由投标人据实填写，表格不够自行添加）</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5"/>
        <w:gridCol w:w="2386"/>
        <w:gridCol w:w="2084"/>
        <w:gridCol w:w="2689"/>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p>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bl>
    <w:p>
      <w:pPr>
        <w:snapToGrid w:val="0"/>
        <w:spacing w:line="300" w:lineRule="auto"/>
        <w:contextualSpacing/>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w:t>
      </w:r>
    </w:p>
    <w:p>
      <w:pPr>
        <w:snapToGrid w:val="0"/>
        <w:spacing w:line="300" w:lineRule="auto"/>
        <w:ind w:firstLine="480" w:firstLineChars="200"/>
        <w:contextualSpacing/>
        <w:rPr>
          <w:rFonts w:hint="eastAsia" w:ascii="黑体" w:hAnsi="黑体" w:eastAsia="黑体" w:cs="黑体"/>
          <w:color w:val="auto"/>
          <w:sz w:val="24"/>
          <w:highlight w:val="none"/>
        </w:rPr>
      </w:pPr>
      <w:r>
        <w:rPr>
          <w:rFonts w:hint="eastAsia" w:ascii="黑体" w:hAnsi="黑体" w:eastAsia="黑体" w:cs="黑体"/>
          <w:color w:val="auto"/>
          <w:sz w:val="24"/>
          <w:highlight w:val="none"/>
        </w:rPr>
        <w:t>1.投标人提交的投标文件中与招标文件“项目需求”中的商务部分的要求，应逐条填列在偏离表中。</w:t>
      </w:r>
    </w:p>
    <w:p>
      <w:pPr>
        <w:snapToGrid w:val="0"/>
        <w:spacing w:line="300" w:lineRule="auto"/>
        <w:ind w:firstLine="480" w:firstLineChars="200"/>
        <w:contextualSpacing/>
        <w:rPr>
          <w:rFonts w:hint="eastAsia" w:ascii="黑体" w:hAnsi="黑体" w:eastAsia="黑体" w:cs="黑体"/>
          <w:color w:val="auto"/>
          <w:sz w:val="24"/>
          <w:highlight w:val="none"/>
        </w:rPr>
      </w:pPr>
      <w:r>
        <w:rPr>
          <w:rFonts w:hint="eastAsia" w:ascii="黑体" w:hAnsi="黑体" w:eastAsia="黑体" w:cs="黑体"/>
          <w:color w:val="auto"/>
          <w:sz w:val="24"/>
          <w:highlight w:val="none"/>
        </w:rPr>
        <w:t>2.“偏离说明”一栏选择“正偏离”、“无偏离”、“负偏离”进行填写。正偏离、无偏离的确认和负偏离的是否响应竞谈文件，由评委认定。</w:t>
      </w:r>
    </w:p>
    <w:p>
      <w:pPr>
        <w:snapToGrid w:val="0"/>
        <w:spacing w:line="300" w:lineRule="auto"/>
        <w:ind w:firstLine="480" w:firstLineChars="200"/>
        <w:contextualSpacing/>
        <w:rPr>
          <w:rFonts w:hint="eastAsia" w:ascii="黑体" w:hAnsi="黑体" w:eastAsia="黑体" w:cs="黑体"/>
          <w:color w:val="auto"/>
          <w:sz w:val="24"/>
          <w:highlight w:val="none"/>
        </w:rPr>
      </w:pPr>
      <w:r>
        <w:rPr>
          <w:rFonts w:hint="eastAsia" w:ascii="黑体" w:hAnsi="黑体" w:eastAsia="黑体" w:cs="黑体"/>
          <w:color w:val="auto"/>
          <w:sz w:val="24"/>
          <w:highlight w:val="none"/>
        </w:rPr>
        <w:t>3.投标人如果虚假响应，将被暂停参加采购人组织政府采购活动。</w:t>
      </w:r>
    </w:p>
    <w:p>
      <w:pPr>
        <w:snapToGrid w:val="0"/>
        <w:spacing w:line="300" w:lineRule="auto"/>
        <w:ind w:firstLine="480" w:firstLineChars="200"/>
        <w:contextualSpacing/>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4.投标人若提供其他增值服务，可以在表中自行据实填写。</w:t>
      </w:r>
    </w:p>
    <w:p>
      <w:pPr>
        <w:snapToGrid w:val="0"/>
        <w:spacing w:line="300" w:lineRule="auto"/>
        <w:ind w:firstLine="482" w:firstLineChars="200"/>
        <w:contextualSpacing/>
        <w:jc w:val="left"/>
        <w:rPr>
          <w:rFonts w:hint="eastAsia" w:ascii="黑体" w:hAnsi="黑体" w:eastAsia="黑体" w:cs="黑体"/>
          <w:b/>
          <w:bCs/>
          <w:color w:val="auto"/>
          <w:sz w:val="24"/>
          <w:highlight w:val="none"/>
          <w:u w:val="single"/>
        </w:rPr>
      </w:pPr>
      <w:r>
        <w:rPr>
          <w:rFonts w:hint="eastAsia" w:ascii="黑体" w:hAnsi="黑体" w:eastAsia="黑体" w:cs="黑体"/>
          <w:b/>
          <w:bCs/>
          <w:color w:val="auto"/>
          <w:sz w:val="24"/>
          <w:highlight w:val="none"/>
          <w:u w:val="single"/>
        </w:rPr>
        <w:t>5.响应供应商在提交的报价标中未按未按本竞谈文件要求提供商务部分正负偏离表和技术部分正负偏离表的响应单位，经谈判小组核实后，不得进入最终报价，报价标做无效标处理。</w:t>
      </w: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300" w:lineRule="auto"/>
        <w:ind w:firstLine="2233" w:firstLineChars="695"/>
        <w:contextualSpacing/>
        <w:rPr>
          <w:rFonts w:hint="eastAsia" w:ascii="黑体" w:hAnsi="黑体" w:eastAsia="黑体" w:cs="黑体"/>
          <w:b/>
          <w:color w:val="auto"/>
          <w:sz w:val="32"/>
          <w:szCs w:val="32"/>
          <w:highlight w:val="none"/>
        </w:rPr>
      </w:pPr>
    </w:p>
    <w:p>
      <w:pPr>
        <w:snapToGrid w:val="0"/>
        <w:spacing w:line="300" w:lineRule="auto"/>
        <w:ind w:firstLine="2233" w:firstLineChars="695"/>
        <w:contextualSpacing/>
        <w:rPr>
          <w:rFonts w:hint="eastAsia" w:ascii="黑体" w:hAnsi="黑体" w:eastAsia="黑体" w:cs="黑体"/>
          <w:b/>
          <w:color w:val="auto"/>
          <w:sz w:val="32"/>
          <w:szCs w:val="32"/>
          <w:highlight w:val="none"/>
        </w:rPr>
      </w:pPr>
    </w:p>
    <w:p>
      <w:pPr>
        <w:snapToGrid w:val="0"/>
        <w:spacing w:line="300" w:lineRule="auto"/>
        <w:ind w:firstLine="2233" w:firstLineChars="695"/>
        <w:contextualSpacing/>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t>4</w:t>
      </w:r>
      <w:r>
        <w:rPr>
          <w:rFonts w:hint="eastAsia" w:ascii="黑体" w:hAnsi="黑体" w:eastAsia="黑体" w:cs="黑体"/>
          <w:b/>
          <w:color w:val="auto"/>
          <w:sz w:val="32"/>
          <w:szCs w:val="32"/>
          <w:highlight w:val="none"/>
        </w:rPr>
        <w:t>、技术部分正负偏离表</w:t>
      </w:r>
    </w:p>
    <w:p>
      <w:pPr>
        <w:ind w:firstLine="560" w:firstLineChars="20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（由投标人据实填写，表格不够自行添加）</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5"/>
        <w:gridCol w:w="2386"/>
        <w:gridCol w:w="2084"/>
        <w:gridCol w:w="2689"/>
        <w:gridCol w:w="1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p>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keepNext w:val="0"/>
              <w:keepLines w:val="0"/>
              <w:suppressLineNumbers w:val="0"/>
              <w:spacing w:before="0" w:beforeAutospacing="0" w:after="0" w:afterAutospacing="0" w:line="34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pPr>
              <w:keepNext w:val="0"/>
              <w:keepLines w:val="0"/>
              <w:suppressLineNumbers w:val="0"/>
              <w:spacing w:before="0" w:beforeAutospacing="0" w:after="0" w:afterAutospacing="0" w:line="340" w:lineRule="exact"/>
              <w:ind w:left="0" w:right="0"/>
              <w:jc w:val="left"/>
              <w:rPr>
                <w:rFonts w:hint="eastAsia" w:ascii="黑体" w:hAnsi="黑体" w:eastAsia="黑体" w:cs="黑体"/>
                <w:color w:val="auto"/>
                <w:sz w:val="24"/>
                <w:highlight w:val="none"/>
              </w:rPr>
            </w:pPr>
          </w:p>
        </w:tc>
      </w:tr>
    </w:tbl>
    <w:p>
      <w:pPr>
        <w:snapToGrid w:val="0"/>
        <w:spacing w:line="300" w:lineRule="auto"/>
        <w:contextualSpacing/>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w:t>
      </w:r>
    </w:p>
    <w:p>
      <w:pPr>
        <w:snapToGrid w:val="0"/>
        <w:spacing w:line="300" w:lineRule="auto"/>
        <w:ind w:firstLine="480" w:firstLineChars="200"/>
        <w:contextualSpacing/>
        <w:rPr>
          <w:rFonts w:hint="eastAsia" w:ascii="黑体" w:hAnsi="黑体" w:eastAsia="黑体" w:cs="黑体"/>
          <w:color w:val="auto"/>
          <w:sz w:val="24"/>
          <w:highlight w:val="none"/>
        </w:rPr>
      </w:pPr>
      <w:r>
        <w:rPr>
          <w:rFonts w:hint="eastAsia" w:ascii="黑体" w:hAnsi="黑体" w:eastAsia="黑体" w:cs="黑体"/>
          <w:color w:val="auto"/>
          <w:sz w:val="24"/>
          <w:highlight w:val="none"/>
        </w:rPr>
        <w:t>1.投标人提交的投标文件中与竞谈文件“项目需求”中的技术部分的要求，应逐条填列在偏离表中。</w:t>
      </w:r>
    </w:p>
    <w:p>
      <w:pPr>
        <w:snapToGrid w:val="0"/>
        <w:spacing w:line="300" w:lineRule="auto"/>
        <w:ind w:firstLine="480" w:firstLineChars="200"/>
        <w:contextualSpacing/>
        <w:rPr>
          <w:rFonts w:hint="eastAsia" w:ascii="黑体" w:hAnsi="黑体" w:eastAsia="黑体" w:cs="黑体"/>
          <w:color w:val="auto"/>
          <w:sz w:val="24"/>
          <w:highlight w:val="none"/>
        </w:rPr>
      </w:pPr>
      <w:r>
        <w:rPr>
          <w:rFonts w:hint="eastAsia" w:ascii="黑体" w:hAnsi="黑体" w:eastAsia="黑体" w:cs="黑体"/>
          <w:color w:val="auto"/>
          <w:sz w:val="24"/>
          <w:highlight w:val="none"/>
        </w:rPr>
        <w:t>2. “偏离说明”一栏选择“正偏离”、“无偏离”、“负偏离”进行填写。正偏离、无偏离的确认和负偏离的是否响应竞谈文件，由评委认定。</w:t>
      </w:r>
    </w:p>
    <w:p>
      <w:pPr>
        <w:snapToGrid w:val="0"/>
        <w:spacing w:line="300" w:lineRule="auto"/>
        <w:ind w:firstLine="480" w:firstLineChars="200"/>
        <w:contextualSpacing/>
        <w:rPr>
          <w:rFonts w:hint="eastAsia" w:ascii="黑体" w:hAnsi="黑体" w:eastAsia="黑体" w:cs="黑体"/>
          <w:color w:val="auto"/>
          <w:sz w:val="24"/>
          <w:highlight w:val="none"/>
        </w:rPr>
      </w:pPr>
      <w:r>
        <w:rPr>
          <w:rFonts w:hint="eastAsia" w:ascii="黑体" w:hAnsi="黑体" w:eastAsia="黑体" w:cs="黑体"/>
          <w:color w:val="auto"/>
          <w:sz w:val="24"/>
          <w:highlight w:val="none"/>
        </w:rPr>
        <w:t>3.投标人如果虚假响应，将被暂停参加采购人采购活动。</w:t>
      </w:r>
    </w:p>
    <w:p>
      <w:pPr>
        <w:snapToGrid w:val="0"/>
        <w:spacing w:line="300" w:lineRule="auto"/>
        <w:ind w:firstLine="480" w:firstLineChars="200"/>
        <w:contextualSpacing/>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4.投标人若提供其他增值服务，可以在表中自行据实填写。</w:t>
      </w:r>
    </w:p>
    <w:p>
      <w:pPr>
        <w:snapToGrid w:val="0"/>
        <w:spacing w:line="300" w:lineRule="auto"/>
        <w:ind w:firstLine="482" w:firstLineChars="200"/>
        <w:contextualSpacing/>
        <w:jc w:val="left"/>
        <w:rPr>
          <w:rFonts w:hint="eastAsia" w:ascii="黑体" w:hAnsi="黑体" w:eastAsia="黑体" w:cs="黑体"/>
          <w:b/>
          <w:bCs/>
          <w:color w:val="auto"/>
          <w:sz w:val="24"/>
          <w:highlight w:val="none"/>
          <w:u w:val="single"/>
        </w:rPr>
      </w:pPr>
      <w:r>
        <w:rPr>
          <w:rFonts w:hint="eastAsia" w:ascii="黑体" w:hAnsi="黑体" w:eastAsia="黑体" w:cs="黑体"/>
          <w:b/>
          <w:bCs/>
          <w:color w:val="auto"/>
          <w:sz w:val="24"/>
          <w:highlight w:val="none"/>
          <w:u w:val="single"/>
        </w:rPr>
        <w:t xml:space="preserve"> 5.响应供应商在提交的报价标中未按本竞谈文件要求提供商务部分正负偏离表和技术部分正负偏离表的响应单位，经谈判小组核实后，不得进入最终报价，报价标做无效标处理。</w:t>
      </w: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snapToGrid w:val="0"/>
        <w:spacing w:line="300" w:lineRule="auto"/>
        <w:ind w:firstLine="562" w:firstLineChars="200"/>
        <w:contextualSpacing/>
        <w:jc w:val="left"/>
        <w:rPr>
          <w:rFonts w:hint="eastAsia" w:ascii="黑体" w:hAnsi="黑体" w:eastAsia="黑体" w:cs="黑体"/>
          <w:b/>
          <w:color w:val="auto"/>
          <w:kern w:val="0"/>
          <w:sz w:val="28"/>
          <w:szCs w:val="28"/>
          <w:highlight w:val="none"/>
        </w:rPr>
      </w:pPr>
    </w:p>
    <w:p>
      <w:pPr>
        <w:snapToGrid w:val="0"/>
        <w:spacing w:line="400" w:lineRule="exact"/>
        <w:ind w:firstLine="540" w:firstLineChars="192"/>
        <w:contextualSpacing/>
        <w:rPr>
          <w:rFonts w:hint="eastAsia" w:ascii="黑体" w:hAnsi="黑体" w:eastAsia="黑体" w:cs="黑体"/>
          <w:b/>
          <w:color w:val="auto"/>
          <w:kern w:val="0"/>
          <w:sz w:val="28"/>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Cs w:val="28"/>
          <w:highlight w:val="none"/>
        </w:rPr>
      </w:pPr>
    </w:p>
    <w:p>
      <w:pPr>
        <w:pStyle w:val="41"/>
        <w:ind w:firstLine="1827" w:firstLineChars="650"/>
        <w:rPr>
          <w:rFonts w:hint="eastAsia" w:ascii="黑体" w:hAnsi="黑体" w:eastAsia="黑体" w:cs="黑体"/>
          <w:b/>
          <w:color w:val="auto"/>
          <w:sz w:val="32"/>
          <w:szCs w:val="32"/>
          <w:highlight w:val="none"/>
        </w:rPr>
      </w:pPr>
      <w:r>
        <w:rPr>
          <w:rFonts w:hint="eastAsia" w:ascii="黑体" w:hAnsi="黑体" w:eastAsia="黑体" w:cs="黑体"/>
          <w:b/>
          <w:color w:val="auto"/>
          <w:szCs w:val="28"/>
          <w:highlight w:val="none"/>
        </w:rPr>
        <w:br w:type="page"/>
      </w:r>
      <w:r>
        <w:rPr>
          <w:rFonts w:hint="eastAsia" w:ascii="黑体" w:hAnsi="黑体" w:eastAsia="黑体" w:cs="黑体"/>
          <w:b/>
          <w:color w:val="auto"/>
          <w:szCs w:val="28"/>
          <w:highlight w:val="none"/>
          <w:lang w:val="en-US" w:eastAsia="zh-CN"/>
        </w:rPr>
        <w:t>5</w:t>
      </w:r>
      <w:r>
        <w:rPr>
          <w:rFonts w:hint="eastAsia" w:ascii="黑体" w:hAnsi="黑体" w:eastAsia="黑体" w:cs="黑体"/>
          <w:b/>
          <w:color w:val="auto"/>
          <w:szCs w:val="28"/>
          <w:highlight w:val="none"/>
        </w:rPr>
        <w:t>、谈判响应报价表（最终）</w:t>
      </w:r>
    </w:p>
    <w:p>
      <w:pPr>
        <w:snapToGrid w:val="0"/>
        <w:spacing w:line="360" w:lineRule="auto"/>
        <w:jc w:val="center"/>
        <w:rPr>
          <w:rFonts w:hint="eastAsia" w:ascii="黑体" w:hAnsi="黑体" w:eastAsia="黑体" w:cs="黑体"/>
          <w:b/>
          <w:bCs/>
          <w:color w:val="auto"/>
          <w:sz w:val="24"/>
          <w:highlight w:val="none"/>
        </w:rPr>
      </w:pPr>
    </w:p>
    <w:p>
      <w:pPr>
        <w:snapToGrid w:val="0"/>
        <w:spacing w:line="360" w:lineRule="auto"/>
        <w:ind w:firstLine="720" w:firstLineChars="300"/>
        <w:rPr>
          <w:rFonts w:hint="eastAsia" w:ascii="黑体" w:hAnsi="黑体" w:eastAsia="黑体" w:cs="黑体"/>
          <w:color w:val="auto"/>
          <w:sz w:val="24"/>
          <w:highlight w:val="none"/>
        </w:rPr>
      </w:pPr>
      <w:r>
        <w:rPr>
          <w:rFonts w:hint="eastAsia" w:ascii="黑体" w:hAnsi="黑体" w:eastAsia="黑体" w:cs="黑体"/>
          <w:color w:val="auto"/>
          <w:sz w:val="24"/>
          <w:highlight w:val="none"/>
        </w:rPr>
        <w:t>项目编号：</w:t>
      </w:r>
    </w:p>
    <w:p>
      <w:pPr>
        <w:snapToGrid w:val="0"/>
        <w:spacing w:line="360" w:lineRule="auto"/>
        <w:ind w:firstLine="360" w:firstLineChars="150"/>
        <w:rPr>
          <w:rFonts w:hint="eastAsia" w:ascii="黑体" w:hAnsi="黑体" w:eastAsia="黑体" w:cs="黑体"/>
          <w:color w:val="auto"/>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5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3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kinsoku w:val="0"/>
              <w:topLinePunct/>
              <w:snapToGrid w:val="0"/>
              <w:spacing w:before="0" w:beforeAutospacing="0" w:after="0" w:afterAutospacing="0" w:line="420" w:lineRule="exact"/>
              <w:ind w:left="0" w:right="0"/>
              <w:jc w:val="center"/>
              <w:rPr>
                <w:rFonts w:hint="eastAsia" w:ascii="黑体" w:hAnsi="黑体" w:eastAsia="黑体" w:cs="黑体"/>
                <w:color w:val="auto"/>
                <w:sz w:val="24"/>
                <w:highlight w:val="none"/>
                <w:lang w:eastAsia="en-US"/>
              </w:rPr>
            </w:pPr>
            <w:r>
              <w:rPr>
                <w:rFonts w:hint="eastAsia" w:ascii="黑体" w:hAnsi="黑体" w:eastAsia="黑体" w:cs="黑体"/>
                <w:color w:val="auto"/>
                <w:sz w:val="24"/>
                <w:highlight w:val="none"/>
                <w:lang w:eastAsia="en-US"/>
              </w:rPr>
              <w:t>项目名称</w:t>
            </w:r>
          </w:p>
        </w:tc>
        <w:tc>
          <w:tcPr>
            <w:tcW w:w="576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kinsoku w:val="0"/>
              <w:topLinePunct/>
              <w:snapToGrid w:val="0"/>
              <w:spacing w:before="0" w:beforeAutospacing="0" w:after="0" w:afterAutospacing="0" w:line="420" w:lineRule="exact"/>
              <w:ind w:left="0" w:right="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谈判总报</w:t>
            </w:r>
            <w:r>
              <w:rPr>
                <w:rFonts w:hint="eastAsia" w:ascii="黑体" w:hAnsi="黑体" w:eastAsia="黑体" w:cs="黑体"/>
                <w:color w:val="auto"/>
                <w:sz w:val="24"/>
                <w:highlight w:val="none"/>
                <w:lang w:eastAsia="en-US"/>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9" w:hRule="atLeast"/>
          <w:jc w:val="center"/>
        </w:trPr>
        <w:tc>
          <w:tcPr>
            <w:tcW w:w="23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520" w:lineRule="exact"/>
              <w:ind w:left="1" w:right="0"/>
              <w:jc w:val="left"/>
              <w:textAlignment w:val="bottom"/>
              <w:rPr>
                <w:rFonts w:hint="eastAsia" w:ascii="黑体" w:hAnsi="黑体" w:eastAsia="黑体" w:cs="黑体"/>
                <w:b/>
                <w:bCs/>
                <w:color w:val="auto"/>
                <w:kern w:val="0"/>
                <w:sz w:val="24"/>
                <w:highlight w:val="none"/>
              </w:rPr>
            </w:pPr>
          </w:p>
        </w:tc>
        <w:tc>
          <w:tcPr>
            <w:tcW w:w="576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520" w:lineRule="exact"/>
              <w:ind w:left="1" w:right="0" w:firstLine="31" w:firstLineChars="11"/>
              <w:textAlignment w:val="bottom"/>
              <w:rPr>
                <w:rFonts w:hint="eastAsia" w:ascii="黑体" w:hAnsi="黑体" w:eastAsia="黑体" w:cs="黑体"/>
                <w:b/>
                <w:color w:val="auto"/>
                <w:kern w:val="0"/>
                <w:sz w:val="28"/>
                <w:szCs w:val="28"/>
                <w:highlight w:val="none"/>
              </w:rPr>
            </w:pPr>
            <w:r>
              <w:rPr>
                <w:rFonts w:hint="eastAsia" w:ascii="黑体" w:hAnsi="黑体" w:eastAsia="黑体" w:cs="黑体"/>
                <w:b/>
                <w:color w:val="auto"/>
                <w:kern w:val="0"/>
                <w:sz w:val="28"/>
                <w:szCs w:val="28"/>
                <w:highlight w:val="none"/>
              </w:rPr>
              <w:t>大写：人民币</w:t>
            </w:r>
          </w:p>
          <w:p>
            <w:pPr>
              <w:keepNext w:val="0"/>
              <w:keepLines w:val="0"/>
              <w:suppressLineNumbers w:val="0"/>
              <w:spacing w:before="0" w:beforeAutospacing="0" w:after="0" w:afterAutospacing="0" w:line="520" w:lineRule="exact"/>
              <w:ind w:left="1" w:right="0" w:firstLine="31" w:firstLineChars="11"/>
              <w:textAlignment w:val="bottom"/>
              <w:rPr>
                <w:rFonts w:hint="eastAsia" w:ascii="黑体" w:hAnsi="黑体" w:eastAsia="黑体" w:cs="黑体"/>
                <w:color w:val="auto"/>
                <w:kern w:val="0"/>
                <w:sz w:val="24"/>
                <w:highlight w:val="none"/>
              </w:rPr>
            </w:pPr>
            <w:r>
              <w:rPr>
                <w:rFonts w:hint="eastAsia" w:ascii="黑体" w:hAnsi="黑体" w:eastAsia="黑体" w:cs="黑体"/>
                <w:b/>
                <w:color w:val="auto"/>
                <w:kern w:val="0"/>
                <w:sz w:val="28"/>
                <w:szCs w:val="28"/>
                <w:highlight w:val="none"/>
              </w:rPr>
              <w:t>小写：¥</w:t>
            </w:r>
          </w:p>
        </w:tc>
      </w:tr>
    </w:tbl>
    <w:p>
      <w:pPr>
        <w:snapToGrid w:val="0"/>
        <w:spacing w:line="360" w:lineRule="auto"/>
        <w:ind w:firstLine="360" w:firstLineChars="150"/>
        <w:rPr>
          <w:rFonts w:hint="eastAsia" w:ascii="黑体" w:hAnsi="黑体" w:eastAsia="黑体" w:cs="黑体"/>
          <w:color w:val="auto"/>
          <w:sz w:val="24"/>
          <w:highlight w:val="none"/>
        </w:rPr>
      </w:pPr>
    </w:p>
    <w:p>
      <w:pPr>
        <w:snapToGrid w:val="0"/>
        <w:spacing w:line="360" w:lineRule="auto"/>
        <w:ind w:firstLine="360" w:firstLineChars="15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谈判供应商：（盖单位公章）             </w:t>
      </w:r>
    </w:p>
    <w:p>
      <w:pPr>
        <w:snapToGrid w:val="0"/>
        <w:spacing w:line="360" w:lineRule="auto"/>
        <w:ind w:firstLine="360" w:firstLineChars="15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法定代表人或被授权人（签字或盖章）</w:t>
      </w:r>
    </w:p>
    <w:p>
      <w:pPr>
        <w:snapToGrid w:val="0"/>
        <w:spacing w:line="360" w:lineRule="auto"/>
        <w:ind w:firstLine="360" w:firstLineChars="150"/>
        <w:rPr>
          <w:rFonts w:hint="eastAsia" w:ascii="黑体" w:hAnsi="黑体" w:eastAsia="黑体" w:cs="黑体"/>
          <w:color w:val="auto"/>
          <w:sz w:val="24"/>
          <w:highlight w:val="none"/>
        </w:rPr>
      </w:pPr>
      <w:r>
        <w:rPr>
          <w:rFonts w:hint="eastAsia" w:ascii="黑体" w:hAnsi="黑体" w:eastAsia="黑体" w:cs="黑体"/>
          <w:color w:val="auto"/>
          <w:sz w:val="24"/>
          <w:highlight w:val="none"/>
        </w:rPr>
        <w:t>日期：</w:t>
      </w:r>
    </w:p>
    <w:p>
      <w:pPr>
        <w:tabs>
          <w:tab w:val="left" w:pos="7605"/>
        </w:tabs>
        <w:spacing w:line="400" w:lineRule="exact"/>
        <w:ind w:firstLine="482" w:firstLineChars="200"/>
        <w:rPr>
          <w:rFonts w:hint="eastAsia" w:ascii="黑体" w:hAnsi="黑体" w:eastAsia="黑体" w:cs="黑体"/>
          <w:b/>
          <w:color w:val="auto"/>
          <w:kern w:val="0"/>
          <w:sz w:val="24"/>
          <w:highlight w:val="none"/>
        </w:rPr>
      </w:pPr>
    </w:p>
    <w:p>
      <w:pPr>
        <w:snapToGrid w:val="0"/>
        <w:spacing w:line="440" w:lineRule="exact"/>
        <w:rPr>
          <w:rFonts w:hint="eastAsia" w:ascii="黑体" w:hAnsi="黑体" w:eastAsia="黑体" w:cs="黑体"/>
          <w:color w:val="auto"/>
          <w:sz w:val="24"/>
          <w:szCs w:val="20"/>
          <w:highlight w:val="none"/>
        </w:rPr>
      </w:pPr>
      <w:r>
        <w:rPr>
          <w:rFonts w:hint="eastAsia" w:ascii="黑体" w:hAnsi="黑体" w:eastAsia="黑体" w:cs="黑体"/>
          <w:b/>
          <w:color w:val="auto"/>
          <w:kern w:val="0"/>
          <w:sz w:val="24"/>
          <w:highlight w:val="none"/>
        </w:rPr>
        <w:t>注：</w:t>
      </w:r>
      <w:r>
        <w:rPr>
          <w:rFonts w:hint="eastAsia" w:ascii="黑体" w:hAnsi="黑体" w:eastAsia="黑体" w:cs="黑体"/>
          <w:color w:val="auto"/>
          <w:sz w:val="24"/>
          <w:szCs w:val="20"/>
          <w:highlight w:val="none"/>
        </w:rPr>
        <w:t>1、谈判响应供应商按以上格式制作“谈判响应报价表（最终）”</w:t>
      </w:r>
      <w:r>
        <w:rPr>
          <w:rFonts w:hint="eastAsia" w:ascii="黑体" w:hAnsi="黑体" w:eastAsia="黑体" w:cs="黑体"/>
          <w:b/>
          <w:bCs/>
          <w:color w:val="auto"/>
          <w:sz w:val="24"/>
          <w:highlight w:val="none"/>
        </w:rPr>
        <w:t>投标供应商需在规定时间内将投标报价加盖公章并以扫描件的形式发送至QQ</w:t>
      </w:r>
      <w:r>
        <w:rPr>
          <w:rFonts w:hint="eastAsia" w:ascii="黑体" w:hAnsi="黑体" w:eastAsia="黑体" w:cs="黑体"/>
          <w:b/>
          <w:bCs/>
          <w:color w:val="auto"/>
          <w:sz w:val="24"/>
          <w:highlight w:val="none"/>
          <w:lang w:eastAsia="zh-CN"/>
        </w:rPr>
        <w:t>2322172834</w:t>
      </w:r>
      <w:r>
        <w:rPr>
          <w:rFonts w:hint="eastAsia" w:ascii="黑体" w:hAnsi="黑体" w:eastAsia="黑体" w:cs="黑体"/>
          <w:b/>
          <w:bCs/>
          <w:color w:val="auto"/>
          <w:sz w:val="24"/>
          <w:highlight w:val="none"/>
        </w:rPr>
        <w:t>；超过规定时间则为无效报价</w:t>
      </w:r>
      <w:r>
        <w:rPr>
          <w:rFonts w:hint="eastAsia" w:ascii="黑体" w:hAnsi="黑体" w:eastAsia="黑体" w:cs="黑体"/>
          <w:b/>
          <w:bCs/>
          <w:color w:val="auto"/>
          <w:sz w:val="24"/>
          <w:highlight w:val="none"/>
          <w:lang w:eastAsia="zh-CN"/>
        </w:rPr>
        <w:t>，</w:t>
      </w:r>
      <w:r>
        <w:rPr>
          <w:rFonts w:hint="eastAsia" w:ascii="黑体" w:hAnsi="黑体" w:eastAsia="黑体" w:cs="黑体"/>
          <w:b/>
          <w:bCs/>
          <w:color w:val="auto"/>
          <w:sz w:val="24"/>
          <w:szCs w:val="24"/>
          <w:highlight w:val="none"/>
        </w:rPr>
        <w:t>经谈判小组核实后</w:t>
      </w:r>
      <w:r>
        <w:rPr>
          <w:rFonts w:hint="eastAsia" w:ascii="黑体" w:hAnsi="黑体" w:eastAsia="黑体" w:cs="黑体"/>
          <w:b/>
          <w:bCs/>
          <w:color w:val="auto"/>
          <w:sz w:val="24"/>
          <w:szCs w:val="24"/>
          <w:highlight w:val="none"/>
          <w:lang w:eastAsia="zh-CN"/>
        </w:rPr>
        <w:t>，</w:t>
      </w:r>
      <w:r>
        <w:rPr>
          <w:rFonts w:hint="eastAsia" w:ascii="黑体" w:hAnsi="黑体" w:eastAsia="黑体" w:cs="黑体"/>
          <w:b/>
          <w:bCs/>
          <w:color w:val="auto"/>
          <w:sz w:val="24"/>
          <w:highlight w:val="none"/>
          <w:lang w:eastAsia="zh-CN"/>
        </w:rPr>
        <w:t>报价标不予得分</w:t>
      </w:r>
      <w:r>
        <w:rPr>
          <w:rFonts w:hint="eastAsia" w:ascii="黑体" w:hAnsi="黑体" w:eastAsia="黑体" w:cs="黑体"/>
          <w:b/>
          <w:bCs/>
          <w:color w:val="auto"/>
          <w:sz w:val="24"/>
          <w:highlight w:val="none"/>
        </w:rPr>
        <w:t>。</w:t>
      </w:r>
    </w:p>
    <w:p>
      <w:pPr>
        <w:snapToGrid w:val="0"/>
        <w:spacing w:line="440" w:lineRule="exact"/>
        <w:ind w:firstLine="480" w:firstLineChars="200"/>
        <w:rPr>
          <w:rFonts w:hint="eastAsia" w:ascii="黑体" w:hAnsi="黑体" w:eastAsia="黑体" w:cs="黑体"/>
          <w:color w:val="auto"/>
          <w:sz w:val="24"/>
          <w:szCs w:val="20"/>
          <w:highlight w:val="none"/>
        </w:rPr>
      </w:pPr>
      <w:r>
        <w:rPr>
          <w:rFonts w:hint="eastAsia" w:ascii="黑体" w:hAnsi="黑体" w:eastAsia="黑体" w:cs="黑体"/>
          <w:color w:val="auto"/>
          <w:sz w:val="24"/>
          <w:szCs w:val="20"/>
          <w:highlight w:val="none"/>
        </w:rPr>
        <w:t>2、最终报价不得高于首次报价，若高于前一轮报价的，</w:t>
      </w:r>
      <w:r>
        <w:rPr>
          <w:rFonts w:hint="eastAsia" w:ascii="黑体" w:hAnsi="黑体" w:eastAsia="黑体" w:cs="黑体"/>
          <w:color w:val="auto"/>
          <w:sz w:val="24"/>
          <w:szCs w:val="20"/>
          <w:highlight w:val="none"/>
          <w:lang w:eastAsia="zh-CN"/>
        </w:rPr>
        <w:t>则</w:t>
      </w:r>
      <w:r>
        <w:rPr>
          <w:rFonts w:hint="eastAsia" w:ascii="黑体" w:hAnsi="黑体" w:eastAsia="黑体" w:cs="黑体"/>
          <w:b/>
          <w:bCs/>
          <w:color w:val="auto"/>
          <w:sz w:val="24"/>
          <w:highlight w:val="none"/>
        </w:rPr>
        <w:t>以前一轮报价作为后面轮次的报价</w:t>
      </w:r>
      <w:r>
        <w:rPr>
          <w:rFonts w:hint="eastAsia" w:ascii="黑体" w:hAnsi="黑体" w:eastAsia="黑体" w:cs="黑体"/>
          <w:color w:val="auto"/>
          <w:sz w:val="24"/>
          <w:szCs w:val="20"/>
          <w:highlight w:val="none"/>
        </w:rPr>
        <w:t>。</w:t>
      </w:r>
    </w:p>
    <w:p>
      <w:pPr>
        <w:pStyle w:val="42"/>
        <w:ind w:firstLine="482"/>
        <w:rPr>
          <w:rFonts w:hint="eastAsia" w:ascii="黑体" w:hAnsi="黑体" w:eastAsia="黑体" w:cs="黑体"/>
          <w:color w:val="auto"/>
          <w:sz w:val="24"/>
          <w:szCs w:val="24"/>
          <w:highlight w:val="none"/>
        </w:rPr>
      </w:pPr>
      <w:r>
        <w:rPr>
          <w:rFonts w:hint="eastAsia" w:ascii="黑体" w:hAnsi="黑体" w:eastAsia="黑体" w:cs="黑体"/>
          <w:b/>
          <w:color w:val="auto"/>
          <w:sz w:val="24"/>
          <w:highlight w:val="none"/>
        </w:rPr>
        <w:t>3、</w:t>
      </w:r>
      <w:r>
        <w:rPr>
          <w:rFonts w:hint="eastAsia" w:ascii="黑体" w:hAnsi="黑体" w:eastAsia="黑体" w:cs="黑体"/>
          <w:color w:val="auto"/>
          <w:sz w:val="24"/>
          <w:szCs w:val="24"/>
          <w:highlight w:val="none"/>
        </w:rPr>
        <w:t>本项目专门面向中小企业，不享受价格扣除优惠政策。</w:t>
      </w:r>
    </w:p>
    <w:p>
      <w:pPr>
        <w:pStyle w:val="42"/>
        <w:ind w:firstLine="640"/>
        <w:rPr>
          <w:rFonts w:hint="eastAsia" w:ascii="黑体" w:hAnsi="黑体" w:eastAsia="黑体" w:cs="黑体"/>
          <w:color w:val="auto"/>
          <w:highlight w:val="none"/>
        </w:rPr>
      </w:pPr>
    </w:p>
    <w:sectPr>
      <w:footerReference r:id="rId6" w:type="first"/>
      <w:footerReference r:id="rId5" w:type="default"/>
      <w:pgSz w:w="11906" w:h="16838"/>
      <w:pgMar w:top="1015" w:right="1191" w:bottom="867" w:left="141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TO+MBAADN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rzhzwtKFX75/u/z4dfn5lS2f&#10;J316jxWV3XkqjMMrGGhr5jhSMNEe2mDTnwgxypO656u6aohMpkPr1XpdUkpSbnYIv7g/7gPGNwos&#10;S0bNA11fVlWc3mEcS+eS1M3BrTYmX6FxfwUIc4yovAPT6cRknDhZcdgPE709NGdiR6+CunYQvnDW&#10;007U3NET4My8dSR5Wp/ZCLOxnw3hJB2seeRsNF/Hcc2OPuhDlxcvjYj+5THS3JlOGmPsTTIkh245&#10;CzJtZFqjP/1cdf8K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fgUzvjAQAAzQMAAA4A&#10;AAAAAAAAAQAgAAAAHgEAAGRycy9lMm9Eb2MueG1sUEsFBgAAAAAGAAYAWQEAAHM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43</w:t>
                    </w:r>
                    <w:r>
                      <w:fldChar w:fldCharType="end"/>
                    </w:r>
                  </w:p>
                </w:txbxContent>
              </v:textbox>
            </v:shape>
          </w:pict>
        </mc:Fallback>
      </mc:AlternateConten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JEwOMBAADNAwAADgAAAGRycy9lMm9Eb2MueG1srVPNjtMwEL4j8Q6W&#10;7zRpE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EvOnLB04edfP8+//57//GDz&#10;V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jSRMDjAQAAzQMAAA4A&#10;AAAAAAAAAQAgAAAAHgEAAGRycy9lMm9Eb2MueG1sUEsFBgAAAAAGAAYAWQEAAHM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32</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259DD"/>
    <w:multiLevelType w:val="singleLevel"/>
    <w:tmpl w:val="D7C259DD"/>
    <w:lvl w:ilvl="0" w:tentative="0">
      <w:start w:val="6"/>
      <w:numFmt w:val="chineseCounting"/>
      <w:suff w:val="nothing"/>
      <w:lvlText w:val="%1、"/>
      <w:lvlJc w:val="left"/>
      <w:rPr>
        <w:rFonts w:hint="eastAsia"/>
      </w:rPr>
    </w:lvl>
  </w:abstractNum>
  <w:abstractNum w:abstractNumId="1">
    <w:nsid w:val="F9016CD1"/>
    <w:multiLevelType w:val="singleLevel"/>
    <w:tmpl w:val="F9016CD1"/>
    <w:lvl w:ilvl="0" w:tentative="0">
      <w:start w:val="4"/>
      <w:numFmt w:val="chineseCounting"/>
      <w:suff w:val="space"/>
      <w:lvlText w:val="第%1章"/>
      <w:lvlJc w:val="left"/>
      <w:rPr>
        <w:rFonts w:hint="eastAsia"/>
      </w:rPr>
    </w:lvl>
  </w:abstractNum>
  <w:abstractNum w:abstractNumId="2">
    <w:nsid w:val="FD51BAC2"/>
    <w:multiLevelType w:val="singleLevel"/>
    <w:tmpl w:val="FD51BAC2"/>
    <w:lvl w:ilvl="0" w:tentative="0">
      <w:start w:val="1"/>
      <w:numFmt w:val="decimal"/>
      <w:suff w:val="nothing"/>
      <w:lvlText w:val="%1．"/>
      <w:lvlJc w:val="left"/>
      <w:pPr>
        <w:ind w:left="-60" w:firstLine="400"/>
      </w:pPr>
      <w:rPr>
        <w:rFonts w:hint="default"/>
        <w:b w:val="0"/>
        <w:bCs w:val="0"/>
        <w:sz w:val="24"/>
        <w:szCs w:val="24"/>
      </w:rPr>
    </w:lvl>
  </w:abstractNum>
  <w:abstractNum w:abstractNumId="3">
    <w:nsid w:val="06784D56"/>
    <w:multiLevelType w:val="singleLevel"/>
    <w:tmpl w:val="06784D56"/>
    <w:lvl w:ilvl="0" w:tentative="0">
      <w:start w:val="1"/>
      <w:numFmt w:val="upperLetter"/>
      <w:pStyle w:val="104"/>
      <w:lvlText w:val="附录%1."/>
      <w:lvlJc w:val="left"/>
      <w:pPr>
        <w:tabs>
          <w:tab w:val="left" w:pos="907"/>
        </w:tabs>
        <w:ind w:left="907" w:hanging="907"/>
      </w:pPr>
      <w:rPr>
        <w:rFonts w:hint="eastAsia"/>
      </w:rPr>
    </w:lvl>
  </w:abstractNum>
  <w:abstractNum w:abstractNumId="4">
    <w:nsid w:val="399149EF"/>
    <w:multiLevelType w:val="singleLevel"/>
    <w:tmpl w:val="399149EF"/>
    <w:lvl w:ilvl="0" w:tentative="0">
      <w:start w:val="3"/>
      <w:numFmt w:val="decimal"/>
      <w:suff w:val="nothing"/>
      <w:lvlText w:val="（%1）"/>
      <w:lvlJc w:val="left"/>
      <w:pPr>
        <w:ind w:left="150"/>
      </w:pPr>
    </w:lvl>
  </w:abstractNum>
  <w:abstractNum w:abstractNumId="5">
    <w:nsid w:val="4A4BADDA"/>
    <w:multiLevelType w:val="singleLevel"/>
    <w:tmpl w:val="4A4BADDA"/>
    <w:lvl w:ilvl="0" w:tentative="0">
      <w:start w:val="3"/>
      <w:numFmt w:val="decimal"/>
      <w:suff w:val="nothing"/>
      <w:lvlText w:val="%1、"/>
      <w:lvlJc w:val="left"/>
    </w:lvl>
  </w:abstractNum>
  <w:abstractNum w:abstractNumId="6">
    <w:nsid w:val="5BDB23A6"/>
    <w:multiLevelType w:val="multilevel"/>
    <w:tmpl w:val="5BDB23A6"/>
    <w:lvl w:ilvl="0" w:tentative="0">
      <w:start w:val="1"/>
      <w:numFmt w:val="japaneseCounting"/>
      <w:lvlText w:val="第%1章"/>
      <w:lvlJc w:val="left"/>
      <w:pPr>
        <w:ind w:left="1530" w:hanging="1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1CEFFF"/>
    <w:multiLevelType w:val="singleLevel"/>
    <w:tmpl w:val="5D1CEFFF"/>
    <w:lvl w:ilvl="0" w:tentative="0">
      <w:start w:val="7"/>
      <w:numFmt w:val="chineseCounting"/>
      <w:suff w:val="nothing"/>
      <w:lvlText w:val="%1、"/>
      <w:lvlJc w:val="left"/>
      <w:rPr>
        <w:rFonts w:hint="eastAsia"/>
      </w:r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4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TE1YzMzZTBmMTVlZmFmNTZmMTBiMjRmMjBkYmEifQ=="/>
    <w:docVar w:name="KGWebUrl" w:val="http://jszfcg.jscz.gov.cn/jszc/gateWay/joffice/office?access_token=a46d1607-bde4-46a1-beec-cd7b2df17591"/>
  </w:docVars>
  <w:rsids>
    <w:rsidRoot w:val="00C26726"/>
    <w:rsid w:val="00000CD8"/>
    <w:rsid w:val="00000EEA"/>
    <w:rsid w:val="00002209"/>
    <w:rsid w:val="00002B21"/>
    <w:rsid w:val="00002DF9"/>
    <w:rsid w:val="00003816"/>
    <w:rsid w:val="00004180"/>
    <w:rsid w:val="00005A19"/>
    <w:rsid w:val="00006652"/>
    <w:rsid w:val="00006DD7"/>
    <w:rsid w:val="00006F26"/>
    <w:rsid w:val="00012130"/>
    <w:rsid w:val="000136F0"/>
    <w:rsid w:val="00013DA9"/>
    <w:rsid w:val="00017387"/>
    <w:rsid w:val="00020761"/>
    <w:rsid w:val="000217AF"/>
    <w:rsid w:val="0002258C"/>
    <w:rsid w:val="000228BE"/>
    <w:rsid w:val="00022C90"/>
    <w:rsid w:val="000247C1"/>
    <w:rsid w:val="000250BF"/>
    <w:rsid w:val="0002533C"/>
    <w:rsid w:val="00025571"/>
    <w:rsid w:val="00026E65"/>
    <w:rsid w:val="000272C3"/>
    <w:rsid w:val="000301F8"/>
    <w:rsid w:val="000313B8"/>
    <w:rsid w:val="0003247D"/>
    <w:rsid w:val="00032DD8"/>
    <w:rsid w:val="000337E7"/>
    <w:rsid w:val="000346D4"/>
    <w:rsid w:val="00041B0C"/>
    <w:rsid w:val="00042D59"/>
    <w:rsid w:val="00042F9C"/>
    <w:rsid w:val="00043F74"/>
    <w:rsid w:val="0004532E"/>
    <w:rsid w:val="0005265C"/>
    <w:rsid w:val="000541C3"/>
    <w:rsid w:val="00055173"/>
    <w:rsid w:val="00055F1F"/>
    <w:rsid w:val="000562C0"/>
    <w:rsid w:val="0006000D"/>
    <w:rsid w:val="000600DE"/>
    <w:rsid w:val="0006058F"/>
    <w:rsid w:val="00061CBE"/>
    <w:rsid w:val="00062CD4"/>
    <w:rsid w:val="00063E6E"/>
    <w:rsid w:val="00065787"/>
    <w:rsid w:val="000657B0"/>
    <w:rsid w:val="0006638F"/>
    <w:rsid w:val="000673B6"/>
    <w:rsid w:val="00067530"/>
    <w:rsid w:val="000710DF"/>
    <w:rsid w:val="000719A1"/>
    <w:rsid w:val="00072730"/>
    <w:rsid w:val="00072B1E"/>
    <w:rsid w:val="00072F55"/>
    <w:rsid w:val="00074FF4"/>
    <w:rsid w:val="000752A8"/>
    <w:rsid w:val="00075B63"/>
    <w:rsid w:val="0007634F"/>
    <w:rsid w:val="000775B1"/>
    <w:rsid w:val="000809FA"/>
    <w:rsid w:val="00082802"/>
    <w:rsid w:val="0008297B"/>
    <w:rsid w:val="000842C8"/>
    <w:rsid w:val="00084C20"/>
    <w:rsid w:val="0008502E"/>
    <w:rsid w:val="00087456"/>
    <w:rsid w:val="000874DF"/>
    <w:rsid w:val="00090226"/>
    <w:rsid w:val="00090A4F"/>
    <w:rsid w:val="000917FE"/>
    <w:rsid w:val="0009200E"/>
    <w:rsid w:val="00092321"/>
    <w:rsid w:val="000953DE"/>
    <w:rsid w:val="0009545E"/>
    <w:rsid w:val="0009779B"/>
    <w:rsid w:val="00097AFA"/>
    <w:rsid w:val="000A4069"/>
    <w:rsid w:val="000A4BC4"/>
    <w:rsid w:val="000A7BDB"/>
    <w:rsid w:val="000B40EA"/>
    <w:rsid w:val="000B48B7"/>
    <w:rsid w:val="000B5FD6"/>
    <w:rsid w:val="000B6B84"/>
    <w:rsid w:val="000B7353"/>
    <w:rsid w:val="000B7DBA"/>
    <w:rsid w:val="000C0811"/>
    <w:rsid w:val="000C165D"/>
    <w:rsid w:val="000C1E90"/>
    <w:rsid w:val="000C2F64"/>
    <w:rsid w:val="000C399B"/>
    <w:rsid w:val="000C480A"/>
    <w:rsid w:val="000C4876"/>
    <w:rsid w:val="000C51FA"/>
    <w:rsid w:val="000C61E3"/>
    <w:rsid w:val="000C6A2B"/>
    <w:rsid w:val="000C7905"/>
    <w:rsid w:val="000D0069"/>
    <w:rsid w:val="000D0958"/>
    <w:rsid w:val="000D174C"/>
    <w:rsid w:val="000D1A84"/>
    <w:rsid w:val="000D58C3"/>
    <w:rsid w:val="000D5D52"/>
    <w:rsid w:val="000D62DE"/>
    <w:rsid w:val="000D7E5A"/>
    <w:rsid w:val="000D7F45"/>
    <w:rsid w:val="000E1601"/>
    <w:rsid w:val="000E20A6"/>
    <w:rsid w:val="000E213D"/>
    <w:rsid w:val="000E2C12"/>
    <w:rsid w:val="000E2E28"/>
    <w:rsid w:val="000E3510"/>
    <w:rsid w:val="000F1672"/>
    <w:rsid w:val="000F2A9F"/>
    <w:rsid w:val="000F425D"/>
    <w:rsid w:val="000F5062"/>
    <w:rsid w:val="000F5150"/>
    <w:rsid w:val="000F69B2"/>
    <w:rsid w:val="00100B0C"/>
    <w:rsid w:val="00101D75"/>
    <w:rsid w:val="00102055"/>
    <w:rsid w:val="001023D0"/>
    <w:rsid w:val="00102BD2"/>
    <w:rsid w:val="00103DAD"/>
    <w:rsid w:val="00104FC4"/>
    <w:rsid w:val="00105F91"/>
    <w:rsid w:val="00106AFE"/>
    <w:rsid w:val="00106C25"/>
    <w:rsid w:val="00106C7F"/>
    <w:rsid w:val="00107350"/>
    <w:rsid w:val="001078B4"/>
    <w:rsid w:val="00107A1C"/>
    <w:rsid w:val="0011098B"/>
    <w:rsid w:val="00112066"/>
    <w:rsid w:val="00112883"/>
    <w:rsid w:val="001139D0"/>
    <w:rsid w:val="00113EC0"/>
    <w:rsid w:val="0011512A"/>
    <w:rsid w:val="001153DB"/>
    <w:rsid w:val="00115F64"/>
    <w:rsid w:val="001168FD"/>
    <w:rsid w:val="00117A85"/>
    <w:rsid w:val="001224B9"/>
    <w:rsid w:val="00122EFC"/>
    <w:rsid w:val="00123645"/>
    <w:rsid w:val="0012411B"/>
    <w:rsid w:val="00124979"/>
    <w:rsid w:val="00124EDB"/>
    <w:rsid w:val="001266EE"/>
    <w:rsid w:val="00130006"/>
    <w:rsid w:val="001304CE"/>
    <w:rsid w:val="00131DF8"/>
    <w:rsid w:val="00131FC6"/>
    <w:rsid w:val="00132253"/>
    <w:rsid w:val="001335C6"/>
    <w:rsid w:val="00133AD0"/>
    <w:rsid w:val="00133E40"/>
    <w:rsid w:val="001348A1"/>
    <w:rsid w:val="00136534"/>
    <w:rsid w:val="00136D77"/>
    <w:rsid w:val="00140116"/>
    <w:rsid w:val="00140752"/>
    <w:rsid w:val="001413E8"/>
    <w:rsid w:val="00141861"/>
    <w:rsid w:val="00141ED2"/>
    <w:rsid w:val="001423BE"/>
    <w:rsid w:val="00142C34"/>
    <w:rsid w:val="00142CF2"/>
    <w:rsid w:val="001453C1"/>
    <w:rsid w:val="001463D8"/>
    <w:rsid w:val="00147FFE"/>
    <w:rsid w:val="001500FD"/>
    <w:rsid w:val="00152294"/>
    <w:rsid w:val="0015352F"/>
    <w:rsid w:val="0015380C"/>
    <w:rsid w:val="00156270"/>
    <w:rsid w:val="00157615"/>
    <w:rsid w:val="00157F58"/>
    <w:rsid w:val="001619DB"/>
    <w:rsid w:val="00161A22"/>
    <w:rsid w:val="001650DD"/>
    <w:rsid w:val="001652AF"/>
    <w:rsid w:val="001653FD"/>
    <w:rsid w:val="00165D24"/>
    <w:rsid w:val="001666A1"/>
    <w:rsid w:val="00166D37"/>
    <w:rsid w:val="00167437"/>
    <w:rsid w:val="00167529"/>
    <w:rsid w:val="00170344"/>
    <w:rsid w:val="001704C1"/>
    <w:rsid w:val="00172D01"/>
    <w:rsid w:val="001738E5"/>
    <w:rsid w:val="0017441D"/>
    <w:rsid w:val="00175616"/>
    <w:rsid w:val="00176458"/>
    <w:rsid w:val="00177AC5"/>
    <w:rsid w:val="001809CA"/>
    <w:rsid w:val="001814E8"/>
    <w:rsid w:val="001828AA"/>
    <w:rsid w:val="00182AEF"/>
    <w:rsid w:val="00182E47"/>
    <w:rsid w:val="0018347F"/>
    <w:rsid w:val="00184FB8"/>
    <w:rsid w:val="001852E0"/>
    <w:rsid w:val="001857FA"/>
    <w:rsid w:val="00185E93"/>
    <w:rsid w:val="00185EBC"/>
    <w:rsid w:val="00187344"/>
    <w:rsid w:val="0018783C"/>
    <w:rsid w:val="00190AC6"/>
    <w:rsid w:val="00190DC9"/>
    <w:rsid w:val="0019196F"/>
    <w:rsid w:val="00191AAD"/>
    <w:rsid w:val="001945E2"/>
    <w:rsid w:val="001969F0"/>
    <w:rsid w:val="00196AC7"/>
    <w:rsid w:val="001A271D"/>
    <w:rsid w:val="001A2A85"/>
    <w:rsid w:val="001A3669"/>
    <w:rsid w:val="001A3E0D"/>
    <w:rsid w:val="001A3F34"/>
    <w:rsid w:val="001A3F55"/>
    <w:rsid w:val="001A4043"/>
    <w:rsid w:val="001A6131"/>
    <w:rsid w:val="001A7923"/>
    <w:rsid w:val="001A7AA5"/>
    <w:rsid w:val="001B01DD"/>
    <w:rsid w:val="001B0963"/>
    <w:rsid w:val="001B2D0A"/>
    <w:rsid w:val="001B2DD2"/>
    <w:rsid w:val="001B2F6C"/>
    <w:rsid w:val="001B3A3D"/>
    <w:rsid w:val="001B4656"/>
    <w:rsid w:val="001B5888"/>
    <w:rsid w:val="001B66DD"/>
    <w:rsid w:val="001B68A6"/>
    <w:rsid w:val="001B7F6B"/>
    <w:rsid w:val="001C0E6D"/>
    <w:rsid w:val="001C19F1"/>
    <w:rsid w:val="001C2902"/>
    <w:rsid w:val="001C33E5"/>
    <w:rsid w:val="001C35BC"/>
    <w:rsid w:val="001C367B"/>
    <w:rsid w:val="001C4885"/>
    <w:rsid w:val="001D0507"/>
    <w:rsid w:val="001D2DAD"/>
    <w:rsid w:val="001D3E7E"/>
    <w:rsid w:val="001D4376"/>
    <w:rsid w:val="001D4DAD"/>
    <w:rsid w:val="001D5B9A"/>
    <w:rsid w:val="001D629F"/>
    <w:rsid w:val="001E0272"/>
    <w:rsid w:val="001E02FF"/>
    <w:rsid w:val="001E0B1C"/>
    <w:rsid w:val="001E2C89"/>
    <w:rsid w:val="001E7558"/>
    <w:rsid w:val="001F076C"/>
    <w:rsid w:val="001F1F5A"/>
    <w:rsid w:val="001F2FC3"/>
    <w:rsid w:val="001F4286"/>
    <w:rsid w:val="001F66C6"/>
    <w:rsid w:val="00201353"/>
    <w:rsid w:val="00203BFC"/>
    <w:rsid w:val="00203C51"/>
    <w:rsid w:val="002043FB"/>
    <w:rsid w:val="0020498C"/>
    <w:rsid w:val="00205770"/>
    <w:rsid w:val="00206FE4"/>
    <w:rsid w:val="00207423"/>
    <w:rsid w:val="00210EB4"/>
    <w:rsid w:val="00214AA2"/>
    <w:rsid w:val="00214C77"/>
    <w:rsid w:val="002200CD"/>
    <w:rsid w:val="00222B72"/>
    <w:rsid w:val="00222E8D"/>
    <w:rsid w:val="002239E1"/>
    <w:rsid w:val="00226599"/>
    <w:rsid w:val="0022736B"/>
    <w:rsid w:val="00233E73"/>
    <w:rsid w:val="00234B36"/>
    <w:rsid w:val="002350DD"/>
    <w:rsid w:val="00235204"/>
    <w:rsid w:val="00235782"/>
    <w:rsid w:val="002358C3"/>
    <w:rsid w:val="002372D5"/>
    <w:rsid w:val="00237EDB"/>
    <w:rsid w:val="0024431C"/>
    <w:rsid w:val="002452F7"/>
    <w:rsid w:val="00246334"/>
    <w:rsid w:val="002468BF"/>
    <w:rsid w:val="002500BE"/>
    <w:rsid w:val="00250C6F"/>
    <w:rsid w:val="002514C6"/>
    <w:rsid w:val="0025186C"/>
    <w:rsid w:val="002519B7"/>
    <w:rsid w:val="002525E2"/>
    <w:rsid w:val="002536F6"/>
    <w:rsid w:val="00253772"/>
    <w:rsid w:val="00254113"/>
    <w:rsid w:val="00255236"/>
    <w:rsid w:val="00255FD0"/>
    <w:rsid w:val="00256074"/>
    <w:rsid w:val="00256868"/>
    <w:rsid w:val="0025720B"/>
    <w:rsid w:val="002601B7"/>
    <w:rsid w:val="00261DAA"/>
    <w:rsid w:val="00262379"/>
    <w:rsid w:val="00262503"/>
    <w:rsid w:val="002632F4"/>
    <w:rsid w:val="00264D78"/>
    <w:rsid w:val="0026504C"/>
    <w:rsid w:val="00265C31"/>
    <w:rsid w:val="00266291"/>
    <w:rsid w:val="002678B4"/>
    <w:rsid w:val="002679E8"/>
    <w:rsid w:val="00267BA7"/>
    <w:rsid w:val="00271284"/>
    <w:rsid w:val="00272DB9"/>
    <w:rsid w:val="00274DB6"/>
    <w:rsid w:val="00274EFA"/>
    <w:rsid w:val="00275F57"/>
    <w:rsid w:val="002766DF"/>
    <w:rsid w:val="00276FB8"/>
    <w:rsid w:val="00281B69"/>
    <w:rsid w:val="00283227"/>
    <w:rsid w:val="00283AFE"/>
    <w:rsid w:val="0028541C"/>
    <w:rsid w:val="00292891"/>
    <w:rsid w:val="002952A0"/>
    <w:rsid w:val="002962EF"/>
    <w:rsid w:val="002971A3"/>
    <w:rsid w:val="002973EE"/>
    <w:rsid w:val="002978B9"/>
    <w:rsid w:val="002A2D3C"/>
    <w:rsid w:val="002A30A1"/>
    <w:rsid w:val="002A5190"/>
    <w:rsid w:val="002A53E9"/>
    <w:rsid w:val="002A557E"/>
    <w:rsid w:val="002A5D51"/>
    <w:rsid w:val="002B1A87"/>
    <w:rsid w:val="002B3047"/>
    <w:rsid w:val="002B3275"/>
    <w:rsid w:val="002B452D"/>
    <w:rsid w:val="002B4B3B"/>
    <w:rsid w:val="002B4E9E"/>
    <w:rsid w:val="002B50AA"/>
    <w:rsid w:val="002B557E"/>
    <w:rsid w:val="002B5BCB"/>
    <w:rsid w:val="002B67A8"/>
    <w:rsid w:val="002C103E"/>
    <w:rsid w:val="002C1DA2"/>
    <w:rsid w:val="002C384A"/>
    <w:rsid w:val="002C481F"/>
    <w:rsid w:val="002C5DF1"/>
    <w:rsid w:val="002C5F42"/>
    <w:rsid w:val="002C7767"/>
    <w:rsid w:val="002C7E15"/>
    <w:rsid w:val="002D00E1"/>
    <w:rsid w:val="002D0FDC"/>
    <w:rsid w:val="002D1DAC"/>
    <w:rsid w:val="002D2FE1"/>
    <w:rsid w:val="002D31C3"/>
    <w:rsid w:val="002D4E37"/>
    <w:rsid w:val="002D5068"/>
    <w:rsid w:val="002D5241"/>
    <w:rsid w:val="002D5C42"/>
    <w:rsid w:val="002D6990"/>
    <w:rsid w:val="002D7108"/>
    <w:rsid w:val="002D74A9"/>
    <w:rsid w:val="002E08C9"/>
    <w:rsid w:val="002E230D"/>
    <w:rsid w:val="002E29E8"/>
    <w:rsid w:val="002E6AFF"/>
    <w:rsid w:val="002F092F"/>
    <w:rsid w:val="002F0BAB"/>
    <w:rsid w:val="002F124C"/>
    <w:rsid w:val="002F1E17"/>
    <w:rsid w:val="002F6156"/>
    <w:rsid w:val="002F6648"/>
    <w:rsid w:val="0030023F"/>
    <w:rsid w:val="003005DA"/>
    <w:rsid w:val="00300AB8"/>
    <w:rsid w:val="00301989"/>
    <w:rsid w:val="00302A2F"/>
    <w:rsid w:val="00303C0C"/>
    <w:rsid w:val="003043F6"/>
    <w:rsid w:val="00305121"/>
    <w:rsid w:val="00305B8F"/>
    <w:rsid w:val="00306BFA"/>
    <w:rsid w:val="0030714B"/>
    <w:rsid w:val="00310118"/>
    <w:rsid w:val="00310266"/>
    <w:rsid w:val="00310BD2"/>
    <w:rsid w:val="00311D5B"/>
    <w:rsid w:val="00312447"/>
    <w:rsid w:val="00312F22"/>
    <w:rsid w:val="00315302"/>
    <w:rsid w:val="003153FA"/>
    <w:rsid w:val="003154CC"/>
    <w:rsid w:val="003156B2"/>
    <w:rsid w:val="00316553"/>
    <w:rsid w:val="003165F7"/>
    <w:rsid w:val="00316AEA"/>
    <w:rsid w:val="003175D8"/>
    <w:rsid w:val="003178B9"/>
    <w:rsid w:val="00317AAC"/>
    <w:rsid w:val="00321423"/>
    <w:rsid w:val="003221F2"/>
    <w:rsid w:val="003230CA"/>
    <w:rsid w:val="0032433B"/>
    <w:rsid w:val="00326627"/>
    <w:rsid w:val="00326A7F"/>
    <w:rsid w:val="003322B6"/>
    <w:rsid w:val="00334194"/>
    <w:rsid w:val="00334C5D"/>
    <w:rsid w:val="003369EF"/>
    <w:rsid w:val="00336A6A"/>
    <w:rsid w:val="003372C1"/>
    <w:rsid w:val="003414A7"/>
    <w:rsid w:val="00342AA7"/>
    <w:rsid w:val="00342C11"/>
    <w:rsid w:val="00342F43"/>
    <w:rsid w:val="00343B22"/>
    <w:rsid w:val="003447F1"/>
    <w:rsid w:val="00345845"/>
    <w:rsid w:val="00347A82"/>
    <w:rsid w:val="0035029B"/>
    <w:rsid w:val="00351415"/>
    <w:rsid w:val="00351D59"/>
    <w:rsid w:val="003539A2"/>
    <w:rsid w:val="00353DBE"/>
    <w:rsid w:val="00356C1F"/>
    <w:rsid w:val="0035723A"/>
    <w:rsid w:val="0035740F"/>
    <w:rsid w:val="00357CA3"/>
    <w:rsid w:val="00357D55"/>
    <w:rsid w:val="00357D8B"/>
    <w:rsid w:val="00360189"/>
    <w:rsid w:val="003607AE"/>
    <w:rsid w:val="00361B27"/>
    <w:rsid w:val="00361BC6"/>
    <w:rsid w:val="00361C51"/>
    <w:rsid w:val="00361EB0"/>
    <w:rsid w:val="00363078"/>
    <w:rsid w:val="00364229"/>
    <w:rsid w:val="003643AB"/>
    <w:rsid w:val="00364A0D"/>
    <w:rsid w:val="00364A1D"/>
    <w:rsid w:val="003653BD"/>
    <w:rsid w:val="00366209"/>
    <w:rsid w:val="003672EA"/>
    <w:rsid w:val="0036745C"/>
    <w:rsid w:val="00370FCD"/>
    <w:rsid w:val="00371D58"/>
    <w:rsid w:val="003724FB"/>
    <w:rsid w:val="00372870"/>
    <w:rsid w:val="003731E5"/>
    <w:rsid w:val="003734BA"/>
    <w:rsid w:val="003747AF"/>
    <w:rsid w:val="00374CA7"/>
    <w:rsid w:val="00375640"/>
    <w:rsid w:val="003757B7"/>
    <w:rsid w:val="0037582C"/>
    <w:rsid w:val="00375A16"/>
    <w:rsid w:val="00377815"/>
    <w:rsid w:val="003802FC"/>
    <w:rsid w:val="00380C17"/>
    <w:rsid w:val="0038109A"/>
    <w:rsid w:val="00381624"/>
    <w:rsid w:val="00381795"/>
    <w:rsid w:val="00383FEA"/>
    <w:rsid w:val="003853E7"/>
    <w:rsid w:val="00386F1E"/>
    <w:rsid w:val="00387560"/>
    <w:rsid w:val="00390361"/>
    <w:rsid w:val="00392687"/>
    <w:rsid w:val="00393043"/>
    <w:rsid w:val="0039329A"/>
    <w:rsid w:val="003938DA"/>
    <w:rsid w:val="00393FCC"/>
    <w:rsid w:val="003958F9"/>
    <w:rsid w:val="0039595F"/>
    <w:rsid w:val="00395EE6"/>
    <w:rsid w:val="00397E2C"/>
    <w:rsid w:val="003A1D61"/>
    <w:rsid w:val="003A3356"/>
    <w:rsid w:val="003A3478"/>
    <w:rsid w:val="003A3485"/>
    <w:rsid w:val="003A535F"/>
    <w:rsid w:val="003B17D9"/>
    <w:rsid w:val="003B1E62"/>
    <w:rsid w:val="003B234A"/>
    <w:rsid w:val="003B2944"/>
    <w:rsid w:val="003B3185"/>
    <w:rsid w:val="003B3A2D"/>
    <w:rsid w:val="003B4763"/>
    <w:rsid w:val="003B6367"/>
    <w:rsid w:val="003C18B0"/>
    <w:rsid w:val="003C28F4"/>
    <w:rsid w:val="003C33CF"/>
    <w:rsid w:val="003C486C"/>
    <w:rsid w:val="003C6C31"/>
    <w:rsid w:val="003C6E00"/>
    <w:rsid w:val="003C79A5"/>
    <w:rsid w:val="003D0AFD"/>
    <w:rsid w:val="003D1264"/>
    <w:rsid w:val="003D15B1"/>
    <w:rsid w:val="003D232F"/>
    <w:rsid w:val="003D3297"/>
    <w:rsid w:val="003D3EE4"/>
    <w:rsid w:val="003D4678"/>
    <w:rsid w:val="003D5538"/>
    <w:rsid w:val="003D5ADF"/>
    <w:rsid w:val="003D6093"/>
    <w:rsid w:val="003D743C"/>
    <w:rsid w:val="003D7B7E"/>
    <w:rsid w:val="003E099A"/>
    <w:rsid w:val="003E2035"/>
    <w:rsid w:val="003E33CB"/>
    <w:rsid w:val="003E3804"/>
    <w:rsid w:val="003E3BCF"/>
    <w:rsid w:val="003E3DE7"/>
    <w:rsid w:val="003E4184"/>
    <w:rsid w:val="003E55A7"/>
    <w:rsid w:val="003E576F"/>
    <w:rsid w:val="003E605E"/>
    <w:rsid w:val="003E6CAE"/>
    <w:rsid w:val="003E7474"/>
    <w:rsid w:val="003E770F"/>
    <w:rsid w:val="003F0A82"/>
    <w:rsid w:val="003F140F"/>
    <w:rsid w:val="003F15F8"/>
    <w:rsid w:val="003F27C9"/>
    <w:rsid w:val="003F2CB0"/>
    <w:rsid w:val="003F419F"/>
    <w:rsid w:val="003F54C2"/>
    <w:rsid w:val="003F56E6"/>
    <w:rsid w:val="003F6603"/>
    <w:rsid w:val="003F6A5E"/>
    <w:rsid w:val="003F7A76"/>
    <w:rsid w:val="00402920"/>
    <w:rsid w:val="004058C3"/>
    <w:rsid w:val="00406267"/>
    <w:rsid w:val="004115C8"/>
    <w:rsid w:val="00411DEE"/>
    <w:rsid w:val="00412B3B"/>
    <w:rsid w:val="00413BA9"/>
    <w:rsid w:val="00413DD2"/>
    <w:rsid w:val="004161BE"/>
    <w:rsid w:val="0041673D"/>
    <w:rsid w:val="00416EEB"/>
    <w:rsid w:val="00417779"/>
    <w:rsid w:val="00420C1E"/>
    <w:rsid w:val="00422F39"/>
    <w:rsid w:val="004235A3"/>
    <w:rsid w:val="00423858"/>
    <w:rsid w:val="00423865"/>
    <w:rsid w:val="004239D8"/>
    <w:rsid w:val="00423D13"/>
    <w:rsid w:val="00424C84"/>
    <w:rsid w:val="00424F99"/>
    <w:rsid w:val="004252D7"/>
    <w:rsid w:val="00425881"/>
    <w:rsid w:val="00426352"/>
    <w:rsid w:val="00426458"/>
    <w:rsid w:val="00430536"/>
    <w:rsid w:val="00432286"/>
    <w:rsid w:val="00432E03"/>
    <w:rsid w:val="00435A5D"/>
    <w:rsid w:val="00435CE6"/>
    <w:rsid w:val="00435D45"/>
    <w:rsid w:val="0043683F"/>
    <w:rsid w:val="00436D24"/>
    <w:rsid w:val="004372F6"/>
    <w:rsid w:val="00440801"/>
    <w:rsid w:val="0044207B"/>
    <w:rsid w:val="00442E60"/>
    <w:rsid w:val="00443690"/>
    <w:rsid w:val="004438D5"/>
    <w:rsid w:val="00444F63"/>
    <w:rsid w:val="004475FF"/>
    <w:rsid w:val="00452340"/>
    <w:rsid w:val="004526CC"/>
    <w:rsid w:val="00452FC0"/>
    <w:rsid w:val="00453281"/>
    <w:rsid w:val="00453471"/>
    <w:rsid w:val="0045357C"/>
    <w:rsid w:val="00453710"/>
    <w:rsid w:val="00454915"/>
    <w:rsid w:val="004556C3"/>
    <w:rsid w:val="0045728F"/>
    <w:rsid w:val="0045750D"/>
    <w:rsid w:val="0046027A"/>
    <w:rsid w:val="00460589"/>
    <w:rsid w:val="00462E5E"/>
    <w:rsid w:val="00462FEC"/>
    <w:rsid w:val="00463970"/>
    <w:rsid w:val="0046455A"/>
    <w:rsid w:val="00464631"/>
    <w:rsid w:val="00464B43"/>
    <w:rsid w:val="00464EAB"/>
    <w:rsid w:val="00465ADE"/>
    <w:rsid w:val="004714F5"/>
    <w:rsid w:val="00472F69"/>
    <w:rsid w:val="0047404B"/>
    <w:rsid w:val="00474326"/>
    <w:rsid w:val="0047468C"/>
    <w:rsid w:val="004755B8"/>
    <w:rsid w:val="00475DCB"/>
    <w:rsid w:val="004768C0"/>
    <w:rsid w:val="00476E90"/>
    <w:rsid w:val="00477876"/>
    <w:rsid w:val="00480306"/>
    <w:rsid w:val="0048075D"/>
    <w:rsid w:val="004807F2"/>
    <w:rsid w:val="00481F2D"/>
    <w:rsid w:val="00483A61"/>
    <w:rsid w:val="00485042"/>
    <w:rsid w:val="00490E06"/>
    <w:rsid w:val="00491751"/>
    <w:rsid w:val="00492D0F"/>
    <w:rsid w:val="004940FA"/>
    <w:rsid w:val="00494E65"/>
    <w:rsid w:val="00496FB5"/>
    <w:rsid w:val="004A11F7"/>
    <w:rsid w:val="004A1986"/>
    <w:rsid w:val="004A22E6"/>
    <w:rsid w:val="004A2510"/>
    <w:rsid w:val="004A2A1B"/>
    <w:rsid w:val="004A395C"/>
    <w:rsid w:val="004A447F"/>
    <w:rsid w:val="004A522C"/>
    <w:rsid w:val="004A548C"/>
    <w:rsid w:val="004A59A2"/>
    <w:rsid w:val="004A5D03"/>
    <w:rsid w:val="004A66A0"/>
    <w:rsid w:val="004A7B06"/>
    <w:rsid w:val="004A7C0F"/>
    <w:rsid w:val="004B02CA"/>
    <w:rsid w:val="004B055B"/>
    <w:rsid w:val="004B261F"/>
    <w:rsid w:val="004B2EB1"/>
    <w:rsid w:val="004B3100"/>
    <w:rsid w:val="004B42E3"/>
    <w:rsid w:val="004B71C2"/>
    <w:rsid w:val="004C0FA6"/>
    <w:rsid w:val="004C1DBA"/>
    <w:rsid w:val="004C4B86"/>
    <w:rsid w:val="004C4F86"/>
    <w:rsid w:val="004C6503"/>
    <w:rsid w:val="004D0286"/>
    <w:rsid w:val="004D0CB4"/>
    <w:rsid w:val="004D15E0"/>
    <w:rsid w:val="004D1CC5"/>
    <w:rsid w:val="004D2958"/>
    <w:rsid w:val="004D3C5C"/>
    <w:rsid w:val="004D55D1"/>
    <w:rsid w:val="004D61BC"/>
    <w:rsid w:val="004D6A11"/>
    <w:rsid w:val="004D6BD0"/>
    <w:rsid w:val="004D6C82"/>
    <w:rsid w:val="004D6D82"/>
    <w:rsid w:val="004E02C5"/>
    <w:rsid w:val="004E036E"/>
    <w:rsid w:val="004E0BA6"/>
    <w:rsid w:val="004E2562"/>
    <w:rsid w:val="004E3099"/>
    <w:rsid w:val="004E4AD0"/>
    <w:rsid w:val="004E5C50"/>
    <w:rsid w:val="004E6500"/>
    <w:rsid w:val="004E68DE"/>
    <w:rsid w:val="004E7E84"/>
    <w:rsid w:val="004F0FDE"/>
    <w:rsid w:val="004F165A"/>
    <w:rsid w:val="004F1872"/>
    <w:rsid w:val="004F578D"/>
    <w:rsid w:val="004F5D2F"/>
    <w:rsid w:val="004F621E"/>
    <w:rsid w:val="004F7488"/>
    <w:rsid w:val="00500594"/>
    <w:rsid w:val="00500B91"/>
    <w:rsid w:val="00502276"/>
    <w:rsid w:val="00503AFB"/>
    <w:rsid w:val="00505220"/>
    <w:rsid w:val="0050648E"/>
    <w:rsid w:val="005118B6"/>
    <w:rsid w:val="0051249C"/>
    <w:rsid w:val="005131C0"/>
    <w:rsid w:val="00520A23"/>
    <w:rsid w:val="00521689"/>
    <w:rsid w:val="0052203A"/>
    <w:rsid w:val="005222C1"/>
    <w:rsid w:val="00522AB6"/>
    <w:rsid w:val="005238EB"/>
    <w:rsid w:val="005243E3"/>
    <w:rsid w:val="00527ABD"/>
    <w:rsid w:val="00527FF6"/>
    <w:rsid w:val="00530403"/>
    <w:rsid w:val="00530EA1"/>
    <w:rsid w:val="00532564"/>
    <w:rsid w:val="00532668"/>
    <w:rsid w:val="00534F70"/>
    <w:rsid w:val="0053502F"/>
    <w:rsid w:val="00535AB1"/>
    <w:rsid w:val="00535BBB"/>
    <w:rsid w:val="0053754B"/>
    <w:rsid w:val="00537ACB"/>
    <w:rsid w:val="00537C06"/>
    <w:rsid w:val="00537CBD"/>
    <w:rsid w:val="00547369"/>
    <w:rsid w:val="00547AE1"/>
    <w:rsid w:val="00547E17"/>
    <w:rsid w:val="00551AE2"/>
    <w:rsid w:val="00551B11"/>
    <w:rsid w:val="0055248C"/>
    <w:rsid w:val="00553CB4"/>
    <w:rsid w:val="0055409B"/>
    <w:rsid w:val="00554B99"/>
    <w:rsid w:val="00555FB3"/>
    <w:rsid w:val="00557959"/>
    <w:rsid w:val="00557C13"/>
    <w:rsid w:val="005615E6"/>
    <w:rsid w:val="00561878"/>
    <w:rsid w:val="0056370F"/>
    <w:rsid w:val="005663BE"/>
    <w:rsid w:val="00566F0E"/>
    <w:rsid w:val="005671FA"/>
    <w:rsid w:val="005718B4"/>
    <w:rsid w:val="0057206D"/>
    <w:rsid w:val="00572E4A"/>
    <w:rsid w:val="005730E1"/>
    <w:rsid w:val="005737A3"/>
    <w:rsid w:val="005753D7"/>
    <w:rsid w:val="00577848"/>
    <w:rsid w:val="00580F02"/>
    <w:rsid w:val="00581B3E"/>
    <w:rsid w:val="00582E3A"/>
    <w:rsid w:val="00583196"/>
    <w:rsid w:val="00587400"/>
    <w:rsid w:val="00587EDC"/>
    <w:rsid w:val="005901BA"/>
    <w:rsid w:val="0059033F"/>
    <w:rsid w:val="00591915"/>
    <w:rsid w:val="00592EFC"/>
    <w:rsid w:val="00594B30"/>
    <w:rsid w:val="00594CBF"/>
    <w:rsid w:val="00595080"/>
    <w:rsid w:val="0059579B"/>
    <w:rsid w:val="00595A9E"/>
    <w:rsid w:val="00596853"/>
    <w:rsid w:val="005973BC"/>
    <w:rsid w:val="0059785E"/>
    <w:rsid w:val="005A0910"/>
    <w:rsid w:val="005A187F"/>
    <w:rsid w:val="005A34F2"/>
    <w:rsid w:val="005A3EBC"/>
    <w:rsid w:val="005A5DEB"/>
    <w:rsid w:val="005A686E"/>
    <w:rsid w:val="005A7180"/>
    <w:rsid w:val="005B0DD9"/>
    <w:rsid w:val="005B109A"/>
    <w:rsid w:val="005B2800"/>
    <w:rsid w:val="005B29BC"/>
    <w:rsid w:val="005B4035"/>
    <w:rsid w:val="005B4790"/>
    <w:rsid w:val="005B4EED"/>
    <w:rsid w:val="005C1E07"/>
    <w:rsid w:val="005C3AF5"/>
    <w:rsid w:val="005C642D"/>
    <w:rsid w:val="005C6BF1"/>
    <w:rsid w:val="005C6D26"/>
    <w:rsid w:val="005C6F66"/>
    <w:rsid w:val="005D162E"/>
    <w:rsid w:val="005D1C17"/>
    <w:rsid w:val="005D214C"/>
    <w:rsid w:val="005D3F09"/>
    <w:rsid w:val="005D4268"/>
    <w:rsid w:val="005D517D"/>
    <w:rsid w:val="005D60CC"/>
    <w:rsid w:val="005D631C"/>
    <w:rsid w:val="005D7294"/>
    <w:rsid w:val="005D79DE"/>
    <w:rsid w:val="005D7BAA"/>
    <w:rsid w:val="005E034D"/>
    <w:rsid w:val="005E1BB3"/>
    <w:rsid w:val="005E1D74"/>
    <w:rsid w:val="005E2C1E"/>
    <w:rsid w:val="005E2CF0"/>
    <w:rsid w:val="005E2F82"/>
    <w:rsid w:val="005E3264"/>
    <w:rsid w:val="005E32AE"/>
    <w:rsid w:val="005E3D5D"/>
    <w:rsid w:val="005E5272"/>
    <w:rsid w:val="005E5697"/>
    <w:rsid w:val="005E6802"/>
    <w:rsid w:val="005E7B63"/>
    <w:rsid w:val="005F2C79"/>
    <w:rsid w:val="005F365B"/>
    <w:rsid w:val="005F3B29"/>
    <w:rsid w:val="005F423E"/>
    <w:rsid w:val="005F5701"/>
    <w:rsid w:val="005F6BF5"/>
    <w:rsid w:val="005F6DFE"/>
    <w:rsid w:val="005F7875"/>
    <w:rsid w:val="0060059F"/>
    <w:rsid w:val="00600662"/>
    <w:rsid w:val="00600675"/>
    <w:rsid w:val="00600678"/>
    <w:rsid w:val="00600724"/>
    <w:rsid w:val="00603519"/>
    <w:rsid w:val="006042D0"/>
    <w:rsid w:val="006047D8"/>
    <w:rsid w:val="006049D2"/>
    <w:rsid w:val="00606773"/>
    <w:rsid w:val="00607240"/>
    <w:rsid w:val="006073C8"/>
    <w:rsid w:val="0061003A"/>
    <w:rsid w:val="00611853"/>
    <w:rsid w:val="00611EAD"/>
    <w:rsid w:val="0061310A"/>
    <w:rsid w:val="0061357A"/>
    <w:rsid w:val="00613A88"/>
    <w:rsid w:val="00613C28"/>
    <w:rsid w:val="00614740"/>
    <w:rsid w:val="00614CA5"/>
    <w:rsid w:val="006151B9"/>
    <w:rsid w:val="00615E46"/>
    <w:rsid w:val="00616C9A"/>
    <w:rsid w:val="006170AF"/>
    <w:rsid w:val="00621698"/>
    <w:rsid w:val="00622816"/>
    <w:rsid w:val="0062376B"/>
    <w:rsid w:val="00624643"/>
    <w:rsid w:val="00625D96"/>
    <w:rsid w:val="00626155"/>
    <w:rsid w:val="00626983"/>
    <w:rsid w:val="006278B1"/>
    <w:rsid w:val="00627C83"/>
    <w:rsid w:val="006304B1"/>
    <w:rsid w:val="006304FA"/>
    <w:rsid w:val="0063353D"/>
    <w:rsid w:val="00633C70"/>
    <w:rsid w:val="00635CA1"/>
    <w:rsid w:val="00640A64"/>
    <w:rsid w:val="006421D2"/>
    <w:rsid w:val="00643209"/>
    <w:rsid w:val="00644499"/>
    <w:rsid w:val="006450AD"/>
    <w:rsid w:val="0064519D"/>
    <w:rsid w:val="00645C14"/>
    <w:rsid w:val="006460F7"/>
    <w:rsid w:val="0064652C"/>
    <w:rsid w:val="0064679A"/>
    <w:rsid w:val="00651592"/>
    <w:rsid w:val="0065216C"/>
    <w:rsid w:val="006525CF"/>
    <w:rsid w:val="00652A30"/>
    <w:rsid w:val="0065540C"/>
    <w:rsid w:val="00656507"/>
    <w:rsid w:val="006578D0"/>
    <w:rsid w:val="00657B66"/>
    <w:rsid w:val="00661637"/>
    <w:rsid w:val="00662D5B"/>
    <w:rsid w:val="00663AF2"/>
    <w:rsid w:val="00663CF2"/>
    <w:rsid w:val="0066449B"/>
    <w:rsid w:val="00665845"/>
    <w:rsid w:val="00666410"/>
    <w:rsid w:val="00666DD7"/>
    <w:rsid w:val="00670EE6"/>
    <w:rsid w:val="006722CE"/>
    <w:rsid w:val="00673327"/>
    <w:rsid w:val="00673497"/>
    <w:rsid w:val="00676446"/>
    <w:rsid w:val="00681E69"/>
    <w:rsid w:val="006842B7"/>
    <w:rsid w:val="00684431"/>
    <w:rsid w:val="00690494"/>
    <w:rsid w:val="00690A2E"/>
    <w:rsid w:val="00691F34"/>
    <w:rsid w:val="0069265C"/>
    <w:rsid w:val="0069271A"/>
    <w:rsid w:val="00694B3E"/>
    <w:rsid w:val="00697492"/>
    <w:rsid w:val="00697634"/>
    <w:rsid w:val="00697C15"/>
    <w:rsid w:val="006A01A4"/>
    <w:rsid w:val="006A2711"/>
    <w:rsid w:val="006A2DCE"/>
    <w:rsid w:val="006A317B"/>
    <w:rsid w:val="006A3D22"/>
    <w:rsid w:val="006A4309"/>
    <w:rsid w:val="006A62F9"/>
    <w:rsid w:val="006A6C87"/>
    <w:rsid w:val="006B04CC"/>
    <w:rsid w:val="006B25A8"/>
    <w:rsid w:val="006B2E2C"/>
    <w:rsid w:val="006B32F5"/>
    <w:rsid w:val="006B3F34"/>
    <w:rsid w:val="006B4366"/>
    <w:rsid w:val="006B572D"/>
    <w:rsid w:val="006B573D"/>
    <w:rsid w:val="006B575A"/>
    <w:rsid w:val="006B7F2D"/>
    <w:rsid w:val="006C07E9"/>
    <w:rsid w:val="006C14E1"/>
    <w:rsid w:val="006C227F"/>
    <w:rsid w:val="006C3C1A"/>
    <w:rsid w:val="006C4A0E"/>
    <w:rsid w:val="006C511D"/>
    <w:rsid w:val="006C6C3F"/>
    <w:rsid w:val="006D1619"/>
    <w:rsid w:val="006D306D"/>
    <w:rsid w:val="006D450A"/>
    <w:rsid w:val="006D5F00"/>
    <w:rsid w:val="006D7E2E"/>
    <w:rsid w:val="006E01B7"/>
    <w:rsid w:val="006E0BA3"/>
    <w:rsid w:val="006E0D0C"/>
    <w:rsid w:val="006E1D76"/>
    <w:rsid w:val="006E1E72"/>
    <w:rsid w:val="006E201C"/>
    <w:rsid w:val="006E26B3"/>
    <w:rsid w:val="006E359E"/>
    <w:rsid w:val="006E492D"/>
    <w:rsid w:val="006E549E"/>
    <w:rsid w:val="006E5C2B"/>
    <w:rsid w:val="006E7F94"/>
    <w:rsid w:val="006F043A"/>
    <w:rsid w:val="006F1CAC"/>
    <w:rsid w:val="006F2AC4"/>
    <w:rsid w:val="006F35D7"/>
    <w:rsid w:val="006F4F1C"/>
    <w:rsid w:val="006F5B24"/>
    <w:rsid w:val="006F67AA"/>
    <w:rsid w:val="006F72E8"/>
    <w:rsid w:val="006F7B22"/>
    <w:rsid w:val="006F7E1D"/>
    <w:rsid w:val="007008FA"/>
    <w:rsid w:val="00701025"/>
    <w:rsid w:val="0070124D"/>
    <w:rsid w:val="00702720"/>
    <w:rsid w:val="00703A36"/>
    <w:rsid w:val="00707CDF"/>
    <w:rsid w:val="00712109"/>
    <w:rsid w:val="007130D6"/>
    <w:rsid w:val="0071502D"/>
    <w:rsid w:val="00715549"/>
    <w:rsid w:val="00715BBD"/>
    <w:rsid w:val="00716661"/>
    <w:rsid w:val="007204ED"/>
    <w:rsid w:val="00720EF4"/>
    <w:rsid w:val="0072104B"/>
    <w:rsid w:val="00721264"/>
    <w:rsid w:val="00721974"/>
    <w:rsid w:val="00723086"/>
    <w:rsid w:val="00723489"/>
    <w:rsid w:val="00723D15"/>
    <w:rsid w:val="00726332"/>
    <w:rsid w:val="00726721"/>
    <w:rsid w:val="007301F3"/>
    <w:rsid w:val="0073419F"/>
    <w:rsid w:val="0073470B"/>
    <w:rsid w:val="00734A79"/>
    <w:rsid w:val="00735E53"/>
    <w:rsid w:val="007403B2"/>
    <w:rsid w:val="00740FC5"/>
    <w:rsid w:val="007423F3"/>
    <w:rsid w:val="007439D1"/>
    <w:rsid w:val="00743C72"/>
    <w:rsid w:val="007441C0"/>
    <w:rsid w:val="00744BDA"/>
    <w:rsid w:val="00744F0F"/>
    <w:rsid w:val="00745106"/>
    <w:rsid w:val="007467D3"/>
    <w:rsid w:val="00750E14"/>
    <w:rsid w:val="007514A8"/>
    <w:rsid w:val="00751A24"/>
    <w:rsid w:val="00751D4A"/>
    <w:rsid w:val="007521AE"/>
    <w:rsid w:val="00753F6C"/>
    <w:rsid w:val="0075425A"/>
    <w:rsid w:val="0075483C"/>
    <w:rsid w:val="00757F2C"/>
    <w:rsid w:val="00760A21"/>
    <w:rsid w:val="00760D30"/>
    <w:rsid w:val="00761A82"/>
    <w:rsid w:val="00762878"/>
    <w:rsid w:val="00763729"/>
    <w:rsid w:val="007640AE"/>
    <w:rsid w:val="007671CF"/>
    <w:rsid w:val="00771807"/>
    <w:rsid w:val="00771F8C"/>
    <w:rsid w:val="00773E86"/>
    <w:rsid w:val="007751D9"/>
    <w:rsid w:val="00775588"/>
    <w:rsid w:val="007763E2"/>
    <w:rsid w:val="00780510"/>
    <w:rsid w:val="007809E3"/>
    <w:rsid w:val="00780C2D"/>
    <w:rsid w:val="0078344A"/>
    <w:rsid w:val="00784602"/>
    <w:rsid w:val="00784BB8"/>
    <w:rsid w:val="00785B89"/>
    <w:rsid w:val="00786338"/>
    <w:rsid w:val="00790619"/>
    <w:rsid w:val="00791533"/>
    <w:rsid w:val="00791AFA"/>
    <w:rsid w:val="0079216E"/>
    <w:rsid w:val="00793B01"/>
    <w:rsid w:val="00793BFA"/>
    <w:rsid w:val="0079412E"/>
    <w:rsid w:val="007941D7"/>
    <w:rsid w:val="00794236"/>
    <w:rsid w:val="00795624"/>
    <w:rsid w:val="007965C9"/>
    <w:rsid w:val="00796A8E"/>
    <w:rsid w:val="007A1D59"/>
    <w:rsid w:val="007A3100"/>
    <w:rsid w:val="007A3227"/>
    <w:rsid w:val="007A57E3"/>
    <w:rsid w:val="007A5B09"/>
    <w:rsid w:val="007A5B0F"/>
    <w:rsid w:val="007B27EE"/>
    <w:rsid w:val="007B39DD"/>
    <w:rsid w:val="007B4DD3"/>
    <w:rsid w:val="007C0543"/>
    <w:rsid w:val="007C2067"/>
    <w:rsid w:val="007C4A3E"/>
    <w:rsid w:val="007C4DF6"/>
    <w:rsid w:val="007C6CFA"/>
    <w:rsid w:val="007D059E"/>
    <w:rsid w:val="007D429E"/>
    <w:rsid w:val="007D5061"/>
    <w:rsid w:val="007D56CE"/>
    <w:rsid w:val="007D5F6E"/>
    <w:rsid w:val="007D6F72"/>
    <w:rsid w:val="007E0647"/>
    <w:rsid w:val="007E1281"/>
    <w:rsid w:val="007E1B40"/>
    <w:rsid w:val="007E3608"/>
    <w:rsid w:val="007E67EF"/>
    <w:rsid w:val="007F1D65"/>
    <w:rsid w:val="007F298D"/>
    <w:rsid w:val="007F3209"/>
    <w:rsid w:val="007F38C9"/>
    <w:rsid w:val="007F3D26"/>
    <w:rsid w:val="007F47C1"/>
    <w:rsid w:val="007F489C"/>
    <w:rsid w:val="007F4A9E"/>
    <w:rsid w:val="007F4AF1"/>
    <w:rsid w:val="007F4D11"/>
    <w:rsid w:val="007F7CC7"/>
    <w:rsid w:val="00800F97"/>
    <w:rsid w:val="0080225D"/>
    <w:rsid w:val="008047B7"/>
    <w:rsid w:val="0080481D"/>
    <w:rsid w:val="00804969"/>
    <w:rsid w:val="008069CF"/>
    <w:rsid w:val="008072D6"/>
    <w:rsid w:val="008103C9"/>
    <w:rsid w:val="00811F92"/>
    <w:rsid w:val="00812385"/>
    <w:rsid w:val="008128E0"/>
    <w:rsid w:val="008134B2"/>
    <w:rsid w:val="008146C7"/>
    <w:rsid w:val="00815747"/>
    <w:rsid w:val="0081639F"/>
    <w:rsid w:val="0082017F"/>
    <w:rsid w:val="008202BD"/>
    <w:rsid w:val="00820E73"/>
    <w:rsid w:val="00821F2B"/>
    <w:rsid w:val="00822155"/>
    <w:rsid w:val="008230FF"/>
    <w:rsid w:val="0082767E"/>
    <w:rsid w:val="008343B3"/>
    <w:rsid w:val="00835A29"/>
    <w:rsid w:val="008361D3"/>
    <w:rsid w:val="00836F40"/>
    <w:rsid w:val="00837022"/>
    <w:rsid w:val="008415CD"/>
    <w:rsid w:val="00844AC7"/>
    <w:rsid w:val="0084554A"/>
    <w:rsid w:val="00846672"/>
    <w:rsid w:val="00846874"/>
    <w:rsid w:val="00847467"/>
    <w:rsid w:val="00847F67"/>
    <w:rsid w:val="00850AE6"/>
    <w:rsid w:val="008520B1"/>
    <w:rsid w:val="00855A96"/>
    <w:rsid w:val="00855C65"/>
    <w:rsid w:val="0085710A"/>
    <w:rsid w:val="008577AA"/>
    <w:rsid w:val="008622BF"/>
    <w:rsid w:val="0086393A"/>
    <w:rsid w:val="0086446C"/>
    <w:rsid w:val="00866583"/>
    <w:rsid w:val="00866C27"/>
    <w:rsid w:val="00867DE6"/>
    <w:rsid w:val="0087083F"/>
    <w:rsid w:val="00873257"/>
    <w:rsid w:val="00874388"/>
    <w:rsid w:val="008751B1"/>
    <w:rsid w:val="00875B6C"/>
    <w:rsid w:val="00875CCC"/>
    <w:rsid w:val="00877816"/>
    <w:rsid w:val="008779EC"/>
    <w:rsid w:val="008801CF"/>
    <w:rsid w:val="008819F3"/>
    <w:rsid w:val="00883469"/>
    <w:rsid w:val="0088666B"/>
    <w:rsid w:val="00886767"/>
    <w:rsid w:val="00886877"/>
    <w:rsid w:val="00886E90"/>
    <w:rsid w:val="00887DB9"/>
    <w:rsid w:val="00890E76"/>
    <w:rsid w:val="00894680"/>
    <w:rsid w:val="00894B8C"/>
    <w:rsid w:val="00896816"/>
    <w:rsid w:val="00896959"/>
    <w:rsid w:val="008A0C55"/>
    <w:rsid w:val="008A1024"/>
    <w:rsid w:val="008A35B2"/>
    <w:rsid w:val="008A375D"/>
    <w:rsid w:val="008A5A82"/>
    <w:rsid w:val="008A62AD"/>
    <w:rsid w:val="008A6761"/>
    <w:rsid w:val="008A6BAC"/>
    <w:rsid w:val="008A712F"/>
    <w:rsid w:val="008A74EF"/>
    <w:rsid w:val="008B29D9"/>
    <w:rsid w:val="008B2E6E"/>
    <w:rsid w:val="008B61B4"/>
    <w:rsid w:val="008B6295"/>
    <w:rsid w:val="008B6A7C"/>
    <w:rsid w:val="008B75C2"/>
    <w:rsid w:val="008C063F"/>
    <w:rsid w:val="008C12B5"/>
    <w:rsid w:val="008C1426"/>
    <w:rsid w:val="008C1FDB"/>
    <w:rsid w:val="008C4AB2"/>
    <w:rsid w:val="008C5458"/>
    <w:rsid w:val="008C62F7"/>
    <w:rsid w:val="008C7161"/>
    <w:rsid w:val="008D0162"/>
    <w:rsid w:val="008D087F"/>
    <w:rsid w:val="008D09D0"/>
    <w:rsid w:val="008D12C0"/>
    <w:rsid w:val="008D3F5C"/>
    <w:rsid w:val="008D4433"/>
    <w:rsid w:val="008D4762"/>
    <w:rsid w:val="008D4AC9"/>
    <w:rsid w:val="008D60B6"/>
    <w:rsid w:val="008D69B8"/>
    <w:rsid w:val="008E0175"/>
    <w:rsid w:val="008E05C9"/>
    <w:rsid w:val="008E0887"/>
    <w:rsid w:val="008E2815"/>
    <w:rsid w:val="008E55CD"/>
    <w:rsid w:val="008E5C59"/>
    <w:rsid w:val="008E674E"/>
    <w:rsid w:val="008E7417"/>
    <w:rsid w:val="008E7D85"/>
    <w:rsid w:val="008F0A20"/>
    <w:rsid w:val="008F0C7C"/>
    <w:rsid w:val="008F11D7"/>
    <w:rsid w:val="008F3443"/>
    <w:rsid w:val="008F3874"/>
    <w:rsid w:val="008F38FD"/>
    <w:rsid w:val="008F4F2B"/>
    <w:rsid w:val="008F6AFF"/>
    <w:rsid w:val="008F70CB"/>
    <w:rsid w:val="009012B1"/>
    <w:rsid w:val="009019E6"/>
    <w:rsid w:val="00903888"/>
    <w:rsid w:val="0090496F"/>
    <w:rsid w:val="009053C4"/>
    <w:rsid w:val="009068ED"/>
    <w:rsid w:val="00906F4F"/>
    <w:rsid w:val="00907865"/>
    <w:rsid w:val="00910404"/>
    <w:rsid w:val="00911ACC"/>
    <w:rsid w:val="009127C3"/>
    <w:rsid w:val="00912B57"/>
    <w:rsid w:val="00913AEC"/>
    <w:rsid w:val="00914037"/>
    <w:rsid w:val="0091454B"/>
    <w:rsid w:val="009178AD"/>
    <w:rsid w:val="00917A5A"/>
    <w:rsid w:val="00924044"/>
    <w:rsid w:val="00925940"/>
    <w:rsid w:val="0092616A"/>
    <w:rsid w:val="00926350"/>
    <w:rsid w:val="00926EF6"/>
    <w:rsid w:val="009270BF"/>
    <w:rsid w:val="00931DAB"/>
    <w:rsid w:val="009329F7"/>
    <w:rsid w:val="00932DD8"/>
    <w:rsid w:val="0093375A"/>
    <w:rsid w:val="00934F5E"/>
    <w:rsid w:val="009357D8"/>
    <w:rsid w:val="00935878"/>
    <w:rsid w:val="009366D6"/>
    <w:rsid w:val="00937C37"/>
    <w:rsid w:val="00937DE9"/>
    <w:rsid w:val="00937F5B"/>
    <w:rsid w:val="00940E72"/>
    <w:rsid w:val="00941CBB"/>
    <w:rsid w:val="00942662"/>
    <w:rsid w:val="0094336E"/>
    <w:rsid w:val="00943C36"/>
    <w:rsid w:val="00943E21"/>
    <w:rsid w:val="00944CC7"/>
    <w:rsid w:val="0094501A"/>
    <w:rsid w:val="00945396"/>
    <w:rsid w:val="00946E76"/>
    <w:rsid w:val="00950100"/>
    <w:rsid w:val="00950313"/>
    <w:rsid w:val="00950A1B"/>
    <w:rsid w:val="00950F35"/>
    <w:rsid w:val="0095178F"/>
    <w:rsid w:val="009524F8"/>
    <w:rsid w:val="0095417E"/>
    <w:rsid w:val="009545DE"/>
    <w:rsid w:val="00954C41"/>
    <w:rsid w:val="00954F10"/>
    <w:rsid w:val="00955E00"/>
    <w:rsid w:val="00956043"/>
    <w:rsid w:val="00956147"/>
    <w:rsid w:val="009564D1"/>
    <w:rsid w:val="0095719D"/>
    <w:rsid w:val="009574A4"/>
    <w:rsid w:val="009610D4"/>
    <w:rsid w:val="0096110C"/>
    <w:rsid w:val="00963615"/>
    <w:rsid w:val="00964AF7"/>
    <w:rsid w:val="00964CE8"/>
    <w:rsid w:val="00965270"/>
    <w:rsid w:val="009653D5"/>
    <w:rsid w:val="00966ACB"/>
    <w:rsid w:val="00967337"/>
    <w:rsid w:val="0096749A"/>
    <w:rsid w:val="00967E56"/>
    <w:rsid w:val="00970DC7"/>
    <w:rsid w:val="0097157B"/>
    <w:rsid w:val="00972456"/>
    <w:rsid w:val="00972C35"/>
    <w:rsid w:val="00973407"/>
    <w:rsid w:val="00973845"/>
    <w:rsid w:val="00974624"/>
    <w:rsid w:val="009748E1"/>
    <w:rsid w:val="00974CCC"/>
    <w:rsid w:val="00975FEE"/>
    <w:rsid w:val="00976956"/>
    <w:rsid w:val="00976C10"/>
    <w:rsid w:val="00977A1C"/>
    <w:rsid w:val="00977A24"/>
    <w:rsid w:val="00977ACF"/>
    <w:rsid w:val="00981AB9"/>
    <w:rsid w:val="00981F25"/>
    <w:rsid w:val="0098331E"/>
    <w:rsid w:val="00985ACE"/>
    <w:rsid w:val="00991341"/>
    <w:rsid w:val="009929DD"/>
    <w:rsid w:val="009954BA"/>
    <w:rsid w:val="00995CA5"/>
    <w:rsid w:val="0099723E"/>
    <w:rsid w:val="0099759C"/>
    <w:rsid w:val="00997DDD"/>
    <w:rsid w:val="009A01C1"/>
    <w:rsid w:val="009A1BF2"/>
    <w:rsid w:val="009A2098"/>
    <w:rsid w:val="009A2419"/>
    <w:rsid w:val="009A2FAC"/>
    <w:rsid w:val="009A3639"/>
    <w:rsid w:val="009A3A8A"/>
    <w:rsid w:val="009A4415"/>
    <w:rsid w:val="009A465F"/>
    <w:rsid w:val="009A5CE6"/>
    <w:rsid w:val="009A7522"/>
    <w:rsid w:val="009B005B"/>
    <w:rsid w:val="009B06E3"/>
    <w:rsid w:val="009B0752"/>
    <w:rsid w:val="009B1EA0"/>
    <w:rsid w:val="009B241F"/>
    <w:rsid w:val="009B29C2"/>
    <w:rsid w:val="009B48A8"/>
    <w:rsid w:val="009B5DA2"/>
    <w:rsid w:val="009B6584"/>
    <w:rsid w:val="009B6BEA"/>
    <w:rsid w:val="009B79B6"/>
    <w:rsid w:val="009B7D7C"/>
    <w:rsid w:val="009C20F6"/>
    <w:rsid w:val="009C2BCF"/>
    <w:rsid w:val="009C33A3"/>
    <w:rsid w:val="009C39EF"/>
    <w:rsid w:val="009C42BE"/>
    <w:rsid w:val="009C5A6B"/>
    <w:rsid w:val="009C62EA"/>
    <w:rsid w:val="009C66BA"/>
    <w:rsid w:val="009C704F"/>
    <w:rsid w:val="009C7FDA"/>
    <w:rsid w:val="009D0DFB"/>
    <w:rsid w:val="009D25C1"/>
    <w:rsid w:val="009D2B21"/>
    <w:rsid w:val="009D3078"/>
    <w:rsid w:val="009D34D2"/>
    <w:rsid w:val="009D3E98"/>
    <w:rsid w:val="009D4031"/>
    <w:rsid w:val="009E14FB"/>
    <w:rsid w:val="009E3DFE"/>
    <w:rsid w:val="009E557D"/>
    <w:rsid w:val="009E62DC"/>
    <w:rsid w:val="009E68AA"/>
    <w:rsid w:val="009E7DCD"/>
    <w:rsid w:val="009F0C5B"/>
    <w:rsid w:val="009F2770"/>
    <w:rsid w:val="009F2A9E"/>
    <w:rsid w:val="009F386B"/>
    <w:rsid w:val="009F51AC"/>
    <w:rsid w:val="009F5E08"/>
    <w:rsid w:val="009F79A5"/>
    <w:rsid w:val="00A030F6"/>
    <w:rsid w:val="00A0443B"/>
    <w:rsid w:val="00A05E25"/>
    <w:rsid w:val="00A07863"/>
    <w:rsid w:val="00A11426"/>
    <w:rsid w:val="00A11554"/>
    <w:rsid w:val="00A14C2C"/>
    <w:rsid w:val="00A15177"/>
    <w:rsid w:val="00A15895"/>
    <w:rsid w:val="00A16563"/>
    <w:rsid w:val="00A17FFE"/>
    <w:rsid w:val="00A20A9E"/>
    <w:rsid w:val="00A210B4"/>
    <w:rsid w:val="00A22DBB"/>
    <w:rsid w:val="00A23463"/>
    <w:rsid w:val="00A237BA"/>
    <w:rsid w:val="00A23EBB"/>
    <w:rsid w:val="00A250D2"/>
    <w:rsid w:val="00A252F7"/>
    <w:rsid w:val="00A254DB"/>
    <w:rsid w:val="00A30620"/>
    <w:rsid w:val="00A3248E"/>
    <w:rsid w:val="00A33394"/>
    <w:rsid w:val="00A34372"/>
    <w:rsid w:val="00A3570C"/>
    <w:rsid w:val="00A369FF"/>
    <w:rsid w:val="00A36CD1"/>
    <w:rsid w:val="00A373B9"/>
    <w:rsid w:val="00A3762A"/>
    <w:rsid w:val="00A40283"/>
    <w:rsid w:val="00A406FF"/>
    <w:rsid w:val="00A40828"/>
    <w:rsid w:val="00A41045"/>
    <w:rsid w:val="00A41976"/>
    <w:rsid w:val="00A41EAA"/>
    <w:rsid w:val="00A423FD"/>
    <w:rsid w:val="00A42A56"/>
    <w:rsid w:val="00A4374B"/>
    <w:rsid w:val="00A43F55"/>
    <w:rsid w:val="00A44256"/>
    <w:rsid w:val="00A45C01"/>
    <w:rsid w:val="00A465D7"/>
    <w:rsid w:val="00A51F4E"/>
    <w:rsid w:val="00A530A7"/>
    <w:rsid w:val="00A5564D"/>
    <w:rsid w:val="00A57CD5"/>
    <w:rsid w:val="00A60ADA"/>
    <w:rsid w:val="00A60E9B"/>
    <w:rsid w:val="00A612AB"/>
    <w:rsid w:val="00A61902"/>
    <w:rsid w:val="00A63D70"/>
    <w:rsid w:val="00A640C3"/>
    <w:rsid w:val="00A646DB"/>
    <w:rsid w:val="00A64BC8"/>
    <w:rsid w:val="00A6539E"/>
    <w:rsid w:val="00A6638D"/>
    <w:rsid w:val="00A669B8"/>
    <w:rsid w:val="00A67390"/>
    <w:rsid w:val="00A733A9"/>
    <w:rsid w:val="00A73F60"/>
    <w:rsid w:val="00A74521"/>
    <w:rsid w:val="00A75EEE"/>
    <w:rsid w:val="00A762EC"/>
    <w:rsid w:val="00A76CCF"/>
    <w:rsid w:val="00A819F3"/>
    <w:rsid w:val="00A828DE"/>
    <w:rsid w:val="00A83520"/>
    <w:rsid w:val="00A849BD"/>
    <w:rsid w:val="00A86303"/>
    <w:rsid w:val="00A86579"/>
    <w:rsid w:val="00A867EB"/>
    <w:rsid w:val="00A8705A"/>
    <w:rsid w:val="00A874F5"/>
    <w:rsid w:val="00A90438"/>
    <w:rsid w:val="00A90884"/>
    <w:rsid w:val="00A91BEF"/>
    <w:rsid w:val="00A92638"/>
    <w:rsid w:val="00A942E4"/>
    <w:rsid w:val="00A95CF1"/>
    <w:rsid w:val="00A977E1"/>
    <w:rsid w:val="00AA0142"/>
    <w:rsid w:val="00AA17BA"/>
    <w:rsid w:val="00AA3626"/>
    <w:rsid w:val="00AA3C39"/>
    <w:rsid w:val="00AA3E02"/>
    <w:rsid w:val="00AA5446"/>
    <w:rsid w:val="00AB015B"/>
    <w:rsid w:val="00AB1CDD"/>
    <w:rsid w:val="00AB2934"/>
    <w:rsid w:val="00AB2996"/>
    <w:rsid w:val="00AB350E"/>
    <w:rsid w:val="00AB5AA9"/>
    <w:rsid w:val="00AB6A6A"/>
    <w:rsid w:val="00AB72E6"/>
    <w:rsid w:val="00AC0B83"/>
    <w:rsid w:val="00AC2822"/>
    <w:rsid w:val="00AC334F"/>
    <w:rsid w:val="00AC5D4F"/>
    <w:rsid w:val="00AC5E5D"/>
    <w:rsid w:val="00AC7ACE"/>
    <w:rsid w:val="00AD0EF9"/>
    <w:rsid w:val="00AD16C3"/>
    <w:rsid w:val="00AD2CD8"/>
    <w:rsid w:val="00AD2E28"/>
    <w:rsid w:val="00AD3093"/>
    <w:rsid w:val="00AD3A72"/>
    <w:rsid w:val="00AD495E"/>
    <w:rsid w:val="00AD4AC2"/>
    <w:rsid w:val="00AD58F7"/>
    <w:rsid w:val="00AD7066"/>
    <w:rsid w:val="00AE03BE"/>
    <w:rsid w:val="00AE1913"/>
    <w:rsid w:val="00AE1D7C"/>
    <w:rsid w:val="00AE285B"/>
    <w:rsid w:val="00AE3E94"/>
    <w:rsid w:val="00AE457E"/>
    <w:rsid w:val="00AE4CB1"/>
    <w:rsid w:val="00AE6641"/>
    <w:rsid w:val="00AF121D"/>
    <w:rsid w:val="00AF1754"/>
    <w:rsid w:val="00AF1C0F"/>
    <w:rsid w:val="00AF1C84"/>
    <w:rsid w:val="00AF52D6"/>
    <w:rsid w:val="00AF7C24"/>
    <w:rsid w:val="00AF7D05"/>
    <w:rsid w:val="00B002F0"/>
    <w:rsid w:val="00B02C68"/>
    <w:rsid w:val="00B03366"/>
    <w:rsid w:val="00B03AA8"/>
    <w:rsid w:val="00B04539"/>
    <w:rsid w:val="00B049EF"/>
    <w:rsid w:val="00B04BC6"/>
    <w:rsid w:val="00B067AA"/>
    <w:rsid w:val="00B06B41"/>
    <w:rsid w:val="00B10570"/>
    <w:rsid w:val="00B10765"/>
    <w:rsid w:val="00B108A9"/>
    <w:rsid w:val="00B10FCA"/>
    <w:rsid w:val="00B1392C"/>
    <w:rsid w:val="00B20661"/>
    <w:rsid w:val="00B21603"/>
    <w:rsid w:val="00B217FF"/>
    <w:rsid w:val="00B21F5B"/>
    <w:rsid w:val="00B22FF4"/>
    <w:rsid w:val="00B24977"/>
    <w:rsid w:val="00B24CCF"/>
    <w:rsid w:val="00B24D38"/>
    <w:rsid w:val="00B251F9"/>
    <w:rsid w:val="00B26229"/>
    <w:rsid w:val="00B27274"/>
    <w:rsid w:val="00B27772"/>
    <w:rsid w:val="00B307B5"/>
    <w:rsid w:val="00B30BDF"/>
    <w:rsid w:val="00B3152B"/>
    <w:rsid w:val="00B31916"/>
    <w:rsid w:val="00B31E51"/>
    <w:rsid w:val="00B32472"/>
    <w:rsid w:val="00B33BC6"/>
    <w:rsid w:val="00B33C06"/>
    <w:rsid w:val="00B342C8"/>
    <w:rsid w:val="00B432AB"/>
    <w:rsid w:val="00B439F1"/>
    <w:rsid w:val="00B44EFA"/>
    <w:rsid w:val="00B45DC0"/>
    <w:rsid w:val="00B46D26"/>
    <w:rsid w:val="00B50C32"/>
    <w:rsid w:val="00B5181B"/>
    <w:rsid w:val="00B53B25"/>
    <w:rsid w:val="00B54043"/>
    <w:rsid w:val="00B54BC2"/>
    <w:rsid w:val="00B55710"/>
    <w:rsid w:val="00B56057"/>
    <w:rsid w:val="00B570AB"/>
    <w:rsid w:val="00B57892"/>
    <w:rsid w:val="00B579C0"/>
    <w:rsid w:val="00B57C84"/>
    <w:rsid w:val="00B6018E"/>
    <w:rsid w:val="00B610BC"/>
    <w:rsid w:val="00B612BC"/>
    <w:rsid w:val="00B617D1"/>
    <w:rsid w:val="00B62369"/>
    <w:rsid w:val="00B65D2D"/>
    <w:rsid w:val="00B678F1"/>
    <w:rsid w:val="00B67F75"/>
    <w:rsid w:val="00B70081"/>
    <w:rsid w:val="00B738B7"/>
    <w:rsid w:val="00B74A7D"/>
    <w:rsid w:val="00B74F1D"/>
    <w:rsid w:val="00B76572"/>
    <w:rsid w:val="00B767EF"/>
    <w:rsid w:val="00B811AB"/>
    <w:rsid w:val="00B812E6"/>
    <w:rsid w:val="00B86D0A"/>
    <w:rsid w:val="00B87475"/>
    <w:rsid w:val="00B90A1A"/>
    <w:rsid w:val="00B90FDD"/>
    <w:rsid w:val="00B91185"/>
    <w:rsid w:val="00B91CFC"/>
    <w:rsid w:val="00B922AE"/>
    <w:rsid w:val="00B9380C"/>
    <w:rsid w:val="00B957C4"/>
    <w:rsid w:val="00B95AC4"/>
    <w:rsid w:val="00B979C6"/>
    <w:rsid w:val="00BA2C11"/>
    <w:rsid w:val="00BA2D3A"/>
    <w:rsid w:val="00BA324F"/>
    <w:rsid w:val="00BA34C5"/>
    <w:rsid w:val="00BA394B"/>
    <w:rsid w:val="00BA4507"/>
    <w:rsid w:val="00BA4701"/>
    <w:rsid w:val="00BA7261"/>
    <w:rsid w:val="00BB0788"/>
    <w:rsid w:val="00BB146C"/>
    <w:rsid w:val="00BB1D14"/>
    <w:rsid w:val="00BB3B46"/>
    <w:rsid w:val="00BB4891"/>
    <w:rsid w:val="00BB5CEF"/>
    <w:rsid w:val="00BB6BFB"/>
    <w:rsid w:val="00BB6D61"/>
    <w:rsid w:val="00BB7C27"/>
    <w:rsid w:val="00BC17B1"/>
    <w:rsid w:val="00BC2282"/>
    <w:rsid w:val="00BC2A67"/>
    <w:rsid w:val="00BC5A71"/>
    <w:rsid w:val="00BC6220"/>
    <w:rsid w:val="00BC6D23"/>
    <w:rsid w:val="00BD0704"/>
    <w:rsid w:val="00BD1B88"/>
    <w:rsid w:val="00BD2B14"/>
    <w:rsid w:val="00BD2F1A"/>
    <w:rsid w:val="00BD5D23"/>
    <w:rsid w:val="00BD636A"/>
    <w:rsid w:val="00BD7829"/>
    <w:rsid w:val="00BE08AC"/>
    <w:rsid w:val="00BE139F"/>
    <w:rsid w:val="00BE166C"/>
    <w:rsid w:val="00BE1B02"/>
    <w:rsid w:val="00BE2B34"/>
    <w:rsid w:val="00BE3024"/>
    <w:rsid w:val="00BE3665"/>
    <w:rsid w:val="00BE4726"/>
    <w:rsid w:val="00BE4CA4"/>
    <w:rsid w:val="00BF02D5"/>
    <w:rsid w:val="00BF1F6B"/>
    <w:rsid w:val="00BF3B60"/>
    <w:rsid w:val="00BF48C2"/>
    <w:rsid w:val="00BF775B"/>
    <w:rsid w:val="00BF792B"/>
    <w:rsid w:val="00C01E3F"/>
    <w:rsid w:val="00C02756"/>
    <w:rsid w:val="00C03A8F"/>
    <w:rsid w:val="00C04B05"/>
    <w:rsid w:val="00C058BB"/>
    <w:rsid w:val="00C05934"/>
    <w:rsid w:val="00C075D8"/>
    <w:rsid w:val="00C07850"/>
    <w:rsid w:val="00C101A3"/>
    <w:rsid w:val="00C10208"/>
    <w:rsid w:val="00C10CB1"/>
    <w:rsid w:val="00C14D38"/>
    <w:rsid w:val="00C16861"/>
    <w:rsid w:val="00C1704B"/>
    <w:rsid w:val="00C17A3C"/>
    <w:rsid w:val="00C2029B"/>
    <w:rsid w:val="00C20DD6"/>
    <w:rsid w:val="00C21DBE"/>
    <w:rsid w:val="00C2213A"/>
    <w:rsid w:val="00C2223D"/>
    <w:rsid w:val="00C22944"/>
    <w:rsid w:val="00C25EA5"/>
    <w:rsid w:val="00C25EAD"/>
    <w:rsid w:val="00C26419"/>
    <w:rsid w:val="00C26726"/>
    <w:rsid w:val="00C30A7F"/>
    <w:rsid w:val="00C3211D"/>
    <w:rsid w:val="00C32536"/>
    <w:rsid w:val="00C3257D"/>
    <w:rsid w:val="00C33B5A"/>
    <w:rsid w:val="00C3527C"/>
    <w:rsid w:val="00C40B0E"/>
    <w:rsid w:val="00C45ABC"/>
    <w:rsid w:val="00C45B02"/>
    <w:rsid w:val="00C46DB9"/>
    <w:rsid w:val="00C47716"/>
    <w:rsid w:val="00C506C2"/>
    <w:rsid w:val="00C50B68"/>
    <w:rsid w:val="00C50E08"/>
    <w:rsid w:val="00C515B6"/>
    <w:rsid w:val="00C521F7"/>
    <w:rsid w:val="00C52764"/>
    <w:rsid w:val="00C53B94"/>
    <w:rsid w:val="00C5486F"/>
    <w:rsid w:val="00C54DF5"/>
    <w:rsid w:val="00C5523A"/>
    <w:rsid w:val="00C557AD"/>
    <w:rsid w:val="00C566B0"/>
    <w:rsid w:val="00C56BBD"/>
    <w:rsid w:val="00C57572"/>
    <w:rsid w:val="00C6133E"/>
    <w:rsid w:val="00C6208F"/>
    <w:rsid w:val="00C63B48"/>
    <w:rsid w:val="00C63CEB"/>
    <w:rsid w:val="00C65A25"/>
    <w:rsid w:val="00C661F8"/>
    <w:rsid w:val="00C665AF"/>
    <w:rsid w:val="00C67537"/>
    <w:rsid w:val="00C71053"/>
    <w:rsid w:val="00C712D4"/>
    <w:rsid w:val="00C73FC4"/>
    <w:rsid w:val="00C74905"/>
    <w:rsid w:val="00C7585F"/>
    <w:rsid w:val="00C7614D"/>
    <w:rsid w:val="00C77BBA"/>
    <w:rsid w:val="00C80259"/>
    <w:rsid w:val="00C81B89"/>
    <w:rsid w:val="00C8206C"/>
    <w:rsid w:val="00C83299"/>
    <w:rsid w:val="00C838F5"/>
    <w:rsid w:val="00C83C63"/>
    <w:rsid w:val="00C85303"/>
    <w:rsid w:val="00C85384"/>
    <w:rsid w:val="00C8690F"/>
    <w:rsid w:val="00C871ED"/>
    <w:rsid w:val="00C875C8"/>
    <w:rsid w:val="00C87B22"/>
    <w:rsid w:val="00C90A8E"/>
    <w:rsid w:val="00C91B7E"/>
    <w:rsid w:val="00C9589E"/>
    <w:rsid w:val="00CA0513"/>
    <w:rsid w:val="00CA0ACC"/>
    <w:rsid w:val="00CA25B4"/>
    <w:rsid w:val="00CA504C"/>
    <w:rsid w:val="00CA54DD"/>
    <w:rsid w:val="00CA5904"/>
    <w:rsid w:val="00CA681D"/>
    <w:rsid w:val="00CB158F"/>
    <w:rsid w:val="00CB1590"/>
    <w:rsid w:val="00CB1CA8"/>
    <w:rsid w:val="00CB29F1"/>
    <w:rsid w:val="00CB3B77"/>
    <w:rsid w:val="00CB4C38"/>
    <w:rsid w:val="00CB59A0"/>
    <w:rsid w:val="00CB5DBD"/>
    <w:rsid w:val="00CB5F7F"/>
    <w:rsid w:val="00CB64E4"/>
    <w:rsid w:val="00CB72A1"/>
    <w:rsid w:val="00CB7610"/>
    <w:rsid w:val="00CB79D5"/>
    <w:rsid w:val="00CB7C99"/>
    <w:rsid w:val="00CB7D3B"/>
    <w:rsid w:val="00CC077A"/>
    <w:rsid w:val="00CC1AE2"/>
    <w:rsid w:val="00CC3102"/>
    <w:rsid w:val="00CC4805"/>
    <w:rsid w:val="00CC627C"/>
    <w:rsid w:val="00CC7D20"/>
    <w:rsid w:val="00CD18A1"/>
    <w:rsid w:val="00CD1AA6"/>
    <w:rsid w:val="00CD27BE"/>
    <w:rsid w:val="00CD30C7"/>
    <w:rsid w:val="00CD327E"/>
    <w:rsid w:val="00CD3ED1"/>
    <w:rsid w:val="00CD4AB0"/>
    <w:rsid w:val="00CD4BFE"/>
    <w:rsid w:val="00CD6886"/>
    <w:rsid w:val="00CD6BEA"/>
    <w:rsid w:val="00CD7211"/>
    <w:rsid w:val="00CE020F"/>
    <w:rsid w:val="00CE133C"/>
    <w:rsid w:val="00CE3A18"/>
    <w:rsid w:val="00CE3DA3"/>
    <w:rsid w:val="00CE3F59"/>
    <w:rsid w:val="00CE444A"/>
    <w:rsid w:val="00CE5107"/>
    <w:rsid w:val="00CE61B4"/>
    <w:rsid w:val="00CE63DA"/>
    <w:rsid w:val="00CE660B"/>
    <w:rsid w:val="00CE6844"/>
    <w:rsid w:val="00CE6E62"/>
    <w:rsid w:val="00CF0499"/>
    <w:rsid w:val="00CF08CD"/>
    <w:rsid w:val="00CF2483"/>
    <w:rsid w:val="00CF2A88"/>
    <w:rsid w:val="00CF3367"/>
    <w:rsid w:val="00CF45A1"/>
    <w:rsid w:val="00CF4F68"/>
    <w:rsid w:val="00CF5353"/>
    <w:rsid w:val="00CF53BC"/>
    <w:rsid w:val="00CF5964"/>
    <w:rsid w:val="00CF7F06"/>
    <w:rsid w:val="00D00591"/>
    <w:rsid w:val="00D0085D"/>
    <w:rsid w:val="00D00E4D"/>
    <w:rsid w:val="00D01641"/>
    <w:rsid w:val="00D022D6"/>
    <w:rsid w:val="00D03128"/>
    <w:rsid w:val="00D038CA"/>
    <w:rsid w:val="00D0474A"/>
    <w:rsid w:val="00D07305"/>
    <w:rsid w:val="00D1126F"/>
    <w:rsid w:val="00D11EFC"/>
    <w:rsid w:val="00D1273B"/>
    <w:rsid w:val="00D14E2E"/>
    <w:rsid w:val="00D1543F"/>
    <w:rsid w:val="00D1647A"/>
    <w:rsid w:val="00D207A9"/>
    <w:rsid w:val="00D217B4"/>
    <w:rsid w:val="00D21D21"/>
    <w:rsid w:val="00D2322E"/>
    <w:rsid w:val="00D24B15"/>
    <w:rsid w:val="00D24DBB"/>
    <w:rsid w:val="00D25CCD"/>
    <w:rsid w:val="00D278AB"/>
    <w:rsid w:val="00D3176D"/>
    <w:rsid w:val="00D3445B"/>
    <w:rsid w:val="00D34D8F"/>
    <w:rsid w:val="00D36244"/>
    <w:rsid w:val="00D365BB"/>
    <w:rsid w:val="00D36B2F"/>
    <w:rsid w:val="00D41375"/>
    <w:rsid w:val="00D41FA7"/>
    <w:rsid w:val="00D42E7B"/>
    <w:rsid w:val="00D46EDD"/>
    <w:rsid w:val="00D474EF"/>
    <w:rsid w:val="00D47631"/>
    <w:rsid w:val="00D47730"/>
    <w:rsid w:val="00D51AFC"/>
    <w:rsid w:val="00D5290C"/>
    <w:rsid w:val="00D529C5"/>
    <w:rsid w:val="00D53832"/>
    <w:rsid w:val="00D54DF3"/>
    <w:rsid w:val="00D55192"/>
    <w:rsid w:val="00D55568"/>
    <w:rsid w:val="00D57835"/>
    <w:rsid w:val="00D6061A"/>
    <w:rsid w:val="00D61023"/>
    <w:rsid w:val="00D61581"/>
    <w:rsid w:val="00D61BB0"/>
    <w:rsid w:val="00D6212C"/>
    <w:rsid w:val="00D6252F"/>
    <w:rsid w:val="00D62657"/>
    <w:rsid w:val="00D639C2"/>
    <w:rsid w:val="00D64994"/>
    <w:rsid w:val="00D64F48"/>
    <w:rsid w:val="00D658A5"/>
    <w:rsid w:val="00D6660B"/>
    <w:rsid w:val="00D66E25"/>
    <w:rsid w:val="00D66E74"/>
    <w:rsid w:val="00D6744C"/>
    <w:rsid w:val="00D716B4"/>
    <w:rsid w:val="00D71FAE"/>
    <w:rsid w:val="00D72A80"/>
    <w:rsid w:val="00D73E72"/>
    <w:rsid w:val="00D76293"/>
    <w:rsid w:val="00D76669"/>
    <w:rsid w:val="00D808AA"/>
    <w:rsid w:val="00D82C98"/>
    <w:rsid w:val="00D8392C"/>
    <w:rsid w:val="00D83958"/>
    <w:rsid w:val="00D840C2"/>
    <w:rsid w:val="00D8477B"/>
    <w:rsid w:val="00D84F70"/>
    <w:rsid w:val="00D859E4"/>
    <w:rsid w:val="00D92C37"/>
    <w:rsid w:val="00D92DF5"/>
    <w:rsid w:val="00D9316C"/>
    <w:rsid w:val="00D94099"/>
    <w:rsid w:val="00D9470D"/>
    <w:rsid w:val="00D9482F"/>
    <w:rsid w:val="00D94E24"/>
    <w:rsid w:val="00D94E92"/>
    <w:rsid w:val="00D960A9"/>
    <w:rsid w:val="00D96332"/>
    <w:rsid w:val="00DA0BD5"/>
    <w:rsid w:val="00DA0EDC"/>
    <w:rsid w:val="00DA2456"/>
    <w:rsid w:val="00DA25A5"/>
    <w:rsid w:val="00DA2B91"/>
    <w:rsid w:val="00DA338F"/>
    <w:rsid w:val="00DA46EE"/>
    <w:rsid w:val="00DA50E9"/>
    <w:rsid w:val="00DA51FB"/>
    <w:rsid w:val="00DA5417"/>
    <w:rsid w:val="00DA5492"/>
    <w:rsid w:val="00DA5EC7"/>
    <w:rsid w:val="00DA6FA6"/>
    <w:rsid w:val="00DA7398"/>
    <w:rsid w:val="00DA786E"/>
    <w:rsid w:val="00DA7C99"/>
    <w:rsid w:val="00DA7FA1"/>
    <w:rsid w:val="00DB0544"/>
    <w:rsid w:val="00DB1912"/>
    <w:rsid w:val="00DB20DE"/>
    <w:rsid w:val="00DB2DC6"/>
    <w:rsid w:val="00DB5336"/>
    <w:rsid w:val="00DB5E8F"/>
    <w:rsid w:val="00DB69B6"/>
    <w:rsid w:val="00DB6BEF"/>
    <w:rsid w:val="00DC0158"/>
    <w:rsid w:val="00DC021C"/>
    <w:rsid w:val="00DC0A32"/>
    <w:rsid w:val="00DC0F04"/>
    <w:rsid w:val="00DC1680"/>
    <w:rsid w:val="00DC1D93"/>
    <w:rsid w:val="00DC458B"/>
    <w:rsid w:val="00DC4C8D"/>
    <w:rsid w:val="00DC4CA6"/>
    <w:rsid w:val="00DC59AE"/>
    <w:rsid w:val="00DC7745"/>
    <w:rsid w:val="00DC7D12"/>
    <w:rsid w:val="00DD1529"/>
    <w:rsid w:val="00DD25DA"/>
    <w:rsid w:val="00DD3211"/>
    <w:rsid w:val="00DD36DE"/>
    <w:rsid w:val="00DD39B7"/>
    <w:rsid w:val="00DD3E64"/>
    <w:rsid w:val="00DD3EEF"/>
    <w:rsid w:val="00DD4467"/>
    <w:rsid w:val="00DD663A"/>
    <w:rsid w:val="00DE06DB"/>
    <w:rsid w:val="00DE2F70"/>
    <w:rsid w:val="00DE41AC"/>
    <w:rsid w:val="00DE65E5"/>
    <w:rsid w:val="00DE723E"/>
    <w:rsid w:val="00DF0755"/>
    <w:rsid w:val="00DF0AEC"/>
    <w:rsid w:val="00DF11BC"/>
    <w:rsid w:val="00DF1ABF"/>
    <w:rsid w:val="00DF23AA"/>
    <w:rsid w:val="00DF5184"/>
    <w:rsid w:val="00DF5E49"/>
    <w:rsid w:val="00DF6AFD"/>
    <w:rsid w:val="00DF7128"/>
    <w:rsid w:val="00DF7611"/>
    <w:rsid w:val="00E01595"/>
    <w:rsid w:val="00E02FD1"/>
    <w:rsid w:val="00E05E83"/>
    <w:rsid w:val="00E1058D"/>
    <w:rsid w:val="00E10A09"/>
    <w:rsid w:val="00E12531"/>
    <w:rsid w:val="00E1488C"/>
    <w:rsid w:val="00E154B6"/>
    <w:rsid w:val="00E21757"/>
    <w:rsid w:val="00E217C2"/>
    <w:rsid w:val="00E21EAD"/>
    <w:rsid w:val="00E22862"/>
    <w:rsid w:val="00E23215"/>
    <w:rsid w:val="00E25754"/>
    <w:rsid w:val="00E263A9"/>
    <w:rsid w:val="00E26A92"/>
    <w:rsid w:val="00E26EEE"/>
    <w:rsid w:val="00E27578"/>
    <w:rsid w:val="00E277C4"/>
    <w:rsid w:val="00E3190A"/>
    <w:rsid w:val="00E3263D"/>
    <w:rsid w:val="00E34295"/>
    <w:rsid w:val="00E367D7"/>
    <w:rsid w:val="00E41DD3"/>
    <w:rsid w:val="00E41DF1"/>
    <w:rsid w:val="00E42E0A"/>
    <w:rsid w:val="00E43162"/>
    <w:rsid w:val="00E439E9"/>
    <w:rsid w:val="00E44C16"/>
    <w:rsid w:val="00E45FA8"/>
    <w:rsid w:val="00E47642"/>
    <w:rsid w:val="00E47DF0"/>
    <w:rsid w:val="00E54760"/>
    <w:rsid w:val="00E54F8E"/>
    <w:rsid w:val="00E5530D"/>
    <w:rsid w:val="00E559A9"/>
    <w:rsid w:val="00E56ABF"/>
    <w:rsid w:val="00E56D4D"/>
    <w:rsid w:val="00E57B92"/>
    <w:rsid w:val="00E60AB4"/>
    <w:rsid w:val="00E60F5E"/>
    <w:rsid w:val="00E634C8"/>
    <w:rsid w:val="00E6513D"/>
    <w:rsid w:val="00E655C7"/>
    <w:rsid w:val="00E65DE7"/>
    <w:rsid w:val="00E65EBA"/>
    <w:rsid w:val="00E70E49"/>
    <w:rsid w:val="00E70E50"/>
    <w:rsid w:val="00E739CE"/>
    <w:rsid w:val="00E75F41"/>
    <w:rsid w:val="00E76357"/>
    <w:rsid w:val="00E77A62"/>
    <w:rsid w:val="00E77AF2"/>
    <w:rsid w:val="00E77FC8"/>
    <w:rsid w:val="00E82CC2"/>
    <w:rsid w:val="00E850D1"/>
    <w:rsid w:val="00E85CB4"/>
    <w:rsid w:val="00E862B7"/>
    <w:rsid w:val="00E872C9"/>
    <w:rsid w:val="00E87CE8"/>
    <w:rsid w:val="00E90359"/>
    <w:rsid w:val="00E90B85"/>
    <w:rsid w:val="00E90E37"/>
    <w:rsid w:val="00E9156D"/>
    <w:rsid w:val="00E92B37"/>
    <w:rsid w:val="00E938FD"/>
    <w:rsid w:val="00E9475C"/>
    <w:rsid w:val="00E96066"/>
    <w:rsid w:val="00EA1EA1"/>
    <w:rsid w:val="00EA2FF2"/>
    <w:rsid w:val="00EA30E4"/>
    <w:rsid w:val="00EA4571"/>
    <w:rsid w:val="00EA6038"/>
    <w:rsid w:val="00EA765D"/>
    <w:rsid w:val="00EB102A"/>
    <w:rsid w:val="00EB19C6"/>
    <w:rsid w:val="00EB21F8"/>
    <w:rsid w:val="00EB3372"/>
    <w:rsid w:val="00EB441A"/>
    <w:rsid w:val="00EB48C2"/>
    <w:rsid w:val="00EB4CAE"/>
    <w:rsid w:val="00EB56AA"/>
    <w:rsid w:val="00EB7CD1"/>
    <w:rsid w:val="00EC00F3"/>
    <w:rsid w:val="00EC1AE5"/>
    <w:rsid w:val="00EC4C32"/>
    <w:rsid w:val="00ED125E"/>
    <w:rsid w:val="00ED1620"/>
    <w:rsid w:val="00ED1AA1"/>
    <w:rsid w:val="00ED3A98"/>
    <w:rsid w:val="00ED3FBF"/>
    <w:rsid w:val="00ED4AF0"/>
    <w:rsid w:val="00ED50C3"/>
    <w:rsid w:val="00ED5470"/>
    <w:rsid w:val="00EE5D2B"/>
    <w:rsid w:val="00EF0A7D"/>
    <w:rsid w:val="00EF1B52"/>
    <w:rsid w:val="00EF20DF"/>
    <w:rsid w:val="00EF3192"/>
    <w:rsid w:val="00EF41A2"/>
    <w:rsid w:val="00EF4328"/>
    <w:rsid w:val="00EF4CA2"/>
    <w:rsid w:val="00EF4EE7"/>
    <w:rsid w:val="00EF54CF"/>
    <w:rsid w:val="00EF60C3"/>
    <w:rsid w:val="00EF6F13"/>
    <w:rsid w:val="00F00CC4"/>
    <w:rsid w:val="00F012EE"/>
    <w:rsid w:val="00F0203E"/>
    <w:rsid w:val="00F029CF"/>
    <w:rsid w:val="00F04749"/>
    <w:rsid w:val="00F04905"/>
    <w:rsid w:val="00F05189"/>
    <w:rsid w:val="00F058CF"/>
    <w:rsid w:val="00F05AE5"/>
    <w:rsid w:val="00F110CE"/>
    <w:rsid w:val="00F1179D"/>
    <w:rsid w:val="00F11B8C"/>
    <w:rsid w:val="00F122C7"/>
    <w:rsid w:val="00F126DC"/>
    <w:rsid w:val="00F12FEA"/>
    <w:rsid w:val="00F137A3"/>
    <w:rsid w:val="00F1446D"/>
    <w:rsid w:val="00F1529E"/>
    <w:rsid w:val="00F15706"/>
    <w:rsid w:val="00F16BD0"/>
    <w:rsid w:val="00F20288"/>
    <w:rsid w:val="00F21D9F"/>
    <w:rsid w:val="00F22C7D"/>
    <w:rsid w:val="00F22FDE"/>
    <w:rsid w:val="00F24937"/>
    <w:rsid w:val="00F25CEB"/>
    <w:rsid w:val="00F300CE"/>
    <w:rsid w:val="00F30E8A"/>
    <w:rsid w:val="00F335AE"/>
    <w:rsid w:val="00F33B7A"/>
    <w:rsid w:val="00F3597A"/>
    <w:rsid w:val="00F35B3C"/>
    <w:rsid w:val="00F40968"/>
    <w:rsid w:val="00F42115"/>
    <w:rsid w:val="00F42851"/>
    <w:rsid w:val="00F43408"/>
    <w:rsid w:val="00F43705"/>
    <w:rsid w:val="00F454B7"/>
    <w:rsid w:val="00F457A6"/>
    <w:rsid w:val="00F45F14"/>
    <w:rsid w:val="00F50C66"/>
    <w:rsid w:val="00F51437"/>
    <w:rsid w:val="00F51A64"/>
    <w:rsid w:val="00F51D42"/>
    <w:rsid w:val="00F5297F"/>
    <w:rsid w:val="00F53D40"/>
    <w:rsid w:val="00F54762"/>
    <w:rsid w:val="00F5494E"/>
    <w:rsid w:val="00F54995"/>
    <w:rsid w:val="00F553CB"/>
    <w:rsid w:val="00F55549"/>
    <w:rsid w:val="00F602C4"/>
    <w:rsid w:val="00F60FD4"/>
    <w:rsid w:val="00F61432"/>
    <w:rsid w:val="00F620DC"/>
    <w:rsid w:val="00F62A39"/>
    <w:rsid w:val="00F64FE9"/>
    <w:rsid w:val="00F659BD"/>
    <w:rsid w:val="00F66C03"/>
    <w:rsid w:val="00F67714"/>
    <w:rsid w:val="00F71FD8"/>
    <w:rsid w:val="00F7287D"/>
    <w:rsid w:val="00F74482"/>
    <w:rsid w:val="00F74CD9"/>
    <w:rsid w:val="00F74F82"/>
    <w:rsid w:val="00F76700"/>
    <w:rsid w:val="00F77597"/>
    <w:rsid w:val="00F80470"/>
    <w:rsid w:val="00F810BF"/>
    <w:rsid w:val="00F82CAC"/>
    <w:rsid w:val="00F85055"/>
    <w:rsid w:val="00F85F27"/>
    <w:rsid w:val="00F86DBB"/>
    <w:rsid w:val="00F928B0"/>
    <w:rsid w:val="00F939F1"/>
    <w:rsid w:val="00F94CA1"/>
    <w:rsid w:val="00F95140"/>
    <w:rsid w:val="00F962D2"/>
    <w:rsid w:val="00FA2D75"/>
    <w:rsid w:val="00FA3005"/>
    <w:rsid w:val="00FA37FC"/>
    <w:rsid w:val="00FA530A"/>
    <w:rsid w:val="00FA5959"/>
    <w:rsid w:val="00FA6749"/>
    <w:rsid w:val="00FA6E59"/>
    <w:rsid w:val="00FA71B8"/>
    <w:rsid w:val="00FB2A07"/>
    <w:rsid w:val="00FB317A"/>
    <w:rsid w:val="00FB418D"/>
    <w:rsid w:val="00FC0396"/>
    <w:rsid w:val="00FC0459"/>
    <w:rsid w:val="00FC20CA"/>
    <w:rsid w:val="00FC30C1"/>
    <w:rsid w:val="00FC3716"/>
    <w:rsid w:val="00FC39DF"/>
    <w:rsid w:val="00FC3ADF"/>
    <w:rsid w:val="00FC5106"/>
    <w:rsid w:val="00FC536D"/>
    <w:rsid w:val="00FC5454"/>
    <w:rsid w:val="00FC650C"/>
    <w:rsid w:val="00FC670F"/>
    <w:rsid w:val="00FC6FAB"/>
    <w:rsid w:val="00FC75BD"/>
    <w:rsid w:val="00FC75CE"/>
    <w:rsid w:val="00FD04DB"/>
    <w:rsid w:val="00FD310B"/>
    <w:rsid w:val="00FD3332"/>
    <w:rsid w:val="00FD3643"/>
    <w:rsid w:val="00FD3C2F"/>
    <w:rsid w:val="00FD53E7"/>
    <w:rsid w:val="00FD609E"/>
    <w:rsid w:val="00FD70A6"/>
    <w:rsid w:val="00FD7A5B"/>
    <w:rsid w:val="00FE10CE"/>
    <w:rsid w:val="00FE1709"/>
    <w:rsid w:val="00FE22C4"/>
    <w:rsid w:val="00FE2EE7"/>
    <w:rsid w:val="00FE34EA"/>
    <w:rsid w:val="00FE3696"/>
    <w:rsid w:val="00FE6F0C"/>
    <w:rsid w:val="00FF36E2"/>
    <w:rsid w:val="00FF38DA"/>
    <w:rsid w:val="00FF3B77"/>
    <w:rsid w:val="00FF5ADC"/>
    <w:rsid w:val="01001B5E"/>
    <w:rsid w:val="010E4104"/>
    <w:rsid w:val="01190797"/>
    <w:rsid w:val="013F1D93"/>
    <w:rsid w:val="018F7F2B"/>
    <w:rsid w:val="0192687D"/>
    <w:rsid w:val="01F728EB"/>
    <w:rsid w:val="01FC7E53"/>
    <w:rsid w:val="02034EF1"/>
    <w:rsid w:val="0207500C"/>
    <w:rsid w:val="02241771"/>
    <w:rsid w:val="02245072"/>
    <w:rsid w:val="02490642"/>
    <w:rsid w:val="025C7268"/>
    <w:rsid w:val="026F0B42"/>
    <w:rsid w:val="02BC1486"/>
    <w:rsid w:val="02D542FD"/>
    <w:rsid w:val="02D713A8"/>
    <w:rsid w:val="02E862B1"/>
    <w:rsid w:val="02F22499"/>
    <w:rsid w:val="02FD4ACB"/>
    <w:rsid w:val="0307400B"/>
    <w:rsid w:val="032233CF"/>
    <w:rsid w:val="03764C37"/>
    <w:rsid w:val="03A627C1"/>
    <w:rsid w:val="03B3602E"/>
    <w:rsid w:val="03D91752"/>
    <w:rsid w:val="04501FC7"/>
    <w:rsid w:val="04B90B88"/>
    <w:rsid w:val="04D62804"/>
    <w:rsid w:val="04DA0812"/>
    <w:rsid w:val="0500099E"/>
    <w:rsid w:val="052A143B"/>
    <w:rsid w:val="05300DCE"/>
    <w:rsid w:val="05557768"/>
    <w:rsid w:val="05573FEB"/>
    <w:rsid w:val="057E2BC4"/>
    <w:rsid w:val="05AB3AEC"/>
    <w:rsid w:val="05B04301"/>
    <w:rsid w:val="05B747B5"/>
    <w:rsid w:val="05C31F56"/>
    <w:rsid w:val="05EC522B"/>
    <w:rsid w:val="05F97133"/>
    <w:rsid w:val="063336E1"/>
    <w:rsid w:val="064845BF"/>
    <w:rsid w:val="06636631"/>
    <w:rsid w:val="06C756C9"/>
    <w:rsid w:val="06DB34F3"/>
    <w:rsid w:val="07117750"/>
    <w:rsid w:val="07272D5A"/>
    <w:rsid w:val="07922D81"/>
    <w:rsid w:val="07AD395B"/>
    <w:rsid w:val="07CE27BC"/>
    <w:rsid w:val="07D65628"/>
    <w:rsid w:val="08052B4A"/>
    <w:rsid w:val="082F4236"/>
    <w:rsid w:val="087D2CEA"/>
    <w:rsid w:val="08AC14C1"/>
    <w:rsid w:val="08AD0FA9"/>
    <w:rsid w:val="092B39E7"/>
    <w:rsid w:val="0964196D"/>
    <w:rsid w:val="09AC6A1A"/>
    <w:rsid w:val="09D10693"/>
    <w:rsid w:val="09E0427B"/>
    <w:rsid w:val="0A0B2D0E"/>
    <w:rsid w:val="0A541634"/>
    <w:rsid w:val="0A5C109F"/>
    <w:rsid w:val="0A66057D"/>
    <w:rsid w:val="0AC32806"/>
    <w:rsid w:val="0AD67226"/>
    <w:rsid w:val="0B0F00F9"/>
    <w:rsid w:val="0B0F299D"/>
    <w:rsid w:val="0B541C37"/>
    <w:rsid w:val="0B6864DB"/>
    <w:rsid w:val="0B6D6682"/>
    <w:rsid w:val="0B7C6285"/>
    <w:rsid w:val="0BAB4565"/>
    <w:rsid w:val="0C09763D"/>
    <w:rsid w:val="0C52097E"/>
    <w:rsid w:val="0C6804F2"/>
    <w:rsid w:val="0C817EEB"/>
    <w:rsid w:val="0C9F38D0"/>
    <w:rsid w:val="0CA45645"/>
    <w:rsid w:val="0CA70F51"/>
    <w:rsid w:val="0CF86586"/>
    <w:rsid w:val="0CF968F6"/>
    <w:rsid w:val="0D0D54D6"/>
    <w:rsid w:val="0D2D7DD6"/>
    <w:rsid w:val="0D3F661E"/>
    <w:rsid w:val="0DC83304"/>
    <w:rsid w:val="0DFB741E"/>
    <w:rsid w:val="0E2B1329"/>
    <w:rsid w:val="0E532D9A"/>
    <w:rsid w:val="0E8611C8"/>
    <w:rsid w:val="0F0327D0"/>
    <w:rsid w:val="0F2D4BC4"/>
    <w:rsid w:val="0F916077"/>
    <w:rsid w:val="0F961860"/>
    <w:rsid w:val="0FA72005"/>
    <w:rsid w:val="0FAD372D"/>
    <w:rsid w:val="101B49A9"/>
    <w:rsid w:val="10370225"/>
    <w:rsid w:val="10434D04"/>
    <w:rsid w:val="108009ED"/>
    <w:rsid w:val="10B539A6"/>
    <w:rsid w:val="10C477EB"/>
    <w:rsid w:val="110A4333"/>
    <w:rsid w:val="11BE7BEC"/>
    <w:rsid w:val="11C53F6F"/>
    <w:rsid w:val="11D10134"/>
    <w:rsid w:val="11F823DD"/>
    <w:rsid w:val="1214569F"/>
    <w:rsid w:val="122B667F"/>
    <w:rsid w:val="12401D1C"/>
    <w:rsid w:val="128D3EC1"/>
    <w:rsid w:val="12BC1CD6"/>
    <w:rsid w:val="13012F04"/>
    <w:rsid w:val="130E3CD3"/>
    <w:rsid w:val="131D473F"/>
    <w:rsid w:val="13200567"/>
    <w:rsid w:val="132B3702"/>
    <w:rsid w:val="132E6077"/>
    <w:rsid w:val="137141F5"/>
    <w:rsid w:val="13802FBB"/>
    <w:rsid w:val="13AC4DCD"/>
    <w:rsid w:val="1422466D"/>
    <w:rsid w:val="142919BA"/>
    <w:rsid w:val="142C35E8"/>
    <w:rsid w:val="14382F65"/>
    <w:rsid w:val="14803AB2"/>
    <w:rsid w:val="15451C64"/>
    <w:rsid w:val="15603352"/>
    <w:rsid w:val="15D962DB"/>
    <w:rsid w:val="16116440"/>
    <w:rsid w:val="16152A97"/>
    <w:rsid w:val="161E7F8A"/>
    <w:rsid w:val="165E3723"/>
    <w:rsid w:val="166F34E8"/>
    <w:rsid w:val="16750A9B"/>
    <w:rsid w:val="16810F28"/>
    <w:rsid w:val="16AB03BA"/>
    <w:rsid w:val="16B23E50"/>
    <w:rsid w:val="16E85CB1"/>
    <w:rsid w:val="16F66EB2"/>
    <w:rsid w:val="172C4175"/>
    <w:rsid w:val="172D4226"/>
    <w:rsid w:val="173B60B1"/>
    <w:rsid w:val="17713FDD"/>
    <w:rsid w:val="17846F3A"/>
    <w:rsid w:val="17905002"/>
    <w:rsid w:val="17B12CFF"/>
    <w:rsid w:val="17B40DA0"/>
    <w:rsid w:val="17BC2B64"/>
    <w:rsid w:val="17F65957"/>
    <w:rsid w:val="18070B8A"/>
    <w:rsid w:val="18472D0F"/>
    <w:rsid w:val="18593691"/>
    <w:rsid w:val="1881020D"/>
    <w:rsid w:val="18E50C98"/>
    <w:rsid w:val="192669C5"/>
    <w:rsid w:val="194C2B7B"/>
    <w:rsid w:val="19820022"/>
    <w:rsid w:val="19880493"/>
    <w:rsid w:val="19A55F5A"/>
    <w:rsid w:val="19B75641"/>
    <w:rsid w:val="19EF2658"/>
    <w:rsid w:val="1A232907"/>
    <w:rsid w:val="1A327F5D"/>
    <w:rsid w:val="1A4F622E"/>
    <w:rsid w:val="1A6C21B3"/>
    <w:rsid w:val="1A6E4E5E"/>
    <w:rsid w:val="1AB426C3"/>
    <w:rsid w:val="1AD4779D"/>
    <w:rsid w:val="1AD7664F"/>
    <w:rsid w:val="1AF60627"/>
    <w:rsid w:val="1B1E5573"/>
    <w:rsid w:val="1B4B250A"/>
    <w:rsid w:val="1B962947"/>
    <w:rsid w:val="1BF33FFC"/>
    <w:rsid w:val="1C3471B9"/>
    <w:rsid w:val="1C475E56"/>
    <w:rsid w:val="1C7718E5"/>
    <w:rsid w:val="1C97115B"/>
    <w:rsid w:val="1CBE0D31"/>
    <w:rsid w:val="1CF906A3"/>
    <w:rsid w:val="1D060485"/>
    <w:rsid w:val="1D3E2EDE"/>
    <w:rsid w:val="1D4A4F11"/>
    <w:rsid w:val="1D4D4694"/>
    <w:rsid w:val="1DA769B6"/>
    <w:rsid w:val="1DB3574E"/>
    <w:rsid w:val="1E225C6F"/>
    <w:rsid w:val="1E8D50ED"/>
    <w:rsid w:val="1EA620E8"/>
    <w:rsid w:val="1ED21201"/>
    <w:rsid w:val="1F010349"/>
    <w:rsid w:val="1F0979D8"/>
    <w:rsid w:val="1F0E3715"/>
    <w:rsid w:val="1F1A6675"/>
    <w:rsid w:val="1F2E3D8B"/>
    <w:rsid w:val="1F322FA3"/>
    <w:rsid w:val="1F437284"/>
    <w:rsid w:val="1F68503D"/>
    <w:rsid w:val="1FD277A3"/>
    <w:rsid w:val="1FE563DC"/>
    <w:rsid w:val="20184D91"/>
    <w:rsid w:val="202A36AC"/>
    <w:rsid w:val="203B13AC"/>
    <w:rsid w:val="208117F3"/>
    <w:rsid w:val="20CD4CDE"/>
    <w:rsid w:val="20F1753B"/>
    <w:rsid w:val="216668A8"/>
    <w:rsid w:val="21A80281"/>
    <w:rsid w:val="21C66819"/>
    <w:rsid w:val="21F832C2"/>
    <w:rsid w:val="2221328A"/>
    <w:rsid w:val="224A2B21"/>
    <w:rsid w:val="224B53A1"/>
    <w:rsid w:val="22906C0E"/>
    <w:rsid w:val="22A10985"/>
    <w:rsid w:val="22DF3459"/>
    <w:rsid w:val="23201C60"/>
    <w:rsid w:val="23450FF3"/>
    <w:rsid w:val="2384587B"/>
    <w:rsid w:val="23901BCE"/>
    <w:rsid w:val="239A08BB"/>
    <w:rsid w:val="23C03737"/>
    <w:rsid w:val="23C25760"/>
    <w:rsid w:val="23C93E7F"/>
    <w:rsid w:val="24B72075"/>
    <w:rsid w:val="24FF4727"/>
    <w:rsid w:val="251D2844"/>
    <w:rsid w:val="252115FD"/>
    <w:rsid w:val="255210C5"/>
    <w:rsid w:val="25C97609"/>
    <w:rsid w:val="25EE29FE"/>
    <w:rsid w:val="25F9194D"/>
    <w:rsid w:val="26561D1B"/>
    <w:rsid w:val="266F4512"/>
    <w:rsid w:val="268C077C"/>
    <w:rsid w:val="26BD645A"/>
    <w:rsid w:val="272C0617"/>
    <w:rsid w:val="27307A3D"/>
    <w:rsid w:val="27381888"/>
    <w:rsid w:val="27482674"/>
    <w:rsid w:val="2765452E"/>
    <w:rsid w:val="27840318"/>
    <w:rsid w:val="27BB58E4"/>
    <w:rsid w:val="27CF4261"/>
    <w:rsid w:val="27EA6F67"/>
    <w:rsid w:val="27FD759C"/>
    <w:rsid w:val="282F7A0A"/>
    <w:rsid w:val="286707E3"/>
    <w:rsid w:val="2886197D"/>
    <w:rsid w:val="29214A74"/>
    <w:rsid w:val="2932371B"/>
    <w:rsid w:val="293614AE"/>
    <w:rsid w:val="29366AD8"/>
    <w:rsid w:val="2944006C"/>
    <w:rsid w:val="294C76C2"/>
    <w:rsid w:val="296935A1"/>
    <w:rsid w:val="29781F14"/>
    <w:rsid w:val="299B046C"/>
    <w:rsid w:val="29E32D31"/>
    <w:rsid w:val="29EB2AFB"/>
    <w:rsid w:val="2A004695"/>
    <w:rsid w:val="2A0260CC"/>
    <w:rsid w:val="2A191618"/>
    <w:rsid w:val="2A524DF0"/>
    <w:rsid w:val="2A6132E0"/>
    <w:rsid w:val="2A7B1570"/>
    <w:rsid w:val="2A7B431C"/>
    <w:rsid w:val="2AB640D8"/>
    <w:rsid w:val="2ADB35DD"/>
    <w:rsid w:val="2B03773B"/>
    <w:rsid w:val="2B1E1D47"/>
    <w:rsid w:val="2B36763C"/>
    <w:rsid w:val="2B3954EE"/>
    <w:rsid w:val="2B64073A"/>
    <w:rsid w:val="2B6E2F8D"/>
    <w:rsid w:val="2B966A97"/>
    <w:rsid w:val="2B9D4C26"/>
    <w:rsid w:val="2BD07D9E"/>
    <w:rsid w:val="2BD12EE6"/>
    <w:rsid w:val="2C382B74"/>
    <w:rsid w:val="2C3B542D"/>
    <w:rsid w:val="2C3D43ED"/>
    <w:rsid w:val="2C475882"/>
    <w:rsid w:val="2C75163F"/>
    <w:rsid w:val="2C9A7014"/>
    <w:rsid w:val="2CE40783"/>
    <w:rsid w:val="2E141EF5"/>
    <w:rsid w:val="2E1D1352"/>
    <w:rsid w:val="2E2B59EF"/>
    <w:rsid w:val="2E3947D8"/>
    <w:rsid w:val="2E4606B4"/>
    <w:rsid w:val="2E6F1761"/>
    <w:rsid w:val="2EA370C3"/>
    <w:rsid w:val="2EAC5DA2"/>
    <w:rsid w:val="2EB820FA"/>
    <w:rsid w:val="2EEE160E"/>
    <w:rsid w:val="2EF7464A"/>
    <w:rsid w:val="2EF85D45"/>
    <w:rsid w:val="2F262D94"/>
    <w:rsid w:val="2FD00DA1"/>
    <w:rsid w:val="2FF15DCC"/>
    <w:rsid w:val="300B7BD2"/>
    <w:rsid w:val="301B0ADE"/>
    <w:rsid w:val="3034436D"/>
    <w:rsid w:val="30683179"/>
    <w:rsid w:val="30C777E9"/>
    <w:rsid w:val="30ED4149"/>
    <w:rsid w:val="30F35DC0"/>
    <w:rsid w:val="310811B6"/>
    <w:rsid w:val="31413408"/>
    <w:rsid w:val="31466DE4"/>
    <w:rsid w:val="3170322B"/>
    <w:rsid w:val="31766796"/>
    <w:rsid w:val="319B63FA"/>
    <w:rsid w:val="31D75F2F"/>
    <w:rsid w:val="32110DBC"/>
    <w:rsid w:val="3238303E"/>
    <w:rsid w:val="32732133"/>
    <w:rsid w:val="32E173D4"/>
    <w:rsid w:val="335041F8"/>
    <w:rsid w:val="336F6F56"/>
    <w:rsid w:val="33945BEB"/>
    <w:rsid w:val="33A261D9"/>
    <w:rsid w:val="33CB6EA5"/>
    <w:rsid w:val="33D4015C"/>
    <w:rsid w:val="343B6818"/>
    <w:rsid w:val="345A33B4"/>
    <w:rsid w:val="347C431C"/>
    <w:rsid w:val="348C4AA0"/>
    <w:rsid w:val="34F0359F"/>
    <w:rsid w:val="351C2343"/>
    <w:rsid w:val="35262F49"/>
    <w:rsid w:val="35423A67"/>
    <w:rsid w:val="35486A0A"/>
    <w:rsid w:val="354E43CA"/>
    <w:rsid w:val="35667031"/>
    <w:rsid w:val="359E0EE6"/>
    <w:rsid w:val="35C55463"/>
    <w:rsid w:val="35D64213"/>
    <w:rsid w:val="361E3E1D"/>
    <w:rsid w:val="363F6FA5"/>
    <w:rsid w:val="36A80A36"/>
    <w:rsid w:val="36BA7734"/>
    <w:rsid w:val="36BB6A98"/>
    <w:rsid w:val="36F41259"/>
    <w:rsid w:val="37094B20"/>
    <w:rsid w:val="372424BC"/>
    <w:rsid w:val="372C16C6"/>
    <w:rsid w:val="3788726D"/>
    <w:rsid w:val="378F4D2A"/>
    <w:rsid w:val="37F60FE9"/>
    <w:rsid w:val="38A02796"/>
    <w:rsid w:val="38A515EE"/>
    <w:rsid w:val="38C2632D"/>
    <w:rsid w:val="39260D31"/>
    <w:rsid w:val="393B0EC4"/>
    <w:rsid w:val="394E02B5"/>
    <w:rsid w:val="397D68DB"/>
    <w:rsid w:val="398217E2"/>
    <w:rsid w:val="39AD3277"/>
    <w:rsid w:val="39BC6ECC"/>
    <w:rsid w:val="3A4E1BDC"/>
    <w:rsid w:val="3A4E2CF0"/>
    <w:rsid w:val="3A576D34"/>
    <w:rsid w:val="3A65594D"/>
    <w:rsid w:val="3A8A3206"/>
    <w:rsid w:val="3A922CA5"/>
    <w:rsid w:val="3A954DCD"/>
    <w:rsid w:val="3AC802EF"/>
    <w:rsid w:val="3AF936F3"/>
    <w:rsid w:val="3B162DDA"/>
    <w:rsid w:val="3B370512"/>
    <w:rsid w:val="3B424C83"/>
    <w:rsid w:val="3B5F7C80"/>
    <w:rsid w:val="3BEE4030"/>
    <w:rsid w:val="3C072E53"/>
    <w:rsid w:val="3C0B2A87"/>
    <w:rsid w:val="3C124EFE"/>
    <w:rsid w:val="3C33167E"/>
    <w:rsid w:val="3C67378A"/>
    <w:rsid w:val="3C9A1866"/>
    <w:rsid w:val="3CCD215A"/>
    <w:rsid w:val="3DBA6D9F"/>
    <w:rsid w:val="3DE465A1"/>
    <w:rsid w:val="3E0C637E"/>
    <w:rsid w:val="3E292F1B"/>
    <w:rsid w:val="3E3233D6"/>
    <w:rsid w:val="3F1E34CA"/>
    <w:rsid w:val="3F462C70"/>
    <w:rsid w:val="3F793AA4"/>
    <w:rsid w:val="3FAE670D"/>
    <w:rsid w:val="3FDA4DAD"/>
    <w:rsid w:val="3FDD0CCF"/>
    <w:rsid w:val="3FEB7745"/>
    <w:rsid w:val="3FF90817"/>
    <w:rsid w:val="3FFF2A05"/>
    <w:rsid w:val="40104C9D"/>
    <w:rsid w:val="404D4928"/>
    <w:rsid w:val="40607301"/>
    <w:rsid w:val="408D1B0F"/>
    <w:rsid w:val="40E74AC4"/>
    <w:rsid w:val="41062593"/>
    <w:rsid w:val="415028DF"/>
    <w:rsid w:val="415638B6"/>
    <w:rsid w:val="416B2C2F"/>
    <w:rsid w:val="41913BE9"/>
    <w:rsid w:val="41943661"/>
    <w:rsid w:val="41B60DAD"/>
    <w:rsid w:val="41B73726"/>
    <w:rsid w:val="41D41C6F"/>
    <w:rsid w:val="42187DAE"/>
    <w:rsid w:val="425122E9"/>
    <w:rsid w:val="4285503D"/>
    <w:rsid w:val="42897302"/>
    <w:rsid w:val="4339702F"/>
    <w:rsid w:val="43527054"/>
    <w:rsid w:val="43A62594"/>
    <w:rsid w:val="44042EEC"/>
    <w:rsid w:val="440C03CB"/>
    <w:rsid w:val="443869BA"/>
    <w:rsid w:val="44464312"/>
    <w:rsid w:val="44784B16"/>
    <w:rsid w:val="448C3CA2"/>
    <w:rsid w:val="449A025D"/>
    <w:rsid w:val="449B4B02"/>
    <w:rsid w:val="44B44EAB"/>
    <w:rsid w:val="44B8233E"/>
    <w:rsid w:val="44F30863"/>
    <w:rsid w:val="45065DBE"/>
    <w:rsid w:val="45272004"/>
    <w:rsid w:val="45301176"/>
    <w:rsid w:val="457170B3"/>
    <w:rsid w:val="45774700"/>
    <w:rsid w:val="458C4E7B"/>
    <w:rsid w:val="45F328BD"/>
    <w:rsid w:val="466C79C7"/>
    <w:rsid w:val="46AA7439"/>
    <w:rsid w:val="47485649"/>
    <w:rsid w:val="477053C3"/>
    <w:rsid w:val="477C56CD"/>
    <w:rsid w:val="47F41298"/>
    <w:rsid w:val="480171DD"/>
    <w:rsid w:val="48130DD8"/>
    <w:rsid w:val="4880045B"/>
    <w:rsid w:val="48B52B4C"/>
    <w:rsid w:val="48CC37C6"/>
    <w:rsid w:val="490149FC"/>
    <w:rsid w:val="49137C08"/>
    <w:rsid w:val="493D144B"/>
    <w:rsid w:val="49611ECF"/>
    <w:rsid w:val="498020CF"/>
    <w:rsid w:val="49A726B0"/>
    <w:rsid w:val="49B47CB4"/>
    <w:rsid w:val="49D420BC"/>
    <w:rsid w:val="49DB23BB"/>
    <w:rsid w:val="49F731D9"/>
    <w:rsid w:val="4A143125"/>
    <w:rsid w:val="4A1D6937"/>
    <w:rsid w:val="4A3737FC"/>
    <w:rsid w:val="4A550F50"/>
    <w:rsid w:val="4A7C3AF4"/>
    <w:rsid w:val="4A996B65"/>
    <w:rsid w:val="4ABC7806"/>
    <w:rsid w:val="4AE17F7D"/>
    <w:rsid w:val="4AF65E0E"/>
    <w:rsid w:val="4AFE111B"/>
    <w:rsid w:val="4B0A5D16"/>
    <w:rsid w:val="4B6C60D6"/>
    <w:rsid w:val="4B6E4754"/>
    <w:rsid w:val="4B8D4593"/>
    <w:rsid w:val="4BE56F53"/>
    <w:rsid w:val="4BEC78F1"/>
    <w:rsid w:val="4C2B39DE"/>
    <w:rsid w:val="4C5D64BA"/>
    <w:rsid w:val="4D20220D"/>
    <w:rsid w:val="4D6503C4"/>
    <w:rsid w:val="4DA406FB"/>
    <w:rsid w:val="4DA67CFD"/>
    <w:rsid w:val="4E6A191A"/>
    <w:rsid w:val="4E7877D5"/>
    <w:rsid w:val="4E8D0D06"/>
    <w:rsid w:val="4EEC7D1F"/>
    <w:rsid w:val="4EED56E0"/>
    <w:rsid w:val="4F1A3413"/>
    <w:rsid w:val="4F684F68"/>
    <w:rsid w:val="4FB24BA5"/>
    <w:rsid w:val="500F5E0A"/>
    <w:rsid w:val="505611C9"/>
    <w:rsid w:val="506C25A3"/>
    <w:rsid w:val="508B17CF"/>
    <w:rsid w:val="50BF4BAB"/>
    <w:rsid w:val="50EA3F71"/>
    <w:rsid w:val="50F717D7"/>
    <w:rsid w:val="516C55FB"/>
    <w:rsid w:val="518E5247"/>
    <w:rsid w:val="51B27785"/>
    <w:rsid w:val="52384853"/>
    <w:rsid w:val="523A6CF7"/>
    <w:rsid w:val="5289638F"/>
    <w:rsid w:val="529C00DB"/>
    <w:rsid w:val="52C82B11"/>
    <w:rsid w:val="52F52863"/>
    <w:rsid w:val="531A337A"/>
    <w:rsid w:val="531E413B"/>
    <w:rsid w:val="53BE7D9F"/>
    <w:rsid w:val="540F2F24"/>
    <w:rsid w:val="54A93CB3"/>
    <w:rsid w:val="54AF649D"/>
    <w:rsid w:val="55160346"/>
    <w:rsid w:val="5560196C"/>
    <w:rsid w:val="55E71A25"/>
    <w:rsid w:val="563B631C"/>
    <w:rsid w:val="56646B9D"/>
    <w:rsid w:val="568C3901"/>
    <w:rsid w:val="56CB0019"/>
    <w:rsid w:val="56DD4CCE"/>
    <w:rsid w:val="5772079C"/>
    <w:rsid w:val="57882C89"/>
    <w:rsid w:val="579F04AF"/>
    <w:rsid w:val="57D1705F"/>
    <w:rsid w:val="57D510BB"/>
    <w:rsid w:val="57D52571"/>
    <w:rsid w:val="58035FE7"/>
    <w:rsid w:val="58A106A5"/>
    <w:rsid w:val="58B7604B"/>
    <w:rsid w:val="590B2A68"/>
    <w:rsid w:val="596243AF"/>
    <w:rsid w:val="59A76B31"/>
    <w:rsid w:val="59FD4146"/>
    <w:rsid w:val="5A3B4A9B"/>
    <w:rsid w:val="5A3C0A56"/>
    <w:rsid w:val="5A407ACD"/>
    <w:rsid w:val="5A6B7EDA"/>
    <w:rsid w:val="5A880C6E"/>
    <w:rsid w:val="5A921361"/>
    <w:rsid w:val="5AA032E0"/>
    <w:rsid w:val="5ABF05C0"/>
    <w:rsid w:val="5AE60807"/>
    <w:rsid w:val="5AF82039"/>
    <w:rsid w:val="5AFE026F"/>
    <w:rsid w:val="5B091D43"/>
    <w:rsid w:val="5B3A4784"/>
    <w:rsid w:val="5B60426F"/>
    <w:rsid w:val="5B6C46ED"/>
    <w:rsid w:val="5BAC000C"/>
    <w:rsid w:val="5BEC366D"/>
    <w:rsid w:val="5C1A1B07"/>
    <w:rsid w:val="5C2C05F1"/>
    <w:rsid w:val="5C3D757E"/>
    <w:rsid w:val="5C7E1FB9"/>
    <w:rsid w:val="5C8F16F0"/>
    <w:rsid w:val="5D290721"/>
    <w:rsid w:val="5D47450D"/>
    <w:rsid w:val="5D8605E1"/>
    <w:rsid w:val="5D9A61F0"/>
    <w:rsid w:val="5DE250F7"/>
    <w:rsid w:val="5E7006FE"/>
    <w:rsid w:val="5E856373"/>
    <w:rsid w:val="5EA12BA4"/>
    <w:rsid w:val="5EA733DB"/>
    <w:rsid w:val="5EB56982"/>
    <w:rsid w:val="5EB83CD5"/>
    <w:rsid w:val="5EBB5605"/>
    <w:rsid w:val="5EE93224"/>
    <w:rsid w:val="5EF808F3"/>
    <w:rsid w:val="5F3237FD"/>
    <w:rsid w:val="5F3C602D"/>
    <w:rsid w:val="5F491F72"/>
    <w:rsid w:val="5F756CD0"/>
    <w:rsid w:val="5FB10883"/>
    <w:rsid w:val="5FB80A03"/>
    <w:rsid w:val="5FB95E84"/>
    <w:rsid w:val="5FF6297F"/>
    <w:rsid w:val="601738D5"/>
    <w:rsid w:val="60213828"/>
    <w:rsid w:val="6022552F"/>
    <w:rsid w:val="602371F1"/>
    <w:rsid w:val="60732848"/>
    <w:rsid w:val="60751260"/>
    <w:rsid w:val="607955DF"/>
    <w:rsid w:val="60B70978"/>
    <w:rsid w:val="60C11CAF"/>
    <w:rsid w:val="60C43785"/>
    <w:rsid w:val="60D83FD6"/>
    <w:rsid w:val="612401D2"/>
    <w:rsid w:val="61271EB2"/>
    <w:rsid w:val="61465122"/>
    <w:rsid w:val="614C3401"/>
    <w:rsid w:val="61830A5A"/>
    <w:rsid w:val="61877713"/>
    <w:rsid w:val="61B2531C"/>
    <w:rsid w:val="61CC6C1F"/>
    <w:rsid w:val="62253728"/>
    <w:rsid w:val="62A360EC"/>
    <w:rsid w:val="62B92BDE"/>
    <w:rsid w:val="63033434"/>
    <w:rsid w:val="631C1A01"/>
    <w:rsid w:val="63557017"/>
    <w:rsid w:val="643B2F1D"/>
    <w:rsid w:val="64736123"/>
    <w:rsid w:val="649E72DE"/>
    <w:rsid w:val="64DE4B5E"/>
    <w:rsid w:val="64E51A00"/>
    <w:rsid w:val="64FB5B53"/>
    <w:rsid w:val="651E017F"/>
    <w:rsid w:val="65722ECB"/>
    <w:rsid w:val="65752FFF"/>
    <w:rsid w:val="65BE5D17"/>
    <w:rsid w:val="65C65110"/>
    <w:rsid w:val="65FC4B4A"/>
    <w:rsid w:val="66103BD9"/>
    <w:rsid w:val="662F2226"/>
    <w:rsid w:val="66574242"/>
    <w:rsid w:val="6661427F"/>
    <w:rsid w:val="66AF72EA"/>
    <w:rsid w:val="66E46287"/>
    <w:rsid w:val="67285688"/>
    <w:rsid w:val="67624240"/>
    <w:rsid w:val="676928AC"/>
    <w:rsid w:val="67874F0A"/>
    <w:rsid w:val="67A521F7"/>
    <w:rsid w:val="67A52713"/>
    <w:rsid w:val="67C75401"/>
    <w:rsid w:val="67D339EC"/>
    <w:rsid w:val="67FA167C"/>
    <w:rsid w:val="687D72BF"/>
    <w:rsid w:val="68D23816"/>
    <w:rsid w:val="68F96529"/>
    <w:rsid w:val="68FD6016"/>
    <w:rsid w:val="69076463"/>
    <w:rsid w:val="69402D5E"/>
    <w:rsid w:val="6943756C"/>
    <w:rsid w:val="69625314"/>
    <w:rsid w:val="697A121C"/>
    <w:rsid w:val="69857799"/>
    <w:rsid w:val="69B260F6"/>
    <w:rsid w:val="6A5276C4"/>
    <w:rsid w:val="6A59759E"/>
    <w:rsid w:val="6ABE0185"/>
    <w:rsid w:val="6AC04BF0"/>
    <w:rsid w:val="6AC22F8B"/>
    <w:rsid w:val="6AC344AB"/>
    <w:rsid w:val="6B1478CF"/>
    <w:rsid w:val="6B2E0CFB"/>
    <w:rsid w:val="6B4F0434"/>
    <w:rsid w:val="6BB03744"/>
    <w:rsid w:val="6BE55D22"/>
    <w:rsid w:val="6C4C06BA"/>
    <w:rsid w:val="6C4C3666"/>
    <w:rsid w:val="6C5B30E4"/>
    <w:rsid w:val="6C7A19DE"/>
    <w:rsid w:val="6CA976D1"/>
    <w:rsid w:val="6CC624B5"/>
    <w:rsid w:val="6CCA5F05"/>
    <w:rsid w:val="6CCF4A49"/>
    <w:rsid w:val="6CEA0CA2"/>
    <w:rsid w:val="6D0F57C9"/>
    <w:rsid w:val="6D1541C5"/>
    <w:rsid w:val="6D2315C4"/>
    <w:rsid w:val="6D747A24"/>
    <w:rsid w:val="6D901402"/>
    <w:rsid w:val="6D9E528E"/>
    <w:rsid w:val="6DCF1BB0"/>
    <w:rsid w:val="6DE12BA5"/>
    <w:rsid w:val="6DEF19C8"/>
    <w:rsid w:val="6E4F319A"/>
    <w:rsid w:val="6EA45A91"/>
    <w:rsid w:val="6ECE14D2"/>
    <w:rsid w:val="6F1540FB"/>
    <w:rsid w:val="6F1779AC"/>
    <w:rsid w:val="6F22084D"/>
    <w:rsid w:val="6F271A2B"/>
    <w:rsid w:val="6F295EC4"/>
    <w:rsid w:val="6F3313F8"/>
    <w:rsid w:val="6F6C1504"/>
    <w:rsid w:val="6F72528D"/>
    <w:rsid w:val="6F9C424F"/>
    <w:rsid w:val="6FA47515"/>
    <w:rsid w:val="6FB73137"/>
    <w:rsid w:val="6FE900D4"/>
    <w:rsid w:val="702504E9"/>
    <w:rsid w:val="70481885"/>
    <w:rsid w:val="704F16E6"/>
    <w:rsid w:val="70977C7A"/>
    <w:rsid w:val="70CC1BE0"/>
    <w:rsid w:val="70DE4037"/>
    <w:rsid w:val="711F20A4"/>
    <w:rsid w:val="71246846"/>
    <w:rsid w:val="71AF159E"/>
    <w:rsid w:val="71CA09F6"/>
    <w:rsid w:val="72053AB5"/>
    <w:rsid w:val="72606635"/>
    <w:rsid w:val="7297652B"/>
    <w:rsid w:val="72D65ACA"/>
    <w:rsid w:val="735A140C"/>
    <w:rsid w:val="735E34EC"/>
    <w:rsid w:val="737C22F7"/>
    <w:rsid w:val="739115B2"/>
    <w:rsid w:val="7392617A"/>
    <w:rsid w:val="73943C36"/>
    <w:rsid w:val="74116287"/>
    <w:rsid w:val="743D525B"/>
    <w:rsid w:val="74697CF2"/>
    <w:rsid w:val="747C388D"/>
    <w:rsid w:val="755D2197"/>
    <w:rsid w:val="75777657"/>
    <w:rsid w:val="75A44D6B"/>
    <w:rsid w:val="75C867DB"/>
    <w:rsid w:val="75D55D78"/>
    <w:rsid w:val="75F92DFF"/>
    <w:rsid w:val="761D4F35"/>
    <w:rsid w:val="763D7634"/>
    <w:rsid w:val="76686B2D"/>
    <w:rsid w:val="76B204AC"/>
    <w:rsid w:val="76C95DA9"/>
    <w:rsid w:val="76FE77A6"/>
    <w:rsid w:val="77027BF0"/>
    <w:rsid w:val="773C5F17"/>
    <w:rsid w:val="773D6C44"/>
    <w:rsid w:val="774A2F2C"/>
    <w:rsid w:val="77512733"/>
    <w:rsid w:val="777C3459"/>
    <w:rsid w:val="77CC17AA"/>
    <w:rsid w:val="77F85F05"/>
    <w:rsid w:val="786B7083"/>
    <w:rsid w:val="78874731"/>
    <w:rsid w:val="789A3F09"/>
    <w:rsid w:val="78E839B2"/>
    <w:rsid w:val="791823BB"/>
    <w:rsid w:val="79975EAD"/>
    <w:rsid w:val="79E144AA"/>
    <w:rsid w:val="79ED7BF9"/>
    <w:rsid w:val="79F10830"/>
    <w:rsid w:val="79F57965"/>
    <w:rsid w:val="7A347D55"/>
    <w:rsid w:val="7A350E52"/>
    <w:rsid w:val="7A99017F"/>
    <w:rsid w:val="7ACF5AA4"/>
    <w:rsid w:val="7AE00DD4"/>
    <w:rsid w:val="7AE96853"/>
    <w:rsid w:val="7B2850C0"/>
    <w:rsid w:val="7B3D3E06"/>
    <w:rsid w:val="7BDE06EA"/>
    <w:rsid w:val="7CEA4EEC"/>
    <w:rsid w:val="7D026419"/>
    <w:rsid w:val="7D2105AF"/>
    <w:rsid w:val="7D567401"/>
    <w:rsid w:val="7D644226"/>
    <w:rsid w:val="7D741CB5"/>
    <w:rsid w:val="7D8F531C"/>
    <w:rsid w:val="7D9602B9"/>
    <w:rsid w:val="7DC26067"/>
    <w:rsid w:val="7DDC5606"/>
    <w:rsid w:val="7E4C17D4"/>
    <w:rsid w:val="7E6D3E2B"/>
    <w:rsid w:val="7E720BC4"/>
    <w:rsid w:val="7EE36F93"/>
    <w:rsid w:val="7F2A3412"/>
    <w:rsid w:val="7F5337DD"/>
    <w:rsid w:val="7F623BC4"/>
    <w:rsid w:val="7F795B05"/>
    <w:rsid w:val="7FD86AEF"/>
    <w:rsid w:val="7FF64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2"/>
    <w:qFormat/>
    <w:uiPriority w:val="9"/>
    <w:pPr>
      <w:keepNext/>
      <w:outlineLvl w:val="0"/>
    </w:pPr>
    <w:rPr>
      <w:rFonts w:ascii="楷体_GB2312" w:eastAsia="楷体_GB2312"/>
      <w:sz w:val="28"/>
      <w:szCs w:val="20"/>
    </w:rPr>
  </w:style>
  <w:style w:type="paragraph" w:styleId="6">
    <w:name w:val="heading 2"/>
    <w:basedOn w:val="1"/>
    <w:next w:val="1"/>
    <w:link w:val="63"/>
    <w:qFormat/>
    <w:uiPriority w:val="9"/>
    <w:pPr>
      <w:keepNext/>
      <w:keepLines/>
      <w:spacing w:before="260" w:after="260" w:line="416" w:lineRule="auto"/>
      <w:jc w:val="center"/>
      <w:outlineLvl w:val="1"/>
    </w:pPr>
    <w:rPr>
      <w:rFonts w:ascii="Arial" w:hAnsi="Arial"/>
      <w:b/>
      <w:sz w:val="44"/>
      <w:szCs w:val="20"/>
    </w:rPr>
  </w:style>
  <w:style w:type="paragraph" w:styleId="7">
    <w:name w:val="heading 3"/>
    <w:basedOn w:val="1"/>
    <w:next w:val="1"/>
    <w:qFormat/>
    <w:uiPriority w:val="0"/>
    <w:pPr>
      <w:keepNext/>
      <w:keepLines/>
      <w:spacing w:before="260" w:after="260" w:line="416" w:lineRule="auto"/>
      <w:outlineLvl w:val="2"/>
    </w:pPr>
    <w:rPr>
      <w:b/>
      <w:sz w:val="32"/>
      <w:szCs w:val="20"/>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outlineLvl w:val="4"/>
    </w:pPr>
    <w:rPr>
      <w:rFonts w:ascii="宋体" w:hAnsi="宋体"/>
      <w:b/>
      <w:bCs/>
    </w:rPr>
  </w:style>
  <w:style w:type="paragraph" w:styleId="10">
    <w:name w:val="heading 7"/>
    <w:basedOn w:val="1"/>
    <w:next w:val="1"/>
    <w:link w:val="64"/>
    <w:qFormat/>
    <w:uiPriority w:val="0"/>
    <w:pPr>
      <w:keepNext/>
      <w:keepLines/>
      <w:spacing w:before="240" w:after="64" w:line="319" w:lineRule="auto"/>
      <w:outlineLvl w:val="6"/>
    </w:pPr>
    <w:rPr>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首行缩进 211"/>
    <w:basedOn w:val="3"/>
    <w:next w:val="1"/>
    <w:qFormat/>
    <w:uiPriority w:val="0"/>
    <w:pPr>
      <w:spacing w:after="0" w:line="360" w:lineRule="auto"/>
      <w:ind w:left="0" w:firstLine="420"/>
    </w:pPr>
    <w:rPr>
      <w:rFonts w:ascii="宋体" w:hAnsi="宋体"/>
      <w:sz w:val="20"/>
      <w:szCs w:val="20"/>
    </w:rPr>
  </w:style>
  <w:style w:type="paragraph" w:customStyle="1" w:styleId="3">
    <w:name w:val="正文文本缩进1"/>
    <w:basedOn w:val="1"/>
    <w:next w:val="4"/>
    <w:qFormat/>
    <w:uiPriority w:val="0"/>
    <w:pPr>
      <w:spacing w:after="120"/>
      <w:ind w:left="420"/>
    </w:pPr>
  </w:style>
  <w:style w:type="paragraph" w:customStyle="1" w:styleId="4">
    <w:name w:val="寄信人地址1"/>
    <w:basedOn w:val="1"/>
    <w:unhideWhenUsed/>
    <w:qFormat/>
    <w:uiPriority w:val="99"/>
    <w:rPr>
      <w:rFonts w:ascii="Arial" w:hAnsi="Arial"/>
    </w:rPr>
  </w:style>
  <w:style w:type="paragraph" w:styleId="11">
    <w:name w:val="toc 7"/>
    <w:basedOn w:val="1"/>
    <w:next w:val="1"/>
    <w:semiHidden/>
    <w:qFormat/>
    <w:uiPriority w:val="0"/>
    <w:pPr>
      <w:ind w:left="2520" w:leftChars="1200"/>
    </w:pPr>
  </w:style>
  <w:style w:type="paragraph" w:styleId="12">
    <w:name w:val="Normal Indent"/>
    <w:basedOn w:val="1"/>
    <w:link w:val="65"/>
    <w:qFormat/>
    <w:uiPriority w:val="0"/>
    <w:pPr>
      <w:ind w:firstLine="420"/>
    </w:pPr>
    <w:rPr>
      <w:szCs w:val="20"/>
    </w:rPr>
  </w:style>
  <w:style w:type="paragraph" w:styleId="13">
    <w:name w:val="Document Map"/>
    <w:basedOn w:val="1"/>
    <w:semiHidden/>
    <w:qFormat/>
    <w:uiPriority w:val="0"/>
    <w:pPr>
      <w:shd w:val="clear" w:color="auto" w:fill="000080"/>
    </w:pPr>
  </w:style>
  <w:style w:type="paragraph" w:styleId="14">
    <w:name w:val="annotation text"/>
    <w:basedOn w:val="1"/>
    <w:link w:val="66"/>
    <w:qFormat/>
    <w:uiPriority w:val="99"/>
    <w:pPr>
      <w:jc w:val="left"/>
    </w:pPr>
    <w:rPr>
      <w:szCs w:val="20"/>
    </w:rPr>
  </w:style>
  <w:style w:type="paragraph" w:styleId="15">
    <w:name w:val="Body Text 3"/>
    <w:basedOn w:val="1"/>
    <w:qFormat/>
    <w:uiPriority w:val="0"/>
    <w:rPr>
      <w:rFonts w:ascii="仿宋_GB2312" w:hAnsi="Arial" w:eastAsia="仿宋_GB2312"/>
      <w:sz w:val="32"/>
      <w:szCs w:val="20"/>
    </w:rPr>
  </w:style>
  <w:style w:type="paragraph" w:styleId="16">
    <w:name w:val="Body Text"/>
    <w:basedOn w:val="1"/>
    <w:next w:val="1"/>
    <w:link w:val="61"/>
    <w:qFormat/>
    <w:uiPriority w:val="0"/>
    <w:rPr>
      <w:rFonts w:ascii="楷体_GB2312" w:hAnsi="Arial" w:eastAsia="楷体_GB2312"/>
      <w:sz w:val="28"/>
      <w:szCs w:val="20"/>
    </w:rPr>
  </w:style>
  <w:style w:type="paragraph" w:styleId="17">
    <w:name w:val="Body Text Indent"/>
    <w:basedOn w:val="1"/>
    <w:next w:val="18"/>
    <w:qFormat/>
    <w:uiPriority w:val="0"/>
    <w:pPr>
      <w:ind w:firstLine="645"/>
    </w:pPr>
    <w:rPr>
      <w:rFonts w:ascii="楷体_GB2312" w:eastAsia="楷体_GB2312"/>
      <w:sz w:val="32"/>
      <w:szCs w:val="20"/>
    </w:rPr>
  </w:style>
  <w:style w:type="paragraph" w:styleId="18">
    <w:name w:val="envelope return"/>
    <w:basedOn w:val="1"/>
    <w:qFormat/>
    <w:uiPriority w:val="99"/>
    <w:pPr>
      <w:snapToGrid w:val="0"/>
    </w:pPr>
    <w:rPr>
      <w:rFonts w:ascii="Arial" w:hAnsi="Arial"/>
    </w:rPr>
  </w:style>
  <w:style w:type="paragraph" w:styleId="19">
    <w:name w:val="toc 5"/>
    <w:basedOn w:val="1"/>
    <w:next w:val="1"/>
    <w:semiHidden/>
    <w:qFormat/>
    <w:uiPriority w:val="0"/>
    <w:pPr>
      <w:ind w:left="1680" w:leftChars="800"/>
    </w:pPr>
  </w:style>
  <w:style w:type="paragraph" w:styleId="20">
    <w:name w:val="toc 3"/>
    <w:basedOn w:val="1"/>
    <w:next w:val="1"/>
    <w:qFormat/>
    <w:uiPriority w:val="39"/>
    <w:pPr>
      <w:tabs>
        <w:tab w:val="right" w:leader="dot" w:pos="9440"/>
      </w:tabs>
      <w:spacing w:line="240" w:lineRule="exact"/>
      <w:ind w:left="539"/>
      <w:jc w:val="left"/>
    </w:pPr>
    <w:rPr>
      <w:rFonts w:ascii="黑体" w:hAnsi="宋体" w:eastAsia="黑体"/>
      <w:bCs/>
      <w:iCs/>
      <w:sz w:val="18"/>
      <w:szCs w:val="32"/>
    </w:rPr>
  </w:style>
  <w:style w:type="paragraph" w:styleId="21">
    <w:name w:val="Plain Text"/>
    <w:basedOn w:val="1"/>
    <w:link w:val="67"/>
    <w:qFormat/>
    <w:uiPriority w:val="0"/>
    <w:rPr>
      <w:rFonts w:ascii="宋体" w:hAnsi="Courier New"/>
      <w:szCs w:val="20"/>
    </w:rPr>
  </w:style>
  <w:style w:type="paragraph" w:styleId="22">
    <w:name w:val="toc 8"/>
    <w:basedOn w:val="1"/>
    <w:next w:val="1"/>
    <w:semiHidden/>
    <w:qFormat/>
    <w:uiPriority w:val="0"/>
    <w:pPr>
      <w:ind w:left="2940" w:leftChars="1400"/>
    </w:pPr>
  </w:style>
  <w:style w:type="paragraph" w:styleId="23">
    <w:name w:val="Date"/>
    <w:basedOn w:val="1"/>
    <w:next w:val="1"/>
    <w:link w:val="68"/>
    <w:qFormat/>
    <w:uiPriority w:val="0"/>
    <w:rPr>
      <w:sz w:val="24"/>
      <w:szCs w:val="20"/>
    </w:rPr>
  </w:style>
  <w:style w:type="paragraph" w:styleId="24">
    <w:name w:val="Body Text Indent 2"/>
    <w:basedOn w:val="1"/>
    <w:qFormat/>
    <w:uiPriority w:val="0"/>
    <w:pPr>
      <w:ind w:firstLine="560" w:firstLineChars="200"/>
    </w:pPr>
    <w:rPr>
      <w:rFonts w:ascii="宋体" w:hAnsi="宋体"/>
      <w:sz w:val="28"/>
    </w:rPr>
  </w:style>
  <w:style w:type="paragraph" w:styleId="25">
    <w:name w:val="Balloon Text"/>
    <w:basedOn w:val="1"/>
    <w:link w:val="69"/>
    <w:qFormat/>
    <w:uiPriority w:val="99"/>
    <w:rPr>
      <w:sz w:val="18"/>
      <w:szCs w:val="18"/>
    </w:rPr>
  </w:style>
  <w:style w:type="paragraph" w:styleId="26">
    <w:name w:val="footer"/>
    <w:basedOn w:val="1"/>
    <w:link w:val="70"/>
    <w:qFormat/>
    <w:uiPriority w:val="99"/>
    <w:pPr>
      <w:tabs>
        <w:tab w:val="center" w:pos="4153"/>
        <w:tab w:val="right" w:pos="8306"/>
      </w:tabs>
      <w:snapToGrid w:val="0"/>
      <w:jc w:val="left"/>
    </w:pPr>
    <w:rPr>
      <w:sz w:val="18"/>
      <w:szCs w:val="20"/>
    </w:rPr>
  </w:style>
  <w:style w:type="paragraph" w:styleId="27">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styleId="29">
    <w:name w:val="toc 4"/>
    <w:basedOn w:val="1"/>
    <w:next w:val="1"/>
    <w:qFormat/>
    <w:uiPriority w:val="39"/>
    <w:pPr>
      <w:ind w:left="1260" w:leftChars="600"/>
    </w:pPr>
  </w:style>
  <w:style w:type="paragraph" w:styleId="30">
    <w:name w:val="footnote text"/>
    <w:basedOn w:val="1"/>
    <w:link w:val="72"/>
    <w:unhideWhenUsed/>
    <w:qFormat/>
    <w:uiPriority w:val="99"/>
    <w:pPr>
      <w:snapToGrid w:val="0"/>
      <w:jc w:val="left"/>
    </w:pPr>
    <w:rPr>
      <w:sz w:val="18"/>
      <w:szCs w:val="18"/>
    </w:rPr>
  </w:style>
  <w:style w:type="paragraph" w:styleId="31">
    <w:name w:val="toc 6"/>
    <w:basedOn w:val="1"/>
    <w:next w:val="1"/>
    <w:semiHidden/>
    <w:qFormat/>
    <w:uiPriority w:val="0"/>
    <w:pPr>
      <w:ind w:left="2100" w:leftChars="1000"/>
    </w:pPr>
  </w:style>
  <w:style w:type="paragraph" w:styleId="32">
    <w:name w:val="Body Text Indent 3"/>
    <w:basedOn w:val="1"/>
    <w:qFormat/>
    <w:uiPriority w:val="0"/>
    <w:pPr>
      <w:ind w:firstLine="523"/>
    </w:pPr>
    <w:rPr>
      <w:rFonts w:ascii="仿宋_GB2312" w:hAnsi="宋体" w:eastAsia="仿宋_GB2312"/>
      <w:sz w:val="24"/>
    </w:rPr>
  </w:style>
  <w:style w:type="paragraph" w:styleId="33">
    <w:name w:val="toc 2"/>
    <w:basedOn w:val="1"/>
    <w:next w:val="1"/>
    <w:qFormat/>
    <w:uiPriority w:val="39"/>
    <w:pPr>
      <w:tabs>
        <w:tab w:val="left" w:pos="1260"/>
        <w:tab w:val="right" w:leader="dot" w:pos="9440"/>
      </w:tabs>
      <w:spacing w:line="260" w:lineRule="exact"/>
      <w:jc w:val="left"/>
    </w:pPr>
    <w:rPr>
      <w:rFonts w:ascii="黑体" w:eastAsia="黑体"/>
      <w:b/>
      <w:bCs/>
      <w:smallCaps/>
      <w:sz w:val="18"/>
      <w:szCs w:val="44"/>
    </w:rPr>
  </w:style>
  <w:style w:type="paragraph" w:styleId="34">
    <w:name w:val="toc 9"/>
    <w:basedOn w:val="1"/>
    <w:next w:val="1"/>
    <w:semiHidden/>
    <w:qFormat/>
    <w:uiPriority w:val="0"/>
    <w:pPr>
      <w:ind w:left="3360" w:leftChars="1600"/>
    </w:pPr>
  </w:style>
  <w:style w:type="paragraph" w:styleId="35">
    <w:name w:val="Body Text 2"/>
    <w:basedOn w:val="1"/>
    <w:qFormat/>
    <w:uiPriority w:val="0"/>
    <w:pPr>
      <w:jc w:val="center"/>
    </w:pPr>
    <w:rPr>
      <w:rFonts w:ascii="仿宋_GB2312" w:eastAsia="仿宋_GB2312"/>
      <w:sz w:val="44"/>
    </w:rPr>
  </w:style>
  <w:style w:type="paragraph" w:styleId="36">
    <w:name w:val="HTML Preformatted"/>
    <w:basedOn w:val="1"/>
    <w:link w:val="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rPr>
      <w:rFonts w:ascii="宋体" w:hAnsi="宋体"/>
      <w:szCs w:val="18"/>
    </w:rPr>
  </w:style>
  <w:style w:type="paragraph" w:styleId="39">
    <w:name w:val="Title"/>
    <w:basedOn w:val="1"/>
    <w:next w:val="1"/>
    <w:link w:val="74"/>
    <w:qFormat/>
    <w:uiPriority w:val="0"/>
    <w:pPr>
      <w:spacing w:before="240" w:after="60"/>
      <w:jc w:val="center"/>
      <w:outlineLvl w:val="0"/>
    </w:pPr>
    <w:rPr>
      <w:rFonts w:ascii="Cambria" w:hAnsi="Cambria"/>
      <w:b/>
      <w:bCs/>
      <w:sz w:val="32"/>
      <w:szCs w:val="32"/>
    </w:rPr>
  </w:style>
  <w:style w:type="paragraph" w:styleId="40">
    <w:name w:val="annotation subject"/>
    <w:basedOn w:val="14"/>
    <w:next w:val="14"/>
    <w:link w:val="75"/>
    <w:qFormat/>
    <w:uiPriority w:val="99"/>
    <w:rPr>
      <w:b/>
      <w:bCs/>
      <w:kern w:val="0"/>
      <w:sz w:val="20"/>
      <w:szCs w:val="24"/>
    </w:rPr>
  </w:style>
  <w:style w:type="paragraph" w:styleId="41">
    <w:name w:val="Body Text First Indent"/>
    <w:basedOn w:val="16"/>
    <w:qFormat/>
    <w:uiPriority w:val="0"/>
    <w:pPr>
      <w:spacing w:after="120"/>
      <w:ind w:firstLine="420" w:firstLineChars="100"/>
    </w:pPr>
    <w:rPr>
      <w:rFonts w:ascii="Times New Roman" w:eastAsia="宋体"/>
      <w:szCs w:val="24"/>
    </w:rPr>
  </w:style>
  <w:style w:type="paragraph" w:styleId="42">
    <w:name w:val="Body Text First Indent 2"/>
    <w:basedOn w:val="17"/>
    <w:next w:val="1"/>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99"/>
    <w:rPr>
      <w:color w:val="800080"/>
      <w:u w:val="none"/>
    </w:rPr>
  </w:style>
  <w:style w:type="character" w:styleId="49">
    <w:name w:val="Emphasis"/>
    <w:qFormat/>
    <w:uiPriority w:val="0"/>
  </w:style>
  <w:style w:type="character" w:styleId="50">
    <w:name w:val="HTML Definition"/>
    <w:qFormat/>
    <w:uiPriority w:val="0"/>
  </w:style>
  <w:style w:type="character" w:styleId="51">
    <w:name w:val="HTML Typewriter"/>
    <w:qFormat/>
    <w:uiPriority w:val="0"/>
    <w:rPr>
      <w:rFonts w:hint="default" w:ascii="monospace" w:hAnsi="monospace" w:eastAsia="monospace" w:cs="monospace"/>
      <w:sz w:val="20"/>
    </w:rPr>
  </w:style>
  <w:style w:type="character" w:styleId="52">
    <w:name w:val="HTML Acronym"/>
    <w:basedOn w:val="45"/>
    <w:qFormat/>
    <w:uiPriority w:val="0"/>
  </w:style>
  <w:style w:type="character" w:styleId="53">
    <w:name w:val="HTML Variable"/>
    <w:qFormat/>
    <w:uiPriority w:val="0"/>
  </w:style>
  <w:style w:type="character" w:styleId="54">
    <w:name w:val="Hyperlink"/>
    <w:qFormat/>
    <w:uiPriority w:val="99"/>
    <w:rPr>
      <w:color w:val="0000FF"/>
      <w:u w:val="none"/>
    </w:rPr>
  </w:style>
  <w:style w:type="character" w:styleId="55">
    <w:name w:val="HTML Code"/>
    <w:qFormat/>
    <w:uiPriority w:val="0"/>
    <w:rPr>
      <w:rFonts w:ascii="monospace" w:hAnsi="monospace" w:eastAsia="monospace" w:cs="monospace"/>
      <w:sz w:val="20"/>
    </w:rPr>
  </w:style>
  <w:style w:type="character" w:styleId="56">
    <w:name w:val="annotation reference"/>
    <w:qFormat/>
    <w:uiPriority w:val="99"/>
    <w:rPr>
      <w:rFonts w:cs="Times New Roman"/>
      <w:sz w:val="21"/>
    </w:rPr>
  </w:style>
  <w:style w:type="character" w:styleId="57">
    <w:name w:val="HTML Cite"/>
    <w:qFormat/>
    <w:uiPriority w:val="0"/>
  </w:style>
  <w:style w:type="character" w:styleId="58">
    <w:name w:val="footnote reference"/>
    <w:unhideWhenUsed/>
    <w:qFormat/>
    <w:uiPriority w:val="99"/>
    <w:rPr>
      <w:vertAlign w:val="superscript"/>
    </w:rPr>
  </w:style>
  <w:style w:type="character" w:styleId="59">
    <w:name w:val="HTML Keyboard"/>
    <w:qFormat/>
    <w:uiPriority w:val="0"/>
    <w:rPr>
      <w:rFonts w:hint="default" w:ascii="monospace" w:hAnsi="monospace" w:eastAsia="monospace" w:cs="monospace"/>
      <w:sz w:val="20"/>
    </w:rPr>
  </w:style>
  <w:style w:type="character" w:styleId="60">
    <w:name w:val="HTML Sample"/>
    <w:qFormat/>
    <w:uiPriority w:val="0"/>
    <w:rPr>
      <w:rFonts w:hint="default" w:ascii="monospace" w:hAnsi="monospace" w:eastAsia="monospace" w:cs="monospace"/>
    </w:rPr>
  </w:style>
  <w:style w:type="character" w:customStyle="1" w:styleId="61">
    <w:name w:val="正文文本 Char"/>
    <w:link w:val="16"/>
    <w:qFormat/>
    <w:uiPriority w:val="0"/>
    <w:rPr>
      <w:rFonts w:ascii="楷体_GB2312" w:hAnsi="Arial" w:eastAsia="楷体_GB2312"/>
      <w:kern w:val="2"/>
      <w:sz w:val="28"/>
    </w:rPr>
  </w:style>
  <w:style w:type="character" w:customStyle="1" w:styleId="62">
    <w:name w:val="标题 1 Char"/>
    <w:link w:val="5"/>
    <w:qFormat/>
    <w:uiPriority w:val="9"/>
    <w:rPr>
      <w:rFonts w:ascii="楷体_GB2312" w:eastAsia="楷体_GB2312"/>
      <w:kern w:val="2"/>
      <w:sz w:val="28"/>
      <w:lang w:val="en-US" w:eastAsia="zh-CN" w:bidi="ar-SA"/>
    </w:rPr>
  </w:style>
  <w:style w:type="character" w:customStyle="1" w:styleId="63">
    <w:name w:val="标题 2 Char"/>
    <w:link w:val="6"/>
    <w:qFormat/>
    <w:uiPriority w:val="9"/>
    <w:rPr>
      <w:rFonts w:ascii="Arial" w:hAnsi="Arial"/>
      <w:b/>
      <w:kern w:val="2"/>
      <w:sz w:val="44"/>
    </w:rPr>
  </w:style>
  <w:style w:type="character" w:customStyle="1" w:styleId="64">
    <w:name w:val="标题 7 Char"/>
    <w:link w:val="10"/>
    <w:qFormat/>
    <w:uiPriority w:val="0"/>
    <w:rPr>
      <w:b/>
      <w:kern w:val="2"/>
      <w:sz w:val="24"/>
      <w:szCs w:val="24"/>
    </w:rPr>
  </w:style>
  <w:style w:type="character" w:customStyle="1" w:styleId="65">
    <w:name w:val="正文缩进 Char"/>
    <w:link w:val="12"/>
    <w:qFormat/>
    <w:uiPriority w:val="0"/>
    <w:rPr>
      <w:rFonts w:eastAsia="宋体"/>
      <w:kern w:val="2"/>
      <w:sz w:val="21"/>
      <w:lang w:val="en-US" w:eastAsia="zh-CN" w:bidi="ar-SA"/>
    </w:rPr>
  </w:style>
  <w:style w:type="character" w:customStyle="1" w:styleId="66">
    <w:name w:val="批注文字 Char"/>
    <w:link w:val="14"/>
    <w:qFormat/>
    <w:uiPriority w:val="99"/>
    <w:rPr>
      <w:kern w:val="2"/>
      <w:sz w:val="21"/>
    </w:rPr>
  </w:style>
  <w:style w:type="character" w:customStyle="1" w:styleId="67">
    <w:name w:val="纯文本 Char"/>
    <w:link w:val="21"/>
    <w:qFormat/>
    <w:uiPriority w:val="0"/>
    <w:rPr>
      <w:rFonts w:ascii="宋体" w:hAnsi="Courier New"/>
      <w:kern w:val="2"/>
      <w:sz w:val="21"/>
    </w:rPr>
  </w:style>
  <w:style w:type="character" w:customStyle="1" w:styleId="68">
    <w:name w:val="日期 Char"/>
    <w:link w:val="23"/>
    <w:qFormat/>
    <w:uiPriority w:val="0"/>
    <w:rPr>
      <w:kern w:val="2"/>
      <w:sz w:val="24"/>
    </w:rPr>
  </w:style>
  <w:style w:type="character" w:customStyle="1" w:styleId="69">
    <w:name w:val="批注框文本 Char"/>
    <w:link w:val="25"/>
    <w:qFormat/>
    <w:uiPriority w:val="99"/>
    <w:rPr>
      <w:kern w:val="2"/>
      <w:sz w:val="18"/>
      <w:szCs w:val="18"/>
    </w:rPr>
  </w:style>
  <w:style w:type="character" w:customStyle="1" w:styleId="70">
    <w:name w:val="页脚 Char"/>
    <w:link w:val="26"/>
    <w:qFormat/>
    <w:uiPriority w:val="99"/>
    <w:rPr>
      <w:kern w:val="2"/>
      <w:sz w:val="18"/>
    </w:rPr>
  </w:style>
  <w:style w:type="character" w:customStyle="1" w:styleId="71">
    <w:name w:val="页眉 Char"/>
    <w:link w:val="27"/>
    <w:qFormat/>
    <w:uiPriority w:val="99"/>
    <w:rPr>
      <w:kern w:val="2"/>
      <w:sz w:val="18"/>
      <w:szCs w:val="18"/>
    </w:rPr>
  </w:style>
  <w:style w:type="character" w:customStyle="1" w:styleId="72">
    <w:name w:val="脚注文本 Char1"/>
    <w:link w:val="30"/>
    <w:qFormat/>
    <w:uiPriority w:val="99"/>
    <w:rPr>
      <w:kern w:val="2"/>
      <w:sz w:val="18"/>
      <w:szCs w:val="18"/>
    </w:rPr>
  </w:style>
  <w:style w:type="character" w:customStyle="1" w:styleId="73">
    <w:name w:val="HTML 预设格式 Char"/>
    <w:link w:val="36"/>
    <w:qFormat/>
    <w:uiPriority w:val="99"/>
    <w:rPr>
      <w:rFonts w:ascii="黑体" w:hAnsi="Courier New" w:eastAsia="黑体" w:cs="Courier New"/>
    </w:rPr>
  </w:style>
  <w:style w:type="character" w:customStyle="1" w:styleId="74">
    <w:name w:val="标题 Char"/>
    <w:link w:val="39"/>
    <w:qFormat/>
    <w:uiPriority w:val="0"/>
    <w:rPr>
      <w:rFonts w:ascii="Cambria" w:hAnsi="Cambria" w:cs="Times New Roman"/>
      <w:b/>
      <w:bCs/>
      <w:kern w:val="2"/>
      <w:sz w:val="32"/>
      <w:szCs w:val="32"/>
    </w:rPr>
  </w:style>
  <w:style w:type="character" w:customStyle="1" w:styleId="75">
    <w:name w:val="批注主题 Char"/>
    <w:link w:val="40"/>
    <w:qFormat/>
    <w:uiPriority w:val="99"/>
    <w:rPr>
      <w:b/>
      <w:bCs/>
      <w:szCs w:val="24"/>
    </w:rPr>
  </w:style>
  <w:style w:type="paragraph" w:customStyle="1" w:styleId="7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78">
    <w:name w:val="Variable"/>
    <w:qFormat/>
    <w:uiPriority w:val="0"/>
    <w:rPr>
      <w:i/>
    </w:rPr>
  </w:style>
  <w:style w:type="character" w:customStyle="1" w:styleId="79">
    <w:name w:val="页脚 字符"/>
    <w:qFormat/>
    <w:uiPriority w:val="99"/>
    <w:rPr>
      <w:sz w:val="18"/>
      <w:szCs w:val="18"/>
    </w:rPr>
  </w:style>
  <w:style w:type="character" w:customStyle="1" w:styleId="80">
    <w:name w:val="正文缩进2格 Char"/>
    <w:link w:val="81"/>
    <w:qFormat/>
    <w:locked/>
    <w:uiPriority w:val="0"/>
    <w:rPr>
      <w:rFonts w:ascii="仿宋_GB2312" w:hAnsi="宋体" w:eastAsia="仿宋_GB2312"/>
      <w:kern w:val="2"/>
      <w:sz w:val="31"/>
      <w:szCs w:val="28"/>
    </w:rPr>
  </w:style>
  <w:style w:type="paragraph" w:customStyle="1" w:styleId="81">
    <w:name w:val="正文缩进2格"/>
    <w:basedOn w:val="1"/>
    <w:link w:val="80"/>
    <w:qFormat/>
    <w:uiPriority w:val="0"/>
    <w:pPr>
      <w:spacing w:line="600" w:lineRule="exact"/>
      <w:ind w:firstLine="639" w:firstLineChars="206"/>
    </w:pPr>
    <w:rPr>
      <w:rFonts w:ascii="仿宋_GB2312" w:hAnsi="宋体" w:eastAsia="仿宋_GB2312"/>
      <w:sz w:val="31"/>
      <w:szCs w:val="28"/>
    </w:rPr>
  </w:style>
  <w:style w:type="character" w:customStyle="1" w:styleId="82">
    <w:name w:val="font81"/>
    <w:qFormat/>
    <w:uiPriority w:val="0"/>
    <w:rPr>
      <w:rFonts w:hint="eastAsia" w:ascii="黑体" w:hAnsi="宋体" w:eastAsia="黑体" w:cs="黑体"/>
      <w:color w:val="000000"/>
      <w:sz w:val="24"/>
      <w:szCs w:val="24"/>
      <w:u w:val="none"/>
      <w:vertAlign w:val="superscript"/>
    </w:rPr>
  </w:style>
  <w:style w:type="character" w:customStyle="1" w:styleId="83">
    <w:name w:val="fontstrikethrough"/>
    <w:qFormat/>
    <w:uiPriority w:val="0"/>
    <w:rPr>
      <w:strike/>
    </w:rPr>
  </w:style>
  <w:style w:type="character" w:customStyle="1" w:styleId="84">
    <w:name w:val="批注文字 Char1"/>
    <w:qFormat/>
    <w:uiPriority w:val="99"/>
  </w:style>
  <w:style w:type="character" w:customStyle="1" w:styleId="85">
    <w:name w:val="脚注文本 Char"/>
    <w:qFormat/>
    <w:uiPriority w:val="0"/>
    <w:rPr>
      <w:kern w:val="2"/>
      <w:sz w:val="18"/>
      <w:szCs w:val="18"/>
    </w:rPr>
  </w:style>
  <w:style w:type="character" w:customStyle="1" w:styleId="86">
    <w:name w:val="列出段落 Char"/>
    <w:qFormat/>
    <w:uiPriority w:val="34"/>
    <w:rPr>
      <w:rFonts w:ascii="Calibri" w:hAnsi="Calibri" w:eastAsia="宋体" w:cs="Times New Roman"/>
    </w:rPr>
  </w:style>
  <w:style w:type="character" w:customStyle="1" w:styleId="87">
    <w:name w:val="List Paragraph Char"/>
    <w:link w:val="88"/>
    <w:qFormat/>
    <w:locked/>
    <w:uiPriority w:val="0"/>
    <w:rPr>
      <w:kern w:val="2"/>
      <w:sz w:val="30"/>
    </w:rPr>
  </w:style>
  <w:style w:type="paragraph" w:customStyle="1" w:styleId="88">
    <w:name w:val="列表段落1"/>
    <w:basedOn w:val="1"/>
    <w:link w:val="87"/>
    <w:qFormat/>
    <w:uiPriority w:val="0"/>
    <w:pPr>
      <w:ind w:firstLine="420" w:firstLineChars="200"/>
    </w:pPr>
    <w:rPr>
      <w:sz w:val="30"/>
      <w:szCs w:val="20"/>
    </w:rPr>
  </w:style>
  <w:style w:type="character" w:customStyle="1" w:styleId="89">
    <w:name w:val="font91"/>
    <w:qFormat/>
    <w:uiPriority w:val="0"/>
    <w:rPr>
      <w:rFonts w:hint="default" w:ascii="Times New Roman" w:hAnsi="Times New Roman" w:cs="Times New Roman"/>
      <w:color w:val="000000"/>
      <w:sz w:val="18"/>
      <w:szCs w:val="18"/>
      <w:u w:val="none"/>
    </w:rPr>
  </w:style>
  <w:style w:type="character" w:customStyle="1" w:styleId="90">
    <w:name w:val="正文文本 字符1"/>
    <w:qFormat/>
    <w:uiPriority w:val="0"/>
    <w:rPr>
      <w:rFonts w:ascii="Times New Roman" w:hAnsi="Times New Roman" w:eastAsia="仿宋_GB2312" w:cs="Times New Roman"/>
      <w:sz w:val="28"/>
      <w:szCs w:val="30"/>
    </w:rPr>
  </w:style>
  <w:style w:type="character" w:customStyle="1" w:styleId="91">
    <w:name w:val="fontborder"/>
    <w:qFormat/>
    <w:uiPriority w:val="0"/>
    <w:rPr>
      <w:bdr w:val="single" w:color="000000" w:sz="6" w:space="0"/>
    </w:rPr>
  </w:style>
  <w:style w:type="character" w:customStyle="1" w:styleId="92">
    <w:name w:val="页眉 字符"/>
    <w:qFormat/>
    <w:uiPriority w:val="99"/>
    <w:rPr>
      <w:sz w:val="18"/>
      <w:szCs w:val="18"/>
    </w:rPr>
  </w:style>
  <w:style w:type="character" w:customStyle="1" w:styleId="93">
    <w:name w:val="正文文本 字符"/>
    <w:semiHidden/>
    <w:qFormat/>
    <w:uiPriority w:val="99"/>
  </w:style>
  <w:style w:type="character" w:customStyle="1" w:styleId="94">
    <w:name w:val="标题2 Char"/>
    <w:qFormat/>
    <w:uiPriority w:val="0"/>
    <w:rPr>
      <w:rFonts w:ascii="方正楷体_GBK" w:hAnsi="Book Antiqua" w:eastAsia="方正楷体_GBK"/>
      <w:snapToGrid w:val="0"/>
      <w:sz w:val="32"/>
      <w:lang w:val="en-US" w:eastAsia="zh-CN" w:bidi="ar-SA"/>
    </w:rPr>
  </w:style>
  <w:style w:type="character" w:customStyle="1" w:styleId="95">
    <w:name w:val="jj1"/>
    <w:qFormat/>
    <w:uiPriority w:val="0"/>
    <w:rPr>
      <w:sz w:val="20"/>
      <w:szCs w:val="20"/>
      <w:u w:val="none"/>
    </w:rPr>
  </w:style>
  <w:style w:type="character" w:customStyle="1" w:styleId="96">
    <w:name w:val="font71"/>
    <w:qFormat/>
    <w:uiPriority w:val="0"/>
    <w:rPr>
      <w:rFonts w:hint="eastAsia" w:ascii="宋体" w:hAnsi="宋体" w:eastAsia="宋体" w:cs="宋体"/>
      <w:color w:val="000000"/>
      <w:sz w:val="24"/>
      <w:szCs w:val="24"/>
      <w:u w:val="none"/>
      <w:vertAlign w:val="superscript"/>
    </w:rPr>
  </w:style>
  <w:style w:type="paragraph" w:customStyle="1" w:styleId="9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样式 标题 2 + 黑色 行距: 1.5 倍行距"/>
    <w:basedOn w:val="6"/>
    <w:qFormat/>
    <w:uiPriority w:val="99"/>
    <w:pPr>
      <w:spacing w:line="360" w:lineRule="auto"/>
      <w:ind w:firstLine="2397" w:firstLineChars="746"/>
      <w:jc w:val="left"/>
    </w:pPr>
    <w:rPr>
      <w:rFonts w:ascii="宋体" w:hAnsi="宋体" w:cs="仿宋_GB2312"/>
      <w:color w:val="000000"/>
    </w:rPr>
  </w:style>
  <w:style w:type="paragraph" w:customStyle="1" w:styleId="99">
    <w:name w:val="BioQuote Tekst"/>
    <w:basedOn w:val="1"/>
    <w:qFormat/>
    <w:uiPriority w:val="0"/>
    <w:pPr>
      <w:ind w:right="-1"/>
    </w:pPr>
    <w:rPr>
      <w:rFonts w:ascii="Arial" w:hAnsi="Arial"/>
      <w:snapToGrid w:val="0"/>
      <w:kern w:val="0"/>
      <w:sz w:val="22"/>
      <w:szCs w:val="20"/>
      <w:lang w:eastAsia="en-US"/>
    </w:rPr>
  </w:style>
  <w:style w:type="paragraph" w:customStyle="1" w:styleId="100">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1">
    <w:name w:val="Table Paragraph"/>
    <w:basedOn w:val="1"/>
    <w:qFormat/>
    <w:uiPriority w:val="1"/>
    <w:rPr>
      <w:rFonts w:ascii="宋体" w:hAnsi="宋体" w:cs="宋体"/>
      <w:lang w:val="zh-CN" w:bidi="zh-CN"/>
    </w:rPr>
  </w:style>
  <w:style w:type="paragraph" w:styleId="102">
    <w:name w:val="List Paragraph"/>
    <w:basedOn w:val="1"/>
    <w:qFormat/>
    <w:uiPriority w:val="34"/>
    <w:pPr>
      <w:ind w:firstLine="420" w:firstLineChars="200"/>
    </w:pPr>
    <w:rPr>
      <w:rFonts w:ascii="Calibri" w:hAnsi="Calibri"/>
      <w:szCs w:val="22"/>
    </w:rPr>
  </w:style>
  <w:style w:type="paragraph" w:customStyle="1" w:styleId="103">
    <w:name w:val="xl75"/>
    <w:basedOn w:val="1"/>
    <w:qFormat/>
    <w:uiPriority w:val="0"/>
    <w:pPr>
      <w:widowControl/>
      <w:spacing w:before="100" w:beforeAutospacing="1" w:after="100" w:afterAutospacing="1"/>
      <w:jc w:val="center"/>
      <w:textAlignment w:val="top"/>
    </w:pPr>
    <w:rPr>
      <w:rFonts w:ascii="黑体" w:hAnsi="黑体" w:eastAsia="黑体" w:cs="宋体"/>
      <w:kern w:val="0"/>
      <w:sz w:val="28"/>
      <w:szCs w:val="28"/>
    </w:rPr>
  </w:style>
  <w:style w:type="paragraph" w:customStyle="1" w:styleId="104">
    <w:name w:val="附录1"/>
    <w:qFormat/>
    <w:uiPriority w:val="0"/>
    <w:pPr>
      <w:numPr>
        <w:ilvl w:val="0"/>
        <w:numId w:val="1"/>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styleId="10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Char"/>
    <w:basedOn w:val="1"/>
    <w:qFormat/>
    <w:uiPriority w:val="0"/>
    <w:rPr>
      <w:rFonts w:ascii="Tahoma" w:hAnsi="Tahoma"/>
      <w:snapToGrid w:val="0"/>
      <w:sz w:val="24"/>
      <w:szCs w:val="20"/>
    </w:rPr>
  </w:style>
  <w:style w:type="paragraph" w:customStyle="1" w:styleId="1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9">
    <w:name w:val="Char1"/>
    <w:basedOn w:val="1"/>
    <w:qFormat/>
    <w:uiPriority w:val="0"/>
    <w:pPr>
      <w:tabs>
        <w:tab w:val="left" w:pos="360"/>
      </w:tabs>
      <w:jc w:val="left"/>
    </w:pPr>
    <w:rPr>
      <w:sz w:val="24"/>
    </w:rPr>
  </w:style>
  <w:style w:type="paragraph" w:customStyle="1" w:styleId="110">
    <w:name w:val="标题2"/>
    <w:basedOn w:val="1"/>
    <w:next w:val="1"/>
    <w:qFormat/>
    <w:uiPriority w:val="0"/>
    <w:pPr>
      <w:jc w:val="center"/>
    </w:pPr>
    <w:rPr>
      <w:rFonts w:eastAsia="方正楷体_GBK"/>
    </w:rPr>
  </w:style>
  <w:style w:type="paragraph" w:customStyle="1" w:styleId="111">
    <w:name w:val="纯文本1"/>
    <w:basedOn w:val="1"/>
    <w:qFormat/>
    <w:uiPriority w:val="99"/>
    <w:rPr>
      <w:rFonts w:ascii="宋体" w:hAnsi="Courier New"/>
      <w:sz w:val="28"/>
    </w:rPr>
  </w:style>
  <w:style w:type="paragraph" w:customStyle="1" w:styleId="112">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1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
    <w:name w:val="font8"/>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6">
    <w:name w:val="Char Char Char Char"/>
    <w:basedOn w:val="13"/>
    <w:qFormat/>
    <w:uiPriority w:val="0"/>
    <w:pPr>
      <w:adjustRightInd w:val="0"/>
      <w:snapToGrid w:val="0"/>
      <w:spacing w:line="360" w:lineRule="auto"/>
    </w:pPr>
    <w:rPr>
      <w:rFonts w:ascii="Tahoma" w:hAnsi="Tahoma"/>
      <w:sz w:val="24"/>
    </w:rPr>
  </w:style>
  <w:style w:type="paragraph" w:customStyle="1" w:styleId="117">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118">
    <w:name w:val="从CC出差"/>
    <w:basedOn w:val="1"/>
    <w:qFormat/>
    <w:uiPriority w:val="0"/>
    <w:rPr>
      <w:rFonts w:ascii="宋体" w:hAnsi="宋体"/>
      <w:b/>
      <w:sz w:val="24"/>
    </w:rPr>
  </w:style>
  <w:style w:type="paragraph" w:customStyle="1" w:styleId="119">
    <w:name w:val="标题3"/>
    <w:basedOn w:val="1"/>
    <w:next w:val="1"/>
    <w:qFormat/>
    <w:uiPriority w:val="0"/>
    <w:rPr>
      <w:rFonts w:eastAsia="方正黑体_GBK"/>
    </w:rPr>
  </w:style>
  <w:style w:type="paragraph" w:customStyle="1" w:styleId="120">
    <w:name w:val="TOC 标题1"/>
    <w:basedOn w:val="5"/>
    <w:next w:val="1"/>
    <w:unhideWhenUsed/>
    <w:qFormat/>
    <w:uiPriority w:val="39"/>
    <w:pPr>
      <w:keepLines/>
      <w:widowControl/>
      <w:spacing w:before="480" w:line="276" w:lineRule="auto"/>
      <w:jc w:val="left"/>
      <w:outlineLvl w:val="9"/>
    </w:pPr>
    <w:rPr>
      <w:rFonts w:ascii="Cambria" w:hAnsi="Cambria" w:eastAsia="宋体"/>
      <w:b/>
      <w:bCs/>
      <w:color w:val="366091"/>
      <w:kern w:val="0"/>
      <w:szCs w:val="28"/>
    </w:rPr>
  </w:style>
  <w:style w:type="paragraph" w:customStyle="1" w:styleId="12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Char Char Char Char1 Char Char"/>
    <w:basedOn w:val="1"/>
    <w:qFormat/>
    <w:uiPriority w:val="0"/>
    <w:pPr>
      <w:tabs>
        <w:tab w:val="left" w:pos="360"/>
      </w:tabs>
    </w:pPr>
    <w:rPr>
      <w:sz w:val="24"/>
    </w:rPr>
  </w:style>
  <w:style w:type="paragraph" w:customStyle="1" w:styleId="1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5">
    <w:name w:val="DAS正文"/>
    <w:basedOn w:val="1"/>
    <w:qFormat/>
    <w:uiPriority w:val="0"/>
    <w:pPr>
      <w:spacing w:line="360" w:lineRule="auto"/>
      <w:ind w:right="181" w:firstLine="480"/>
    </w:pPr>
    <w:rPr>
      <w:rFonts w:ascii="Verdana" w:hAnsi="Verdana"/>
    </w:rPr>
  </w:style>
  <w:style w:type="paragraph" w:customStyle="1" w:styleId="126">
    <w:name w:val="Char Char Char Char1 Char Char Char"/>
    <w:basedOn w:val="13"/>
    <w:qFormat/>
    <w:uiPriority w:val="0"/>
    <w:pPr>
      <w:adjustRightInd w:val="0"/>
      <w:snapToGrid w:val="0"/>
      <w:spacing w:line="360" w:lineRule="auto"/>
    </w:pPr>
    <w:rPr>
      <w:rFonts w:ascii="Tahoma" w:hAnsi="Tahoma"/>
      <w:sz w:val="24"/>
    </w:rPr>
  </w:style>
  <w:style w:type="paragraph" w:customStyle="1" w:styleId="1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29">
    <w:name w:val="Address"/>
    <w:basedOn w:val="1"/>
    <w:next w:val="1"/>
    <w:qFormat/>
    <w:uiPriority w:val="0"/>
    <w:pPr>
      <w:autoSpaceDE w:val="0"/>
      <w:autoSpaceDN w:val="0"/>
      <w:adjustRightInd w:val="0"/>
      <w:jc w:val="left"/>
    </w:pPr>
    <w:rPr>
      <w:i/>
      <w:kern w:val="0"/>
      <w:sz w:val="24"/>
      <w:szCs w:val="20"/>
    </w:rPr>
  </w:style>
  <w:style w:type="paragraph" w:customStyle="1" w:styleId="1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33">
    <w:name w:val="Coms Alinea"/>
    <w:qFormat/>
    <w:uiPriority w:val="0"/>
    <w:pPr>
      <w:widowControl w:val="0"/>
    </w:pPr>
    <w:rPr>
      <w:rFonts w:ascii="Arial" w:hAnsi="Arial" w:eastAsia="宋体" w:cs="Arial"/>
      <w:lang w:val="en-US" w:eastAsia="zh-CN" w:bidi="ar-SA"/>
    </w:rPr>
  </w:style>
  <w:style w:type="paragraph" w:customStyle="1" w:styleId="134">
    <w:name w:val="_Style 129"/>
    <w:basedOn w:val="5"/>
    <w:next w:val="1"/>
    <w:qFormat/>
    <w:uiPriority w:val="39"/>
    <w:pPr>
      <w:keepLines/>
      <w:widowControl/>
      <w:spacing w:before="480" w:line="276" w:lineRule="auto"/>
      <w:jc w:val="left"/>
      <w:outlineLvl w:val="9"/>
    </w:pPr>
    <w:rPr>
      <w:rFonts w:ascii="Cambria" w:hAnsi="Cambria" w:eastAsia="宋体"/>
      <w:b/>
      <w:bCs/>
      <w:color w:val="365F91"/>
      <w:kern w:val="0"/>
      <w:szCs w:val="28"/>
    </w:rPr>
  </w:style>
  <w:style w:type="paragraph" w:customStyle="1" w:styleId="13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默认段落字体 Para Char Char Char Char Char Char Char Char Char1 Char Char Char Char Char Char Char"/>
    <w:basedOn w:val="13"/>
    <w:qFormat/>
    <w:uiPriority w:val="0"/>
    <w:rPr>
      <w:rFonts w:ascii="Tahoma" w:hAnsi="Tahoma"/>
      <w:sz w:val="24"/>
    </w:rPr>
  </w:style>
  <w:style w:type="paragraph" w:customStyle="1" w:styleId="137">
    <w:name w:val="正文1"/>
    <w:basedOn w:val="1"/>
    <w:qFormat/>
    <w:uiPriority w:val="0"/>
    <w:pPr>
      <w:spacing w:line="360" w:lineRule="auto"/>
      <w:ind w:firstLine="361"/>
    </w:pPr>
    <w:rPr>
      <w:rFonts w:ascii="宋体" w:hAnsi="宋体"/>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table" w:customStyle="1" w:styleId="139">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标题 11"/>
    <w:basedOn w:val="142"/>
    <w:next w:val="142"/>
    <w:qFormat/>
    <w:uiPriority w:val="99"/>
    <w:pPr>
      <w:keepNext/>
      <w:outlineLvl w:val="0"/>
    </w:pPr>
    <w:rPr>
      <w:rFonts w:ascii="楷体_GB2312" w:hAnsi="楷体_GB2312" w:eastAsia="楷体_GB2312"/>
      <w:kern w:val="0"/>
      <w:sz w:val="28"/>
      <w:szCs w:val="20"/>
    </w:rPr>
  </w:style>
  <w:style w:type="paragraph" w:customStyle="1" w:styleId="142">
    <w:name w:val="正文11"/>
    <w:next w:val="143"/>
    <w:qFormat/>
    <w:uiPriority w:val="99"/>
    <w:pPr>
      <w:widowControl w:val="0"/>
      <w:jc w:val="both"/>
    </w:pPr>
    <w:rPr>
      <w:rFonts w:ascii="Calibri" w:hAnsi="Calibri" w:eastAsia="宋体" w:cs="Times New Roman"/>
      <w:kern w:val="2"/>
      <w:sz w:val="21"/>
      <w:szCs w:val="21"/>
      <w:lang w:val="en-US" w:eastAsia="zh-CN" w:bidi="ar-SA"/>
    </w:rPr>
  </w:style>
  <w:style w:type="paragraph" w:customStyle="1" w:styleId="143">
    <w:name w:val="正文文本1"/>
    <w:basedOn w:val="142"/>
    <w:next w:val="142"/>
    <w:qFormat/>
    <w:uiPriority w:val="99"/>
    <w:rPr>
      <w:rFonts w:ascii="??_GB2312" w:hAnsi="??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27188</Words>
  <Characters>28115</Characters>
  <Lines>212</Lines>
  <Paragraphs>59</Paragraphs>
  <TotalTime>4</TotalTime>
  <ScaleCrop>false</ScaleCrop>
  <LinksUpToDate>false</LinksUpToDate>
  <CharactersWithSpaces>28775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cp:revision>47</cp:revision>
  <cp:lastPrinted>2022-09-05T02:27:00Z</cp:lastPrinted>
  <dcterms:created xsi:type="dcterms:W3CDTF">2021-07-11T09:16:00Z</dcterms:created>
  <dcterms:modified xsi:type="dcterms:W3CDTF">2023-11-27T08:09:08Z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63B078266CD7461D8699C632B8F399E8_13</vt:lpwstr>
  </property>
  <property fmtid="{D5CDD505-2E9C-101B-9397-08002B2CF9AE}" pid="4" name="commondata">
    <vt:lpwstr>eyJoZGlkIjoiZGRkNTU1Y2VhMTU3NWI2NGQ1NDg5MmYxM2FjOTVjNGYifQ==</vt:lpwstr>
  </property>
</Properties>
</file>