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spacing w:line="360" w:lineRule="auto"/>
        <w:ind w:firstLine="883" w:firstLineChars="200"/>
        <w:rPr>
          <w:rFonts w:hint="eastAsia" w:ascii="宋体" w:hAnsi="宋体" w:cs="宋体"/>
          <w:b/>
          <w:bCs/>
          <w:color w:val="auto"/>
          <w:sz w:val="44"/>
          <w:szCs w:val="44"/>
          <w:highlight w:val="none"/>
        </w:rPr>
      </w:pPr>
    </w:p>
    <w:p w14:paraId="21B7DE7E">
      <w:pPr>
        <w:spacing w:line="1000" w:lineRule="exact"/>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人民西路38号别墅（崇文楼）修缮保护工程设计采购项目</w:t>
      </w:r>
    </w:p>
    <w:p w14:paraId="25DF4F1B">
      <w:pPr>
        <w:spacing w:line="360" w:lineRule="auto"/>
        <w:rPr>
          <w:rFonts w:hint="eastAsia" w:ascii="宋体" w:hAnsi="宋体" w:cs="宋体"/>
          <w:b/>
          <w:bCs/>
          <w:color w:val="auto"/>
          <w:sz w:val="48"/>
          <w:szCs w:val="48"/>
          <w:highlight w:val="none"/>
        </w:rPr>
      </w:pPr>
    </w:p>
    <w:p w14:paraId="02EA95A8">
      <w:pPr>
        <w:spacing w:line="360" w:lineRule="auto"/>
        <w:rPr>
          <w:rFonts w:hint="eastAsia" w:ascii="宋体" w:hAnsi="宋体" w:cs="宋体"/>
          <w:b/>
          <w:bCs/>
          <w:color w:val="auto"/>
          <w:sz w:val="44"/>
          <w:szCs w:val="44"/>
          <w:highlight w:val="none"/>
        </w:rPr>
      </w:pPr>
    </w:p>
    <w:p w14:paraId="7C7BEF25">
      <w:pPr>
        <w:spacing w:line="360" w:lineRule="auto"/>
        <w:rPr>
          <w:rFonts w:hint="eastAsia" w:ascii="宋体" w:hAnsi="宋体" w:cs="宋体"/>
          <w:b/>
          <w:bCs/>
          <w:color w:val="auto"/>
          <w:sz w:val="44"/>
          <w:szCs w:val="44"/>
          <w:highlight w:val="none"/>
        </w:rPr>
      </w:pPr>
    </w:p>
    <w:p w14:paraId="39926996">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比选文件</w:t>
      </w:r>
    </w:p>
    <w:p w14:paraId="575689C2">
      <w:pPr>
        <w:spacing w:line="360" w:lineRule="auto"/>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rPr>
        <w:t>项目编号：</w:t>
      </w:r>
      <w:r>
        <w:rPr>
          <w:rFonts w:hint="eastAsia" w:ascii="宋体" w:hAnsi="宋体" w:eastAsia="宋体" w:cs="宋体"/>
          <w:b/>
          <w:bCs/>
          <w:color w:val="auto"/>
          <w:sz w:val="36"/>
          <w:szCs w:val="36"/>
          <w:highlight w:val="none"/>
          <w:lang w:val="en-US" w:eastAsia="zh-CN"/>
        </w:rPr>
        <w:t>NTYZ</w:t>
      </w:r>
      <w:r>
        <w:rPr>
          <w:rFonts w:hint="eastAsia" w:ascii="宋体" w:hAnsi="宋体" w:eastAsia="宋体" w:cs="宋体"/>
          <w:b/>
          <w:bCs/>
          <w:color w:val="auto"/>
          <w:sz w:val="36"/>
          <w:szCs w:val="36"/>
          <w:highlight w:val="none"/>
        </w:rPr>
        <w:t>202</w:t>
      </w:r>
      <w:r>
        <w:rPr>
          <w:rFonts w:hint="eastAsia" w:ascii="宋体" w:hAnsi="宋体" w:eastAsia="宋体" w:cs="宋体"/>
          <w:b/>
          <w:bCs/>
          <w:color w:val="auto"/>
          <w:sz w:val="36"/>
          <w:szCs w:val="36"/>
          <w:highlight w:val="none"/>
          <w:lang w:val="en-US" w:eastAsia="zh-CN"/>
        </w:rPr>
        <w:t>604</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lang w:val="en-US" w:eastAsia="zh-CN"/>
        </w:rPr>
        <w:t>0</w:t>
      </w:r>
    </w:p>
    <w:p w14:paraId="6046F887">
      <w:pPr>
        <w:pStyle w:val="18"/>
        <w:spacing w:line="360" w:lineRule="auto"/>
        <w:ind w:firstLine="0" w:firstLineChars="0"/>
        <w:jc w:val="center"/>
        <w:rPr>
          <w:rFonts w:hint="eastAsia" w:hAnsi="宋体" w:cs="宋体"/>
          <w:color w:val="auto"/>
          <w:sz w:val="36"/>
          <w:szCs w:val="36"/>
          <w:highlight w:val="none"/>
        </w:rPr>
      </w:pPr>
      <w:r>
        <w:rPr>
          <w:rFonts w:hint="eastAsia" w:hAnsi="宋体" w:cs="宋体"/>
          <w:color w:val="auto"/>
          <w:sz w:val="36"/>
          <w:szCs w:val="36"/>
          <w:highlight w:val="none"/>
        </w:rPr>
        <w:t>（资格后审）</w:t>
      </w:r>
    </w:p>
    <w:p w14:paraId="1DB92E62">
      <w:pPr>
        <w:pStyle w:val="18"/>
        <w:spacing w:line="360" w:lineRule="auto"/>
        <w:ind w:firstLine="0" w:firstLineChars="0"/>
        <w:rPr>
          <w:rFonts w:hint="eastAsia" w:hAnsi="宋体" w:cs="宋体"/>
          <w:color w:val="auto"/>
          <w:sz w:val="36"/>
          <w:szCs w:val="36"/>
          <w:highlight w:val="none"/>
        </w:rPr>
      </w:pPr>
    </w:p>
    <w:p w14:paraId="6435292F">
      <w:pPr>
        <w:pStyle w:val="18"/>
        <w:spacing w:line="360" w:lineRule="auto"/>
        <w:ind w:firstLine="0" w:firstLineChars="0"/>
        <w:rPr>
          <w:rFonts w:hint="eastAsia" w:hAnsi="宋体" w:cs="宋体"/>
          <w:color w:val="auto"/>
          <w:sz w:val="36"/>
          <w:szCs w:val="36"/>
          <w:highlight w:val="none"/>
        </w:rPr>
      </w:pPr>
    </w:p>
    <w:p w14:paraId="6679EA21">
      <w:pPr>
        <w:pStyle w:val="18"/>
        <w:spacing w:line="360" w:lineRule="auto"/>
        <w:ind w:firstLine="0" w:firstLineChars="0"/>
        <w:rPr>
          <w:rFonts w:hint="eastAsia" w:hAnsi="宋体" w:cs="宋体"/>
          <w:color w:val="auto"/>
          <w:sz w:val="36"/>
          <w:szCs w:val="36"/>
          <w:highlight w:val="none"/>
        </w:rPr>
      </w:pPr>
    </w:p>
    <w:p w14:paraId="6E17F011">
      <w:pPr>
        <w:pStyle w:val="18"/>
        <w:spacing w:line="360" w:lineRule="auto"/>
        <w:ind w:firstLine="0" w:firstLineChars="0"/>
        <w:rPr>
          <w:rFonts w:hint="eastAsia" w:hAnsi="宋体" w:cs="宋体"/>
          <w:color w:val="auto"/>
          <w:sz w:val="36"/>
          <w:szCs w:val="36"/>
          <w:highlight w:val="none"/>
        </w:rPr>
      </w:pPr>
    </w:p>
    <w:p w14:paraId="2761B496">
      <w:pPr>
        <w:pStyle w:val="18"/>
        <w:spacing w:line="360" w:lineRule="auto"/>
        <w:ind w:firstLine="0" w:firstLineChars="0"/>
        <w:rPr>
          <w:rFonts w:hint="eastAsia" w:hAnsi="宋体" w:cs="宋体"/>
          <w:color w:val="auto"/>
          <w:sz w:val="36"/>
          <w:szCs w:val="36"/>
          <w:highlight w:val="none"/>
        </w:rPr>
      </w:pPr>
    </w:p>
    <w:p w14:paraId="6A59B46F">
      <w:pPr>
        <w:pStyle w:val="18"/>
        <w:spacing w:line="360" w:lineRule="auto"/>
        <w:ind w:firstLine="0" w:firstLineChars="0"/>
        <w:rPr>
          <w:rFonts w:hint="eastAsia" w:hAnsi="宋体" w:cs="宋体"/>
          <w:color w:val="auto"/>
          <w:sz w:val="36"/>
          <w:szCs w:val="36"/>
          <w:highlight w:val="none"/>
        </w:rPr>
      </w:pPr>
    </w:p>
    <w:p w14:paraId="5F5AE70D">
      <w:pPr>
        <w:pStyle w:val="18"/>
        <w:spacing w:line="360" w:lineRule="auto"/>
        <w:ind w:firstLine="0" w:firstLineChars="0"/>
        <w:rPr>
          <w:rFonts w:hint="eastAsia" w:hAnsi="宋体" w:cs="宋体"/>
          <w:color w:val="auto"/>
          <w:sz w:val="36"/>
          <w:szCs w:val="36"/>
          <w:highlight w:val="none"/>
        </w:rPr>
      </w:pPr>
    </w:p>
    <w:p w14:paraId="5D7A864C">
      <w:pPr>
        <w:pStyle w:val="18"/>
        <w:spacing w:line="360" w:lineRule="auto"/>
        <w:ind w:firstLine="0" w:firstLineChars="0"/>
        <w:rPr>
          <w:rFonts w:hint="eastAsia" w:hAnsi="宋体" w:cs="宋体"/>
          <w:color w:val="auto"/>
          <w:sz w:val="36"/>
          <w:szCs w:val="36"/>
          <w:highlight w:val="none"/>
        </w:rPr>
      </w:pPr>
    </w:p>
    <w:p w14:paraId="407EF2B7">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采购人：江苏省南通第一中学</w:t>
      </w:r>
    </w:p>
    <w:p w14:paraId="5FCA708F">
      <w:pPr>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日期：2026年4月</w:t>
      </w:r>
    </w:p>
    <w:p w14:paraId="744D1083">
      <w:pPr>
        <w:rPr>
          <w:rFonts w:hint="eastAsia" w:ascii="宋体" w:hAnsi="宋体" w:cs="宋体"/>
          <w:color w:val="auto"/>
          <w:sz w:val="36"/>
          <w:szCs w:val="36"/>
          <w:highlight w:val="none"/>
        </w:rPr>
      </w:pPr>
      <w:r>
        <w:rPr>
          <w:rFonts w:ascii="宋体" w:hAnsi="宋体" w:cs="宋体"/>
          <w:color w:val="auto"/>
          <w:sz w:val="36"/>
          <w:szCs w:val="36"/>
          <w:highlight w:val="none"/>
        </w:rPr>
        <w:br w:type="page"/>
      </w:r>
    </w:p>
    <w:p w14:paraId="647CD1EF">
      <w:pPr>
        <w:spacing w:line="360" w:lineRule="auto"/>
        <w:ind w:firstLine="720" w:firstLineChars="200"/>
        <w:rPr>
          <w:rFonts w:hint="eastAsia" w:ascii="宋体" w:hAnsi="宋体" w:cs="宋体"/>
          <w:color w:val="auto"/>
          <w:sz w:val="36"/>
          <w:szCs w:val="36"/>
          <w:highlight w:val="none"/>
        </w:rPr>
      </w:pPr>
    </w:p>
    <w:p w14:paraId="31214576">
      <w:pPr>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35525E23">
      <w:pPr>
        <w:pStyle w:val="51"/>
        <w:ind w:firstLine="420"/>
        <w:rPr>
          <w:color w:val="auto"/>
          <w:highlight w:val="none"/>
        </w:rPr>
      </w:pPr>
    </w:p>
    <w:p w14:paraId="64728087">
      <w:pPr>
        <w:pStyle w:val="32"/>
        <w:tabs>
          <w:tab w:val="right" w:leader="dot" w:pos="8312"/>
        </w:tabs>
        <w:spacing w:line="360" w:lineRule="auto"/>
        <w:jc w:val="both"/>
        <w:rPr>
          <w:rFonts w:hint="eastAsia" w:ascii="宋体" w:hAnsi="宋体" w:cs="宋体"/>
          <w:color w:val="auto"/>
          <w:sz w:val="36"/>
          <w:szCs w:val="36"/>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TOC \o "1-1" \h \u </w:instrText>
      </w:r>
      <w:r>
        <w:rPr>
          <w:rFonts w:hint="eastAsia" w:ascii="宋体" w:hAnsi="宋体" w:cs="宋体"/>
          <w:color w:val="auto"/>
          <w:sz w:val="36"/>
          <w:szCs w:val="36"/>
          <w:highlight w:val="none"/>
        </w:rPr>
        <w:fldChar w:fldCharType="separate"/>
      </w:r>
      <w:r>
        <w:rPr>
          <w:color w:val="auto"/>
          <w:highlight w:val="none"/>
        </w:rPr>
        <w:fldChar w:fldCharType="begin"/>
      </w:r>
      <w:r>
        <w:rPr>
          <w:color w:val="auto"/>
          <w:highlight w:val="none"/>
        </w:rPr>
        <w:instrText xml:space="preserve"> HYPERLINK \l "_Toc1938" </w:instrText>
      </w:r>
      <w:r>
        <w:rPr>
          <w:color w:val="auto"/>
          <w:highlight w:val="none"/>
        </w:rPr>
        <w:fldChar w:fldCharType="separate"/>
      </w:r>
      <w:r>
        <w:rPr>
          <w:rFonts w:hint="eastAsia" w:ascii="宋体" w:hAnsi="宋体" w:cs="宋体"/>
          <w:color w:val="auto"/>
          <w:sz w:val="36"/>
          <w:szCs w:val="36"/>
          <w:highlight w:val="none"/>
        </w:rPr>
        <w:t>第一章  比选公告</w:t>
      </w:r>
      <w:r>
        <w:rPr>
          <w:rFonts w:hint="eastAsia" w:ascii="宋体" w:hAnsi="宋体" w:cs="宋体"/>
          <w:color w:val="auto"/>
          <w:sz w:val="36"/>
          <w:szCs w:val="36"/>
          <w:highlight w:val="none"/>
        </w:rPr>
        <w:fldChar w:fldCharType="end"/>
      </w:r>
    </w:p>
    <w:p w14:paraId="17B9B1E2">
      <w:pPr>
        <w:pStyle w:val="32"/>
        <w:tabs>
          <w:tab w:val="right" w:leader="dot" w:pos="8312"/>
        </w:tabs>
        <w:spacing w:line="360" w:lineRule="auto"/>
        <w:jc w:val="both"/>
        <w:rPr>
          <w:rFonts w:hint="eastAsia" w:ascii="宋体" w:hAnsi="宋体" w:cs="宋体"/>
          <w:color w:val="auto"/>
          <w:sz w:val="36"/>
          <w:szCs w:val="36"/>
          <w:highlight w:val="none"/>
        </w:rPr>
      </w:pPr>
      <w:r>
        <w:rPr>
          <w:color w:val="auto"/>
          <w:highlight w:val="none"/>
        </w:rPr>
        <w:fldChar w:fldCharType="begin"/>
      </w:r>
      <w:r>
        <w:rPr>
          <w:color w:val="auto"/>
          <w:highlight w:val="none"/>
        </w:rPr>
        <w:instrText xml:space="preserve"> HYPERLINK \l "_Toc18907" </w:instrText>
      </w:r>
      <w:r>
        <w:rPr>
          <w:color w:val="auto"/>
          <w:highlight w:val="none"/>
        </w:rPr>
        <w:fldChar w:fldCharType="separate"/>
      </w:r>
      <w:r>
        <w:rPr>
          <w:rFonts w:hint="eastAsia" w:ascii="宋体" w:hAnsi="宋体" w:cs="宋体"/>
          <w:color w:val="auto"/>
          <w:sz w:val="36"/>
          <w:szCs w:val="36"/>
          <w:highlight w:val="none"/>
        </w:rPr>
        <w:t>第二章  比选须知</w:t>
      </w:r>
      <w:r>
        <w:rPr>
          <w:rFonts w:hint="eastAsia" w:ascii="宋体" w:hAnsi="宋体" w:cs="宋体"/>
          <w:color w:val="auto"/>
          <w:sz w:val="36"/>
          <w:szCs w:val="36"/>
          <w:highlight w:val="none"/>
        </w:rPr>
        <w:fldChar w:fldCharType="end"/>
      </w:r>
    </w:p>
    <w:p w14:paraId="49E9E1B9">
      <w:pPr>
        <w:pStyle w:val="32"/>
        <w:tabs>
          <w:tab w:val="right" w:leader="dot" w:pos="8312"/>
        </w:tabs>
        <w:spacing w:line="360" w:lineRule="auto"/>
        <w:jc w:val="both"/>
        <w:rPr>
          <w:rFonts w:hint="eastAsia" w:ascii="宋体" w:hAnsi="宋体" w:cs="宋体"/>
          <w:color w:val="auto"/>
          <w:sz w:val="36"/>
          <w:szCs w:val="36"/>
          <w:highlight w:val="none"/>
        </w:rPr>
      </w:pPr>
      <w:r>
        <w:rPr>
          <w:color w:val="auto"/>
          <w:highlight w:val="none"/>
        </w:rPr>
        <w:fldChar w:fldCharType="begin"/>
      </w:r>
      <w:r>
        <w:rPr>
          <w:color w:val="auto"/>
          <w:highlight w:val="none"/>
        </w:rPr>
        <w:instrText xml:space="preserve"> HYPERLINK \l "_Toc5043" </w:instrText>
      </w:r>
      <w:r>
        <w:rPr>
          <w:color w:val="auto"/>
          <w:highlight w:val="none"/>
        </w:rPr>
        <w:fldChar w:fldCharType="separate"/>
      </w:r>
      <w:r>
        <w:rPr>
          <w:rFonts w:hint="eastAsia" w:ascii="宋体" w:hAnsi="宋体" w:cs="宋体"/>
          <w:color w:val="auto"/>
          <w:sz w:val="36"/>
          <w:szCs w:val="36"/>
          <w:highlight w:val="none"/>
        </w:rPr>
        <w:t>第三章  项目需求</w:t>
      </w:r>
      <w:r>
        <w:rPr>
          <w:rFonts w:hint="eastAsia" w:ascii="宋体" w:hAnsi="宋体" w:cs="宋体"/>
          <w:color w:val="auto"/>
          <w:sz w:val="36"/>
          <w:szCs w:val="36"/>
          <w:highlight w:val="none"/>
        </w:rPr>
        <w:fldChar w:fldCharType="end"/>
      </w:r>
    </w:p>
    <w:p w14:paraId="2C856002">
      <w:pPr>
        <w:pStyle w:val="32"/>
        <w:tabs>
          <w:tab w:val="right" w:leader="dot" w:pos="8312"/>
        </w:tabs>
        <w:spacing w:line="360" w:lineRule="auto"/>
        <w:jc w:val="both"/>
        <w:rPr>
          <w:rFonts w:hint="eastAsia" w:ascii="宋体" w:hAnsi="宋体" w:cs="宋体"/>
          <w:color w:val="auto"/>
          <w:sz w:val="36"/>
          <w:szCs w:val="36"/>
          <w:highlight w:val="none"/>
        </w:rPr>
      </w:pPr>
      <w:r>
        <w:rPr>
          <w:color w:val="auto"/>
          <w:highlight w:val="none"/>
        </w:rPr>
        <w:fldChar w:fldCharType="begin"/>
      </w:r>
      <w:r>
        <w:rPr>
          <w:color w:val="auto"/>
          <w:highlight w:val="none"/>
        </w:rPr>
        <w:instrText xml:space="preserve"> HYPERLINK \l "_Toc24193" </w:instrText>
      </w:r>
      <w:r>
        <w:rPr>
          <w:color w:val="auto"/>
          <w:highlight w:val="none"/>
        </w:rPr>
        <w:fldChar w:fldCharType="separate"/>
      </w:r>
      <w:r>
        <w:rPr>
          <w:rFonts w:hint="eastAsia" w:ascii="宋体" w:hAnsi="宋体" w:cs="宋体"/>
          <w:color w:val="auto"/>
          <w:sz w:val="36"/>
          <w:szCs w:val="36"/>
          <w:highlight w:val="none"/>
        </w:rPr>
        <w:t>第四章  开启和评审</w:t>
      </w:r>
      <w:r>
        <w:rPr>
          <w:rFonts w:hint="eastAsia" w:ascii="宋体" w:hAnsi="宋体" w:cs="宋体"/>
          <w:color w:val="auto"/>
          <w:sz w:val="36"/>
          <w:szCs w:val="36"/>
          <w:highlight w:val="none"/>
        </w:rPr>
        <w:fldChar w:fldCharType="end"/>
      </w:r>
    </w:p>
    <w:p w14:paraId="13C0F27D">
      <w:pPr>
        <w:pStyle w:val="32"/>
        <w:tabs>
          <w:tab w:val="right" w:leader="dot" w:pos="8312"/>
        </w:tabs>
        <w:spacing w:line="360" w:lineRule="auto"/>
        <w:jc w:val="both"/>
        <w:rPr>
          <w:rFonts w:hint="eastAsia" w:ascii="宋体" w:hAnsi="宋体" w:cs="宋体"/>
          <w:color w:val="auto"/>
          <w:sz w:val="36"/>
          <w:szCs w:val="36"/>
          <w:highlight w:val="none"/>
        </w:rPr>
      </w:pPr>
      <w:r>
        <w:rPr>
          <w:color w:val="auto"/>
          <w:highlight w:val="none"/>
        </w:rPr>
        <w:fldChar w:fldCharType="begin"/>
      </w:r>
      <w:r>
        <w:rPr>
          <w:color w:val="auto"/>
          <w:highlight w:val="none"/>
        </w:rPr>
        <w:instrText xml:space="preserve"> HYPERLINK \l "_Toc13768" </w:instrText>
      </w:r>
      <w:r>
        <w:rPr>
          <w:color w:val="auto"/>
          <w:highlight w:val="none"/>
        </w:rPr>
        <w:fldChar w:fldCharType="separate"/>
      </w:r>
      <w:r>
        <w:rPr>
          <w:rFonts w:hint="eastAsia" w:ascii="宋体" w:hAnsi="宋体" w:cs="宋体"/>
          <w:color w:val="auto"/>
          <w:sz w:val="36"/>
          <w:szCs w:val="36"/>
          <w:highlight w:val="none"/>
        </w:rPr>
        <w:t>第五章  合同签订与验收付款</w:t>
      </w:r>
      <w:r>
        <w:rPr>
          <w:rFonts w:hint="eastAsia" w:ascii="宋体" w:hAnsi="宋体" w:cs="宋体"/>
          <w:color w:val="auto"/>
          <w:sz w:val="36"/>
          <w:szCs w:val="36"/>
          <w:highlight w:val="none"/>
        </w:rPr>
        <w:fldChar w:fldCharType="end"/>
      </w:r>
    </w:p>
    <w:p w14:paraId="6C235D01">
      <w:pPr>
        <w:pStyle w:val="32"/>
        <w:tabs>
          <w:tab w:val="right" w:leader="dot" w:pos="8312"/>
        </w:tabs>
        <w:spacing w:line="360" w:lineRule="auto"/>
        <w:jc w:val="both"/>
        <w:rPr>
          <w:rFonts w:hint="eastAsia" w:ascii="宋体" w:hAnsi="宋体" w:cs="宋体"/>
          <w:color w:val="auto"/>
          <w:sz w:val="36"/>
          <w:szCs w:val="36"/>
          <w:highlight w:val="none"/>
        </w:rPr>
      </w:pPr>
      <w:r>
        <w:rPr>
          <w:color w:val="auto"/>
          <w:highlight w:val="none"/>
        </w:rPr>
        <w:fldChar w:fldCharType="begin"/>
      </w:r>
      <w:r>
        <w:rPr>
          <w:color w:val="auto"/>
          <w:highlight w:val="none"/>
        </w:rPr>
        <w:instrText xml:space="preserve"> HYPERLINK \l "_Toc21870" </w:instrText>
      </w:r>
      <w:r>
        <w:rPr>
          <w:color w:val="auto"/>
          <w:highlight w:val="none"/>
        </w:rPr>
        <w:fldChar w:fldCharType="separate"/>
      </w:r>
      <w:r>
        <w:rPr>
          <w:rFonts w:hint="eastAsia" w:ascii="宋体" w:hAnsi="宋体" w:cs="宋体"/>
          <w:color w:val="auto"/>
          <w:sz w:val="36"/>
          <w:szCs w:val="36"/>
          <w:highlight w:val="none"/>
        </w:rPr>
        <w:t>第六章  响应文件组成</w:t>
      </w:r>
      <w:r>
        <w:rPr>
          <w:rFonts w:hint="eastAsia" w:ascii="宋体" w:hAnsi="宋体" w:cs="宋体"/>
          <w:color w:val="auto"/>
          <w:sz w:val="36"/>
          <w:szCs w:val="36"/>
          <w:highlight w:val="none"/>
        </w:rPr>
        <w:fldChar w:fldCharType="end"/>
      </w:r>
    </w:p>
    <w:p w14:paraId="23B3E707">
      <w:pPr>
        <w:pStyle w:val="18"/>
        <w:spacing w:line="360" w:lineRule="auto"/>
        <w:ind w:firstLine="0" w:firstLineChars="0"/>
        <w:rPr>
          <w:rFonts w:hint="eastAsia" w:hAnsi="宋体" w:cs="宋体"/>
          <w:color w:val="auto"/>
          <w:sz w:val="36"/>
          <w:szCs w:val="36"/>
          <w:highlight w:val="none"/>
        </w:rPr>
      </w:pPr>
      <w:r>
        <w:rPr>
          <w:rFonts w:hint="eastAsia" w:hAnsi="宋体" w:cs="宋体"/>
          <w:color w:val="auto"/>
          <w:sz w:val="36"/>
          <w:szCs w:val="36"/>
          <w:highlight w:val="none"/>
        </w:rPr>
        <w:fldChar w:fldCharType="end"/>
      </w:r>
    </w:p>
    <w:p w14:paraId="47B2AE2A">
      <w:pPr>
        <w:pStyle w:val="18"/>
        <w:spacing w:line="360" w:lineRule="auto"/>
        <w:ind w:firstLine="747" w:firstLineChars="200"/>
        <w:rPr>
          <w:rFonts w:hint="eastAsia" w:hAnsi="宋体" w:cs="宋体"/>
          <w:color w:val="auto"/>
          <w:sz w:val="36"/>
          <w:szCs w:val="36"/>
          <w:highlight w:val="none"/>
        </w:rPr>
      </w:pPr>
    </w:p>
    <w:p w14:paraId="2CD06B0F">
      <w:pPr>
        <w:pStyle w:val="18"/>
        <w:spacing w:line="360" w:lineRule="auto"/>
        <w:ind w:firstLine="747" w:firstLineChars="200"/>
        <w:rPr>
          <w:rFonts w:hint="eastAsia" w:hAnsi="宋体" w:cs="宋体"/>
          <w:color w:val="auto"/>
          <w:sz w:val="36"/>
          <w:szCs w:val="36"/>
          <w:highlight w:val="none"/>
        </w:rPr>
      </w:pPr>
    </w:p>
    <w:p w14:paraId="52A7E435">
      <w:pPr>
        <w:pStyle w:val="18"/>
        <w:spacing w:line="360" w:lineRule="auto"/>
        <w:ind w:firstLine="747" w:firstLineChars="200"/>
        <w:rPr>
          <w:rFonts w:hint="eastAsia" w:hAnsi="宋体" w:cs="宋体"/>
          <w:color w:val="auto"/>
          <w:sz w:val="36"/>
          <w:szCs w:val="36"/>
          <w:highlight w:val="none"/>
        </w:rPr>
      </w:pPr>
    </w:p>
    <w:p w14:paraId="0DEAA338">
      <w:pPr>
        <w:pStyle w:val="18"/>
        <w:spacing w:line="360" w:lineRule="auto"/>
        <w:ind w:firstLine="747" w:firstLineChars="200"/>
        <w:rPr>
          <w:rFonts w:hint="eastAsia" w:hAnsi="宋体" w:cs="宋体"/>
          <w:color w:val="auto"/>
          <w:sz w:val="36"/>
          <w:szCs w:val="36"/>
          <w:highlight w:val="none"/>
        </w:rPr>
      </w:pPr>
    </w:p>
    <w:p w14:paraId="7D844646">
      <w:pPr>
        <w:pStyle w:val="18"/>
        <w:spacing w:line="360" w:lineRule="auto"/>
        <w:ind w:firstLine="747" w:firstLineChars="200"/>
        <w:rPr>
          <w:rFonts w:hint="eastAsia" w:hAnsi="宋体" w:cs="宋体"/>
          <w:color w:val="auto"/>
          <w:sz w:val="36"/>
          <w:szCs w:val="36"/>
          <w:highlight w:val="none"/>
        </w:rPr>
      </w:pPr>
    </w:p>
    <w:p w14:paraId="5688EEB4">
      <w:pPr>
        <w:pStyle w:val="18"/>
        <w:spacing w:line="360" w:lineRule="auto"/>
        <w:ind w:firstLine="747" w:firstLineChars="200"/>
        <w:rPr>
          <w:rFonts w:hint="eastAsia" w:hAnsi="宋体" w:cs="宋体"/>
          <w:color w:val="auto"/>
          <w:sz w:val="36"/>
          <w:szCs w:val="36"/>
          <w:highlight w:val="none"/>
        </w:rPr>
      </w:pPr>
    </w:p>
    <w:p w14:paraId="5E3A5238">
      <w:pPr>
        <w:pStyle w:val="18"/>
        <w:numPr>
          <w:ilvl w:val="0"/>
          <w:numId w:val="2"/>
        </w:numPr>
        <w:spacing w:line="360" w:lineRule="auto"/>
        <w:ind w:firstLine="506" w:firstLineChars="200"/>
        <w:outlineLvl w:val="0"/>
        <w:rPr>
          <w:rFonts w:hint="eastAsia" w:hAnsi="宋体" w:cs="宋体"/>
          <w:color w:val="auto"/>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p>
    <w:p w14:paraId="7E711E95">
      <w:pPr>
        <w:pStyle w:val="18"/>
        <w:spacing w:line="360" w:lineRule="auto"/>
        <w:ind w:firstLine="0" w:firstLineChars="0"/>
        <w:jc w:val="center"/>
        <w:outlineLvl w:val="0"/>
        <w:rPr>
          <w:rFonts w:hint="eastAsia" w:hAnsi="宋体" w:cs="宋体"/>
          <w:color w:val="auto"/>
          <w:sz w:val="36"/>
          <w:szCs w:val="36"/>
          <w:highlight w:val="none"/>
        </w:rPr>
      </w:pPr>
      <w:r>
        <w:rPr>
          <w:rFonts w:hint="eastAsia" w:hAnsi="宋体" w:cs="宋体"/>
          <w:color w:val="auto"/>
          <w:sz w:val="36"/>
          <w:szCs w:val="36"/>
          <w:highlight w:val="none"/>
        </w:rPr>
        <w:t>第一章  比选公告</w:t>
      </w:r>
    </w:p>
    <w:p w14:paraId="61ED5A2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人民西路38号别墅（崇文楼）修缮保护工程设计采购项目</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u w:val="single"/>
        </w:rPr>
        <w:t>南通市教育局网</w:t>
      </w:r>
      <w:r>
        <w:rPr>
          <w:rFonts w:hint="eastAsia" w:ascii="宋体" w:hAnsi="宋体" w:cs="宋体"/>
          <w:color w:val="auto"/>
          <w:sz w:val="24"/>
          <w:szCs w:val="24"/>
          <w:highlight w:val="none"/>
        </w:rPr>
        <w:t>获取比选文件，并于</w:t>
      </w:r>
      <w:r>
        <w:rPr>
          <w:rFonts w:hint="eastAsia" w:ascii="宋体" w:hAnsi="宋体" w:cs="宋体"/>
          <w:color w:val="auto"/>
          <w:sz w:val="24"/>
          <w:szCs w:val="24"/>
          <w:highlight w:val="none"/>
          <w:u w:val="single"/>
        </w:rPr>
        <w:t>2026年4月</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69A8A904">
      <w:pPr>
        <w:spacing w:line="360" w:lineRule="auto"/>
        <w:ind w:firstLine="482" w:firstLineChars="200"/>
        <w:rPr>
          <w:rFonts w:hint="eastAsia" w:ascii="宋体" w:hAnsi="宋体" w:cs="宋体"/>
          <w:b/>
          <w:bCs/>
          <w:color w:val="auto"/>
          <w:sz w:val="24"/>
          <w:szCs w:val="24"/>
          <w:highlight w:val="none"/>
        </w:rPr>
      </w:pPr>
      <w:bookmarkStart w:id="0" w:name="_Toc28359089"/>
      <w:bookmarkStart w:id="1" w:name="_Toc35393629"/>
      <w:bookmarkStart w:id="2" w:name="_Toc35393798"/>
      <w:bookmarkStart w:id="3" w:name="_Toc28359012"/>
      <w:r>
        <w:rPr>
          <w:rFonts w:hint="eastAsia" w:ascii="宋体" w:hAnsi="宋体" w:cs="宋体"/>
          <w:b/>
          <w:bCs/>
          <w:color w:val="auto"/>
          <w:sz w:val="24"/>
          <w:szCs w:val="24"/>
          <w:highlight w:val="none"/>
        </w:rPr>
        <w:t>一、</w:t>
      </w:r>
      <w:bookmarkEnd w:id="0"/>
      <w:bookmarkEnd w:id="1"/>
      <w:bookmarkEnd w:id="2"/>
      <w:bookmarkEnd w:id="3"/>
      <w:r>
        <w:rPr>
          <w:rFonts w:hint="eastAsia" w:ascii="宋体" w:hAnsi="宋体" w:cs="宋体"/>
          <w:b/>
          <w:bCs/>
          <w:color w:val="auto"/>
          <w:sz w:val="24"/>
          <w:szCs w:val="24"/>
          <w:highlight w:val="none"/>
        </w:rPr>
        <w:t>项目基本信息</w:t>
      </w:r>
    </w:p>
    <w:p w14:paraId="0668DB4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1.项目编号： </w:t>
      </w:r>
      <w:r>
        <w:rPr>
          <w:rFonts w:hint="eastAsia" w:ascii="宋体" w:hAnsi="宋体" w:cs="宋体"/>
          <w:color w:val="auto"/>
          <w:sz w:val="24"/>
          <w:szCs w:val="24"/>
          <w:highlight w:val="none"/>
          <w:lang w:val="en-US" w:eastAsia="zh-CN"/>
        </w:rPr>
        <w:t>20260430</w:t>
      </w:r>
    </w:p>
    <w:p w14:paraId="7FB181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人民西路38号别墅（崇文楼）修缮保护工程设计采购项目</w:t>
      </w:r>
    </w:p>
    <w:p w14:paraId="57CB4A63">
      <w:pPr>
        <w:spacing w:line="360" w:lineRule="auto"/>
        <w:ind w:firstLine="480" w:firstLineChars="200"/>
        <w:rPr>
          <w:rFonts w:hint="eastAsia" w:ascii="宋体" w:hAnsi="宋体" w:cs="宋体"/>
          <w:color w:val="auto"/>
          <w:sz w:val="24"/>
          <w:szCs w:val="24"/>
          <w:highlight w:val="none"/>
        </w:rPr>
      </w:pPr>
      <w:bookmarkStart w:id="4" w:name="_Toc35393799"/>
      <w:bookmarkStart w:id="5" w:name="_Toc35393630"/>
      <w:bookmarkStart w:id="6" w:name="_Toc28359090"/>
      <w:bookmarkStart w:id="7" w:name="_Toc28359013"/>
      <w:r>
        <w:rPr>
          <w:rFonts w:hint="eastAsia" w:ascii="宋体" w:hAnsi="宋体" w:cs="宋体"/>
          <w:color w:val="auto"/>
          <w:sz w:val="24"/>
          <w:szCs w:val="24"/>
          <w:highlight w:val="none"/>
        </w:rPr>
        <w:t>3.采购方式：比选</w:t>
      </w:r>
    </w:p>
    <w:p w14:paraId="4C05AA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4.预算金额：预算为</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万元。</w:t>
      </w:r>
    </w:p>
    <w:p w14:paraId="5209EF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5.最高限价：本项目设计费最高限价为</w:t>
      </w:r>
      <w:r>
        <w:rPr>
          <w:rFonts w:hint="eastAsia" w:ascii="宋体" w:hAnsi="宋体" w:cs="宋体"/>
          <w:color w:val="auto"/>
          <w:sz w:val="24"/>
          <w:szCs w:val="24"/>
          <w:highlight w:val="none"/>
          <w:lang w:val="en-US" w:eastAsia="zh-CN"/>
        </w:rPr>
        <w:t>9万元</w:t>
      </w:r>
      <w:r>
        <w:rPr>
          <w:rFonts w:hint="eastAsia" w:ascii="宋体" w:hAnsi="宋体" w:cs="宋体"/>
          <w:color w:val="auto"/>
          <w:sz w:val="24"/>
          <w:szCs w:val="24"/>
          <w:highlight w:val="none"/>
        </w:rPr>
        <w:t>。</w:t>
      </w:r>
    </w:p>
    <w:p w14:paraId="177E24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6.采购需求：详见比选文件第三章，请仔细研究。</w:t>
      </w:r>
    </w:p>
    <w:p w14:paraId="06C6A7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7.设计周期时间：</w:t>
      </w:r>
    </w:p>
    <w:p w14:paraId="78D82E5A">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）方案设计阶段：</w:t>
      </w:r>
    </w:p>
    <w:p w14:paraId="090470D0">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eastAsia="zh-CN"/>
        </w:rPr>
        <w:t>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日历天内将优化的设计方案及相关材料提交至市文物局等部门进行审核;</w:t>
      </w:r>
    </w:p>
    <w:p w14:paraId="2D422BB4">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南通市文物主管部门出具审核意见后5日历天内完成最终方案设计。</w:t>
      </w:r>
    </w:p>
    <w:p w14:paraId="3FA3421E">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）施工图设计阶段：</w:t>
      </w:r>
    </w:p>
    <w:p w14:paraId="3B759F58">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最终方案通过审核后20日历天内完成施工图设计。</w:t>
      </w:r>
    </w:p>
    <w:p w14:paraId="2D623A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8.本项目（是/否）接受联合体：否。</w:t>
      </w:r>
    </w:p>
    <w:bookmarkEnd w:id="4"/>
    <w:bookmarkEnd w:id="5"/>
    <w:bookmarkEnd w:id="6"/>
    <w:bookmarkEnd w:id="7"/>
    <w:p w14:paraId="7790C7C4">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二、供应商资格要求</w:t>
      </w:r>
    </w:p>
    <w:p w14:paraId="6641AE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bookmarkStart w:id="8" w:name="_Toc35393800"/>
      <w:bookmarkStart w:id="9" w:name="_Toc35393631"/>
      <w:bookmarkStart w:id="10" w:name="_Toc28359091"/>
      <w:bookmarkStart w:id="11" w:name="_Toc28359014"/>
      <w:r>
        <w:rPr>
          <w:rFonts w:hint="eastAsia" w:ascii="宋体" w:hAnsi="宋体" w:cs="宋体"/>
          <w:color w:val="auto"/>
          <w:sz w:val="24"/>
          <w:szCs w:val="24"/>
          <w:highlight w:val="none"/>
        </w:rPr>
        <w:t>满足以下要求，并提供声明函：</w:t>
      </w:r>
    </w:p>
    <w:p w14:paraId="34B1DD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276E26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343907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3F1938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135B5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（5）参加本次采购活动前三年内，在经营活动中没有重大违法记录；</w:t>
      </w:r>
    </w:p>
    <w:p w14:paraId="6C35C4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4ABCD95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2.特定资格要求</w:t>
      </w:r>
    </w:p>
    <w:p w14:paraId="78AB807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（1）供应商须具有</w:t>
      </w:r>
      <w:r>
        <w:rPr>
          <w:rFonts w:hint="eastAsia" w:ascii="宋体" w:hAnsi="宋体" w:eastAsia="宋体" w:cs="宋体"/>
          <w:b/>
          <w:bCs/>
          <w:color w:val="auto"/>
          <w:sz w:val="24"/>
          <w:szCs w:val="24"/>
          <w:highlight w:val="none"/>
          <w:lang w:val="en-US" w:eastAsia="zh-CN"/>
        </w:rPr>
        <w:t>文物保护工程勘察设计乙级及以上资质</w:t>
      </w:r>
      <w:r>
        <w:rPr>
          <w:rFonts w:hint="eastAsia" w:ascii="宋体" w:hAnsi="宋体" w:eastAsia="宋体" w:cs="宋体"/>
          <w:b/>
          <w:bCs/>
          <w:color w:val="auto"/>
          <w:sz w:val="24"/>
          <w:szCs w:val="24"/>
          <w:highlight w:val="none"/>
        </w:rPr>
        <w:t>。</w:t>
      </w:r>
    </w:p>
    <w:p w14:paraId="51E3D03E">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（2）项目负责人须具备建筑设计相关专业高级工程师及以上职称, 须为参选人正式人员并提供</w:t>
      </w:r>
      <w:r>
        <w:rPr>
          <w:rFonts w:hint="eastAsia" w:ascii="宋体" w:hAnsi="宋体" w:eastAsia="宋体" w:cs="宋体"/>
          <w:b/>
          <w:bCs/>
          <w:color w:val="auto"/>
          <w:sz w:val="24"/>
          <w:szCs w:val="24"/>
          <w:highlight w:val="none"/>
          <w:lang w:val="en-US" w:eastAsia="zh-CN"/>
        </w:rPr>
        <w:t>参选人</w:t>
      </w:r>
      <w:r>
        <w:rPr>
          <w:rFonts w:hint="eastAsia" w:ascii="宋体" w:hAnsi="宋体" w:eastAsia="宋体" w:cs="宋体"/>
          <w:b/>
          <w:bCs/>
          <w:color w:val="auto"/>
          <w:sz w:val="24"/>
          <w:szCs w:val="24"/>
          <w:highlight w:val="none"/>
        </w:rPr>
        <w:t>与项目负责人双方签订的有效劳动合同书及社保机构出具的参选人为其缴纳的</w:t>
      </w:r>
      <w:r>
        <w:rPr>
          <w:rFonts w:hint="eastAsia" w:ascii="宋体" w:hAnsi="宋体" w:eastAsia="宋体" w:cs="宋体"/>
          <w:b/>
          <w:bCs/>
          <w:color w:val="auto"/>
          <w:sz w:val="24"/>
          <w:szCs w:val="24"/>
          <w:highlight w:val="none"/>
          <w:lang w:val="en-US" w:eastAsia="zh-CN"/>
        </w:rPr>
        <w:t>2026年1月以来任意一个月</w:t>
      </w:r>
      <w:r>
        <w:rPr>
          <w:rFonts w:hint="eastAsia" w:ascii="宋体" w:hAnsi="宋体" w:eastAsia="宋体" w:cs="宋体"/>
          <w:b/>
          <w:bCs/>
          <w:color w:val="auto"/>
          <w:sz w:val="24"/>
          <w:szCs w:val="24"/>
          <w:highlight w:val="none"/>
        </w:rPr>
        <w:t>的社保缴费证明</w:t>
      </w:r>
      <w:r>
        <w:rPr>
          <w:rFonts w:hint="eastAsia" w:ascii="宋体" w:hAnsi="宋体" w:eastAsia="宋体" w:cs="宋体"/>
          <w:b/>
          <w:bCs/>
          <w:color w:val="auto"/>
          <w:sz w:val="24"/>
          <w:szCs w:val="24"/>
          <w:highlight w:val="none"/>
          <w:lang w:eastAsia="zh-CN"/>
        </w:rPr>
        <w:t>。</w:t>
      </w:r>
    </w:p>
    <w:p w14:paraId="59C3D2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3.未被“信用中国”网站列入失信被执行人、重大税收违法案件当事人名单、采购严重失信行为记录名单。</w:t>
      </w:r>
    </w:p>
    <w:p w14:paraId="7EC5FC1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4.其他要求：</w:t>
      </w:r>
    </w:p>
    <w:p w14:paraId="7E14A2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企业信誉要求：企业未处于被责令停业、投标资格被取消或者财产被接管、冻结和破产状态、没有因骗取中标或者严重违约以及因设计原因发生重大工程质量事故等问题，被有关部门暂停投标资格并在暂停期内。</w:t>
      </w:r>
    </w:p>
    <w:p w14:paraId="30B6976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（2）供应商单位负责人为同一人或者存在直接控股、管理关系的不同供应商，不得参加一标段或者未划分标段的同一采购项目的采购活动。</w:t>
      </w:r>
    </w:p>
    <w:p w14:paraId="3BB926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其他具体资格要求详见“第六章响应文件组成”。</w:t>
      </w:r>
    </w:p>
    <w:p w14:paraId="49022769">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四、获取</w:t>
      </w:r>
      <w:bookmarkEnd w:id="8"/>
      <w:bookmarkEnd w:id="9"/>
      <w:bookmarkEnd w:id="10"/>
      <w:bookmarkEnd w:id="11"/>
      <w:r>
        <w:rPr>
          <w:rFonts w:hint="eastAsia" w:ascii="宋体" w:hAnsi="宋体" w:cs="宋体"/>
          <w:b/>
          <w:bCs/>
          <w:color w:val="auto"/>
          <w:sz w:val="24"/>
          <w:szCs w:val="24"/>
          <w:highlight w:val="none"/>
        </w:rPr>
        <w:t>比选文件</w:t>
      </w:r>
    </w:p>
    <w:p w14:paraId="72AECE9E">
      <w:pPr>
        <w:spacing w:line="360" w:lineRule="auto"/>
        <w:ind w:firstLine="480" w:firstLineChars="200"/>
        <w:rPr>
          <w:rFonts w:hint="eastAsia" w:ascii="宋体" w:hAnsi="宋体" w:cs="宋体"/>
          <w:color w:val="auto"/>
          <w:sz w:val="24"/>
          <w:szCs w:val="24"/>
          <w:highlight w:val="none"/>
        </w:rPr>
      </w:pPr>
      <w:bookmarkStart w:id="12" w:name="_Toc28359092"/>
      <w:bookmarkStart w:id="13" w:name="_Toc35393632"/>
      <w:bookmarkStart w:id="14" w:name="_Toc35393801"/>
      <w:bookmarkStart w:id="15" w:name="_Toc28359015"/>
      <w:r>
        <w:rPr>
          <w:rFonts w:hint="eastAsia" w:ascii="宋体" w:hAnsi="宋体" w:cs="宋体"/>
          <w:color w:val="auto"/>
          <w:sz w:val="24"/>
          <w:szCs w:val="24"/>
          <w:highlight w:val="none"/>
        </w:rPr>
        <w:t>1.时间：自本公告发布之日起至</w:t>
      </w:r>
      <w:r>
        <w:rPr>
          <w:rFonts w:hint="eastAsia" w:ascii="宋体" w:hAnsi="宋体" w:cs="宋体"/>
          <w:color w:val="auto"/>
          <w:sz w:val="24"/>
          <w:szCs w:val="24"/>
          <w:highlight w:val="none"/>
          <w:u w:val="single"/>
        </w:rPr>
        <w:t>2026年4月</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日9点</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0分</w:t>
      </w:r>
    </w:p>
    <w:p w14:paraId="37397D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2.地点：南通市教育局网站自行下载</w:t>
      </w:r>
    </w:p>
    <w:p w14:paraId="339766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3.有关本次采购的事项若存在变动或修改，敬请及时关注“南通市教育局网”发布的信息更正公告，恕不另行通知，如有遗漏采购人概不负责。</w:t>
      </w:r>
    </w:p>
    <w:p w14:paraId="6EA62B2F">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五、响应文件提交</w:t>
      </w:r>
      <w:bookmarkEnd w:id="12"/>
      <w:bookmarkEnd w:id="13"/>
      <w:bookmarkEnd w:id="14"/>
      <w:bookmarkEnd w:id="15"/>
    </w:p>
    <w:p w14:paraId="77D38AE1">
      <w:pPr>
        <w:spacing w:line="360" w:lineRule="auto"/>
        <w:ind w:firstLine="480" w:firstLineChars="200"/>
        <w:rPr>
          <w:rFonts w:hint="eastAsia" w:ascii="宋体" w:hAnsi="宋体" w:cs="宋体"/>
          <w:color w:val="auto"/>
          <w:sz w:val="24"/>
          <w:szCs w:val="24"/>
          <w:highlight w:val="none"/>
        </w:rPr>
      </w:pPr>
      <w:bookmarkStart w:id="16" w:name="_Toc28359093"/>
      <w:bookmarkStart w:id="17" w:name="_Toc35393633"/>
      <w:bookmarkStart w:id="18" w:name="_Toc28359016"/>
      <w:bookmarkStart w:id="19" w:name="_Toc35393802"/>
      <w:r>
        <w:rPr>
          <w:rFonts w:hint="eastAsia" w:ascii="宋体" w:hAnsi="宋体" w:cs="宋体"/>
          <w:color w:val="auto"/>
          <w:sz w:val="24"/>
          <w:szCs w:val="24"/>
          <w:highlight w:val="none"/>
        </w:rPr>
        <w:t>响应文件接收截止时间：</w:t>
      </w:r>
      <w:r>
        <w:rPr>
          <w:rFonts w:hint="eastAsia" w:ascii="宋体" w:hAnsi="宋体" w:cs="宋体"/>
          <w:b/>
          <w:bCs/>
          <w:color w:val="auto"/>
          <w:sz w:val="24"/>
          <w:szCs w:val="24"/>
          <w:highlight w:val="none"/>
        </w:rPr>
        <w:t>2026年4月</w:t>
      </w:r>
      <w:r>
        <w:rPr>
          <w:rFonts w:hint="eastAsia" w:ascii="宋体" w:hAnsi="宋体" w:cs="宋体"/>
          <w:b/>
          <w:bCs/>
          <w:color w:val="auto"/>
          <w:sz w:val="24"/>
          <w:szCs w:val="24"/>
          <w:highlight w:val="none"/>
          <w:lang w:val="en-US" w:eastAsia="zh-CN"/>
        </w:rPr>
        <w:t>30</w:t>
      </w:r>
      <w:bookmarkStart w:id="44" w:name="_GoBack"/>
      <w:bookmarkEnd w:id="44"/>
      <w:r>
        <w:rPr>
          <w:rFonts w:hint="eastAsia" w:ascii="宋体" w:hAnsi="宋体" w:cs="宋体"/>
          <w:b/>
          <w:bCs/>
          <w:color w:val="auto"/>
          <w:sz w:val="24"/>
          <w:szCs w:val="24"/>
          <w:highlight w:val="none"/>
        </w:rPr>
        <w:t>日09时</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0分（北京时间），</w:t>
      </w:r>
      <w:r>
        <w:rPr>
          <w:rFonts w:hint="eastAsia" w:ascii="宋体" w:hAnsi="宋体" w:cs="宋体"/>
          <w:color w:val="auto"/>
          <w:sz w:val="24"/>
          <w:szCs w:val="24"/>
          <w:highlight w:val="none"/>
        </w:rPr>
        <w:t>逾时拒绝接收响应文件。</w:t>
      </w:r>
    </w:p>
    <w:p w14:paraId="0DDC92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b/>
          <w:bCs/>
          <w:color w:val="auto"/>
          <w:sz w:val="24"/>
          <w:szCs w:val="24"/>
          <w:highlight w:val="none"/>
        </w:rPr>
        <w:t>崇川区人民西路38号江苏省南通第一中学俯仰楼122会议室，如有变动另行通知。</w:t>
      </w:r>
    </w:p>
    <w:p w14:paraId="4222BD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3.提交方式：现场纸质提交。</w:t>
      </w:r>
    </w:p>
    <w:p w14:paraId="20755982">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w:t>
      </w:r>
      <w:bookmarkEnd w:id="16"/>
      <w:bookmarkEnd w:id="17"/>
      <w:bookmarkEnd w:id="18"/>
      <w:bookmarkEnd w:id="19"/>
      <w:r>
        <w:rPr>
          <w:rFonts w:hint="eastAsia" w:ascii="宋体" w:hAnsi="宋体" w:cs="宋体"/>
          <w:b/>
          <w:bCs/>
          <w:color w:val="auto"/>
          <w:sz w:val="24"/>
          <w:szCs w:val="24"/>
          <w:highlight w:val="none"/>
        </w:rPr>
        <w:t>响应文件开启</w:t>
      </w:r>
    </w:p>
    <w:p w14:paraId="50F7A1E6">
      <w:pPr>
        <w:spacing w:line="360" w:lineRule="auto"/>
        <w:ind w:firstLine="480" w:firstLineChars="200"/>
        <w:rPr>
          <w:rFonts w:hint="eastAsia" w:ascii="宋体" w:hAnsi="宋体" w:cs="宋体"/>
          <w:color w:val="auto"/>
          <w:sz w:val="24"/>
          <w:szCs w:val="24"/>
          <w:highlight w:val="none"/>
        </w:rPr>
      </w:pPr>
      <w:bookmarkStart w:id="20" w:name="_Toc28359094"/>
      <w:bookmarkStart w:id="21" w:name="_Toc35393803"/>
      <w:bookmarkStart w:id="22" w:name="_Toc28359017"/>
      <w:bookmarkStart w:id="23" w:name="_Toc35393634"/>
      <w:r>
        <w:rPr>
          <w:rFonts w:hint="eastAsia" w:ascii="宋体" w:hAnsi="宋体" w:cs="宋体"/>
          <w:color w:val="auto"/>
          <w:sz w:val="24"/>
          <w:szCs w:val="24"/>
          <w:highlight w:val="none"/>
        </w:rPr>
        <w:t>截止时间：</w:t>
      </w:r>
      <w:r>
        <w:rPr>
          <w:rFonts w:hint="eastAsia" w:ascii="宋体" w:hAnsi="宋体" w:cs="宋体"/>
          <w:b/>
          <w:bCs/>
          <w:color w:val="auto"/>
          <w:sz w:val="24"/>
          <w:szCs w:val="24"/>
          <w:highlight w:val="none"/>
        </w:rPr>
        <w:t>2026年4月</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日9点</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0分（北京时间）。</w:t>
      </w:r>
    </w:p>
    <w:p w14:paraId="470ACDF2">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b/>
          <w:bCs/>
          <w:color w:val="auto"/>
          <w:sz w:val="24"/>
          <w:szCs w:val="24"/>
          <w:highlight w:val="none"/>
        </w:rPr>
        <w:t>崇川区人民西路38号江苏省南通第一中学俯仰楼122会议室，如有变动另行通知。</w:t>
      </w:r>
    </w:p>
    <w:p w14:paraId="048B8B2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七、比选公告期限</w:t>
      </w:r>
      <w:bookmarkEnd w:id="20"/>
      <w:bookmarkEnd w:id="21"/>
      <w:bookmarkEnd w:id="22"/>
      <w:bookmarkEnd w:id="23"/>
    </w:p>
    <w:p w14:paraId="7865AFD4">
      <w:pPr>
        <w:spacing w:line="360" w:lineRule="auto"/>
        <w:ind w:firstLine="480" w:firstLineChars="200"/>
        <w:rPr>
          <w:rFonts w:hint="eastAsia" w:ascii="宋体" w:hAnsi="宋体" w:cs="宋体"/>
          <w:color w:val="auto"/>
          <w:sz w:val="24"/>
          <w:szCs w:val="24"/>
          <w:highlight w:val="none"/>
        </w:rPr>
      </w:pPr>
      <w:bookmarkStart w:id="24" w:name="_Toc35393635"/>
      <w:bookmarkStart w:id="25" w:name="_Toc35393804"/>
      <w:r>
        <w:rPr>
          <w:rFonts w:hint="eastAsia" w:ascii="宋体" w:hAnsi="宋体" w:cs="宋体"/>
          <w:color w:val="auto"/>
          <w:sz w:val="24"/>
          <w:szCs w:val="24"/>
          <w:highlight w:val="none"/>
        </w:rPr>
        <w:t>自比选公告发布之日起3个工作日。</w:t>
      </w:r>
    </w:p>
    <w:p w14:paraId="70174A5B">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w:t>
      </w:r>
      <w:bookmarkEnd w:id="24"/>
      <w:bookmarkEnd w:id="25"/>
      <w:bookmarkStart w:id="26" w:name="_Toc28359018"/>
      <w:bookmarkStart w:id="27" w:name="_Toc35393636"/>
      <w:bookmarkStart w:id="28" w:name="_Toc28359095"/>
      <w:bookmarkStart w:id="29" w:name="_Toc35393805"/>
      <w:r>
        <w:rPr>
          <w:rFonts w:hint="eastAsia" w:ascii="宋体" w:hAnsi="宋体" w:cs="宋体"/>
          <w:b/>
          <w:bCs/>
          <w:color w:val="auto"/>
          <w:sz w:val="24"/>
          <w:szCs w:val="24"/>
          <w:highlight w:val="none"/>
        </w:rPr>
        <w:t>凡对本次采购提出询问，请按以下方式联系。</w:t>
      </w:r>
      <w:bookmarkEnd w:id="26"/>
      <w:bookmarkEnd w:id="27"/>
      <w:bookmarkEnd w:id="28"/>
      <w:bookmarkEnd w:id="29"/>
    </w:p>
    <w:p w14:paraId="4D3562E3">
      <w:pPr>
        <w:snapToGrid w:val="0"/>
        <w:spacing w:line="360" w:lineRule="auto"/>
        <w:ind w:firstLine="480" w:firstLineChars="200"/>
        <w:rPr>
          <w:rFonts w:hint="eastAsia" w:ascii="宋体" w:hAnsi="宋体" w:cs="宋体"/>
          <w:color w:val="auto"/>
          <w:sz w:val="24"/>
          <w:szCs w:val="24"/>
          <w:highlight w:val="none"/>
        </w:rPr>
      </w:pPr>
      <w:bookmarkStart w:id="30" w:name="_Toc18907"/>
      <w:r>
        <w:rPr>
          <w:rFonts w:hint="eastAsia" w:ascii="宋体" w:hAnsi="宋体" w:cs="宋体"/>
          <w:color w:val="auto"/>
          <w:sz w:val="24"/>
          <w:szCs w:val="24"/>
          <w:highlight w:val="none"/>
        </w:rPr>
        <w:t>名称：江苏省南通第一中学</w:t>
      </w:r>
    </w:p>
    <w:p w14:paraId="542F397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地址：南通市崇川区人民西路38号</w:t>
      </w:r>
    </w:p>
    <w:p w14:paraId="141F72D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唐</w:t>
      </w:r>
      <w:r>
        <w:rPr>
          <w:rFonts w:hint="eastAsia" w:ascii="宋体" w:hAnsi="宋体" w:cs="宋体"/>
          <w:color w:val="auto"/>
          <w:sz w:val="24"/>
          <w:szCs w:val="24"/>
          <w:highlight w:val="none"/>
        </w:rPr>
        <w:t>老师</w:t>
      </w:r>
    </w:p>
    <w:p w14:paraId="1585437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联系方式：0513-8505824</w:t>
      </w:r>
      <w:r>
        <w:rPr>
          <w:rFonts w:hint="eastAsia" w:ascii="宋体" w:hAnsi="宋体" w:cs="宋体"/>
          <w:color w:val="auto"/>
          <w:sz w:val="24"/>
          <w:szCs w:val="24"/>
          <w:highlight w:val="none"/>
          <w:lang w:val="en-US" w:eastAsia="zh-CN"/>
        </w:rPr>
        <w:t>1</w:t>
      </w:r>
    </w:p>
    <w:p w14:paraId="44405C96">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42CCE6A">
      <w:pPr>
        <w:pStyle w:val="18"/>
        <w:spacing w:line="360" w:lineRule="auto"/>
        <w:ind w:firstLine="0" w:firstLineChars="0"/>
        <w:jc w:val="center"/>
        <w:outlineLvl w:val="0"/>
        <w:rPr>
          <w:rFonts w:hint="eastAsia" w:hAnsi="宋体" w:cs="宋体"/>
          <w:color w:val="auto"/>
          <w:sz w:val="36"/>
          <w:szCs w:val="36"/>
          <w:highlight w:val="none"/>
        </w:rPr>
      </w:pPr>
      <w:r>
        <w:rPr>
          <w:rFonts w:hint="eastAsia" w:hAnsi="宋体" w:cs="宋体"/>
          <w:color w:val="auto"/>
          <w:sz w:val="36"/>
          <w:szCs w:val="36"/>
          <w:highlight w:val="none"/>
        </w:rPr>
        <w:t>第二章  比选须知</w:t>
      </w:r>
      <w:bookmarkEnd w:id="30"/>
    </w:p>
    <w:p w14:paraId="75F7B63C">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一、比选文件由采购人解释</w:t>
      </w:r>
      <w:r>
        <w:rPr>
          <w:rFonts w:hint="eastAsia" w:ascii="宋体" w:hAnsi="宋体" w:cs="宋体"/>
          <w:color w:val="auto"/>
          <w:sz w:val="24"/>
          <w:szCs w:val="24"/>
          <w:highlight w:val="none"/>
        </w:rPr>
        <w:t>。</w:t>
      </w:r>
    </w:p>
    <w:p w14:paraId="3B17143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二、比选文件的澄清、修改、答疑</w:t>
      </w:r>
    </w:p>
    <w:p w14:paraId="36C69C8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1.采购人有权对发出的比选文件进行必要的澄清或修改。</w:t>
      </w:r>
    </w:p>
    <w:p w14:paraId="7C70BC4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2.采购人可视情取消、延长相关时间。</w:t>
      </w:r>
    </w:p>
    <w:p w14:paraId="0BF35DE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3.采购人对比选文件的澄清、修改将构成比选文件的一部分，对供应商具有约束力。</w:t>
      </w:r>
    </w:p>
    <w:p w14:paraId="1265979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4.供应商由于对比选文件的任何推论和误解以及采购人对有关问题的口头解释所造成的后果，均由供应商自负。</w:t>
      </w:r>
    </w:p>
    <w:p w14:paraId="5E74882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5.采购人视情组织答疑会。</w:t>
      </w:r>
    </w:p>
    <w:p w14:paraId="3798A214">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三、响应报价</w:t>
      </w:r>
    </w:p>
    <w:p w14:paraId="758EA58A">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一个标的只允许一个报价，不接受任何有选择性的报价。</w:t>
      </w:r>
      <w:r>
        <w:rPr>
          <w:rFonts w:hint="eastAsia" w:ascii="宋体" w:hAnsi="宋体" w:cs="宋体"/>
          <w:b/>
          <w:bCs/>
          <w:color w:val="auto"/>
          <w:sz w:val="24"/>
          <w:szCs w:val="24"/>
          <w:highlight w:val="none"/>
        </w:rPr>
        <w:t>本项目仅一次报价。</w:t>
      </w:r>
    </w:p>
    <w:p w14:paraId="2D9174D6">
      <w:pPr>
        <w:spacing w:line="360" w:lineRule="auto"/>
        <w:ind w:firstLine="482"/>
        <w:rPr>
          <w:rFonts w:cs="宋体"/>
          <w:b/>
          <w:color w:val="auto"/>
          <w:sz w:val="24"/>
          <w:szCs w:val="24"/>
          <w:highlight w:val="none"/>
        </w:rPr>
      </w:pPr>
      <w:r>
        <w:rPr>
          <w:rFonts w:hint="eastAsia" w:cs="宋体"/>
          <w:b/>
          <w:color w:val="auto"/>
          <w:sz w:val="24"/>
          <w:szCs w:val="24"/>
          <w:highlight w:val="none"/>
        </w:rPr>
        <w:t>四、响应文件的编制及装订</w:t>
      </w:r>
    </w:p>
    <w:p w14:paraId="22319129">
      <w:pPr>
        <w:spacing w:line="360" w:lineRule="auto"/>
        <w:ind w:firstLine="485"/>
        <w:rPr>
          <w:rFonts w:cs="宋体"/>
          <w:color w:val="auto"/>
          <w:sz w:val="24"/>
          <w:szCs w:val="24"/>
          <w:highlight w:val="none"/>
        </w:rPr>
      </w:pPr>
      <w:r>
        <w:rPr>
          <w:rFonts w:hint="eastAsia" w:cs="宋体"/>
          <w:color w:val="auto"/>
          <w:sz w:val="24"/>
          <w:szCs w:val="24"/>
          <w:highlight w:val="none"/>
        </w:rPr>
        <w:t>供应商按比选文件要求编写响应文件，并装订成册。响应文件不得行间插字、涂改、增删，如修改错漏处，须经响应文件签署人签字并加盖公章。</w:t>
      </w:r>
    </w:p>
    <w:p w14:paraId="7C719BE3">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五、响应文件的份数和签署</w:t>
      </w:r>
    </w:p>
    <w:p w14:paraId="0C17B10F">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1.响应文件由：①资格后审材料文件、②商务技术标响应文件、③价格标响应文件、④电子响应文件，共4部分组成（以下由文件序号代称）。</w:t>
      </w:r>
    </w:p>
    <w:p w14:paraId="2C32FE60">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2.纸质响应文件①、②、③均为一式三份，其中“正本”一份和“副本”两份。</w:t>
      </w:r>
    </w:p>
    <w:p w14:paraId="3B5568B7">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电子响应文件一份，电子响应文件的内容为“资格后审材料文件、商务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4.在每份响应文件上要明确标注项目名称、对应的响应文件名称、供应商的全称、日期、“正本”“副本”字样。“正本”和“副本”若有差异，概以“正本”为准。</w:t>
      </w:r>
    </w:p>
    <w:p w14:paraId="2D90C180">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5.纸质响应文件中的所有“正本”，其正文内容须按比选文件要求由供应商法定代表人或被授权人签字（或盖章）并加盖单位公章。“副本”可复印，但须加盖单位公章。</w:t>
      </w:r>
    </w:p>
    <w:p w14:paraId="255C0AD1">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六、响应文件的密封及标记</w:t>
      </w:r>
    </w:p>
    <w:p w14:paraId="5717BA0F">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1.供应商须将本项目响应文件：①、</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2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、③、④</w:t>
      </w:r>
      <w:r>
        <w:rPr>
          <w:rFonts w:hint="eastAsia" w:ascii="宋体" w:hAnsi="宋体" w:cs="宋体"/>
          <w:b/>
          <w:bCs/>
          <w:color w:val="auto"/>
          <w:sz w:val="24"/>
          <w:szCs w:val="24"/>
          <w:highlight w:val="none"/>
        </w:rPr>
        <w:t>单独密封。</w:t>
      </w:r>
      <w:r>
        <w:rPr>
          <w:rFonts w:hint="eastAsia" w:ascii="宋体" w:hAnsi="宋体" w:cs="宋体"/>
          <w:color w:val="auto"/>
          <w:sz w:val="24"/>
          <w:szCs w:val="24"/>
          <w:highlight w:val="none"/>
        </w:rPr>
        <w:t>供应商应将商务技术标正本、副本及图纸类等（如需提供图纸等其它资料的话）合并密封，统一装在一个密封袋或密封箱内（如有A3大小的图纸类，可单独密封）。</w:t>
      </w:r>
    </w:p>
    <w:p w14:paraId="4449ABE3">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2.密封后，应在每一密封的响应文件上明确标注采购项目名称、标段号（如有）、响应文件各自对应的名称、供应商的全称及日期。</w:t>
      </w:r>
    </w:p>
    <w:p w14:paraId="59540685">
      <w:pPr>
        <w:snapToGrid w:val="0"/>
        <w:spacing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3.在边缝处加盖供应商公章或骑缝签字。</w:t>
      </w:r>
    </w:p>
    <w:p w14:paraId="078AFB1B">
      <w:pPr>
        <w:snapToGrid w:val="0"/>
        <w:spacing w:line="360" w:lineRule="auto"/>
        <w:ind w:firstLine="482" w:firstLineChars="200"/>
        <w:contextualSpacing/>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【特别提醒】响应文件中的</w:t>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 1 \* GB3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①</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和</w:t>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 2 \* GB3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②</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的“正本”或“副本”中，均不得含有报价响应文件中报价表（报价单）内的任何项目价格，否则作无效响应处理。</w:t>
      </w:r>
    </w:p>
    <w:p w14:paraId="44E99F5B">
      <w:pPr>
        <w:spacing w:line="360" w:lineRule="auto"/>
        <w:ind w:firstLine="482"/>
        <w:contextualSpacing/>
        <w:rPr>
          <w:b/>
          <w:bCs/>
          <w:color w:val="auto"/>
          <w:sz w:val="24"/>
          <w:szCs w:val="24"/>
          <w:highlight w:val="none"/>
        </w:rPr>
      </w:pPr>
      <w:r>
        <w:rPr>
          <w:rFonts w:hint="eastAsia" w:ascii="宋体" w:hAnsi="宋体" w:cs="宋体"/>
          <w:b/>
          <w:color w:val="auto"/>
          <w:sz w:val="24"/>
          <w:szCs w:val="24"/>
          <w:highlight w:val="none"/>
        </w:rPr>
        <w:t>七、</w:t>
      </w:r>
      <w:r>
        <w:rPr>
          <w:rFonts w:hint="eastAsia"/>
          <w:b/>
          <w:bCs/>
          <w:color w:val="auto"/>
          <w:sz w:val="24"/>
          <w:szCs w:val="24"/>
          <w:highlight w:val="none"/>
        </w:rPr>
        <w:t>响应</w:t>
      </w:r>
      <w:r>
        <w:rPr>
          <w:b/>
          <w:bCs/>
          <w:color w:val="auto"/>
          <w:sz w:val="24"/>
          <w:szCs w:val="24"/>
          <w:highlight w:val="none"/>
        </w:rPr>
        <w:t>文件的有效期</w:t>
      </w:r>
    </w:p>
    <w:p w14:paraId="52692EF5">
      <w:pPr>
        <w:spacing w:line="360" w:lineRule="auto"/>
        <w:ind w:firstLine="480"/>
        <w:contextualSpacing/>
        <w:rPr>
          <w:color w:val="auto"/>
          <w:sz w:val="24"/>
          <w:szCs w:val="24"/>
          <w:highlight w:val="none"/>
        </w:rPr>
      </w:pPr>
      <w:r>
        <w:rPr>
          <w:color w:val="auto"/>
          <w:sz w:val="24"/>
          <w:szCs w:val="24"/>
          <w:highlight w:val="none"/>
        </w:rPr>
        <w:t>1</w:t>
      </w:r>
      <w:r>
        <w:rPr>
          <w:rFonts w:hint="eastAsia"/>
          <w:color w:val="auto"/>
          <w:sz w:val="24"/>
          <w:szCs w:val="24"/>
          <w:highlight w:val="none"/>
        </w:rPr>
        <w:t>.</w:t>
      </w:r>
      <w:r>
        <w:rPr>
          <w:color w:val="auto"/>
          <w:sz w:val="24"/>
          <w:szCs w:val="24"/>
          <w:highlight w:val="none"/>
        </w:rPr>
        <w:t>从</w:t>
      </w:r>
      <w:r>
        <w:rPr>
          <w:rFonts w:hint="eastAsia"/>
          <w:color w:val="auto"/>
          <w:sz w:val="24"/>
          <w:szCs w:val="24"/>
          <w:highlight w:val="none"/>
        </w:rPr>
        <w:t>响应</w:t>
      </w:r>
      <w:r>
        <w:rPr>
          <w:color w:val="auto"/>
          <w:sz w:val="24"/>
          <w:szCs w:val="24"/>
          <w:highlight w:val="none"/>
        </w:rPr>
        <w:t>文件接收截止之日起</w:t>
      </w:r>
      <w:r>
        <w:rPr>
          <w:rFonts w:hint="eastAsia"/>
          <w:color w:val="auto"/>
          <w:sz w:val="24"/>
          <w:szCs w:val="24"/>
          <w:highlight w:val="none"/>
        </w:rPr>
        <w:t>算</w:t>
      </w:r>
      <w:r>
        <w:rPr>
          <w:color w:val="auto"/>
          <w:sz w:val="24"/>
          <w:szCs w:val="24"/>
          <w:highlight w:val="none"/>
        </w:rPr>
        <w:t>，</w:t>
      </w:r>
      <w:r>
        <w:rPr>
          <w:rFonts w:hint="eastAsia"/>
          <w:color w:val="auto"/>
          <w:sz w:val="24"/>
          <w:szCs w:val="24"/>
          <w:highlight w:val="none"/>
          <w:u w:val="single"/>
        </w:rPr>
        <w:t>60</w:t>
      </w:r>
      <w:r>
        <w:rPr>
          <w:color w:val="auto"/>
          <w:sz w:val="24"/>
          <w:szCs w:val="24"/>
          <w:highlight w:val="none"/>
        </w:rPr>
        <w:t>个日历天内</w:t>
      </w:r>
      <w:r>
        <w:rPr>
          <w:rFonts w:hint="eastAsia"/>
          <w:color w:val="auto"/>
          <w:sz w:val="24"/>
          <w:szCs w:val="24"/>
          <w:highlight w:val="none"/>
        </w:rPr>
        <w:t>响应文件</w:t>
      </w:r>
      <w:r>
        <w:rPr>
          <w:color w:val="auto"/>
          <w:sz w:val="24"/>
          <w:szCs w:val="24"/>
          <w:highlight w:val="none"/>
        </w:rPr>
        <w:t>应保持有效。</w:t>
      </w:r>
      <w:r>
        <w:rPr>
          <w:rFonts w:hint="eastAsia"/>
          <w:color w:val="auto"/>
          <w:sz w:val="24"/>
          <w:szCs w:val="24"/>
          <w:highlight w:val="none"/>
        </w:rPr>
        <w:t>响应文件中承诺的响应文件有效期应当不少于比选文件中载明的响应文件有效期</w:t>
      </w:r>
      <w:r>
        <w:rPr>
          <w:color w:val="auto"/>
          <w:sz w:val="24"/>
          <w:szCs w:val="24"/>
          <w:highlight w:val="none"/>
        </w:rPr>
        <w:t>。</w:t>
      </w:r>
    </w:p>
    <w:p w14:paraId="447DB3C2">
      <w:pPr>
        <w:spacing w:line="360" w:lineRule="auto"/>
        <w:ind w:firstLine="480"/>
        <w:contextualSpacing/>
        <w:rPr>
          <w:color w:val="auto"/>
          <w:sz w:val="24"/>
          <w:szCs w:val="24"/>
          <w:highlight w:val="none"/>
        </w:rPr>
      </w:pPr>
      <w:r>
        <w:rPr>
          <w:color w:val="auto"/>
          <w:sz w:val="24"/>
          <w:szCs w:val="24"/>
          <w:highlight w:val="none"/>
        </w:rPr>
        <w:t>2</w:t>
      </w:r>
      <w:r>
        <w:rPr>
          <w:rFonts w:hint="eastAsia"/>
          <w:color w:val="auto"/>
          <w:sz w:val="24"/>
          <w:szCs w:val="24"/>
          <w:highlight w:val="none"/>
        </w:rPr>
        <w:t>.</w:t>
      </w:r>
      <w:r>
        <w:rPr>
          <w:color w:val="auto"/>
          <w:sz w:val="24"/>
          <w:szCs w:val="24"/>
          <w:highlight w:val="none"/>
        </w:rPr>
        <w:t>在特殊情况下，</w:t>
      </w:r>
      <w:r>
        <w:rPr>
          <w:rFonts w:hint="eastAsia"/>
          <w:color w:val="auto"/>
          <w:sz w:val="24"/>
          <w:szCs w:val="24"/>
          <w:highlight w:val="none"/>
        </w:rPr>
        <w:t>采购人</w:t>
      </w:r>
      <w:r>
        <w:rPr>
          <w:color w:val="auto"/>
          <w:sz w:val="24"/>
          <w:szCs w:val="24"/>
          <w:highlight w:val="none"/>
        </w:rPr>
        <w:t>可与供应商协商延长</w:t>
      </w:r>
      <w:r>
        <w:rPr>
          <w:rFonts w:hint="eastAsia"/>
          <w:color w:val="auto"/>
          <w:sz w:val="24"/>
          <w:szCs w:val="24"/>
          <w:highlight w:val="none"/>
        </w:rPr>
        <w:t>响应文件</w:t>
      </w:r>
      <w:r>
        <w:rPr>
          <w:color w:val="auto"/>
          <w:sz w:val="24"/>
          <w:szCs w:val="24"/>
          <w:highlight w:val="none"/>
        </w:rPr>
        <w:t>的有效期。这种要求和答复都应以书面、传真</w:t>
      </w:r>
      <w:r>
        <w:rPr>
          <w:rFonts w:hint="eastAsia"/>
          <w:color w:val="auto"/>
          <w:sz w:val="24"/>
          <w:szCs w:val="24"/>
          <w:highlight w:val="none"/>
        </w:rPr>
        <w:t>或</w:t>
      </w:r>
      <w:r>
        <w:rPr>
          <w:color w:val="auto"/>
          <w:sz w:val="24"/>
          <w:szCs w:val="24"/>
          <w:highlight w:val="none"/>
        </w:rPr>
        <w:t>电报的形式进行。</w:t>
      </w:r>
      <w:r>
        <w:rPr>
          <w:rFonts w:hint="eastAsia"/>
          <w:color w:val="auto"/>
          <w:sz w:val="24"/>
          <w:szCs w:val="24"/>
          <w:highlight w:val="none"/>
        </w:rPr>
        <w:t>同意延长响应文件有效期的供应商既不能要求也不允许修改其响应文件，同时受响应文件有效期约束的所有权利与义务均延长至新的有效期。供应商可以拒绝采购人的这一要求而放弃响应。</w:t>
      </w:r>
    </w:p>
    <w:p w14:paraId="28D7F7D7">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八、响应文件及相关费用</w:t>
      </w:r>
    </w:p>
    <w:p w14:paraId="02878CD3">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zh-CN"/>
        </w:rPr>
        <w:t>无论</w:t>
      </w:r>
      <w:r>
        <w:rPr>
          <w:rFonts w:hint="eastAsia" w:ascii="宋体" w:hAnsi="宋体" w:cs="宋体"/>
          <w:color w:val="auto"/>
          <w:kern w:val="0"/>
          <w:sz w:val="24"/>
          <w:szCs w:val="24"/>
          <w:highlight w:val="none"/>
        </w:rPr>
        <w:t>比选</w:t>
      </w:r>
      <w:r>
        <w:rPr>
          <w:rFonts w:hint="eastAsia" w:ascii="宋体" w:hAnsi="宋体" w:cs="宋体"/>
          <w:color w:val="auto"/>
          <w:kern w:val="0"/>
          <w:sz w:val="24"/>
          <w:szCs w:val="24"/>
          <w:highlight w:val="none"/>
          <w:lang w:val="zh-CN"/>
        </w:rPr>
        <w:t>过程和结果如何，参加</w:t>
      </w:r>
      <w:r>
        <w:rPr>
          <w:rFonts w:hint="eastAsia" w:ascii="宋体" w:hAnsi="宋体" w:cs="宋体"/>
          <w:color w:val="auto"/>
          <w:kern w:val="0"/>
          <w:sz w:val="24"/>
          <w:szCs w:val="24"/>
          <w:highlight w:val="none"/>
        </w:rPr>
        <w:t>比选</w:t>
      </w:r>
      <w:r>
        <w:rPr>
          <w:rFonts w:hint="eastAsia" w:ascii="宋体" w:hAnsi="宋体" w:cs="宋体"/>
          <w:color w:val="auto"/>
          <w:kern w:val="0"/>
          <w:sz w:val="24"/>
          <w:szCs w:val="24"/>
          <w:highlight w:val="none"/>
          <w:lang w:val="zh-CN"/>
        </w:rPr>
        <w:t>的响应</w:t>
      </w: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lang w:val="zh-CN"/>
        </w:rPr>
        <w:t>自行承担与本次项目有关的全部费用。</w:t>
      </w:r>
    </w:p>
    <w:p w14:paraId="51D36C8D">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2.比选</w:t>
      </w:r>
      <w:r>
        <w:rPr>
          <w:rFonts w:hint="eastAsia" w:ascii="宋体" w:hAnsi="宋体" w:cs="宋体"/>
          <w:color w:val="auto"/>
          <w:kern w:val="0"/>
          <w:sz w:val="24"/>
          <w:szCs w:val="24"/>
          <w:highlight w:val="none"/>
          <w:lang w:val="zh-CN"/>
        </w:rPr>
        <w:t>文件未列明，而</w:t>
      </w:r>
      <w:r>
        <w:rPr>
          <w:rFonts w:hint="eastAsia" w:ascii="宋体" w:hAnsi="宋体" w:cs="宋体"/>
          <w:color w:val="auto"/>
          <w:kern w:val="0"/>
          <w:sz w:val="24"/>
          <w:szCs w:val="24"/>
          <w:highlight w:val="none"/>
        </w:rPr>
        <w:t>响应</w:t>
      </w:r>
      <w:r>
        <w:rPr>
          <w:rFonts w:hint="eastAsia" w:ascii="宋体" w:hAnsi="宋体" w:cs="宋体"/>
          <w:color w:val="auto"/>
          <w:kern w:val="0"/>
          <w:sz w:val="24"/>
          <w:szCs w:val="24"/>
          <w:highlight w:val="none"/>
          <w:lang w:val="zh-CN"/>
        </w:rPr>
        <w:t>供应商认为必需的费用也需</w:t>
      </w:r>
      <w:r>
        <w:rPr>
          <w:rFonts w:hint="eastAsia" w:ascii="宋体" w:hAnsi="宋体" w:cs="宋体"/>
          <w:color w:val="auto"/>
          <w:kern w:val="0"/>
          <w:sz w:val="24"/>
          <w:szCs w:val="24"/>
          <w:highlight w:val="none"/>
        </w:rPr>
        <w:t>考虑进</w:t>
      </w:r>
      <w:r>
        <w:rPr>
          <w:rFonts w:hint="eastAsia" w:ascii="宋体" w:hAnsi="宋体" w:cs="宋体"/>
          <w:color w:val="auto"/>
          <w:kern w:val="0"/>
          <w:sz w:val="24"/>
          <w:szCs w:val="24"/>
          <w:highlight w:val="none"/>
          <w:lang w:val="zh-CN"/>
        </w:rPr>
        <w:t>报价（</w:t>
      </w:r>
      <w:r>
        <w:rPr>
          <w:rFonts w:hint="eastAsia" w:ascii="宋体" w:hAnsi="宋体" w:cs="宋体"/>
          <w:color w:val="auto"/>
          <w:kern w:val="0"/>
          <w:sz w:val="24"/>
          <w:szCs w:val="24"/>
          <w:highlight w:val="none"/>
        </w:rPr>
        <w:t>不单列）</w:t>
      </w:r>
      <w:r>
        <w:rPr>
          <w:rFonts w:hint="eastAsia" w:ascii="宋体" w:hAnsi="宋体" w:cs="宋体"/>
          <w:color w:val="auto"/>
          <w:kern w:val="0"/>
          <w:sz w:val="24"/>
          <w:szCs w:val="24"/>
          <w:highlight w:val="none"/>
          <w:lang w:val="zh-CN"/>
        </w:rPr>
        <w:t>。</w:t>
      </w:r>
    </w:p>
    <w:p w14:paraId="0BD88FFB">
      <w:pPr>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3.评审进行后所有的响应文件都将作为档案保存，不论成交与否，采购人均不退回。</w:t>
      </w:r>
    </w:p>
    <w:p w14:paraId="7B92FF80">
      <w:pPr>
        <w:pStyle w:val="22"/>
        <w:numPr>
          <w:ilvl w:val="0"/>
          <w:numId w:val="3"/>
        </w:numPr>
        <w:spacing w:after="0" w:line="360" w:lineRule="auto"/>
        <w:ind w:firstLine="482" w:firstLineChars="200"/>
        <w:rPr>
          <w:rFonts w:hint="eastAsia" w:ascii="宋体" w:hAnsi="宋体" w:cs="宋体"/>
          <w:b/>
          <w:bCs/>
          <w:color w:val="auto"/>
          <w:highlight w:val="none"/>
        </w:rPr>
      </w:pPr>
      <w:bookmarkStart w:id="31" w:name="_Toc5043"/>
      <w:r>
        <w:rPr>
          <w:rFonts w:hint="eastAsia" w:ascii="宋体" w:hAnsi="宋体" w:cs="宋体"/>
          <w:b/>
          <w:bCs/>
          <w:color w:val="auto"/>
          <w:highlight w:val="none"/>
        </w:rPr>
        <w:t>履约保证金</w:t>
      </w:r>
    </w:p>
    <w:p w14:paraId="5160C2B7">
      <w:pPr>
        <w:pStyle w:val="22"/>
        <w:numPr>
          <w:ilvl w:val="255"/>
          <w:numId w:val="0"/>
        </w:numPr>
        <w:spacing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本项目不收取履约保证金。</w:t>
      </w:r>
    </w:p>
    <w:p w14:paraId="6FE33B9C">
      <w:pPr>
        <w:spacing w:line="360" w:lineRule="auto"/>
        <w:ind w:firstLine="482"/>
        <w:contextualSpacing/>
        <w:rPr>
          <w:b/>
          <w:bCs/>
          <w:color w:val="auto"/>
          <w:sz w:val="24"/>
          <w:szCs w:val="24"/>
          <w:highlight w:val="none"/>
        </w:rPr>
      </w:pPr>
      <w:r>
        <w:rPr>
          <w:rFonts w:hint="eastAsia" w:cs="宋体"/>
          <w:b/>
          <w:color w:val="auto"/>
          <w:sz w:val="24"/>
          <w:szCs w:val="24"/>
          <w:highlight w:val="none"/>
        </w:rPr>
        <w:t>十、</w:t>
      </w:r>
      <w:r>
        <w:rPr>
          <w:b/>
          <w:bCs/>
          <w:color w:val="auto"/>
          <w:sz w:val="24"/>
          <w:szCs w:val="24"/>
          <w:highlight w:val="none"/>
        </w:rPr>
        <w:t>追加、减少和添购。</w:t>
      </w:r>
    </w:p>
    <w:p w14:paraId="6B90A2CF">
      <w:pPr>
        <w:spacing w:line="360" w:lineRule="auto"/>
        <w:ind w:firstLine="480"/>
        <w:contextualSpacing/>
        <w:rPr>
          <w:bCs/>
          <w:color w:val="auto"/>
          <w:sz w:val="24"/>
          <w:szCs w:val="24"/>
          <w:highlight w:val="none"/>
        </w:rPr>
      </w:pPr>
      <w:r>
        <w:rPr>
          <w:bCs/>
          <w:color w:val="auto"/>
          <w:sz w:val="24"/>
          <w:szCs w:val="24"/>
          <w:highlight w:val="none"/>
        </w:rPr>
        <w:t>采购合同履行中，采购人需追加与</w:t>
      </w:r>
      <w:r>
        <w:rPr>
          <w:rFonts w:hint="eastAsia"/>
          <w:bCs/>
          <w:color w:val="auto"/>
          <w:sz w:val="24"/>
          <w:szCs w:val="24"/>
          <w:highlight w:val="none"/>
        </w:rPr>
        <w:t>采购合同</w:t>
      </w:r>
      <w:r>
        <w:rPr>
          <w:bCs/>
          <w:color w:val="auto"/>
          <w:sz w:val="24"/>
          <w:szCs w:val="24"/>
          <w:highlight w:val="none"/>
        </w:rPr>
        <w:t>相同</w:t>
      </w:r>
      <w:r>
        <w:rPr>
          <w:rFonts w:hint="eastAsia"/>
          <w:bCs/>
          <w:color w:val="auto"/>
          <w:sz w:val="24"/>
          <w:szCs w:val="24"/>
          <w:highlight w:val="none"/>
        </w:rPr>
        <w:t>标的</w:t>
      </w:r>
      <w:r>
        <w:rPr>
          <w:bCs/>
          <w:color w:val="auto"/>
          <w:sz w:val="24"/>
          <w:szCs w:val="24"/>
          <w:highlight w:val="none"/>
        </w:rPr>
        <w:t>的，在不改变合同其他条款的前提下，可以与成交供应商协商签订补充合同，但所有补充合同的采购金额不超过原合同金额10%。</w:t>
      </w:r>
    </w:p>
    <w:p w14:paraId="422081B0">
      <w:pPr>
        <w:spacing w:line="360" w:lineRule="auto"/>
        <w:ind w:firstLine="496"/>
        <w:rPr>
          <w:rFonts w:cs="宋体"/>
          <w:b/>
          <w:color w:val="auto"/>
          <w:sz w:val="24"/>
          <w:szCs w:val="24"/>
          <w:highlight w:val="none"/>
        </w:rPr>
      </w:pPr>
      <w:r>
        <w:rPr>
          <w:rFonts w:hint="eastAsia" w:cs="宋体"/>
          <w:b/>
          <w:color w:val="auto"/>
          <w:sz w:val="24"/>
          <w:szCs w:val="24"/>
          <w:highlight w:val="none"/>
        </w:rPr>
        <w:t>十一、未尽事宜</w:t>
      </w:r>
    </w:p>
    <w:p w14:paraId="2E6ACE0B">
      <w:pPr>
        <w:spacing w:line="360" w:lineRule="auto"/>
        <w:ind w:firstLine="494"/>
        <w:rPr>
          <w:rFonts w:cs="宋体"/>
          <w:color w:val="auto"/>
          <w:sz w:val="24"/>
          <w:szCs w:val="24"/>
          <w:highlight w:val="none"/>
        </w:rPr>
      </w:pPr>
      <w:r>
        <w:rPr>
          <w:rFonts w:hint="eastAsia" w:cs="宋体"/>
          <w:color w:val="auto"/>
          <w:sz w:val="24"/>
          <w:szCs w:val="24"/>
          <w:highlight w:val="none"/>
        </w:rPr>
        <w:t>无</w:t>
      </w:r>
    </w:p>
    <w:p w14:paraId="081AD202">
      <w:pPr>
        <w:spacing w:line="360" w:lineRule="auto"/>
        <w:ind w:firstLine="420" w:firstLineChars="200"/>
        <w:rPr>
          <w:rFonts w:hint="eastAsia" w:ascii="宋体" w:hAnsi="宋体" w:cs="宋体"/>
          <w:color w:val="auto"/>
          <w:highlight w:val="none"/>
        </w:rPr>
      </w:pPr>
      <w:r>
        <w:rPr>
          <w:rFonts w:ascii="宋体" w:hAnsi="宋体" w:cs="宋体"/>
          <w:color w:val="auto"/>
          <w:highlight w:val="none"/>
        </w:rPr>
        <w:br w:type="page"/>
      </w:r>
    </w:p>
    <w:p w14:paraId="07F73CF2">
      <w:pPr>
        <w:pStyle w:val="18"/>
        <w:spacing w:line="360" w:lineRule="auto"/>
        <w:ind w:firstLine="0" w:firstLineChars="0"/>
        <w:jc w:val="center"/>
        <w:outlineLvl w:val="0"/>
        <w:rPr>
          <w:rFonts w:hint="eastAsia" w:hAnsi="宋体" w:cs="宋体"/>
          <w:color w:val="auto"/>
          <w:sz w:val="36"/>
          <w:szCs w:val="36"/>
          <w:highlight w:val="none"/>
        </w:rPr>
      </w:pPr>
      <w:r>
        <w:rPr>
          <w:rFonts w:hint="eastAsia" w:hAnsi="宋体" w:cs="宋体"/>
          <w:color w:val="auto"/>
          <w:sz w:val="36"/>
          <w:szCs w:val="36"/>
          <w:highlight w:val="none"/>
        </w:rPr>
        <w:t>第三章  项目需求</w:t>
      </w:r>
      <w:bookmarkEnd w:id="31"/>
    </w:p>
    <w:p w14:paraId="786C442E">
      <w:pPr>
        <w:widowControl/>
        <w:spacing w:line="360" w:lineRule="auto"/>
        <w:ind w:firstLine="480" w:firstLineChars="200"/>
        <w:rPr>
          <w:rFonts w:hint="eastAsia" w:ascii="宋体" w:hAnsi="宋体" w:cs="宋体"/>
          <w:color w:val="auto"/>
          <w:kern w:val="0"/>
          <w:sz w:val="24"/>
          <w:szCs w:val="24"/>
          <w:highlight w:val="none"/>
        </w:rPr>
      </w:pPr>
      <w:bookmarkStart w:id="32" w:name="_Toc24193"/>
      <w:r>
        <w:rPr>
          <w:rFonts w:hint="eastAsia" w:ascii="宋体" w:hAnsi="宋体" w:cs="宋体"/>
          <w:color w:val="auto"/>
          <w:kern w:val="0"/>
          <w:sz w:val="24"/>
          <w:szCs w:val="24"/>
          <w:highlight w:val="none"/>
        </w:rPr>
        <w:t>项目属性：服务类</w:t>
      </w:r>
    </w:p>
    <w:p w14:paraId="1145B5F3">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采购需求包括拟采购的标的及其需要满足的技术、商务要求。</w:t>
      </w:r>
    </w:p>
    <w:p w14:paraId="41622D20">
      <w:pPr>
        <w:widowControl/>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本章采购需求中所有条款均为实质性响应条款，供应商不得负偏离响应，如负偏离响应认定为无效响应文件。</w:t>
      </w:r>
    </w:p>
    <w:p w14:paraId="294432DD">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（一）技术要求是指对采购标的功能和质量要求，包括服务内容和标准等。</w:t>
      </w:r>
    </w:p>
    <w:p w14:paraId="281A4ED2">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（二）商务要求是指取得采购标的的时间、地点、财务和服务要求，包括交付（实施）的时间（期限）和地点（范围），付款条件（进度和方法）等。</w:t>
      </w:r>
    </w:p>
    <w:p w14:paraId="24CFEB88">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其内容包含但不限于以下内容：</w:t>
      </w:r>
    </w:p>
    <w:p w14:paraId="29F13FF1">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一、项目概况</w:t>
      </w:r>
    </w:p>
    <w:p w14:paraId="1D1727A0">
      <w:pPr>
        <w:widowControl/>
        <w:spacing w:line="360" w:lineRule="auto"/>
        <w:ind w:firstLine="480" w:firstLineChars="2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rPr>
        <w:t>1.项目地点：</w:t>
      </w:r>
      <w:r>
        <w:rPr>
          <w:rFonts w:hint="eastAsia" w:ascii="宋体" w:hAnsi="宋体" w:eastAsia="宋体" w:cs="宋体"/>
          <w:color w:val="auto"/>
          <w:kern w:val="0"/>
          <w:sz w:val="24"/>
          <w:szCs w:val="24"/>
          <w:highlight w:val="none"/>
          <w:lang w:val="en-US" w:eastAsia="zh-CN"/>
        </w:rPr>
        <w:t>江</w:t>
      </w:r>
      <w:r>
        <w:rPr>
          <w:rFonts w:hint="eastAsia" w:ascii="宋体" w:hAnsi="宋体" w:eastAsia="宋体" w:cs="宋体"/>
          <w:color w:val="auto"/>
          <w:kern w:val="0"/>
          <w:sz w:val="24"/>
          <w:szCs w:val="24"/>
          <w:highlight w:val="none"/>
          <w:lang w:val="en-US" w:eastAsia="zh-CN" w:bidi="ar-SA"/>
        </w:rPr>
        <w:t>苏省南通第一中学校园内</w:t>
      </w:r>
    </w:p>
    <w:p w14:paraId="7874DDF9">
      <w:pPr>
        <w:widowControl/>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2.项目规模：人民西路38号别墅（</w:t>
      </w:r>
      <w:r>
        <w:rPr>
          <w:rFonts w:hint="eastAsia" w:ascii="宋体" w:hAnsi="宋体" w:eastAsia="宋体" w:cs="宋体"/>
          <w:color w:val="auto"/>
          <w:kern w:val="0"/>
          <w:sz w:val="24"/>
          <w:szCs w:val="24"/>
          <w:highlight w:val="none"/>
          <w:lang w:val="en-US" w:eastAsia="zh-CN"/>
        </w:rPr>
        <w:t>崇文楼）位于江苏省南通第一中学校园内，建成于1919年前后，建筑面积373平方米，是市级文物保护单位。拟对其进行修缮保护，本工程投资约104.5万元。</w:t>
      </w:r>
    </w:p>
    <w:p w14:paraId="3FB01B82">
      <w:pPr>
        <w:widowControl/>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3.设计周期：</w:t>
      </w:r>
    </w:p>
    <w:p w14:paraId="70C65D8F">
      <w:pPr>
        <w:widowControl/>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a.方案设计阶段：</w:t>
      </w:r>
    </w:p>
    <w:p w14:paraId="5B9122B8">
      <w:pPr>
        <w:widowControl/>
        <w:spacing w:line="360" w:lineRule="auto"/>
        <w:ind w:firstLine="480" w:firstLineChars="200"/>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val="zh-CN" w:eastAsia="zh-CN"/>
        </w:rPr>
        <w:t>后</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eastAsia="zh-CN"/>
        </w:rPr>
        <w:t>日历天内将优化的设计方案及相关材料提交至市文物局等部门进行审核;</w:t>
      </w:r>
    </w:p>
    <w:p w14:paraId="564721C4">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南通市文物主管部门出具审核意见后5日历天内完成最终方案设计。</w:t>
      </w:r>
    </w:p>
    <w:p w14:paraId="1ED77CB3">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b.施工图设计阶段：</w:t>
      </w:r>
    </w:p>
    <w:p w14:paraId="4F5DC479">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最终方案通过审核后20日历天内完成施工图设计。</w:t>
      </w:r>
    </w:p>
    <w:p w14:paraId="7FB7E459">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2" w:firstLineChars="200"/>
        <w:contextualSpacing/>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、方案设计依据</w:t>
      </w:r>
    </w:p>
    <w:p w14:paraId="3842250B">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1.测绘部门提供的项目用地地形图和水文勘测资料（参考）；</w:t>
      </w:r>
    </w:p>
    <w:p w14:paraId="5FDE781B">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2.项目建址周边现状；</w:t>
      </w:r>
    </w:p>
    <w:p w14:paraId="2AD44E4E">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3.《中华人民共和国文物保护法》、《中华人民共和国文物保护法实施条例》、《文物保护工程管理办法》、《文物保护工程设计文件编制深度要求》(试行)；</w:t>
      </w:r>
    </w:p>
    <w:p w14:paraId="61CC7196">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4.其</w:t>
      </w:r>
      <w:r>
        <w:rPr>
          <w:rFonts w:hint="eastAsia" w:ascii="宋体" w:hAnsi="宋体" w:eastAsia="宋体" w:cs="宋体"/>
          <w:color w:val="auto"/>
          <w:kern w:val="0"/>
          <w:sz w:val="24"/>
          <w:szCs w:val="24"/>
          <w:highlight w:val="none"/>
          <w:lang w:val="en-US" w:eastAsia="zh-CN" w:bidi="ar-SA"/>
        </w:rPr>
        <w:t>他</w:t>
      </w:r>
      <w:r>
        <w:rPr>
          <w:rFonts w:hint="eastAsia" w:ascii="宋体" w:hAnsi="宋体" w:eastAsia="宋体" w:cs="宋体"/>
          <w:color w:val="auto"/>
          <w:kern w:val="0"/>
          <w:sz w:val="24"/>
          <w:szCs w:val="24"/>
          <w:highlight w:val="none"/>
          <w:lang w:val="zh-CN" w:eastAsia="zh-CN" w:bidi="ar-SA"/>
        </w:rPr>
        <w:t>现行的国家、省、市及行业有关法律、法规、规范。</w:t>
      </w:r>
    </w:p>
    <w:p w14:paraId="0F1EA124">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2" w:firstLineChars="200"/>
        <w:contextualSpacing/>
        <w:jc w:val="both"/>
        <w:textAlignment w:val="auto"/>
        <w:rPr>
          <w:rFonts w:hint="eastAsia" w:ascii="宋体" w:hAnsi="宋体" w:eastAsia="宋体" w:cs="宋体"/>
          <w:b/>
          <w:bCs/>
          <w:color w:val="auto"/>
          <w:kern w:val="0"/>
          <w:sz w:val="24"/>
          <w:szCs w:val="24"/>
          <w:highlight w:val="none"/>
          <w:lang w:val="zh-CN" w:eastAsia="zh-CN" w:bidi="ar-SA"/>
        </w:rPr>
      </w:pPr>
      <w:bookmarkStart w:id="33" w:name="_Toc66794357"/>
      <w:r>
        <w:rPr>
          <w:rFonts w:hint="eastAsia" w:ascii="宋体" w:hAnsi="宋体" w:eastAsia="宋体" w:cs="宋体"/>
          <w:b/>
          <w:bCs/>
          <w:color w:val="auto"/>
          <w:kern w:val="0"/>
          <w:sz w:val="24"/>
          <w:szCs w:val="24"/>
          <w:highlight w:val="none"/>
          <w:lang w:val="en-US" w:eastAsia="zh-CN" w:bidi="ar-SA"/>
        </w:rPr>
        <w:t>三</w:t>
      </w:r>
      <w:r>
        <w:rPr>
          <w:rFonts w:hint="eastAsia" w:ascii="宋体" w:hAnsi="宋体" w:eastAsia="宋体" w:cs="宋体"/>
          <w:b/>
          <w:bCs/>
          <w:color w:val="auto"/>
          <w:kern w:val="0"/>
          <w:sz w:val="24"/>
          <w:szCs w:val="24"/>
          <w:highlight w:val="none"/>
          <w:lang w:val="zh-CN" w:eastAsia="zh-CN" w:bidi="ar-SA"/>
        </w:rPr>
        <w:t>、设计指导思想</w:t>
      </w:r>
      <w:bookmarkEnd w:id="33"/>
    </w:p>
    <w:p w14:paraId="2734B553">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1.严格按照国家、省、市颁布的现行设计规范、规程、标准进行本工程各专业的设计。</w:t>
      </w:r>
    </w:p>
    <w:p w14:paraId="727931EE">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2.遵循文物保护理念，优先采用原材料、原结构、原工艺进行保护工程设计。</w:t>
      </w:r>
    </w:p>
    <w:p w14:paraId="2551BD15">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3.在合理利用的基础上，尽可能满足学校对使用功能及标准的综合要求。</w:t>
      </w:r>
    </w:p>
    <w:p w14:paraId="6DBD4D18">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4.根据项目总投资匡算进行限额设计。</w:t>
      </w:r>
    </w:p>
    <w:p w14:paraId="369B61D4">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2" w:firstLineChars="200"/>
        <w:contextualSpacing/>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kern w:val="0"/>
          <w:sz w:val="24"/>
          <w:szCs w:val="24"/>
          <w:highlight w:val="none"/>
          <w:lang w:val="zh-CN" w:eastAsia="zh-CN" w:bidi="ar-SA"/>
        </w:rPr>
        <w:t>、设计范围</w:t>
      </w:r>
    </w:p>
    <w:p w14:paraId="34E2B3C4">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1.近现代建筑现状测绘：含现场踏勘、测量、绘制现状建筑图等；</w:t>
      </w:r>
    </w:p>
    <w:p w14:paraId="192FFFC1">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2.保护方案设计：含资料收集整理、现状分析、保护方案设计及概算等；</w:t>
      </w:r>
    </w:p>
    <w:p w14:paraId="11B46BCB">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3.施工图设计；</w:t>
      </w:r>
    </w:p>
    <w:p w14:paraId="1A3EAA03">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4.文物建筑周边环境整治设计；</w:t>
      </w:r>
    </w:p>
    <w:p w14:paraId="48C7535A">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5.后续服务：配合业主参与初步设计阶段至工程竣工阶段项目阶段性关键会议，并提供技术指导。</w:t>
      </w:r>
    </w:p>
    <w:p w14:paraId="554FA784">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2" w:firstLineChars="200"/>
        <w:contextualSpacing/>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五</w:t>
      </w:r>
      <w:r>
        <w:rPr>
          <w:rFonts w:hint="eastAsia" w:ascii="宋体" w:hAnsi="宋体" w:eastAsia="宋体" w:cs="宋体"/>
          <w:b/>
          <w:bCs/>
          <w:color w:val="auto"/>
          <w:kern w:val="0"/>
          <w:sz w:val="24"/>
          <w:szCs w:val="24"/>
          <w:highlight w:val="none"/>
          <w:lang w:val="zh-CN" w:eastAsia="zh-CN" w:bidi="ar-SA"/>
        </w:rPr>
        <w:t>、设计成果要求（</w:t>
      </w:r>
      <w:r>
        <w:rPr>
          <w:rFonts w:hint="eastAsia" w:ascii="宋体" w:hAnsi="宋体" w:eastAsia="宋体" w:cs="宋体"/>
          <w:b/>
          <w:bCs/>
          <w:color w:val="auto"/>
          <w:kern w:val="0"/>
          <w:sz w:val="24"/>
          <w:szCs w:val="24"/>
          <w:highlight w:val="none"/>
          <w:lang w:val="en-US" w:eastAsia="zh-CN" w:bidi="ar-SA"/>
        </w:rPr>
        <w:t>成交</w:t>
      </w:r>
      <w:r>
        <w:rPr>
          <w:rFonts w:hint="eastAsia" w:ascii="宋体" w:hAnsi="宋体" w:eastAsia="宋体" w:cs="宋体"/>
          <w:b/>
          <w:bCs/>
          <w:color w:val="auto"/>
          <w:kern w:val="0"/>
          <w:sz w:val="24"/>
          <w:szCs w:val="24"/>
          <w:highlight w:val="none"/>
          <w:lang w:val="zh-CN" w:eastAsia="zh-CN" w:bidi="ar-SA"/>
        </w:rPr>
        <w:t>后）</w:t>
      </w:r>
    </w:p>
    <w:p w14:paraId="14AE8CCA">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94" w:firstLineChars="206"/>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成交供应商</w:t>
      </w:r>
      <w:r>
        <w:rPr>
          <w:rFonts w:hint="eastAsia" w:ascii="宋体" w:hAnsi="宋体" w:eastAsia="宋体" w:cs="宋体"/>
          <w:color w:val="auto"/>
          <w:kern w:val="0"/>
          <w:sz w:val="24"/>
          <w:szCs w:val="24"/>
          <w:highlight w:val="none"/>
          <w:lang w:val="zh-CN" w:eastAsia="zh-CN" w:bidi="ar-SA"/>
        </w:rPr>
        <w:t>后期提供的设计成果资料应满足规范及建设单位要求的设计深度，包含但不限于以下内容：</w:t>
      </w:r>
    </w:p>
    <w:p w14:paraId="34320C8C">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bookmarkStart w:id="34" w:name="_Toc66794371"/>
      <w:r>
        <w:rPr>
          <w:rFonts w:hint="eastAsia" w:ascii="宋体" w:hAnsi="宋体" w:eastAsia="宋体" w:cs="宋体"/>
          <w:color w:val="auto"/>
          <w:kern w:val="0"/>
          <w:sz w:val="24"/>
          <w:szCs w:val="24"/>
          <w:highlight w:val="none"/>
          <w:lang w:val="zh-CN" w:eastAsia="zh-CN" w:bidi="ar-SA"/>
        </w:rPr>
        <w:t>1.文本说明及设计图纸</w:t>
      </w:r>
      <w:bookmarkEnd w:id="34"/>
    </w:p>
    <w:p w14:paraId="01D25DD1">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）现状勘察文件：包括现状勘察报告、现状实测图纸和现状照片；</w:t>
      </w:r>
    </w:p>
    <w:p w14:paraId="34042687">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）方案设计：包括设计说明和设计图纸；</w:t>
      </w:r>
    </w:p>
    <w:p w14:paraId="5EEBFB79">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）其他反映设计意图的及设计者认为必要的图纸。</w:t>
      </w:r>
    </w:p>
    <w:p w14:paraId="26FE6E1C">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bookmarkStart w:id="35" w:name="_Toc66794372"/>
      <w:r>
        <w:rPr>
          <w:rFonts w:hint="eastAsia" w:ascii="宋体" w:hAnsi="宋体" w:eastAsia="宋体" w:cs="宋体"/>
          <w:color w:val="auto"/>
          <w:kern w:val="0"/>
          <w:sz w:val="24"/>
          <w:szCs w:val="24"/>
          <w:highlight w:val="none"/>
          <w:lang w:val="zh-CN" w:eastAsia="zh-CN" w:bidi="ar-SA"/>
        </w:rPr>
        <w:t>2.成果规格</w:t>
      </w:r>
      <w:bookmarkEnd w:id="35"/>
    </w:p>
    <w:p w14:paraId="71824787">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）文本说明、设计图纸装订成册，成果套数满足项目审批要求；</w:t>
      </w:r>
    </w:p>
    <w:p w14:paraId="5415AA45">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）可编辑设计图纸、设计文本的电子文档及相应建筑方案设计效果图等电子文件（提供U盘和光盘各1份，电子资料保存在U盘和光盘内）。</w:t>
      </w:r>
    </w:p>
    <w:p w14:paraId="581C4F01">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（3）施工蓝图八套（提供U盘和光盘各1份，电子资料保存在U盘和光盘内）。</w:t>
      </w:r>
    </w:p>
    <w:p w14:paraId="29486109">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2" w:firstLineChars="200"/>
        <w:contextualSpacing/>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六</w:t>
      </w:r>
      <w:r>
        <w:rPr>
          <w:rFonts w:hint="eastAsia" w:ascii="宋体" w:hAnsi="宋体" w:eastAsia="宋体" w:cs="宋体"/>
          <w:b/>
          <w:bCs/>
          <w:color w:val="auto"/>
          <w:kern w:val="0"/>
          <w:sz w:val="24"/>
          <w:szCs w:val="24"/>
          <w:highlight w:val="none"/>
          <w:lang w:val="zh-CN" w:eastAsia="zh-CN" w:bidi="ar-SA"/>
        </w:rPr>
        <w:t>、参选要求</w:t>
      </w:r>
    </w:p>
    <w:p w14:paraId="481BA70C">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响应</w:t>
      </w:r>
      <w:r>
        <w:rPr>
          <w:rFonts w:hint="eastAsia" w:ascii="宋体" w:hAnsi="宋体" w:eastAsia="宋体" w:cs="宋体"/>
          <w:color w:val="auto"/>
          <w:kern w:val="0"/>
          <w:sz w:val="24"/>
          <w:szCs w:val="24"/>
          <w:highlight w:val="none"/>
          <w:lang w:val="zh-CN" w:eastAsia="zh-CN" w:bidi="ar-SA"/>
        </w:rPr>
        <w:t>报价的原则：</w:t>
      </w:r>
    </w:p>
    <w:p w14:paraId="41EE1CF9">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1.1本工程设计费最高限价</w:t>
      </w:r>
      <w:r>
        <w:rPr>
          <w:rFonts w:hint="eastAsia" w:ascii="宋体" w:hAnsi="宋体" w:eastAsia="宋体" w:cs="宋体"/>
          <w:color w:val="auto"/>
          <w:kern w:val="0"/>
          <w:sz w:val="24"/>
          <w:szCs w:val="24"/>
          <w:highlight w:val="none"/>
          <w:lang w:val="en-US" w:eastAsia="zh-CN" w:bidi="ar-SA"/>
        </w:rPr>
        <w:t>9万元</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响应</w:t>
      </w:r>
      <w:r>
        <w:rPr>
          <w:rFonts w:hint="eastAsia" w:ascii="宋体" w:hAnsi="宋体" w:eastAsia="宋体" w:cs="宋体"/>
          <w:color w:val="auto"/>
          <w:kern w:val="0"/>
          <w:sz w:val="24"/>
          <w:szCs w:val="24"/>
          <w:highlight w:val="none"/>
          <w:lang w:val="zh-CN" w:eastAsia="zh-CN" w:bidi="ar-SA"/>
        </w:rPr>
        <w:t>报价不得高于</w:t>
      </w:r>
      <w:r>
        <w:rPr>
          <w:rFonts w:hint="eastAsia" w:ascii="宋体" w:hAnsi="宋体"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zh-CN" w:eastAsia="zh-CN" w:bidi="ar-SA"/>
        </w:rPr>
        <w:t>人的最高限价，不符合以上条件的投标报价将被视为无效报价。</w:t>
      </w:r>
    </w:p>
    <w:p w14:paraId="5111CF4B">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1.2</w:t>
      </w:r>
      <w:r>
        <w:rPr>
          <w:rFonts w:hint="eastAsia" w:ascii="宋体" w:hAnsi="宋体" w:eastAsia="宋体" w:cs="宋体"/>
          <w:color w:val="auto"/>
          <w:kern w:val="0"/>
          <w:sz w:val="24"/>
          <w:szCs w:val="24"/>
          <w:highlight w:val="none"/>
          <w:lang w:val="en-US" w:eastAsia="zh-CN" w:bidi="ar-SA"/>
        </w:rPr>
        <w:t>响应</w:t>
      </w:r>
      <w:r>
        <w:rPr>
          <w:rFonts w:hint="eastAsia" w:ascii="宋体" w:hAnsi="宋体" w:eastAsia="宋体" w:cs="宋体"/>
          <w:color w:val="auto"/>
          <w:kern w:val="0"/>
          <w:sz w:val="24"/>
          <w:szCs w:val="24"/>
          <w:highlight w:val="none"/>
          <w:lang w:val="zh-CN" w:eastAsia="zh-CN" w:bidi="ar-SA"/>
        </w:rPr>
        <w:t>报价应包括：社会调查费、方案设计、方案优化为完成上述设计内容所必须的设施、材料、技术、劳务、交通、差旅、咨询费、会务费、报告编制费、研究费、管理费、利润、税金、专家评审费、行政主管部门咨询、评审手续等为完成本项目所需的全部费用。</w:t>
      </w:r>
    </w:p>
    <w:p w14:paraId="63ACB315">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0" w:firstLineChars="200"/>
        <w:contextualSpacing/>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成交供应商必须根据采购人的要求对建设方案进行修改，直至采购人满意为止，设计范围不变设计费不作调整，并对所承担项目设计的完整性负责。成交供应商不履行的，采购人有解除合同、追究违约责任、要求赔偿损失等权利。</w:t>
      </w:r>
    </w:p>
    <w:p w14:paraId="4DE5D667">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82" w:firstLineChars="200"/>
        <w:contextualSpacing/>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zh-CN" w:eastAsia="zh-CN" w:bidi="ar-SA"/>
        </w:rPr>
        <w:t>、费用结算</w:t>
      </w:r>
    </w:p>
    <w:p w14:paraId="43420FDB">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eastAsia="宋体" w:cs="宋体"/>
          <w:color w:val="auto"/>
          <w:kern w:val="0"/>
          <w:sz w:val="24"/>
          <w:szCs w:val="24"/>
          <w:highlight w:val="none"/>
          <w:lang w:val="zh-CN" w:eastAsia="zh-CN" w:bidi="ar-SA"/>
        </w:rPr>
        <w:t>方案设计经文物主管部门审批通过后7日内付至合同总价50%；施工图完成后7日内付至合同总价90%；建设项目竣工验收后一次性付清。</w:t>
      </w:r>
    </w:p>
    <w:p w14:paraId="5D6F2CC4">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D153618">
      <w:pPr>
        <w:pStyle w:val="18"/>
        <w:spacing w:line="360" w:lineRule="auto"/>
        <w:ind w:firstLine="0" w:firstLineChars="0"/>
        <w:jc w:val="center"/>
        <w:outlineLvl w:val="0"/>
        <w:rPr>
          <w:rFonts w:hint="eastAsia" w:hAnsi="宋体" w:cs="宋体"/>
          <w:color w:val="auto"/>
          <w:sz w:val="36"/>
          <w:szCs w:val="36"/>
          <w:highlight w:val="none"/>
        </w:rPr>
      </w:pPr>
      <w:r>
        <w:rPr>
          <w:rFonts w:hint="eastAsia" w:hAnsi="宋体" w:cs="宋体"/>
          <w:color w:val="auto"/>
          <w:sz w:val="36"/>
          <w:szCs w:val="36"/>
          <w:highlight w:val="none"/>
        </w:rPr>
        <w:t>第四章  开启和评</w:t>
      </w:r>
      <w:bookmarkEnd w:id="32"/>
      <w:r>
        <w:rPr>
          <w:rFonts w:hint="eastAsia" w:hAnsi="宋体" w:cs="宋体"/>
          <w:color w:val="auto"/>
          <w:sz w:val="36"/>
          <w:szCs w:val="36"/>
          <w:highlight w:val="none"/>
        </w:rPr>
        <w:t xml:space="preserve">审  </w:t>
      </w:r>
    </w:p>
    <w:p w14:paraId="01C8F6DD">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一、采购人组织采购</w:t>
      </w:r>
    </w:p>
    <w:p w14:paraId="15B31BF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1.由采购人代表和有关专家依法组成比选评审小组。</w:t>
      </w:r>
    </w:p>
    <w:p w14:paraId="13453FA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2.供应商的法定代表人或被授权人须持身份证准时参加比选活动。</w:t>
      </w:r>
    </w:p>
    <w:p w14:paraId="62A7E7D8">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二、评审小组</w:t>
      </w:r>
    </w:p>
    <w:p w14:paraId="5E76452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1.评审小组负责具体的评审事务，并独立履行以下职责：</w:t>
      </w:r>
    </w:p>
    <w:p w14:paraId="7A48A4E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（1）审查响应文件是否符合比选文件的要求，并作出评价；</w:t>
      </w:r>
    </w:p>
    <w:p w14:paraId="4FEB8F7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（2）可以要求供应商对响应文件有关事项作出解释或澄清；</w:t>
      </w:r>
    </w:p>
    <w:p w14:paraId="1AEC3FD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（3）按比选文件载明的方式评审确定成交人。</w:t>
      </w:r>
    </w:p>
    <w:p w14:paraId="745B0DD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2.评审小组成员应当履行下列义务：</w:t>
      </w:r>
    </w:p>
    <w:p w14:paraId="642F34B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（1）遵纪守法，客观、公正、廉洁地履行职责；</w:t>
      </w:r>
    </w:p>
    <w:p w14:paraId="0207410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（2）按照比选文件规定的评审办法和评审标准进行评审，对评审意见承担个人责任；</w:t>
      </w:r>
    </w:p>
    <w:p w14:paraId="6B577C5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（3）对评审过程和结果，以及供应商的商业秘密保密；</w:t>
      </w:r>
    </w:p>
    <w:p w14:paraId="164B0A8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（4）配合相关部门的投诉处理工作；</w:t>
      </w:r>
    </w:p>
    <w:p w14:paraId="57DFA87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（5）配合采购人答复供应商提出的质疑。</w:t>
      </w:r>
    </w:p>
    <w:p w14:paraId="3A4FE69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项目开标后直到项目成交结果公告，发出成交通知书并授予成交人合同为止，凡属于评审、澄清、评价和比较响应的所有资料及有关授予合同等的相关信息，评审小组成员都不应向供应商或与评审无关的其他人泄露。</w:t>
      </w:r>
    </w:p>
    <w:p w14:paraId="264E93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4.在响应文件的评审、澄清、评价和比较以及授予合同的过程中，供应商对采购人和评审小组成员有施加影响的任何行为，都将取消其成交资格。</w:t>
      </w:r>
    </w:p>
    <w:p w14:paraId="2F763716">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三、评审原则</w:t>
      </w:r>
    </w:p>
    <w:p w14:paraId="42035A4A">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1.评审</w:t>
      </w:r>
      <w:r>
        <w:rPr>
          <w:rFonts w:hint="eastAsia" w:cs="宋体"/>
          <w:color w:val="auto"/>
          <w:sz w:val="24"/>
          <w:szCs w:val="24"/>
          <w:highlight w:val="none"/>
        </w:rPr>
        <w:t>小组遵循“公开、公平、公正、择优、信用”的原则进行评审。</w:t>
      </w:r>
    </w:p>
    <w:p w14:paraId="64B00E3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2.由评审小组先对每个参与比选的供应商的响应文件进行资格审查和符合性审查，再对资格审查和符合性审查均合格的供应商所提交的响应文件商务技术标进行评审。</w:t>
      </w:r>
    </w:p>
    <w:p w14:paraId="511D66A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3.评审小组严格按比选文件的规定要求、条件、评分标准，对供应商所提供的完整计划标的物的科学性、可行性、产品质量、服务质量的保证及承诺等实质性响应内容进行比较评价评审。</w:t>
      </w:r>
    </w:p>
    <w:p w14:paraId="6FF83AB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4.评审小组对响应文件的判定，只依据响应内容本身，不依靠开标后的任何外来证明。</w:t>
      </w:r>
    </w:p>
    <w:p w14:paraId="3A1B9D2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5.如果响应文件实质上没有响应比选文件的要求，评审小组将予以拒绝，供应商不得通过修改或撤销不符合要求的偏离或保留而使其响应成为实质性响应的比选。</w:t>
      </w:r>
    </w:p>
    <w:p w14:paraId="5990B1C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6.评审小组将对确定为实质性响应的报价进行进一步审核，看其是否有计算上或累加上的算术错误，修正错误的原则如下：</w:t>
      </w:r>
    </w:p>
    <w:p w14:paraId="4DC6C55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（1）响应文件中报价总表内容与响应文件中相应内容不一致的，以报价总表为准。</w:t>
      </w:r>
    </w:p>
    <w:p w14:paraId="55D2BAE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1F2A7C8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（3）单价金额小数点或者百分比有明显错位的，以报价总表的总价为准，并修改单价。</w:t>
      </w:r>
    </w:p>
    <w:p w14:paraId="64A3C53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14:paraId="1BCA1D7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同时出现两种以上错误的，按照前款规定的顺序修正。</w:t>
      </w:r>
    </w:p>
    <w:p w14:paraId="190A167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7.评审小组将按上述修正错误的方法调整响应文件中的报价，并告知供应商，调整后的价格应对供应商具有约束力。如果供应商不接受修正后的价格，则其响应将被拒绝。</w:t>
      </w:r>
    </w:p>
    <w:p w14:paraId="67154FA0">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五、评审程序</w:t>
      </w:r>
    </w:p>
    <w:p w14:paraId="140E359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1.评审小组依据响应文件的规定和要求，对供应商提供的资格证明材料是否齐全、是否满足响应文件的要求进行审查，合格的进入符合性审查。</w:t>
      </w:r>
    </w:p>
    <w:p w14:paraId="75C76B1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2.评审小组对符合资格条件的供应商提交的响应文件进行审查。重点审查响应文件的有效性、完整性和实质性响应程度等。</w:t>
      </w:r>
    </w:p>
    <w:p w14:paraId="7F0095E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15F966B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4.任何一方不得透露与评审有关的其他供应商技术资料、报价和其他信息。</w:t>
      </w:r>
    </w:p>
    <w:p w14:paraId="16B3286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评审小组按比选文件规定的评标方法和标准，对资格性检查和符合性检查合格的供应商的响应文件进行商务和技术评估，综合比较与评价确定其商务技术得分。商务技术分按算术平均值计算，分值四舍五入保留两位小数。</w:t>
      </w:r>
    </w:p>
    <w:p w14:paraId="543867F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6.报价分统一采用低价优先法计算直接取得，与商务技术分相加为供应商的综合得分（四舍五入保留两位小数）。</w:t>
      </w:r>
    </w:p>
    <w:p w14:paraId="20F11F60">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四、评审方法及评审细则</w:t>
      </w:r>
    </w:p>
    <w:p w14:paraId="6D4A5D2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w:t>
      </w:r>
      <w:r>
        <w:rPr>
          <w:rFonts w:hint="eastAsia" w:ascii="宋体" w:hAnsi="宋体" w:cs="宋体"/>
          <w:b/>
          <w:bCs/>
          <w:color w:val="auto"/>
          <w:sz w:val="24"/>
          <w:szCs w:val="24"/>
          <w:highlight w:val="none"/>
          <w:u w:val="single"/>
        </w:rPr>
        <w:t>综合评分法</w:t>
      </w:r>
      <w:r>
        <w:rPr>
          <w:rFonts w:hint="eastAsia" w:ascii="宋体" w:hAnsi="宋体" w:cs="宋体"/>
          <w:color w:val="auto"/>
          <w:sz w:val="24"/>
          <w:szCs w:val="24"/>
          <w:highlight w:val="none"/>
        </w:rPr>
        <w:t>，即指在最大限度地满足比选文件实质性要求的前提下，按照本比选文件中规定的评标办法和评分标准及其他各项因素进行综合评审后，以评审总得分最高的供应商作为成交候选人的评标方法。</w:t>
      </w:r>
    </w:p>
    <w:p w14:paraId="7B3844C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2.评审小组将仅按本比选文件载明的方法与规定，为实质上响应比选文件要求的响应文件评审并进行评价和比较。</w:t>
      </w:r>
    </w:p>
    <w:p w14:paraId="7FADF23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3.本次项目的商务技术标和价格标评审总分值为100分。两部分评审因素比重如下：</w:t>
      </w:r>
    </w:p>
    <w:p w14:paraId="4F3254F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（1）商务技术标分值占总分值的比重为</w:t>
      </w:r>
      <w:r>
        <w:rPr>
          <w:rFonts w:hint="eastAsia" w:ascii="宋体" w:hAnsi="宋体" w:cs="宋体"/>
          <w:b/>
          <w:bCs/>
          <w:color w:val="auto"/>
          <w:sz w:val="24"/>
          <w:szCs w:val="24"/>
          <w:highlight w:val="none"/>
          <w:u w:val="single"/>
        </w:rPr>
        <w:t>70%</w:t>
      </w:r>
      <w:r>
        <w:rPr>
          <w:rFonts w:hint="eastAsia" w:ascii="宋体" w:hAnsi="宋体" w:cs="宋体"/>
          <w:color w:val="auto"/>
          <w:sz w:val="24"/>
          <w:szCs w:val="24"/>
          <w:highlight w:val="none"/>
        </w:rPr>
        <w:t>（权重）（取小数点后两位）；</w:t>
      </w:r>
    </w:p>
    <w:p w14:paraId="58F3577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（2）价格标分值占总分值的比重为</w:t>
      </w:r>
      <w:r>
        <w:rPr>
          <w:rFonts w:hint="eastAsia" w:ascii="宋体" w:hAnsi="宋体" w:cs="宋体"/>
          <w:b/>
          <w:bCs/>
          <w:color w:val="auto"/>
          <w:sz w:val="24"/>
          <w:szCs w:val="24"/>
          <w:highlight w:val="none"/>
          <w:u w:val="single"/>
        </w:rPr>
        <w:t>30%</w:t>
      </w:r>
      <w:r>
        <w:rPr>
          <w:rFonts w:hint="eastAsia" w:ascii="宋体" w:hAnsi="宋体" w:cs="宋体"/>
          <w:color w:val="auto"/>
          <w:sz w:val="24"/>
          <w:szCs w:val="24"/>
          <w:highlight w:val="none"/>
        </w:rPr>
        <w:t>（权重）（取小数点后两位）。</w:t>
      </w:r>
    </w:p>
    <w:p w14:paraId="06D37FA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4.评审小组各成员独立对每个进入打分程序的有效供应商的商务技术部分以打分的形式进行评审和评价（计算结果均四舍五入保留两位小数）。</w:t>
      </w:r>
    </w:p>
    <w:p w14:paraId="7AD56CE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5.计算各供应商的价格标报价得分，与商务技术标得分相加为供应商的综合得分（计算结果均四舍五入保留两位小数）。</w:t>
      </w:r>
    </w:p>
    <w:p w14:paraId="45CDF002">
      <w:pPr>
        <w:spacing w:line="360" w:lineRule="auto"/>
        <w:ind w:firstLine="480"/>
        <w:rPr>
          <w:color w:val="auto"/>
          <w:sz w:val="24"/>
          <w:szCs w:val="24"/>
          <w:highlight w:val="none"/>
        </w:rPr>
      </w:pPr>
      <w:r>
        <w:rPr>
          <w:rFonts w:hint="eastAsia" w:cs="宋体"/>
          <w:color w:val="auto"/>
          <w:sz w:val="24"/>
          <w:szCs w:val="24"/>
          <w:highlight w:val="none"/>
        </w:rPr>
        <w:t>6.评审小组根据综合得分情况，按照评审得分由高到低顺序推荐3名成交候选供应商，</w:t>
      </w:r>
      <w:r>
        <w:rPr>
          <w:rFonts w:hint="eastAsia"/>
          <w:color w:val="auto"/>
          <w:sz w:val="24"/>
          <w:szCs w:val="24"/>
          <w:highlight w:val="none"/>
        </w:rPr>
        <w:t>并编写评审报告。</w:t>
      </w:r>
    </w:p>
    <w:p w14:paraId="3E4C36B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7.确定成交供应商：得分最高的供应商为第一成交候选供应商。</w:t>
      </w:r>
      <w:r>
        <w:rPr>
          <w:rFonts w:hint="eastAsia"/>
          <w:b/>
          <w:color w:val="auto"/>
          <w:sz w:val="24"/>
          <w:szCs w:val="24"/>
          <w:highlight w:val="none"/>
        </w:rPr>
        <w:t>采购人委托评审小组确定成交供应商。</w:t>
      </w:r>
      <w:r>
        <w:rPr>
          <w:rFonts w:hint="eastAsia" w:ascii="宋体" w:hAnsi="宋体" w:cs="宋体"/>
          <w:color w:val="auto"/>
          <w:sz w:val="24"/>
          <w:szCs w:val="24"/>
          <w:highlight w:val="none"/>
        </w:rPr>
        <w:t>第一成交候选供应商原则上为成交供应商。当排名第一的成交候选供应商放弃成交、因不可抗力不能履行合同、不按照比选文件要求提交履约保证金，或者被查实存在影响成交结果的违法行为等情形，不符合成交条件的，采购人可以按照评审小组提出的成交候选供应商名单排序依次确定其他成交候选供应商为成交供应商，也可以重新组织比选。</w:t>
      </w:r>
    </w:p>
    <w:p w14:paraId="4A939DA5">
      <w:pPr>
        <w:spacing w:line="360" w:lineRule="auto"/>
        <w:ind w:firstLine="480"/>
        <w:rPr>
          <w:rFonts w:cs="宋体"/>
          <w:color w:val="auto"/>
          <w:sz w:val="24"/>
          <w:szCs w:val="24"/>
          <w:highlight w:val="none"/>
        </w:rPr>
      </w:pPr>
      <w:r>
        <w:rPr>
          <w:rFonts w:hint="eastAsia" w:cs="宋体"/>
          <w:color w:val="auto"/>
          <w:sz w:val="24"/>
          <w:szCs w:val="24"/>
          <w:highlight w:val="none"/>
        </w:rPr>
        <w:t>8.确定成交候选供应商的特殊情况处理：</w:t>
      </w:r>
    </w:p>
    <w:p w14:paraId="346D8D3D">
      <w:pPr>
        <w:spacing w:line="360" w:lineRule="auto"/>
        <w:ind w:firstLine="480"/>
        <w:rPr>
          <w:rFonts w:cs="宋体"/>
          <w:color w:val="auto"/>
          <w:sz w:val="24"/>
          <w:szCs w:val="24"/>
          <w:highlight w:val="none"/>
        </w:rPr>
      </w:pPr>
      <w:r>
        <w:rPr>
          <w:rFonts w:hint="eastAsia" w:cs="宋体"/>
          <w:color w:val="auto"/>
          <w:sz w:val="24"/>
          <w:szCs w:val="24"/>
          <w:highlight w:val="none"/>
        </w:rPr>
        <w:t>（1）若总分相同，则按报价得分高者优先成交。</w:t>
      </w:r>
    </w:p>
    <w:p w14:paraId="475977FF">
      <w:pPr>
        <w:spacing w:line="360" w:lineRule="auto"/>
        <w:ind w:firstLine="480"/>
        <w:rPr>
          <w:rFonts w:cs="宋体"/>
          <w:color w:val="auto"/>
          <w:sz w:val="24"/>
          <w:szCs w:val="24"/>
          <w:highlight w:val="none"/>
        </w:rPr>
      </w:pPr>
      <w:r>
        <w:rPr>
          <w:rFonts w:hint="eastAsia" w:cs="宋体"/>
          <w:color w:val="auto"/>
          <w:sz w:val="24"/>
          <w:szCs w:val="24"/>
          <w:highlight w:val="none"/>
        </w:rPr>
        <w:t>（2）若总分且报价得分相同，则由评审小组采取现场抽签的方式确定。</w:t>
      </w:r>
    </w:p>
    <w:p w14:paraId="273B81C9">
      <w:pPr>
        <w:spacing w:line="360" w:lineRule="auto"/>
        <w:ind w:firstLine="480"/>
        <w:rPr>
          <w:rFonts w:cs="宋体"/>
          <w:b/>
          <w:bCs/>
          <w:color w:val="auto"/>
          <w:sz w:val="24"/>
          <w:szCs w:val="24"/>
          <w:highlight w:val="none"/>
        </w:rPr>
      </w:pPr>
      <w:r>
        <w:rPr>
          <w:rFonts w:hint="eastAsia" w:cs="宋体"/>
          <w:b/>
          <w:bCs/>
          <w:color w:val="auto"/>
          <w:sz w:val="24"/>
          <w:szCs w:val="24"/>
          <w:highlight w:val="none"/>
        </w:rPr>
        <w:t>五、综合评分评审标准</w:t>
      </w:r>
    </w:p>
    <w:p w14:paraId="68C0CDE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（一）商务技术分（70分）</w:t>
      </w:r>
    </w:p>
    <w:p w14:paraId="47A9442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供应商技术得分为评审小组成员评分的算术平均分，分值保留小数点后两位。</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5"/>
        <w:gridCol w:w="1144"/>
        <w:gridCol w:w="6519"/>
      </w:tblGrid>
      <w:tr w14:paraId="6084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405" w:type="pct"/>
            <w:shd w:val="clear" w:color="auto" w:fill="FFFFFF"/>
            <w:noWrap w:val="0"/>
            <w:tcMar>
              <w:top w:w="15" w:type="dxa"/>
              <w:left w:w="15" w:type="dxa"/>
              <w:bottom w:w="15" w:type="dxa"/>
              <w:right w:w="15" w:type="dxa"/>
            </w:tcMar>
            <w:vAlign w:val="center"/>
          </w:tcPr>
          <w:p w14:paraId="4507E28F">
            <w:pPr>
              <w:widowControl/>
              <w:spacing w:line="560"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686" w:type="pct"/>
            <w:shd w:val="clear" w:color="auto" w:fill="FFFFFF"/>
            <w:noWrap w:val="0"/>
            <w:tcMar>
              <w:top w:w="15" w:type="dxa"/>
              <w:left w:w="15" w:type="dxa"/>
              <w:bottom w:w="15" w:type="dxa"/>
              <w:right w:w="15" w:type="dxa"/>
            </w:tcMar>
            <w:vAlign w:val="center"/>
          </w:tcPr>
          <w:p w14:paraId="7A67D009">
            <w:pPr>
              <w:widowControl/>
              <w:spacing w:line="560"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评审项目</w:t>
            </w:r>
          </w:p>
        </w:tc>
        <w:tc>
          <w:tcPr>
            <w:tcW w:w="3908" w:type="pct"/>
            <w:shd w:val="clear" w:color="auto" w:fill="FFFFFF"/>
            <w:noWrap w:val="0"/>
            <w:tcMar>
              <w:top w:w="15" w:type="dxa"/>
              <w:left w:w="15" w:type="dxa"/>
              <w:bottom w:w="15" w:type="dxa"/>
              <w:right w:w="15" w:type="dxa"/>
            </w:tcMar>
            <w:vAlign w:val="center"/>
          </w:tcPr>
          <w:p w14:paraId="356274F9">
            <w:pPr>
              <w:widowControl/>
              <w:spacing w:line="560"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评审标准</w:t>
            </w:r>
          </w:p>
        </w:tc>
      </w:tr>
      <w:tr w14:paraId="783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05" w:type="pct"/>
            <w:shd w:val="clear" w:color="auto" w:fill="FFFFFF"/>
            <w:noWrap w:val="0"/>
            <w:tcMar>
              <w:top w:w="15" w:type="dxa"/>
              <w:left w:w="15" w:type="dxa"/>
              <w:bottom w:w="15" w:type="dxa"/>
              <w:right w:w="15" w:type="dxa"/>
            </w:tcMar>
            <w:vAlign w:val="center"/>
          </w:tcPr>
          <w:p w14:paraId="6FB64B1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w:t>
            </w:r>
          </w:p>
        </w:tc>
        <w:tc>
          <w:tcPr>
            <w:tcW w:w="686" w:type="pct"/>
            <w:shd w:val="clear" w:color="auto" w:fill="FFFFFF"/>
            <w:noWrap w:val="0"/>
            <w:tcMar>
              <w:top w:w="15" w:type="dxa"/>
              <w:left w:w="15" w:type="dxa"/>
              <w:bottom w:w="15" w:type="dxa"/>
              <w:right w:w="15" w:type="dxa"/>
            </w:tcMar>
            <w:vAlign w:val="center"/>
          </w:tcPr>
          <w:p w14:paraId="701F44E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企业实力（</w:t>
            </w:r>
            <w:r>
              <w:rPr>
                <w:rFonts w:hint="eastAsia" w:ascii="宋体" w:hAnsi="宋体" w:eastAsia="宋体" w:cs="宋体"/>
                <w:b/>
                <w:bCs/>
                <w:color w:val="auto"/>
                <w:kern w:val="0"/>
                <w:sz w:val="24"/>
                <w:szCs w:val="24"/>
                <w:highlight w:val="none"/>
                <w:lang w:val="en-US" w:eastAsia="zh-CN"/>
              </w:rPr>
              <w:t>34</w:t>
            </w:r>
            <w:r>
              <w:rPr>
                <w:rFonts w:hint="eastAsia" w:ascii="宋体" w:hAnsi="宋体" w:eastAsia="宋体" w:cs="宋体"/>
                <w:b/>
                <w:bCs/>
                <w:color w:val="auto"/>
                <w:kern w:val="0"/>
                <w:sz w:val="24"/>
                <w:szCs w:val="24"/>
                <w:highlight w:val="none"/>
              </w:rPr>
              <w:t>分）</w:t>
            </w:r>
          </w:p>
        </w:tc>
        <w:tc>
          <w:tcPr>
            <w:tcW w:w="3908" w:type="pct"/>
            <w:shd w:val="clear" w:color="auto" w:fill="FFFFFF"/>
            <w:noWrap w:val="0"/>
            <w:tcMar>
              <w:top w:w="15" w:type="dxa"/>
              <w:left w:w="15" w:type="dxa"/>
              <w:bottom w:w="15" w:type="dxa"/>
              <w:right w:w="15" w:type="dxa"/>
            </w:tcMar>
            <w:vAlign w:val="top"/>
          </w:tcPr>
          <w:p w14:paraId="3E4D0646">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1.企业资信（4分）：</w:t>
            </w:r>
          </w:p>
          <w:p w14:paraId="5B431CAA">
            <w:pPr>
              <w:pStyle w:val="52"/>
              <w:spacing w:before="46"/>
              <w:rPr>
                <w:rFonts w:eastAsia="宋体"/>
                <w:color w:val="auto"/>
                <w:sz w:val="24"/>
                <w:szCs w:val="24"/>
                <w:highlight w:val="none"/>
              </w:rPr>
            </w:pPr>
            <w:r>
              <w:rPr>
                <w:rFonts w:eastAsia="宋体"/>
                <w:color w:val="auto"/>
                <w:sz w:val="24"/>
                <w:szCs w:val="24"/>
                <w:highlight w:val="none"/>
              </w:rPr>
              <w:t>1.1</w:t>
            </w:r>
            <w:r>
              <w:rPr>
                <w:rFonts w:hint="eastAsia" w:ascii="宋体" w:hAnsi="宋体" w:eastAsia="宋体" w:cs="宋体"/>
                <w:color w:val="auto"/>
                <w:sz w:val="24"/>
                <w:szCs w:val="24"/>
                <w:highlight w:val="none"/>
              </w:rPr>
              <w:t>参选人</w:t>
            </w:r>
            <w:r>
              <w:rPr>
                <w:rFonts w:eastAsia="宋体"/>
                <w:color w:val="auto"/>
                <w:sz w:val="24"/>
                <w:szCs w:val="24"/>
                <w:highlight w:val="none"/>
              </w:rPr>
              <w:t>具有设计建筑行业（建筑工程）甲级及以上资质得1分。</w:t>
            </w:r>
          </w:p>
          <w:p w14:paraId="0215D15D">
            <w:pPr>
              <w:pStyle w:val="52"/>
              <w:spacing w:before="46"/>
              <w:rPr>
                <w:rFonts w:eastAsia="宋体"/>
                <w:color w:val="auto"/>
                <w:sz w:val="24"/>
                <w:szCs w:val="24"/>
                <w:highlight w:val="none"/>
              </w:rPr>
            </w:pPr>
            <w:r>
              <w:rPr>
                <w:rFonts w:eastAsia="宋体"/>
                <w:color w:val="auto"/>
                <w:sz w:val="24"/>
                <w:szCs w:val="24"/>
                <w:highlight w:val="none"/>
              </w:rPr>
              <w:t>1.</w:t>
            </w:r>
            <w:r>
              <w:rPr>
                <w:rFonts w:hint="eastAsia"/>
                <w:color w:val="auto"/>
                <w:sz w:val="24"/>
                <w:szCs w:val="24"/>
                <w:highlight w:val="none"/>
                <w:lang w:val="en-US" w:eastAsia="zh-CN"/>
              </w:rPr>
              <w:t>2</w:t>
            </w:r>
            <w:r>
              <w:rPr>
                <w:rFonts w:hint="eastAsia" w:ascii="宋体" w:hAnsi="宋体" w:eastAsia="宋体" w:cs="宋体"/>
                <w:color w:val="auto"/>
                <w:sz w:val="24"/>
                <w:szCs w:val="24"/>
                <w:highlight w:val="none"/>
              </w:rPr>
              <w:t>参选人</w:t>
            </w:r>
            <w:r>
              <w:rPr>
                <w:rFonts w:eastAsia="宋体"/>
                <w:color w:val="auto"/>
                <w:sz w:val="24"/>
                <w:szCs w:val="24"/>
                <w:highlight w:val="none"/>
              </w:rPr>
              <w:t>具有文物保护工程设计乙级及以上资质得</w:t>
            </w:r>
            <w:r>
              <w:rPr>
                <w:rFonts w:hint="eastAsia"/>
                <w:color w:val="auto"/>
                <w:sz w:val="24"/>
                <w:szCs w:val="24"/>
                <w:highlight w:val="none"/>
                <w:lang w:val="en-US" w:eastAsia="zh-CN"/>
              </w:rPr>
              <w:t>3</w:t>
            </w:r>
            <w:r>
              <w:rPr>
                <w:rFonts w:eastAsia="宋体"/>
                <w:color w:val="auto"/>
                <w:sz w:val="24"/>
                <w:szCs w:val="24"/>
                <w:highlight w:val="none"/>
              </w:rPr>
              <w:t>分。</w:t>
            </w:r>
          </w:p>
          <w:p w14:paraId="2A78529A">
            <w:pPr>
              <w:pStyle w:val="52"/>
              <w:spacing w:before="46"/>
              <w:rPr>
                <w:rFonts w:hint="default" w:eastAsia="宋体"/>
                <w:color w:val="auto"/>
                <w:sz w:val="24"/>
                <w:szCs w:val="24"/>
                <w:highlight w:val="none"/>
                <w:lang w:val="en-US" w:eastAsia="zh-CN"/>
              </w:rPr>
            </w:pPr>
            <w:r>
              <w:rPr>
                <w:rFonts w:hint="eastAsia" w:ascii="宋体" w:hAnsi="宋体" w:cs="宋体"/>
                <w:b/>
                <w:bCs/>
                <w:color w:val="auto"/>
                <w:sz w:val="24"/>
                <w:szCs w:val="24"/>
                <w:highlight w:val="none"/>
              </w:rPr>
              <w:t>注：提供</w:t>
            </w:r>
            <w:r>
              <w:rPr>
                <w:rFonts w:hint="eastAsia" w:ascii="宋体" w:hAnsi="宋体" w:cs="宋体"/>
                <w:b/>
                <w:bCs/>
                <w:color w:val="auto"/>
                <w:sz w:val="24"/>
                <w:szCs w:val="24"/>
                <w:highlight w:val="none"/>
                <w:lang w:val="en-US" w:eastAsia="zh-CN"/>
              </w:rPr>
              <w:t>相关证书复印件加盖公章。</w:t>
            </w:r>
          </w:p>
          <w:p w14:paraId="7392A04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2.拟派项目组成员实力（10分）</w:t>
            </w:r>
          </w:p>
          <w:p w14:paraId="7853BB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2.1拟派项目负责人具有国家一级注册建筑师资格的得2分。</w:t>
            </w:r>
          </w:p>
          <w:p w14:paraId="66E3B18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设计组人员(项目负责人除外)中有国家一级注册建筑师得2分，最多得2分；具有国家一级注册结构工程师得2分，最多得2分；具有国家注册公用设备工程师（给水、排水）得2分，最多得2分；国家注册电气工程师（供配电）得2分，最多得2分。本项最多得8分。</w:t>
            </w:r>
          </w:p>
          <w:p w14:paraId="77906613">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注：提供相关证书复印件加盖公章及社保机构出具的</w:t>
            </w:r>
            <w:r>
              <w:rPr>
                <w:rFonts w:hint="eastAsia" w:ascii="宋体" w:hAnsi="宋体" w:eastAsia="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人为其缴纳的202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年1月</w:t>
            </w:r>
            <w:r>
              <w:rPr>
                <w:rFonts w:hint="eastAsia" w:ascii="宋体" w:hAnsi="宋体" w:eastAsia="宋体" w:cs="宋体"/>
                <w:b/>
                <w:bCs/>
                <w:color w:val="auto"/>
                <w:sz w:val="24"/>
                <w:szCs w:val="24"/>
                <w:highlight w:val="none"/>
                <w:lang w:val="en-US" w:eastAsia="zh-CN"/>
              </w:rPr>
              <w:t>以来</w:t>
            </w:r>
            <w:r>
              <w:rPr>
                <w:rFonts w:hint="eastAsia" w:ascii="宋体" w:hAnsi="宋体" w:eastAsia="宋体" w:cs="宋体"/>
                <w:b/>
                <w:bCs/>
                <w:color w:val="auto"/>
                <w:sz w:val="24"/>
                <w:szCs w:val="24"/>
                <w:highlight w:val="none"/>
              </w:rPr>
              <w:t>任意一个月的</w:t>
            </w:r>
            <w:r>
              <w:rPr>
                <w:rFonts w:hint="eastAsia" w:ascii="宋体" w:hAnsi="宋体" w:eastAsia="宋体" w:cs="宋体"/>
                <w:b/>
                <w:bCs/>
                <w:color w:val="auto"/>
                <w:sz w:val="24"/>
                <w:szCs w:val="24"/>
                <w:highlight w:val="none"/>
                <w:lang w:val="en-US" w:eastAsia="zh-CN"/>
              </w:rPr>
              <w:t>社保证明</w:t>
            </w:r>
            <w:r>
              <w:rPr>
                <w:rFonts w:hint="eastAsia" w:ascii="宋体" w:hAnsi="宋体" w:eastAsia="宋体" w:cs="宋体"/>
                <w:b/>
                <w:bCs/>
                <w:color w:val="auto"/>
                <w:sz w:val="24"/>
                <w:szCs w:val="24"/>
                <w:highlight w:val="none"/>
              </w:rPr>
              <w:t>，否则不得分。</w:t>
            </w:r>
          </w:p>
          <w:p w14:paraId="178180AC">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3.业绩评分（20分）：</w:t>
            </w:r>
            <w:r>
              <w:rPr>
                <w:rFonts w:hint="eastAsia" w:ascii="宋体" w:hAnsi="宋体" w:eastAsia="宋体" w:cs="宋体"/>
                <w:color w:val="auto"/>
                <w:sz w:val="24"/>
                <w:szCs w:val="24"/>
                <w:highlight w:val="none"/>
              </w:rPr>
              <w:t>参选人自行提供企业类似业绩及项目负责人类似业绩，由专家组根据现场业绩考评打分：</w:t>
            </w:r>
          </w:p>
          <w:p w14:paraId="6CDFB8F2">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3.1企业业绩（10分）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响应供应商</w:t>
            </w:r>
            <w:r>
              <w:rPr>
                <w:rFonts w:hint="eastAsia" w:ascii="宋体" w:hAnsi="宋体" w:eastAsia="宋体" w:cs="宋体"/>
                <w:color w:val="auto"/>
                <w:sz w:val="24"/>
                <w:szCs w:val="24"/>
                <w:highlight w:val="none"/>
              </w:rPr>
              <w:t>自2021年1月1日以来（以设计合同签订日期为准）承接过类似的文物保护工程修缮保护方案或施工图设计（需同时提供设计合同、文物保护主管部门方案设计批复），每提供一个类似业绩得5分，最多得10分。</w:t>
            </w:r>
          </w:p>
          <w:p w14:paraId="4668CD51">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3.2项目负责人业绩（10分）</w:t>
            </w:r>
            <w:r>
              <w:rPr>
                <w:rFonts w:hint="eastAsia" w:ascii="宋体" w:hAnsi="宋体" w:eastAsia="宋体" w:cs="宋体"/>
                <w:color w:val="auto"/>
                <w:sz w:val="24"/>
                <w:szCs w:val="24"/>
                <w:highlight w:val="none"/>
              </w:rPr>
              <w:t>：拟派项目负责人自2021年1月1日以来（以设计合同签订日期为准）承接过类似的文物保护工程修缮保护方案或施工图设计业绩（需同时提供设计合同、文物保护主管部门方案设计批复，若设计合同未能证明本业绩要求，则参选人需再提供方案或施工图签名页等有效证明材料），每提供一个类似业绩得5分，最多得10分。</w:t>
            </w:r>
          </w:p>
          <w:p w14:paraId="2E530192">
            <w:pPr>
              <w:pStyle w:val="5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注：提供相关</w:t>
            </w:r>
            <w:r>
              <w:rPr>
                <w:rFonts w:hint="eastAsia" w:ascii="宋体" w:hAnsi="宋体" w:cs="宋体"/>
                <w:b/>
                <w:bCs/>
                <w:color w:val="auto"/>
                <w:sz w:val="24"/>
                <w:szCs w:val="24"/>
                <w:highlight w:val="none"/>
                <w:lang w:val="en-US" w:eastAsia="zh-CN"/>
              </w:rPr>
              <w:t>证明</w:t>
            </w:r>
            <w:r>
              <w:rPr>
                <w:rFonts w:hint="eastAsia" w:ascii="宋体" w:hAnsi="宋体" w:eastAsia="宋体" w:cs="宋体"/>
                <w:b/>
                <w:bCs/>
                <w:color w:val="auto"/>
                <w:sz w:val="24"/>
                <w:szCs w:val="24"/>
                <w:highlight w:val="none"/>
              </w:rPr>
              <w:t>复印件加盖公章</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否则不得分。</w:t>
            </w:r>
            <w:r>
              <w:rPr>
                <w:rFonts w:hint="eastAsia" w:ascii="宋体" w:hAnsi="宋体" w:eastAsia="宋体" w:cs="宋体"/>
                <w:b/>
                <w:bCs/>
                <w:color w:val="auto"/>
                <w:sz w:val="24"/>
                <w:szCs w:val="24"/>
                <w:highlight w:val="none"/>
                <w:lang w:eastAsia="zh-CN"/>
              </w:rPr>
              <w:t>项目负责人业绩和企业业绩为同一业绩的，不重复得分</w:t>
            </w:r>
            <w:r>
              <w:rPr>
                <w:rFonts w:hint="eastAsia" w:ascii="宋体" w:hAnsi="宋体" w:eastAsia="宋体" w:cs="宋体"/>
                <w:color w:val="auto"/>
                <w:sz w:val="24"/>
                <w:szCs w:val="24"/>
                <w:highlight w:val="none"/>
                <w:lang w:eastAsia="zh-CN"/>
              </w:rPr>
              <w:t>。</w:t>
            </w:r>
          </w:p>
        </w:tc>
      </w:tr>
      <w:tr w14:paraId="2CF8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05" w:type="pct"/>
            <w:shd w:val="clear" w:color="auto" w:fill="FFFFFF"/>
            <w:noWrap w:val="0"/>
            <w:tcMar>
              <w:top w:w="15" w:type="dxa"/>
              <w:left w:w="15" w:type="dxa"/>
              <w:bottom w:w="15" w:type="dxa"/>
              <w:right w:w="15" w:type="dxa"/>
            </w:tcMar>
            <w:vAlign w:val="center"/>
          </w:tcPr>
          <w:p w14:paraId="2CE201C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w:t>
            </w:r>
          </w:p>
        </w:tc>
        <w:tc>
          <w:tcPr>
            <w:tcW w:w="686" w:type="pct"/>
            <w:shd w:val="clear" w:color="auto" w:fill="FFFFFF"/>
            <w:noWrap w:val="0"/>
            <w:tcMar>
              <w:top w:w="15" w:type="dxa"/>
              <w:left w:w="15" w:type="dxa"/>
              <w:bottom w:w="15" w:type="dxa"/>
              <w:right w:w="15" w:type="dxa"/>
            </w:tcMar>
            <w:vAlign w:val="center"/>
          </w:tcPr>
          <w:p w14:paraId="7000CF7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技术标</w:t>
            </w:r>
          </w:p>
          <w:p w14:paraId="6BBF8E1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36</w:t>
            </w:r>
            <w:r>
              <w:rPr>
                <w:rFonts w:hint="eastAsia" w:ascii="宋体" w:hAnsi="宋体" w:eastAsia="宋体" w:cs="宋体"/>
                <w:b/>
                <w:bCs/>
                <w:color w:val="auto"/>
                <w:kern w:val="0"/>
                <w:sz w:val="24"/>
                <w:szCs w:val="24"/>
                <w:highlight w:val="none"/>
              </w:rPr>
              <w:t>分）</w:t>
            </w:r>
          </w:p>
        </w:tc>
        <w:tc>
          <w:tcPr>
            <w:tcW w:w="3908" w:type="pct"/>
            <w:shd w:val="clear" w:color="auto" w:fill="FFFFFF"/>
            <w:noWrap w:val="0"/>
            <w:tcMar>
              <w:top w:w="15" w:type="dxa"/>
              <w:left w:w="15" w:type="dxa"/>
              <w:bottom w:w="15" w:type="dxa"/>
              <w:right w:w="15" w:type="dxa"/>
            </w:tcMar>
            <w:vAlign w:val="top"/>
          </w:tcPr>
          <w:p w14:paraId="756DFD1B">
            <w:pPr>
              <w:pStyle w:val="52"/>
              <w:spacing w:line="360" w:lineRule="exact"/>
              <w:rPr>
                <w:rFonts w:eastAsia="宋体"/>
                <w:color w:val="auto"/>
                <w:sz w:val="24"/>
                <w:highlight w:val="none"/>
              </w:rPr>
            </w:pPr>
            <w:r>
              <w:rPr>
                <w:rFonts w:eastAsia="宋体"/>
                <w:color w:val="auto"/>
                <w:sz w:val="24"/>
                <w:szCs w:val="24"/>
                <w:highlight w:val="none"/>
              </w:rPr>
              <w:t>1</w:t>
            </w:r>
            <w:r>
              <w:rPr>
                <w:rFonts w:eastAsia="宋体"/>
                <w:b/>
                <w:bCs/>
                <w:color w:val="auto"/>
                <w:sz w:val="24"/>
                <w:szCs w:val="24"/>
                <w:highlight w:val="none"/>
              </w:rPr>
              <w:t>.</w:t>
            </w:r>
            <w:r>
              <w:rPr>
                <w:rFonts w:hint="eastAsia"/>
                <w:b/>
                <w:bCs/>
                <w:color w:val="auto"/>
                <w:sz w:val="24"/>
                <w:szCs w:val="24"/>
                <w:highlight w:val="none"/>
                <w:lang w:val="en-US" w:eastAsia="zh-CN"/>
              </w:rPr>
              <w:t>需求理解（10分）</w:t>
            </w:r>
            <w:r>
              <w:rPr>
                <w:rFonts w:hint="eastAsia"/>
                <w:color w:val="auto"/>
                <w:sz w:val="24"/>
                <w:szCs w:val="24"/>
                <w:highlight w:val="none"/>
                <w:lang w:val="en-US" w:eastAsia="zh-CN"/>
              </w:rPr>
              <w:t>：</w:t>
            </w:r>
            <w:r>
              <w:rPr>
                <w:rFonts w:hint="eastAsia" w:ascii="宋体" w:hAnsi="宋体" w:cs="宋体"/>
                <w:color w:val="auto"/>
                <w:kern w:val="0"/>
                <w:sz w:val="24"/>
                <w:szCs w:val="24"/>
                <w:highlight w:val="none"/>
                <w:lang w:bidi="ar"/>
              </w:rPr>
              <w:t>供应商提供</w:t>
            </w:r>
            <w:r>
              <w:rPr>
                <w:rFonts w:eastAsia="宋体"/>
                <w:color w:val="auto"/>
                <w:sz w:val="24"/>
                <w:highlight w:val="none"/>
              </w:rPr>
              <w:t>①文物保护单位概况</w:t>
            </w:r>
            <w:r>
              <w:rPr>
                <w:rFonts w:hint="eastAsia"/>
                <w:color w:val="auto"/>
                <w:sz w:val="24"/>
                <w:highlight w:val="none"/>
                <w:lang w:eastAsia="zh-CN"/>
              </w:rPr>
              <w:t>；</w:t>
            </w:r>
            <w:r>
              <w:rPr>
                <w:rFonts w:eastAsia="宋体"/>
                <w:color w:val="auto"/>
                <w:sz w:val="24"/>
                <w:highlight w:val="none"/>
              </w:rPr>
              <w:t>②历史沿革</w:t>
            </w:r>
            <w:r>
              <w:rPr>
                <w:rFonts w:hint="eastAsia"/>
                <w:color w:val="auto"/>
                <w:sz w:val="24"/>
                <w:highlight w:val="none"/>
                <w:lang w:eastAsia="zh-CN"/>
              </w:rPr>
              <w:t>；</w:t>
            </w:r>
            <w:r>
              <w:rPr>
                <w:rFonts w:eastAsia="宋体"/>
                <w:color w:val="auto"/>
                <w:sz w:val="24"/>
                <w:highlight w:val="none"/>
              </w:rPr>
              <w:t>③价值评估</w:t>
            </w:r>
            <w:r>
              <w:rPr>
                <w:rFonts w:hint="eastAsia"/>
                <w:color w:val="auto"/>
                <w:sz w:val="24"/>
                <w:highlight w:val="none"/>
                <w:lang w:eastAsia="zh-CN"/>
              </w:rPr>
              <w:t>；</w:t>
            </w:r>
            <w:r>
              <w:rPr>
                <w:rFonts w:eastAsia="宋体"/>
                <w:color w:val="auto"/>
                <w:sz w:val="24"/>
                <w:highlight w:val="none"/>
              </w:rPr>
              <w:t>④</w:t>
            </w:r>
            <w:r>
              <w:rPr>
                <w:rFonts w:hint="eastAsia" w:eastAsia="宋体"/>
                <w:color w:val="auto"/>
                <w:sz w:val="24"/>
                <w:highlight w:val="none"/>
              </w:rPr>
              <w:t>建筑</w:t>
            </w:r>
            <w:r>
              <w:rPr>
                <w:rFonts w:eastAsia="宋体"/>
                <w:color w:val="auto"/>
                <w:sz w:val="24"/>
                <w:highlight w:val="none"/>
              </w:rPr>
              <w:t>现状勘察</w:t>
            </w:r>
            <w:r>
              <w:rPr>
                <w:rFonts w:hint="eastAsia"/>
                <w:color w:val="auto"/>
                <w:sz w:val="24"/>
                <w:highlight w:val="none"/>
                <w:lang w:eastAsia="zh-CN"/>
              </w:rPr>
              <w:t>；</w:t>
            </w:r>
            <w:r>
              <w:rPr>
                <w:rFonts w:eastAsia="宋体"/>
                <w:color w:val="auto"/>
                <w:sz w:val="24"/>
                <w:highlight w:val="none"/>
              </w:rPr>
              <w:t>⑤安全评估</w:t>
            </w:r>
            <w:r>
              <w:rPr>
                <w:rFonts w:hint="eastAsia"/>
                <w:color w:val="auto"/>
                <w:sz w:val="24"/>
                <w:highlight w:val="none"/>
                <w:lang w:eastAsia="zh-CN"/>
              </w:rPr>
              <w:t>。</w:t>
            </w:r>
            <w:r>
              <w:rPr>
                <w:rFonts w:hint="eastAsia"/>
                <w:color w:val="auto"/>
                <w:sz w:val="24"/>
                <w:highlight w:val="none"/>
                <w:lang w:val="en-US" w:eastAsia="zh-CN"/>
              </w:rPr>
              <w:t>评委</w:t>
            </w:r>
            <w:r>
              <w:rPr>
                <w:rFonts w:hint="eastAsia" w:ascii="宋体" w:hAnsi="宋体" w:cs="宋体"/>
                <w:color w:val="auto"/>
                <w:sz w:val="24"/>
                <w:szCs w:val="24"/>
                <w:highlight w:val="none"/>
              </w:rPr>
              <w:t>针对以上</w:t>
            </w:r>
            <w:r>
              <w:rPr>
                <w:rFonts w:hint="eastAsia" w:ascii="宋体" w:hAnsi="宋体" w:cs="宋体"/>
                <w:color w:val="auto"/>
                <w:sz w:val="24"/>
                <w:szCs w:val="24"/>
                <w:highlight w:val="none"/>
                <w:lang w:val="en-US" w:eastAsia="zh-CN"/>
              </w:rPr>
              <w:t>5点</w:t>
            </w:r>
            <w:r>
              <w:rPr>
                <w:rFonts w:eastAsia="宋体"/>
                <w:color w:val="auto"/>
                <w:sz w:val="24"/>
                <w:highlight w:val="none"/>
              </w:rPr>
              <w:t>进行审评，</w:t>
            </w:r>
            <w:r>
              <w:rPr>
                <w:rFonts w:hint="eastAsia" w:ascii="宋体" w:hAnsi="宋体" w:cs="宋体"/>
                <w:color w:val="auto"/>
                <w:sz w:val="24"/>
                <w:szCs w:val="24"/>
                <w:highlight w:val="none"/>
              </w:rPr>
              <w:t>每点包含的要点齐全无缺漏项、内容与要点相符、内容完善且能够适用于本项目的得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每点包含的</w:t>
            </w:r>
            <w:r>
              <w:rPr>
                <w:rFonts w:eastAsia="宋体"/>
                <w:color w:val="auto"/>
                <w:sz w:val="24"/>
                <w:highlight w:val="none"/>
              </w:rPr>
              <w:t>有一处内容存在缺陷或不足的扣1分，扣完为止。本项最多得10分。</w:t>
            </w:r>
          </w:p>
          <w:p w14:paraId="6FEF41E6">
            <w:pPr>
              <w:pStyle w:val="52"/>
              <w:spacing w:line="360" w:lineRule="exact"/>
              <w:ind w:left="4"/>
              <w:rPr>
                <w:rFonts w:eastAsia="宋体"/>
                <w:color w:val="auto"/>
                <w:sz w:val="24"/>
                <w:highlight w:val="none"/>
              </w:rPr>
            </w:pPr>
            <w:r>
              <w:rPr>
                <w:rFonts w:eastAsia="宋体"/>
                <w:color w:val="auto"/>
                <w:sz w:val="24"/>
                <w:highlight w:val="none"/>
              </w:rPr>
              <w:t>（方案内容存在缺陷或不足是指以下任意一种情形：方案内容不切合行业实际、不符合国家法规政策；或方案内容生搬硬造，与实际情况不符，存在偏差；或方案内容过于简略；或存在与项目无关的文字内容；或内容不适用项目实际情况。）</w:t>
            </w:r>
          </w:p>
          <w:p w14:paraId="157AF04F">
            <w:pPr>
              <w:pStyle w:val="52"/>
              <w:numPr>
                <w:ilvl w:val="0"/>
                <w:numId w:val="0"/>
              </w:numPr>
              <w:spacing w:line="360" w:lineRule="exact"/>
              <w:rPr>
                <w:rFonts w:eastAsia="宋体"/>
                <w:color w:val="auto"/>
                <w:sz w:val="24"/>
                <w:szCs w:val="24"/>
                <w:highlight w:val="none"/>
              </w:rPr>
            </w:pPr>
            <w:r>
              <w:rPr>
                <w:rFonts w:hint="eastAsia"/>
                <w:b/>
                <w:bCs/>
                <w:color w:val="auto"/>
                <w:sz w:val="24"/>
                <w:szCs w:val="24"/>
                <w:highlight w:val="none"/>
                <w:lang w:val="en-US" w:eastAsia="zh-CN"/>
              </w:rPr>
              <w:t>2.</w:t>
            </w:r>
            <w:r>
              <w:rPr>
                <w:rFonts w:eastAsia="宋体"/>
                <w:b/>
                <w:bCs/>
                <w:color w:val="auto"/>
                <w:sz w:val="24"/>
                <w:szCs w:val="24"/>
                <w:highlight w:val="none"/>
              </w:rPr>
              <w:t>保护、修缮设计方案（24分）</w:t>
            </w:r>
            <w:r>
              <w:rPr>
                <w:rFonts w:eastAsia="宋体"/>
                <w:color w:val="auto"/>
                <w:sz w:val="24"/>
                <w:szCs w:val="24"/>
                <w:highlight w:val="none"/>
              </w:rPr>
              <w:t>：设计方案的深度、科学合理性、针对性、规范性、经济性以及文物保护工程项目的特殊性等，由评委综合评审，酌情打分。设计方案深度符合要求，保护措施完善合理，有针对性，概算编制合理，符合文物保护相关规范标准，凸显出文物保护方案得24分；设计方案深度一般，保护措施笼统</w:t>
            </w:r>
            <w:r>
              <w:rPr>
                <w:rFonts w:hint="eastAsia" w:ascii="‹ÎSå" w:hAnsi="‹ÎSå" w:eastAsia="‹ÎSå" w:cs="‹ÎSå"/>
                <w:b w:val="0"/>
                <w:color w:val="auto"/>
                <w:sz w:val="24"/>
                <w:szCs w:val="24"/>
                <w:highlight w:val="none"/>
              </w:rPr>
              <w:t>，针对性</w:t>
            </w:r>
            <w:r>
              <w:rPr>
                <w:rFonts w:eastAsia="宋体"/>
                <w:color w:val="auto"/>
                <w:sz w:val="24"/>
                <w:szCs w:val="24"/>
                <w:highlight w:val="none"/>
              </w:rPr>
              <w:t>一般，概算编制缺漏，基本符合规范标准，文物保护方案的特殊性表现一般得15分；设计方案深度不足，保护措施不足，针对性差，概算编制粗糙，不符合规范标准，没能凸显出文物保护方案得7分；不提供不得分。</w:t>
            </w:r>
          </w:p>
          <w:p w14:paraId="729B2953">
            <w:pPr>
              <w:pStyle w:val="52"/>
              <w:spacing w:line="360" w:lineRule="exact"/>
              <w:rPr>
                <w:rFonts w:eastAsia="宋体"/>
                <w:color w:val="auto"/>
                <w:sz w:val="24"/>
                <w:highlight w:val="none"/>
              </w:rPr>
            </w:pPr>
            <w:r>
              <w:rPr>
                <w:rFonts w:eastAsia="宋体"/>
                <w:b/>
                <w:bCs/>
                <w:color w:val="auto"/>
                <w:sz w:val="24"/>
                <w:szCs w:val="24"/>
                <w:highlight w:val="none"/>
              </w:rPr>
              <w:t>3.工作进度质量保证项目组织（2分）</w:t>
            </w:r>
            <w:r>
              <w:rPr>
                <w:rFonts w:eastAsia="宋体"/>
                <w:color w:val="auto"/>
                <w:sz w:val="24"/>
                <w:szCs w:val="24"/>
                <w:highlight w:val="none"/>
              </w:rPr>
              <w:t>：</w:t>
            </w:r>
            <w:r>
              <w:rPr>
                <w:rFonts w:hint="eastAsia" w:ascii="Calibri" w:hAnsi="Calibri" w:eastAsia="宋体" w:cs="Calibri"/>
                <w:color w:val="auto"/>
                <w:sz w:val="24"/>
                <w:szCs w:val="24"/>
                <w:highlight w:val="none"/>
              </w:rPr>
              <w:t>从</w:t>
            </w:r>
            <w:r>
              <w:rPr>
                <w:rFonts w:eastAsia="宋体"/>
                <w:color w:val="auto"/>
                <w:sz w:val="24"/>
                <w:szCs w:val="24"/>
                <w:highlight w:val="none"/>
              </w:rPr>
              <w:t>工作进度安排</w:t>
            </w:r>
            <w:r>
              <w:rPr>
                <w:rFonts w:hint="eastAsia" w:ascii="Calibri" w:hAnsi="Calibri" w:eastAsia="宋体" w:cs="Calibri"/>
                <w:color w:val="auto"/>
                <w:sz w:val="24"/>
                <w:szCs w:val="24"/>
                <w:highlight w:val="none"/>
              </w:rPr>
              <w:t>、</w:t>
            </w:r>
            <w:r>
              <w:rPr>
                <w:rFonts w:eastAsia="宋体"/>
                <w:color w:val="auto"/>
                <w:sz w:val="24"/>
                <w:szCs w:val="24"/>
                <w:highlight w:val="none"/>
              </w:rPr>
              <w:t>进度计划和保证进度的措施</w:t>
            </w:r>
            <w:r>
              <w:rPr>
                <w:rFonts w:hint="eastAsia" w:ascii="Calibri" w:hAnsi="Calibri" w:eastAsia="宋体" w:cs="Calibri"/>
                <w:color w:val="auto"/>
                <w:sz w:val="24"/>
                <w:szCs w:val="24"/>
                <w:highlight w:val="none"/>
              </w:rPr>
              <w:t>、</w:t>
            </w:r>
            <w:r>
              <w:rPr>
                <w:rFonts w:eastAsia="宋体"/>
                <w:color w:val="auto"/>
                <w:sz w:val="24"/>
                <w:szCs w:val="24"/>
                <w:highlight w:val="none"/>
              </w:rPr>
              <w:t>质量保证体系</w:t>
            </w:r>
            <w:r>
              <w:rPr>
                <w:rFonts w:hint="eastAsia" w:ascii="Calibri" w:hAnsi="Calibri" w:eastAsia="宋体" w:cs="Calibri"/>
                <w:color w:val="auto"/>
                <w:sz w:val="24"/>
                <w:szCs w:val="24"/>
                <w:highlight w:val="none"/>
              </w:rPr>
              <w:t>、</w:t>
            </w:r>
            <w:r>
              <w:rPr>
                <w:rFonts w:eastAsia="宋体"/>
                <w:color w:val="auto"/>
                <w:sz w:val="24"/>
                <w:szCs w:val="24"/>
                <w:highlight w:val="none"/>
              </w:rPr>
              <w:t>质量保证措施</w:t>
            </w:r>
            <w:r>
              <w:rPr>
                <w:rFonts w:eastAsia="宋体"/>
                <w:color w:val="auto"/>
                <w:sz w:val="24"/>
                <w:highlight w:val="none"/>
              </w:rPr>
              <w:t>等方面进行审评，存在缺陷或不足的扣1分，扣完为止。本项最多得2分。</w:t>
            </w:r>
          </w:p>
          <w:p w14:paraId="016F5BEB">
            <w:pPr>
              <w:pStyle w:val="52"/>
              <w:keepNext w:val="0"/>
              <w:keepLines w:val="0"/>
              <w:pageBreakBefore w:val="0"/>
              <w:widowControl w:val="0"/>
              <w:kinsoku/>
              <w:wordWrap/>
              <w:overflowPunct/>
              <w:topLinePunct w:val="0"/>
              <w:autoSpaceDE w:val="0"/>
              <w:autoSpaceDN w:val="0"/>
              <w:bidi w:val="0"/>
              <w:adjustRightInd/>
              <w:snapToGrid/>
              <w:spacing w:line="360" w:lineRule="exact"/>
              <w:ind w:left="4"/>
              <w:textAlignment w:val="auto"/>
              <w:rPr>
                <w:rFonts w:hint="eastAsia" w:ascii="宋体" w:hAnsi="宋体" w:eastAsia="宋体" w:cs="宋体"/>
                <w:color w:val="auto"/>
                <w:sz w:val="24"/>
                <w:szCs w:val="24"/>
                <w:highlight w:val="none"/>
                <w:lang w:val="en-US" w:eastAsia="zh-CN"/>
              </w:rPr>
            </w:pPr>
            <w:r>
              <w:rPr>
                <w:rFonts w:eastAsia="宋体"/>
                <w:color w:val="auto"/>
                <w:sz w:val="24"/>
                <w:highlight w:val="none"/>
              </w:rPr>
              <w:t>（方案内容存在缺陷或不足是指以下任意一种情形：方案内容不切合行业实际、不符合国家法规政策；或方案内容生搬硬造，与实际情况不符，存在偏差；或方案内容过于简略；或存在与项目无关的文字内容；或内容不适用项目实际情况。）</w:t>
            </w:r>
          </w:p>
        </w:tc>
      </w:tr>
    </w:tbl>
    <w:p w14:paraId="6D1296B7">
      <w:pPr>
        <w:numPr>
          <w:ilvl w:val="255"/>
          <w:numId w:val="0"/>
        </w:numPr>
        <w:snapToGrid w:val="0"/>
        <w:spacing w:line="360" w:lineRule="auto"/>
        <w:ind w:firstLine="480" w:firstLineChars="200"/>
        <w:rPr>
          <w:rFonts w:hint="eastAsia" w:ascii="宋体" w:hAnsi="宋体" w:cs="宋体"/>
          <w:color w:val="auto"/>
          <w:sz w:val="24"/>
          <w:szCs w:val="24"/>
          <w:highlight w:val="none"/>
        </w:rPr>
      </w:pPr>
    </w:p>
    <w:p w14:paraId="4BF9C7DE">
      <w:pPr>
        <w:numPr>
          <w:ilvl w:val="255"/>
          <w:numId w:val="0"/>
        </w:num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（二）价格分（30分）</w:t>
      </w:r>
    </w:p>
    <w:p w14:paraId="46FE6212">
      <w:pPr>
        <w:snapToGrid w:val="0"/>
        <w:spacing w:line="360" w:lineRule="auto"/>
        <w:ind w:firstLine="480" w:firstLineChars="200"/>
        <w:rPr>
          <w:rFonts w:cs="宋体"/>
          <w:b/>
          <w:bCs/>
          <w:color w:val="auto"/>
          <w:sz w:val="24"/>
          <w:szCs w:val="24"/>
          <w:highlight w:val="none"/>
        </w:rPr>
      </w:pPr>
      <w:r>
        <w:rPr>
          <w:rFonts w:hint="eastAsia" w:cs="宋体"/>
          <w:color w:val="auto"/>
          <w:sz w:val="24"/>
          <w:szCs w:val="24"/>
          <w:highlight w:val="none"/>
        </w:rPr>
        <w:t>1.</w:t>
      </w:r>
      <w:r>
        <w:rPr>
          <w:rFonts w:hint="eastAsia" w:cs="宋体"/>
          <w:b/>
          <w:bCs/>
          <w:color w:val="auto"/>
          <w:sz w:val="24"/>
          <w:szCs w:val="24"/>
          <w:highlight w:val="none"/>
        </w:rPr>
        <w:t>本项目最高限价：</w:t>
      </w:r>
      <w:r>
        <w:rPr>
          <w:rFonts w:hint="eastAsia" w:ascii="Times New Roman" w:hAnsi="Times New Roman" w:eastAsia="宋体" w:cs="宋体"/>
          <w:b/>
          <w:bCs/>
          <w:color w:val="auto"/>
          <w:sz w:val="24"/>
          <w:szCs w:val="24"/>
          <w:highlight w:val="none"/>
        </w:rPr>
        <w:t>本项目设计费最高限价为</w:t>
      </w:r>
      <w:r>
        <w:rPr>
          <w:rFonts w:hint="eastAsia" w:ascii="Times New Roman" w:hAnsi="Times New Roman" w:eastAsia="宋体" w:cs="宋体"/>
          <w:b/>
          <w:bCs/>
          <w:color w:val="auto"/>
          <w:sz w:val="24"/>
          <w:szCs w:val="24"/>
          <w:highlight w:val="none"/>
          <w:lang w:val="en-US" w:eastAsia="zh-CN"/>
        </w:rPr>
        <w:t>9万元。</w:t>
      </w:r>
    </w:p>
    <w:p w14:paraId="5B3473E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2.确定有效报价：响应报价小于等于最高限价的为有效报价，响应报价大于最高限价的作无效响应处理。</w:t>
      </w:r>
    </w:p>
    <w:p w14:paraId="4EF4F19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3.评审结束后，除确认存在计算错误外，评标基准价不因采购活动当事人质疑、投诉、复议以及其他任何情形而改变。</w:t>
      </w:r>
    </w:p>
    <w:p w14:paraId="25E4C10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4.计算报价得分</w:t>
      </w:r>
    </w:p>
    <w:p w14:paraId="53CE634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（1）只有通过资格审查及商务技术标评审，且价格标满足本项目比选文件要求后方可参加后续价格标的评审。</w:t>
      </w:r>
    </w:p>
    <w:p w14:paraId="2FC3F2B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（2）价格分采用低价优先法计算，即满足比选文件要求且响应报价最低的为评审基准价，其对应价格分为满分。其他供应商的价格分统一按照下列公式计算：</w:t>
      </w:r>
    </w:p>
    <w:p w14:paraId="53360B97">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报价得分=（评审基准价/响应报价）×30</w:t>
      </w:r>
    </w:p>
    <w:p w14:paraId="7F5BC28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（三）供应商综合得分</w:t>
      </w:r>
    </w:p>
    <w:p w14:paraId="5D1EAC74">
      <w:pPr>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供应商综合得分=商务技术分+价格分</w:t>
      </w:r>
    </w:p>
    <w:p w14:paraId="3D259DB5">
      <w:pPr>
        <w:snapToGri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六、出现下列情形之一的，评审小组应当启动异常低价响应审查程序：</w:t>
      </w:r>
    </w:p>
    <w:p w14:paraId="3CB6D8D3">
      <w:pPr>
        <w:pStyle w:val="20"/>
        <w:widowControl/>
        <w:shd w:val="clear" w:color="auto" w:fill="FFFFFF"/>
        <w:spacing w:beforeAutospacing="0" w:afterAutospacing="0" w:line="360" w:lineRule="auto"/>
        <w:ind w:firstLine="482"/>
        <w:jc w:val="both"/>
        <w:rPr>
          <w:rFonts w:hint="eastAsia" w:ascii="宋体" w:hAnsi="宋体" w:cs="宋体"/>
          <w:color w:val="auto"/>
          <w:szCs w:val="24"/>
          <w:highlight w:val="none"/>
        </w:rPr>
      </w:pPr>
      <w:r>
        <w:rPr>
          <w:rFonts w:hint="eastAsia" w:ascii="宋体" w:hAnsi="宋体" w:cs="宋体"/>
          <w:color w:val="auto"/>
          <w:szCs w:val="24"/>
          <w:highlight w:val="none"/>
        </w:rPr>
        <w:t>1.响应报价低于全部通过符合性审查供应商响应报价平均值50%的，即响应报价&lt;全部通过符合性审查供应商响应报价平均值×50%；</w:t>
      </w:r>
    </w:p>
    <w:p w14:paraId="709B5F31">
      <w:pPr>
        <w:pStyle w:val="20"/>
        <w:widowControl/>
        <w:shd w:val="clear" w:color="auto" w:fill="FFFFFF"/>
        <w:spacing w:beforeAutospacing="0" w:afterAutospacing="0" w:line="360" w:lineRule="auto"/>
        <w:ind w:firstLine="482"/>
        <w:jc w:val="both"/>
        <w:rPr>
          <w:rFonts w:hint="eastAsia" w:ascii="宋体" w:hAnsi="宋体" w:cs="宋体"/>
          <w:color w:val="auto"/>
          <w:szCs w:val="24"/>
          <w:highlight w:val="none"/>
        </w:rPr>
      </w:pPr>
      <w:r>
        <w:rPr>
          <w:rFonts w:hint="eastAsia" w:ascii="宋体" w:hAnsi="宋体" w:cs="宋体"/>
          <w:color w:val="auto"/>
          <w:szCs w:val="24"/>
          <w:highlight w:val="none"/>
        </w:rPr>
        <w:t>2.响应报价低于通过符合性审查的次低报价供应商响应报价50%的，即响应报价&lt;通过符合性审查的次低报价供应商响应报价×50%；</w:t>
      </w:r>
    </w:p>
    <w:p w14:paraId="391CEC87">
      <w:pPr>
        <w:pStyle w:val="20"/>
        <w:widowControl/>
        <w:shd w:val="clear" w:color="auto" w:fill="FFFFFF"/>
        <w:spacing w:beforeAutospacing="0" w:afterAutospacing="0" w:line="360" w:lineRule="auto"/>
        <w:ind w:firstLine="482"/>
        <w:jc w:val="both"/>
        <w:rPr>
          <w:rFonts w:hint="eastAsia" w:ascii="宋体" w:hAnsi="宋体" w:cs="宋体"/>
          <w:color w:val="auto"/>
          <w:szCs w:val="24"/>
          <w:highlight w:val="none"/>
        </w:rPr>
      </w:pPr>
      <w:r>
        <w:rPr>
          <w:rFonts w:hint="eastAsia" w:ascii="宋体" w:hAnsi="宋体" w:cs="宋体"/>
          <w:color w:val="auto"/>
          <w:szCs w:val="24"/>
          <w:highlight w:val="none"/>
        </w:rPr>
        <w:t>3.响应报价低于采购项目最高限价45%的，即响应报价&lt;采购项目最高限价×45%；</w:t>
      </w:r>
    </w:p>
    <w:p w14:paraId="0CF0712F">
      <w:pPr>
        <w:pStyle w:val="20"/>
        <w:widowControl/>
        <w:shd w:val="clear" w:color="auto" w:fill="FFFFFF"/>
        <w:spacing w:beforeAutospacing="0" w:afterAutospacing="0" w:line="360" w:lineRule="auto"/>
        <w:ind w:firstLine="482"/>
        <w:jc w:val="both"/>
        <w:rPr>
          <w:rFonts w:hint="eastAsia" w:ascii="宋体" w:hAnsi="宋体" w:cs="宋体"/>
          <w:color w:val="auto"/>
          <w:szCs w:val="24"/>
          <w:highlight w:val="none"/>
        </w:rPr>
      </w:pPr>
      <w:r>
        <w:rPr>
          <w:rFonts w:hint="eastAsia" w:ascii="宋体" w:hAnsi="宋体" w:cs="宋体"/>
          <w:color w:val="auto"/>
          <w:szCs w:val="24"/>
          <w:highlight w:val="none"/>
        </w:rPr>
        <w:t>4.评审小组基于专业判断，认为供应商报价过低，有可能影响产品质量或者不能诚信履约的其他情形。</w:t>
      </w:r>
    </w:p>
    <w:p w14:paraId="587E095C">
      <w:pPr>
        <w:pStyle w:val="20"/>
        <w:widowControl/>
        <w:shd w:val="clear" w:color="auto" w:fill="FFFFFF"/>
        <w:spacing w:beforeAutospacing="0" w:afterAutospacing="0" w:line="360" w:lineRule="auto"/>
        <w:ind w:firstLine="482"/>
        <w:jc w:val="both"/>
        <w:rPr>
          <w:rFonts w:hint="eastAsia" w:ascii="宋体" w:hAnsi="宋体" w:cs="宋体"/>
          <w:color w:val="auto"/>
          <w:szCs w:val="24"/>
          <w:highlight w:val="none"/>
        </w:rPr>
      </w:pPr>
      <w:r>
        <w:rPr>
          <w:rFonts w:hint="eastAsia" w:ascii="宋体" w:hAnsi="宋体" w:cs="宋体"/>
          <w:color w:val="auto"/>
          <w:szCs w:val="24"/>
          <w:highlight w:val="none"/>
        </w:rPr>
        <w:t>评审小组应当要求相关供应商在评审现场不少于30分钟时间内对响应价格作出解释，并提供项目具体成本测算等与报价合理性相关的书面说明及必要的证明材料。</w:t>
      </w:r>
    </w:p>
    <w:p w14:paraId="1F10964F">
      <w:pPr>
        <w:pStyle w:val="20"/>
        <w:widowControl/>
        <w:shd w:val="clear" w:color="auto" w:fill="FFFFFF"/>
        <w:spacing w:beforeAutospacing="0" w:afterAutospacing="0" w:line="360" w:lineRule="auto"/>
        <w:ind w:firstLine="482"/>
        <w:jc w:val="both"/>
        <w:rPr>
          <w:rFonts w:hint="eastAsia" w:ascii="宋体" w:hAnsi="宋体" w:cs="宋体"/>
          <w:color w:val="auto"/>
          <w:szCs w:val="24"/>
          <w:highlight w:val="none"/>
        </w:rPr>
      </w:pPr>
      <w:r>
        <w:rPr>
          <w:rFonts w:hint="eastAsia" w:ascii="宋体" w:hAnsi="宋体" w:cs="宋体"/>
          <w:color w:val="auto"/>
          <w:szCs w:val="24"/>
          <w:highlight w:val="none"/>
        </w:rPr>
        <w:t>评审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14:paraId="7E425017">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七、评审争议</w:t>
      </w:r>
    </w:p>
    <w:p w14:paraId="5107723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评审时评审成员对评审的细则若有争议，由评审小组各成员集体讨论确定，并对未尽情况有最终解释权。</w:t>
      </w:r>
    </w:p>
    <w:p w14:paraId="25B5D5E4">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八、评审结果解释</w:t>
      </w:r>
    </w:p>
    <w:p w14:paraId="4BDB55D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对落标的供应商不做落标原因的解释。</w:t>
      </w:r>
    </w:p>
    <w:p w14:paraId="69849DD3">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九、出现下列情形之一的，作无效响应处理</w:t>
      </w:r>
    </w:p>
    <w:p w14:paraId="1FA7A37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1.响应文件未按规定要求装订、密封、签署、盖章及主要资料不齐全的；</w:t>
      </w:r>
    </w:p>
    <w:p w14:paraId="7D35B5D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2.响应文件的资料有虚报或者谎报的；</w:t>
      </w:r>
    </w:p>
    <w:p w14:paraId="108E9F4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3.响应文件技术部分出现响应价格的内容；</w:t>
      </w:r>
    </w:p>
    <w:p w14:paraId="4A811F1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4.不具备比选文件规定的资格要求的；</w:t>
      </w:r>
    </w:p>
    <w:p w14:paraId="5691927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5.响应文件有重大漏项或重大不合理的；</w:t>
      </w:r>
    </w:p>
    <w:p w14:paraId="29AC970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6.项目技术、方案不满足用户需求中的要求，有重大偏离或保留的；</w:t>
      </w:r>
    </w:p>
    <w:p w14:paraId="5D2BB3E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7.响应报价超出项目预算的；</w:t>
      </w:r>
    </w:p>
    <w:p w14:paraId="70A25BA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8.被认定为低于成本报价竞标的；</w:t>
      </w:r>
    </w:p>
    <w:p w14:paraId="1FA2ACE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9.供应商的技术标得分畸低，被认定为未实质性响应的；</w:t>
      </w:r>
    </w:p>
    <w:p w14:paraId="3ECFB30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10.不符合法律法规和比选文件中规定的其他实质性响应要求的；</w:t>
      </w:r>
    </w:p>
    <w:p w14:paraId="41139AE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11.评审小组可以认定为其他可构成未实质性响应比选文件要求的。</w:t>
      </w:r>
    </w:p>
    <w:p w14:paraId="2829C8AA">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十、出现下列情形之一的，作废标处理</w:t>
      </w:r>
    </w:p>
    <w:p w14:paraId="6603DF3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1.符合资格条件或者对比选文件作实质响应的供应商不足3家的；</w:t>
      </w:r>
    </w:p>
    <w:p w14:paraId="3D967F4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519D487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3.所有供应商报价超出采购预算价的；</w:t>
      </w:r>
    </w:p>
    <w:p w14:paraId="19F0F0B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4.因重大变故，采购任务被取消的；</w:t>
      </w:r>
    </w:p>
    <w:p w14:paraId="4B506CC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5.评标小组依据法律法规可以认定为废标的其他情况。</w:t>
      </w:r>
    </w:p>
    <w:p w14:paraId="6769301B">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十一、成交通知</w:t>
      </w:r>
    </w:p>
    <w:p w14:paraId="49676FA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1.评审结束后，采购人将成交结果在南通市教育局网公告1个工作日，同时向成交供应商发出《成交通知书》。</w:t>
      </w:r>
    </w:p>
    <w:p w14:paraId="2033061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2.《成交通知书》一经发出，即具有法律效力。采购人、成交供应商依法承担法律责任。</w:t>
      </w:r>
    </w:p>
    <w:p w14:paraId="607DE245">
      <w:pPr>
        <w:snapToGrid w:val="0"/>
        <w:spacing w:line="360" w:lineRule="auto"/>
        <w:ind w:firstLine="482" w:firstLineChars="200"/>
        <w:jc w:val="center"/>
        <w:outlineLvl w:val="0"/>
        <w:rPr>
          <w:rFonts w:hint="eastAsia" w:ascii="宋体" w:hAnsi="宋体" w:cs="宋体"/>
          <w:color w:val="auto"/>
          <w:sz w:val="24"/>
          <w:szCs w:val="24"/>
          <w:highlight w:val="none"/>
        </w:rPr>
      </w:pPr>
      <w:bookmarkStart w:id="36" w:name="_Toc13768"/>
      <w:r>
        <w:rPr>
          <w:rFonts w:hint="eastAsia" w:ascii="宋体" w:hAnsi="宋体" w:cs="宋体"/>
          <w:b/>
          <w:color w:val="auto"/>
          <w:sz w:val="24"/>
          <w:szCs w:val="24"/>
          <w:highlight w:val="none"/>
        </w:rPr>
        <w:br w:type="page"/>
      </w:r>
      <w:r>
        <w:rPr>
          <w:rFonts w:hint="eastAsia" w:ascii="宋体" w:hAnsi="宋体" w:cs="宋体"/>
          <w:b/>
          <w:color w:val="auto"/>
          <w:spacing w:val="6"/>
          <w:sz w:val="36"/>
          <w:szCs w:val="36"/>
          <w:highlight w:val="none"/>
        </w:rPr>
        <w:t>第五章  合同签订与验收付款</w:t>
      </w:r>
      <w:bookmarkEnd w:id="36"/>
    </w:p>
    <w:p w14:paraId="585E4E33">
      <w:pPr>
        <w:pStyle w:val="33"/>
        <w:tabs>
          <w:tab w:val="right" w:leader="dot" w:pos="9214"/>
        </w:tabs>
        <w:snapToGrid w:val="0"/>
        <w:spacing w:line="360" w:lineRule="auto"/>
        <w:ind w:right="443" w:rightChars="211"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一、成交供应商在接到《成交通知书》后30个日历天内按照比选文件确定的事项和采购人签订采购合同。</w:t>
      </w:r>
      <w:r>
        <w:rPr>
          <w:rFonts w:hint="eastAsia" w:ascii="宋体" w:eastAsia="宋体" w:cs="宋体"/>
          <w:color w:val="auto"/>
          <w:sz w:val="24"/>
          <w:szCs w:val="24"/>
          <w:highlight w:val="none"/>
          <w:lang w:val="zh-CN"/>
        </w:rPr>
        <w:t>所签合同不得对</w:t>
      </w:r>
      <w:r>
        <w:rPr>
          <w:rFonts w:hint="eastAsia" w:ascii="宋体" w:eastAsia="宋体" w:cs="宋体"/>
          <w:color w:val="auto"/>
          <w:sz w:val="24"/>
          <w:szCs w:val="24"/>
          <w:highlight w:val="none"/>
        </w:rPr>
        <w:t>比选文件</w:t>
      </w:r>
      <w:r>
        <w:rPr>
          <w:rFonts w:hint="eastAsia" w:ascii="宋体" w:eastAsia="宋体" w:cs="宋体"/>
          <w:color w:val="auto"/>
          <w:sz w:val="24"/>
          <w:szCs w:val="24"/>
          <w:highlight w:val="none"/>
          <w:lang w:val="zh-CN"/>
        </w:rPr>
        <w:t>作实质性修改</w:t>
      </w:r>
      <w:r>
        <w:rPr>
          <w:rFonts w:hint="eastAsia" w:ascii="宋体" w:eastAsia="宋体" w:cs="宋体"/>
          <w:color w:val="auto"/>
          <w:sz w:val="24"/>
          <w:szCs w:val="24"/>
          <w:highlight w:val="none"/>
        </w:rPr>
        <w:t>。采购人不得向成交供应商提出不合理的要求作为签订合同的条件，不得与成交供应商私下订立背离比选文件实质性内容的协议。</w:t>
      </w:r>
      <w:bookmarkStart w:id="37" w:name="_Toc363573858"/>
      <w:bookmarkStart w:id="38" w:name="_Toc94585343"/>
    </w:p>
    <w:p w14:paraId="34EAF244">
      <w:pPr>
        <w:tabs>
          <w:tab w:val="right" w:leader="dot" w:pos="9214"/>
        </w:tabs>
        <w:spacing w:line="360" w:lineRule="auto"/>
        <w:ind w:right="443" w:rightChars="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二、比选文件、成交</w:t>
      </w:r>
      <w:r>
        <w:rPr>
          <w:rFonts w:hint="eastAsia" w:ascii="宋体" w:cs="宋体"/>
          <w:color w:val="auto"/>
          <w:sz w:val="24"/>
          <w:szCs w:val="24"/>
          <w:highlight w:val="none"/>
        </w:rPr>
        <w:t>供应商</w:t>
      </w:r>
      <w:r>
        <w:rPr>
          <w:rFonts w:hint="eastAsia" w:ascii="宋体" w:hAnsi="宋体" w:cs="宋体"/>
          <w:color w:val="auto"/>
          <w:sz w:val="24"/>
          <w:szCs w:val="24"/>
          <w:highlight w:val="none"/>
        </w:rPr>
        <w:t>的响应文件及评审过程中有关书面澄清、承诺等均应作为合同附件，具有同等的法律效力。</w:t>
      </w:r>
    </w:p>
    <w:p w14:paraId="345CD838">
      <w:pPr>
        <w:tabs>
          <w:tab w:val="right" w:leader="dot" w:pos="9214"/>
        </w:tabs>
        <w:spacing w:line="360" w:lineRule="auto"/>
        <w:ind w:right="443" w:rightChars="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w:t>
      </w:r>
      <w:r>
        <w:rPr>
          <w:rFonts w:hint="eastAsia" w:ascii="宋体" w:cs="宋体"/>
          <w:color w:val="auto"/>
          <w:sz w:val="24"/>
          <w:szCs w:val="24"/>
          <w:highlight w:val="none"/>
        </w:rPr>
        <w:t>供应商</w:t>
      </w:r>
      <w:r>
        <w:rPr>
          <w:rFonts w:hint="eastAsia" w:ascii="宋体" w:hAnsi="宋体" w:cs="宋体"/>
          <w:color w:val="auto"/>
          <w:sz w:val="24"/>
          <w:szCs w:val="24"/>
          <w:highlight w:val="none"/>
        </w:rPr>
        <w:t>不得采用转包、分包的形式履行合同，否则，采购人有权终止合同，造成采购人损失的，成交</w:t>
      </w:r>
      <w:r>
        <w:rPr>
          <w:rFonts w:hint="eastAsia" w:ascii="宋体" w:cs="宋体"/>
          <w:color w:val="auto"/>
          <w:sz w:val="24"/>
          <w:szCs w:val="24"/>
          <w:highlight w:val="none"/>
        </w:rPr>
        <w:t>供应商</w:t>
      </w:r>
      <w:r>
        <w:rPr>
          <w:rFonts w:hint="eastAsia" w:ascii="宋体" w:hAnsi="宋体" w:cs="宋体"/>
          <w:color w:val="auto"/>
          <w:sz w:val="24"/>
          <w:szCs w:val="24"/>
          <w:highlight w:val="none"/>
        </w:rPr>
        <w:t>应承担相应赔偿责任。</w:t>
      </w:r>
    </w:p>
    <w:bookmarkEnd w:id="37"/>
    <w:bookmarkEnd w:id="38"/>
    <w:p w14:paraId="68DFBB0D">
      <w:pPr>
        <w:tabs>
          <w:tab w:val="right" w:leader="dot" w:pos="9214"/>
        </w:tabs>
        <w:spacing w:line="360" w:lineRule="auto"/>
        <w:ind w:right="443" w:rightChars="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四、采购人和成交</w:t>
      </w:r>
      <w:r>
        <w:rPr>
          <w:rFonts w:hint="eastAsia" w:ascii="宋体" w:cs="宋体"/>
          <w:color w:val="auto"/>
          <w:sz w:val="24"/>
          <w:szCs w:val="24"/>
          <w:highlight w:val="none"/>
        </w:rPr>
        <w:t>供应商</w:t>
      </w:r>
      <w:r>
        <w:rPr>
          <w:rFonts w:hint="eastAsia" w:ascii="宋体" w:hAnsi="宋体" w:cs="宋体"/>
          <w:color w:val="auto"/>
          <w:sz w:val="24"/>
          <w:szCs w:val="24"/>
          <w:highlight w:val="none"/>
        </w:rPr>
        <w:t>应相互配合，按采购合同约定积极组织本项目的实施，确保项目按时完成。</w:t>
      </w:r>
    </w:p>
    <w:p w14:paraId="6A17D256">
      <w:pPr>
        <w:tabs>
          <w:tab w:val="right" w:leader="dot" w:pos="9214"/>
        </w:tabs>
        <w:spacing w:line="360" w:lineRule="auto"/>
        <w:ind w:right="443" w:rightChars="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五、成交</w:t>
      </w:r>
      <w:r>
        <w:rPr>
          <w:rFonts w:hint="eastAsia" w:ascii="宋体" w:cs="宋体"/>
          <w:color w:val="auto"/>
          <w:sz w:val="24"/>
          <w:szCs w:val="24"/>
          <w:highlight w:val="none"/>
        </w:rPr>
        <w:t>供应商</w:t>
      </w:r>
      <w:r>
        <w:rPr>
          <w:rFonts w:hint="eastAsia" w:ascii="宋体" w:hAnsi="宋体" w:cs="宋体"/>
          <w:color w:val="auto"/>
          <w:sz w:val="24"/>
          <w:szCs w:val="24"/>
          <w:highlight w:val="none"/>
        </w:rPr>
        <w:t>履约到位后，应以书面形式向采购人提出验收申请。采购人接到申请后应及时组织验收。</w:t>
      </w:r>
    </w:p>
    <w:p w14:paraId="2EED2DAC">
      <w:pPr>
        <w:tabs>
          <w:tab w:val="right" w:leader="dot" w:pos="9214"/>
        </w:tabs>
        <w:spacing w:line="360" w:lineRule="auto"/>
        <w:ind w:right="443" w:rightChars="2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六、采购人、成交</w:t>
      </w:r>
      <w:r>
        <w:rPr>
          <w:rFonts w:hint="eastAsia" w:ascii="宋体" w:cs="宋体"/>
          <w:color w:val="auto"/>
          <w:sz w:val="24"/>
          <w:szCs w:val="24"/>
          <w:highlight w:val="none"/>
        </w:rPr>
        <w:t>供应商</w:t>
      </w:r>
      <w:r>
        <w:rPr>
          <w:rFonts w:hint="eastAsia" w:ascii="宋体" w:hAnsi="宋体" w:cs="宋体"/>
          <w:color w:val="auto"/>
          <w:sz w:val="24"/>
          <w:szCs w:val="24"/>
          <w:highlight w:val="none"/>
        </w:rPr>
        <w:t>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10"/>
        <w:tabs>
          <w:tab w:val="right" w:leader="dot" w:pos="9214"/>
        </w:tabs>
        <w:spacing w:line="360" w:lineRule="auto"/>
        <w:ind w:right="443" w:rightChars="211"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七、按采购合同约定支付的项目合同价款。</w:t>
      </w:r>
    </w:p>
    <w:p w14:paraId="357BA30E">
      <w:pPr>
        <w:spacing w:line="360" w:lineRule="auto"/>
        <w:ind w:firstLine="482" w:firstLineChars="200"/>
        <w:rPr>
          <w:rFonts w:hint="eastAsia" w:ascii="宋体" w:hAnsi="宋体" w:cs="宋体"/>
          <w:b/>
          <w:color w:val="auto"/>
          <w:sz w:val="24"/>
          <w:szCs w:val="24"/>
          <w:highlight w:val="none"/>
        </w:rPr>
      </w:pPr>
      <w:bookmarkStart w:id="39" w:name="_Toc14026"/>
      <w:r>
        <w:rPr>
          <w:rFonts w:hint="eastAsia" w:ascii="宋体" w:hAnsi="宋体" w:cs="宋体"/>
          <w:b/>
          <w:color w:val="auto"/>
          <w:sz w:val="24"/>
          <w:szCs w:val="24"/>
          <w:highlight w:val="none"/>
        </w:rPr>
        <w:br w:type="page"/>
      </w:r>
    </w:p>
    <w:p w14:paraId="632B1F6F">
      <w:pPr>
        <w:snapToGrid w:val="0"/>
        <w:spacing w:line="360" w:lineRule="auto"/>
        <w:ind w:firstLine="747" w:firstLineChars="200"/>
        <w:jc w:val="center"/>
        <w:outlineLvl w:val="0"/>
        <w:rPr>
          <w:rFonts w:hint="eastAsia" w:ascii="宋体" w:hAnsi="宋体" w:cs="宋体"/>
          <w:b/>
          <w:color w:val="auto"/>
          <w:spacing w:val="6"/>
          <w:sz w:val="36"/>
          <w:szCs w:val="36"/>
          <w:highlight w:val="none"/>
        </w:rPr>
      </w:pPr>
      <w:r>
        <w:rPr>
          <w:rFonts w:hint="eastAsia" w:ascii="宋体" w:hAnsi="宋体" w:cs="宋体"/>
          <w:b/>
          <w:color w:val="auto"/>
          <w:spacing w:val="6"/>
          <w:sz w:val="36"/>
          <w:szCs w:val="36"/>
          <w:highlight w:val="none"/>
        </w:rPr>
        <w:t>第六章</w:t>
      </w:r>
      <w:bookmarkEnd w:id="39"/>
      <w:bookmarkStart w:id="40" w:name="_Toc21870"/>
      <w:r>
        <w:rPr>
          <w:rFonts w:hint="eastAsia" w:ascii="宋体" w:hAnsi="宋体" w:cs="宋体"/>
          <w:b/>
          <w:color w:val="auto"/>
          <w:spacing w:val="6"/>
          <w:sz w:val="36"/>
          <w:szCs w:val="36"/>
          <w:highlight w:val="none"/>
        </w:rPr>
        <w:t xml:space="preserve">   响应文件组成</w:t>
      </w:r>
      <w:bookmarkEnd w:id="40"/>
    </w:p>
    <w:p w14:paraId="0861CCE1">
      <w:pPr>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响应文件由①资格后审材料文件、②商务技术标响应文件、③价格标响应文件、④电子响应文件共四部分组成。</w:t>
      </w:r>
    </w:p>
    <w:p w14:paraId="2AFD8844">
      <w:pPr>
        <w:pStyle w:val="34"/>
        <w:snapToGrid w:val="0"/>
        <w:spacing w:before="0" w:beforeAutospacing="0" w:after="0" w:afterAutospacing="0" w:line="360" w:lineRule="auto"/>
        <w:ind w:firstLine="482" w:firstLineChars="200"/>
        <w:contextualSpacing/>
        <w:jc w:val="both"/>
        <w:rPr>
          <w:rFonts w:hint="eastAsia"/>
          <w:b/>
          <w:color w:val="auto"/>
          <w:szCs w:val="24"/>
          <w:highlight w:val="none"/>
        </w:rPr>
      </w:pPr>
      <w:r>
        <w:rPr>
          <w:rFonts w:hint="eastAsia"/>
          <w:b/>
          <w:color w:val="auto"/>
          <w:szCs w:val="24"/>
          <w:highlight w:val="none"/>
        </w:rPr>
        <w:t>一、资格后审材料文件（一正两副，单独密封并牢固装订）：</w:t>
      </w:r>
    </w:p>
    <w:p w14:paraId="5B6158D7">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符合条件的声明函（格式见附件）；</w:t>
      </w:r>
    </w:p>
    <w:p w14:paraId="409A1C87">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2.法定代表人参加响应的，必须提供法定代表人身份证明；非法定代表人参加响应的，必须提供</w:t>
      </w:r>
      <w:r>
        <w:rPr>
          <w:rFonts w:hint="eastAsia" w:ascii="宋体" w:hAnsi="宋体" w:cs="宋体"/>
          <w:b/>
          <w:bCs/>
          <w:color w:val="auto"/>
          <w:sz w:val="24"/>
          <w:szCs w:val="24"/>
          <w:highlight w:val="none"/>
        </w:rPr>
        <w:t>法定代表人身份证明及法定代表人委托书</w:t>
      </w:r>
      <w:r>
        <w:rPr>
          <w:rFonts w:hint="eastAsia" w:ascii="宋体" w:hAnsi="宋体" w:cs="宋体"/>
          <w:color w:val="auto"/>
          <w:sz w:val="24"/>
          <w:szCs w:val="24"/>
          <w:highlight w:val="none"/>
        </w:rPr>
        <w:t>（格式参见附件）；</w:t>
      </w:r>
    </w:p>
    <w:p w14:paraId="73453A83">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3.提供法人或者其他组织的营业执照等证明文件（复印件加盖公章）</w:t>
      </w:r>
      <w:r>
        <w:rPr>
          <w:rFonts w:hint="eastAsia" w:ascii="宋体" w:hAnsi="宋体" w:cs="宋体"/>
          <w:color w:val="auto"/>
          <w:sz w:val="24"/>
          <w:szCs w:val="24"/>
          <w:highlight w:val="none"/>
          <w:lang w:val="zh-CN"/>
        </w:rPr>
        <w:t>；</w:t>
      </w:r>
    </w:p>
    <w:p w14:paraId="757AE2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4.供应商须具有</w:t>
      </w:r>
      <w:r>
        <w:rPr>
          <w:rFonts w:hint="eastAsia" w:ascii="宋体" w:hAnsi="宋体" w:eastAsia="宋体" w:cs="宋体"/>
          <w:b/>
          <w:bCs/>
          <w:color w:val="auto"/>
          <w:sz w:val="24"/>
          <w:szCs w:val="24"/>
          <w:highlight w:val="none"/>
          <w:lang w:val="en-US" w:eastAsia="zh-CN"/>
        </w:rPr>
        <w:t>文物保护工程勘察设计乙级及以上资质</w:t>
      </w:r>
      <w:r>
        <w:rPr>
          <w:rFonts w:hint="eastAsia" w:ascii="宋体" w:hAnsi="宋体" w:eastAsia="宋体" w:cs="宋体"/>
          <w:color w:val="auto"/>
          <w:sz w:val="24"/>
          <w:szCs w:val="24"/>
          <w:highlight w:val="none"/>
        </w:rPr>
        <w:t>（提供有效资质证书复印件加盖公章）；</w:t>
      </w:r>
    </w:p>
    <w:p w14:paraId="1E835E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5.项目负责人须</w:t>
      </w:r>
      <w:r>
        <w:rPr>
          <w:rFonts w:hint="eastAsia" w:ascii="宋体" w:hAnsi="宋体" w:eastAsia="宋体" w:cs="宋体"/>
          <w:b/>
          <w:bCs/>
          <w:color w:val="auto"/>
          <w:sz w:val="24"/>
          <w:szCs w:val="24"/>
          <w:highlight w:val="none"/>
        </w:rPr>
        <w:t>具备建筑设计相关专业高级工程师及以上职称, 须为参选人正式人员并提供</w:t>
      </w:r>
      <w:r>
        <w:rPr>
          <w:rFonts w:hint="eastAsia" w:ascii="宋体" w:hAnsi="宋体" w:eastAsia="宋体" w:cs="宋体"/>
          <w:b/>
          <w:bCs/>
          <w:color w:val="auto"/>
          <w:sz w:val="24"/>
          <w:szCs w:val="24"/>
          <w:highlight w:val="none"/>
          <w:lang w:val="en-US" w:eastAsia="zh-CN"/>
        </w:rPr>
        <w:t>参选人</w:t>
      </w:r>
      <w:r>
        <w:rPr>
          <w:rFonts w:hint="eastAsia" w:ascii="宋体" w:hAnsi="宋体" w:eastAsia="宋体" w:cs="宋体"/>
          <w:b/>
          <w:bCs/>
          <w:color w:val="auto"/>
          <w:sz w:val="24"/>
          <w:szCs w:val="24"/>
          <w:highlight w:val="none"/>
        </w:rPr>
        <w:t>与项目负责人双方签订的有效劳动合同书及社保机构出具的参选人为其缴纳的</w:t>
      </w:r>
      <w:r>
        <w:rPr>
          <w:rFonts w:hint="eastAsia" w:ascii="宋体" w:hAnsi="宋体" w:eastAsia="宋体" w:cs="宋体"/>
          <w:b/>
          <w:bCs/>
          <w:color w:val="auto"/>
          <w:sz w:val="24"/>
          <w:szCs w:val="24"/>
          <w:highlight w:val="none"/>
          <w:lang w:val="en-US" w:eastAsia="zh-CN"/>
        </w:rPr>
        <w:t>2026年1月以来任意一个月</w:t>
      </w:r>
      <w:r>
        <w:rPr>
          <w:rFonts w:hint="eastAsia" w:ascii="宋体" w:hAnsi="宋体" w:eastAsia="宋体" w:cs="宋体"/>
          <w:b/>
          <w:bCs/>
          <w:color w:val="auto"/>
          <w:sz w:val="24"/>
          <w:szCs w:val="24"/>
          <w:highlight w:val="none"/>
        </w:rPr>
        <w:t>的社保缴费证明</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（提供上述所需证明材料加盖公章）；</w:t>
      </w:r>
    </w:p>
    <w:p w14:paraId="7CE4846F">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6.供应商未被“信用中国”网站列入失信被执行人、重大税收违法案件当事人名单、采购严重失信行为记录名单，提供无失信记录声明函（格式见附件）；</w:t>
      </w:r>
    </w:p>
    <w:p w14:paraId="1489C409">
      <w:pPr>
        <w:pStyle w:val="11"/>
        <w:rPr>
          <w:color w:val="auto"/>
          <w:highlight w:val="none"/>
        </w:rPr>
      </w:pPr>
      <w:r>
        <w:rPr>
          <w:rFonts w:hint="eastAsia" w:ascii="宋体" w:hAnsi="宋体" w:cs="宋体"/>
          <w:color w:val="auto"/>
          <w:sz w:val="24"/>
          <w:szCs w:val="24"/>
          <w:highlight w:val="none"/>
        </w:rPr>
        <w:t>7.供应商满足其他要求的承诺函（格式见附件）。</w:t>
      </w:r>
    </w:p>
    <w:p w14:paraId="2B2A4EA7">
      <w:pPr>
        <w:widowControl/>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二、商务技术标响应文件（一正两副，单独密封并牢固装订）：</w:t>
      </w:r>
    </w:p>
    <w:p w14:paraId="11181CBC">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1.商务部分正负偏离表（格式参见附件）；</w:t>
      </w:r>
    </w:p>
    <w:p w14:paraId="65131762">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2.技术部分正负偏离表（格式参见附件）；</w:t>
      </w:r>
    </w:p>
    <w:p w14:paraId="31C7D8E5">
      <w:pPr>
        <w:adjustRightInd w:val="0"/>
        <w:snapToGrid w:val="0"/>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3.</w:t>
      </w:r>
      <w:r>
        <w:rPr>
          <w:rFonts w:ascii="宋体" w:hAnsi="宋体"/>
          <w:bCs/>
          <w:color w:val="auto"/>
          <w:sz w:val="24"/>
          <w:szCs w:val="24"/>
          <w:highlight w:val="none"/>
          <w:lang w:val="zh-CN"/>
        </w:rPr>
        <w:t>商务技术评分标准中</w:t>
      </w:r>
      <w:r>
        <w:rPr>
          <w:rFonts w:hint="eastAsia" w:ascii="宋体" w:hAnsi="宋体"/>
          <w:bCs/>
          <w:color w:val="auto"/>
          <w:sz w:val="24"/>
          <w:szCs w:val="24"/>
          <w:highlight w:val="none"/>
          <w:lang w:val="zh-CN"/>
        </w:rPr>
        <w:t>需</w:t>
      </w:r>
      <w:r>
        <w:rPr>
          <w:rFonts w:ascii="宋体" w:hAnsi="宋体"/>
          <w:bCs/>
          <w:color w:val="auto"/>
          <w:sz w:val="24"/>
          <w:szCs w:val="24"/>
          <w:highlight w:val="none"/>
          <w:lang w:val="zh-CN"/>
        </w:rPr>
        <w:t>提供的相关得分佐证材料；</w:t>
      </w:r>
    </w:p>
    <w:p w14:paraId="4983EBCE">
      <w:pPr>
        <w:adjustRightInd w:val="0"/>
        <w:snapToGrid w:val="0"/>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4.</w:t>
      </w:r>
      <w:r>
        <w:rPr>
          <w:rFonts w:ascii="宋体" w:hAnsi="宋体"/>
          <w:bCs/>
          <w:color w:val="auto"/>
          <w:sz w:val="24"/>
          <w:szCs w:val="24"/>
          <w:highlight w:val="none"/>
          <w:lang w:val="zh-CN"/>
        </w:rPr>
        <w:t>供应商认为需要提交的其他商务技术材料。</w:t>
      </w:r>
    </w:p>
    <w:p w14:paraId="2CD61664">
      <w:pPr>
        <w:widowControl/>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三、价格标响应文件（一正两副，单独密封并牢固装订）：</w:t>
      </w:r>
    </w:p>
    <w:p w14:paraId="2C25B5E6">
      <w:pPr>
        <w:tabs>
          <w:tab w:val="left" w:pos="126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1.报价总表（格式参见附件）。</w:t>
      </w:r>
    </w:p>
    <w:p w14:paraId="3DBFFB8B">
      <w:pPr>
        <w:tabs>
          <w:tab w:val="left" w:pos="1260"/>
        </w:tabs>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四、电子响应文件</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一份，单独密封</w:t>
      </w:r>
      <w:r>
        <w:rPr>
          <w:rFonts w:hint="eastAsia" w:ascii="宋体" w:hAnsi="宋体" w:cs="宋体"/>
          <w:b/>
          <w:bCs/>
          <w:color w:val="auto"/>
          <w:sz w:val="24"/>
          <w:szCs w:val="24"/>
          <w:highlight w:val="none"/>
          <w:lang w:val="zh-CN"/>
        </w:rPr>
        <w:t>）</w:t>
      </w:r>
    </w:p>
    <w:p w14:paraId="0921C5D0">
      <w:pPr>
        <w:tabs>
          <w:tab w:val="left" w:pos="126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响应文件的内容为“资格后审材料文件、商务技术标响应文件、价格标响应文件”的打印盖章或电子签章后的响应文件的扫描件（资格后审材料文件、商务技术标响应文件、价格标响应文件需分别逐页连续扫描为三个独立的PDF文件），采取U盘方式单独密封提交。</w:t>
      </w:r>
      <w:r>
        <w:rPr>
          <w:rFonts w:hint="eastAsia" w:ascii="宋体" w:hAnsi="宋体" w:cs="宋体"/>
          <w:color w:val="auto"/>
          <w:sz w:val="24"/>
          <w:szCs w:val="24"/>
          <w:highlight w:val="none"/>
        </w:rPr>
        <w:br w:type="page"/>
      </w:r>
    </w:p>
    <w:p w14:paraId="6FAE668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附件</w:t>
      </w:r>
    </w:p>
    <w:p w14:paraId="6D0ABF66">
      <w:pPr>
        <w:adjustRightInd w:val="0"/>
        <w:snapToGrid w:val="0"/>
        <w:spacing w:line="420" w:lineRule="exact"/>
        <w:jc w:val="center"/>
        <w:rPr>
          <w:b/>
          <w:bCs/>
          <w:color w:val="auto"/>
          <w:sz w:val="28"/>
          <w:szCs w:val="28"/>
          <w:highlight w:val="none"/>
        </w:rPr>
      </w:pPr>
      <w:r>
        <w:rPr>
          <w:rFonts w:hint="eastAsia" w:cs="宋体"/>
          <w:b/>
          <w:bCs/>
          <w:color w:val="auto"/>
          <w:sz w:val="28"/>
          <w:szCs w:val="28"/>
          <w:highlight w:val="none"/>
        </w:rPr>
        <w:t>（封面）</w:t>
      </w:r>
    </w:p>
    <w:p w14:paraId="3CFD4A4D">
      <w:pPr>
        <w:spacing w:line="360" w:lineRule="auto"/>
        <w:ind w:firstLine="883" w:firstLineChars="200"/>
        <w:jc w:val="center"/>
        <w:rPr>
          <w:rFonts w:hint="eastAsia" w:ascii="宋体" w:hAnsi="宋体" w:cs="宋体"/>
          <w:b/>
          <w:color w:val="auto"/>
          <w:sz w:val="44"/>
          <w:szCs w:val="44"/>
          <w:highlight w:val="none"/>
        </w:rPr>
      </w:pPr>
    </w:p>
    <w:p w14:paraId="0B423653">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人民西路38号别墅（崇文楼）修缮保护工程设计采购项目</w:t>
      </w:r>
    </w:p>
    <w:p w14:paraId="37E1F91C">
      <w:pPr>
        <w:spacing w:line="360" w:lineRule="auto"/>
        <w:jc w:val="center"/>
        <w:rPr>
          <w:rFonts w:hint="eastAsia" w:ascii="宋体" w:hAnsi="宋体" w:cs="宋体"/>
          <w:b/>
          <w:color w:val="auto"/>
          <w:sz w:val="44"/>
          <w:szCs w:val="44"/>
          <w:highlight w:val="none"/>
        </w:rPr>
      </w:pPr>
    </w:p>
    <w:p w14:paraId="63095EAF">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项目编号：</w:t>
      </w:r>
      <w:r>
        <w:rPr>
          <w:rFonts w:hint="eastAsia" w:ascii="宋体" w:hAnsi="宋体" w:eastAsia="宋体" w:cs="宋体"/>
          <w:color w:val="auto"/>
          <w:sz w:val="36"/>
          <w:szCs w:val="36"/>
          <w:highlight w:val="none"/>
          <w:lang w:val="en-US" w:eastAsia="zh-CN"/>
        </w:rPr>
        <w:t>NTYZ</w:t>
      </w:r>
      <w:r>
        <w:rPr>
          <w:rFonts w:hint="eastAsia" w:ascii="宋体" w:hAnsi="宋体" w:eastAsia="宋体" w:cs="宋体"/>
          <w:color w:val="auto"/>
          <w:sz w:val="36"/>
          <w:szCs w:val="36"/>
          <w:highlight w:val="none"/>
        </w:rPr>
        <w:t>20260</w:t>
      </w:r>
      <w:r>
        <w:rPr>
          <w:rFonts w:hint="eastAsia" w:ascii="宋体" w:hAnsi="宋体" w:cs="宋体"/>
          <w:color w:val="auto"/>
          <w:sz w:val="36"/>
          <w:szCs w:val="36"/>
          <w:highlight w:val="none"/>
          <w:lang w:val="en-US" w:eastAsia="zh-CN"/>
        </w:rPr>
        <w:t>430</w:t>
      </w:r>
    </w:p>
    <w:p w14:paraId="69B09300">
      <w:pPr>
        <w:spacing w:line="360" w:lineRule="auto"/>
        <w:ind w:firstLine="480" w:firstLineChars="200"/>
        <w:rPr>
          <w:rFonts w:hint="eastAsia" w:ascii="宋体" w:hAnsi="宋体" w:cs="宋体"/>
          <w:color w:val="auto"/>
          <w:sz w:val="24"/>
          <w:highlight w:val="none"/>
        </w:rPr>
      </w:pPr>
    </w:p>
    <w:p w14:paraId="178D5EE5">
      <w:pPr>
        <w:spacing w:line="360" w:lineRule="auto"/>
        <w:ind w:firstLine="480" w:firstLineChars="200"/>
        <w:rPr>
          <w:rFonts w:hint="eastAsia" w:ascii="宋体" w:hAnsi="宋体" w:cs="宋体"/>
          <w:color w:val="auto"/>
          <w:sz w:val="24"/>
          <w:highlight w:val="none"/>
        </w:rPr>
      </w:pPr>
    </w:p>
    <w:p w14:paraId="257E256D">
      <w:pPr>
        <w:spacing w:line="360" w:lineRule="auto"/>
        <w:ind w:firstLine="480" w:firstLineChars="200"/>
        <w:rPr>
          <w:rFonts w:hint="eastAsia" w:ascii="宋体" w:hAnsi="宋体" w:cs="宋体"/>
          <w:color w:val="auto"/>
          <w:sz w:val="24"/>
          <w:highlight w:val="none"/>
        </w:rPr>
      </w:pPr>
    </w:p>
    <w:p w14:paraId="736E7CD8">
      <w:pPr>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6B0CBAD2">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对应响应文件填写：资格后审材料文件</w:t>
      </w:r>
    </w:p>
    <w:p w14:paraId="6267ED6B">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对应响应文件填写：商务技术标响应文件</w:t>
      </w:r>
    </w:p>
    <w:p w14:paraId="3406D964">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对应响应文件填写：价格标响应文件</w:t>
      </w:r>
    </w:p>
    <w:p w14:paraId="1090321A">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对应响应文件填写：电子响应文件</w:t>
      </w:r>
    </w:p>
    <w:p w14:paraId="06DEBB48">
      <w:pPr>
        <w:spacing w:line="360" w:lineRule="auto"/>
        <w:ind w:firstLine="480" w:firstLineChars="200"/>
        <w:rPr>
          <w:rFonts w:hint="eastAsia" w:ascii="宋体" w:hAnsi="宋体" w:cs="宋体"/>
          <w:color w:val="auto"/>
          <w:sz w:val="24"/>
          <w:highlight w:val="none"/>
        </w:rPr>
      </w:pPr>
    </w:p>
    <w:p w14:paraId="4AA9A353">
      <w:pPr>
        <w:spacing w:line="360" w:lineRule="auto"/>
        <w:ind w:firstLine="482" w:firstLineChars="200"/>
        <w:rPr>
          <w:rFonts w:hint="eastAsia" w:ascii="宋体" w:hAnsi="宋体" w:cs="宋体"/>
          <w:b/>
          <w:color w:val="auto"/>
          <w:sz w:val="24"/>
          <w:highlight w:val="none"/>
        </w:rPr>
      </w:pPr>
    </w:p>
    <w:p w14:paraId="68EB7586">
      <w:pPr>
        <w:snapToGrid w:val="0"/>
        <w:spacing w:line="360" w:lineRule="auto"/>
        <w:ind w:firstLine="482" w:firstLineChars="200"/>
        <w:rPr>
          <w:rFonts w:hint="eastAsia" w:ascii="宋体" w:hAnsi="宋体" w:cs="宋体"/>
          <w:b/>
          <w:color w:val="auto"/>
          <w:sz w:val="24"/>
          <w:highlight w:val="none"/>
        </w:rPr>
      </w:pPr>
    </w:p>
    <w:p w14:paraId="2C0895BC">
      <w:pPr>
        <w:spacing w:line="360" w:lineRule="auto"/>
        <w:ind w:firstLine="480" w:firstLineChars="200"/>
        <w:rPr>
          <w:rFonts w:hint="eastAsia" w:ascii="宋体" w:hAnsi="宋体" w:cs="宋体"/>
          <w:color w:val="auto"/>
          <w:sz w:val="24"/>
          <w:highlight w:val="none"/>
        </w:rPr>
      </w:pPr>
    </w:p>
    <w:p w14:paraId="60651108">
      <w:pPr>
        <w:spacing w:line="360" w:lineRule="auto"/>
        <w:ind w:firstLine="480" w:firstLineChars="200"/>
        <w:rPr>
          <w:rFonts w:hint="eastAsia" w:ascii="宋体" w:hAnsi="宋体" w:cs="宋体"/>
          <w:color w:val="auto"/>
          <w:sz w:val="24"/>
          <w:highlight w:val="none"/>
        </w:rPr>
      </w:pPr>
    </w:p>
    <w:p w14:paraId="204B418A">
      <w:pPr>
        <w:spacing w:line="360" w:lineRule="auto"/>
        <w:ind w:firstLine="480" w:firstLineChars="200"/>
        <w:jc w:val="center"/>
        <w:rPr>
          <w:rFonts w:hint="eastAsia" w:ascii="宋体" w:hAnsi="宋体" w:cs="宋体"/>
          <w:color w:val="auto"/>
          <w:sz w:val="24"/>
          <w:highlight w:val="none"/>
        </w:rPr>
      </w:pPr>
    </w:p>
    <w:p w14:paraId="021E189D">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参加供应商全称</w:t>
      </w:r>
      <w:r>
        <w:rPr>
          <w:rFonts w:hint="eastAsia" w:ascii="宋体" w:hAnsi="宋体" w:cs="宋体"/>
          <w:color w:val="auto"/>
          <w:sz w:val="28"/>
          <w:szCs w:val="28"/>
          <w:highlight w:val="none"/>
        </w:rPr>
        <w:t>（公章）</w:t>
      </w:r>
    </w:p>
    <w:p w14:paraId="57A2EB77">
      <w:pPr>
        <w:spacing w:line="360" w:lineRule="auto"/>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日  期：      年  月  日</w:t>
      </w:r>
    </w:p>
    <w:p w14:paraId="2030296C">
      <w:pPr>
        <w:spacing w:line="360" w:lineRule="auto"/>
        <w:ind w:firstLine="482"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1F21B71">
      <w:pPr>
        <w:jc w:val="center"/>
        <w:rPr>
          <w:rFonts w:hint="eastAsia" w:ascii="宋体" w:hAnsi="宋体"/>
          <w:b/>
          <w:color w:val="auto"/>
          <w:sz w:val="30"/>
          <w:szCs w:val="30"/>
          <w:highlight w:val="none"/>
        </w:rPr>
      </w:pPr>
      <w:r>
        <w:rPr>
          <w:rFonts w:hint="eastAsia" w:ascii="宋体" w:hAnsi="宋体"/>
          <w:b/>
          <w:color w:val="auto"/>
          <w:sz w:val="30"/>
          <w:szCs w:val="30"/>
          <w:highlight w:val="none"/>
        </w:rPr>
        <w:t>供应商符合条件的声明函</w:t>
      </w:r>
    </w:p>
    <w:p w14:paraId="589A5641">
      <w:pPr>
        <w:spacing w:line="460" w:lineRule="exact"/>
        <w:rPr>
          <w:rFonts w:hint="eastAsia" w:ascii="宋体" w:hAnsi="宋体"/>
          <w:b/>
          <w:bCs/>
          <w:color w:val="auto"/>
          <w:sz w:val="44"/>
          <w:szCs w:val="44"/>
          <w:highlight w:val="none"/>
        </w:rPr>
      </w:pPr>
    </w:p>
    <w:p w14:paraId="288AC5A7">
      <w:pPr>
        <w:spacing w:line="520" w:lineRule="exact"/>
        <w:ind w:firstLine="480" w:firstLineChars="200"/>
        <w:rPr>
          <w:rFonts w:hint="eastAsia" w:ascii="宋体" w:hAnsi="宋体"/>
          <w:b/>
          <w:bCs/>
          <w:color w:val="auto"/>
          <w:sz w:val="24"/>
          <w:szCs w:val="24"/>
          <w:highlight w:val="none"/>
        </w:rPr>
      </w:pPr>
      <w:r>
        <w:rPr>
          <w:rFonts w:hint="eastAsia" w:ascii="宋体" w:hAnsi="宋体"/>
          <w:bCs/>
          <w:color w:val="auto"/>
          <w:sz w:val="24"/>
          <w:szCs w:val="24"/>
          <w:highlight w:val="none"/>
        </w:rPr>
        <w:t>我单位参加</w:t>
      </w:r>
      <w:r>
        <w:rPr>
          <w:rFonts w:hint="eastAsia" w:ascii="宋体" w:hAnsi="宋体"/>
          <w:bCs/>
          <w:color w:val="auto"/>
          <w:sz w:val="24"/>
          <w:highlight w:val="none"/>
          <w:u w:val="single"/>
        </w:rPr>
        <w:t>_       （项目名称）_【项目编号：   】</w:t>
      </w:r>
      <w:r>
        <w:rPr>
          <w:rFonts w:hint="eastAsia" w:ascii="宋体" w:hAnsi="宋体"/>
          <w:bCs/>
          <w:color w:val="auto"/>
          <w:sz w:val="24"/>
          <w:highlight w:val="none"/>
        </w:rPr>
        <w:t>的比选活动。现做出如下声明：</w:t>
      </w:r>
    </w:p>
    <w:p w14:paraId="7E008905">
      <w:pPr>
        <w:spacing w:line="520" w:lineRule="exact"/>
        <w:ind w:firstLine="482"/>
        <w:rPr>
          <w:rFonts w:hint="eastAsia" w:ascii="宋体" w:hAnsi="宋体"/>
          <w:color w:val="auto"/>
          <w:sz w:val="24"/>
          <w:szCs w:val="24"/>
          <w:highlight w:val="none"/>
        </w:rPr>
      </w:pPr>
      <w:r>
        <w:rPr>
          <w:rFonts w:hint="eastAsia" w:ascii="宋体" w:hAnsi="宋体"/>
          <w:bCs/>
          <w:color w:val="auto"/>
          <w:sz w:val="24"/>
          <w:highlight w:val="none"/>
        </w:rPr>
        <w:t>1.我单位具有独立承担民事责任的能力；</w:t>
      </w:r>
    </w:p>
    <w:p w14:paraId="17BABEEB">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2.我单位具有良好的商业信誉和健全的财务会计制度；</w:t>
      </w:r>
    </w:p>
    <w:p w14:paraId="08249651">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3.我单位具有履行合同所必需的设备和专业技术能力；</w:t>
      </w:r>
    </w:p>
    <w:p w14:paraId="46DEA6A1">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4.我单位有依法缴纳税收和社会保障资金的良好记录；</w:t>
      </w:r>
    </w:p>
    <w:p w14:paraId="7EF9E2D3">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5.我单位参加本次采购活动前三年内，在经营活动中没有重大违法记录；</w:t>
      </w:r>
    </w:p>
    <w:p w14:paraId="24A0A108">
      <w:pPr>
        <w:spacing w:line="52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6.我单位满足法律、行政法规规定的其他条件。</w:t>
      </w:r>
    </w:p>
    <w:p w14:paraId="23D797B0">
      <w:pPr>
        <w:spacing w:line="500" w:lineRule="exact"/>
        <w:ind w:firstLine="482"/>
        <w:rPr>
          <w:rFonts w:hint="eastAsia" w:ascii="宋体" w:hAnsi="宋体"/>
          <w:color w:val="auto"/>
          <w:sz w:val="24"/>
          <w:szCs w:val="24"/>
          <w:highlight w:val="none"/>
        </w:rPr>
      </w:pPr>
    </w:p>
    <w:p w14:paraId="62D759B4">
      <w:pPr>
        <w:spacing w:line="500" w:lineRule="exact"/>
        <w:rPr>
          <w:rFonts w:hint="eastAsia" w:ascii="宋体" w:hAnsi="宋体"/>
          <w:color w:val="auto"/>
          <w:sz w:val="24"/>
          <w:szCs w:val="24"/>
          <w:highlight w:val="none"/>
        </w:rPr>
      </w:pPr>
    </w:p>
    <w:p w14:paraId="71F90750">
      <w:pPr>
        <w:spacing w:line="500" w:lineRule="exact"/>
        <w:rPr>
          <w:rFonts w:hint="eastAsia" w:ascii="宋体" w:hAnsi="宋体"/>
          <w:bCs/>
          <w:color w:val="auto"/>
          <w:sz w:val="24"/>
          <w:highlight w:val="none"/>
        </w:rPr>
      </w:pPr>
    </w:p>
    <w:p w14:paraId="38AD86E5">
      <w:pPr>
        <w:spacing w:line="500" w:lineRule="exact"/>
        <w:rPr>
          <w:rFonts w:hint="eastAsia" w:ascii="宋体" w:hAnsi="宋体"/>
          <w:bCs/>
          <w:color w:val="auto"/>
          <w:sz w:val="24"/>
          <w:highlight w:val="none"/>
        </w:rPr>
      </w:pPr>
    </w:p>
    <w:p w14:paraId="2B71DCEE">
      <w:pPr>
        <w:spacing w:line="500" w:lineRule="exact"/>
        <w:rPr>
          <w:rFonts w:hint="eastAsia" w:ascii="宋体" w:hAnsi="宋体"/>
          <w:bCs/>
          <w:color w:val="auto"/>
          <w:sz w:val="24"/>
          <w:highlight w:val="none"/>
        </w:rPr>
      </w:pPr>
    </w:p>
    <w:p w14:paraId="4C9803BB">
      <w:pPr>
        <w:spacing w:line="460" w:lineRule="exact"/>
        <w:jc w:val="right"/>
        <w:rPr>
          <w:rFonts w:hint="eastAsia" w:ascii="宋体" w:hAnsi="宋体"/>
          <w:bCs/>
          <w:color w:val="auto"/>
          <w:sz w:val="24"/>
          <w:highlight w:val="none"/>
        </w:rPr>
      </w:pPr>
      <w:r>
        <w:rPr>
          <w:rFonts w:hint="eastAsia" w:ascii="宋体" w:hAnsi="宋体"/>
          <w:bCs/>
          <w:color w:val="auto"/>
          <w:sz w:val="24"/>
          <w:highlight w:val="none"/>
        </w:rPr>
        <w:t xml:space="preserve">                              声明人名称：</w:t>
      </w:r>
      <w:r>
        <w:rPr>
          <w:rFonts w:hint="eastAsia" w:ascii="宋体" w:hAnsi="宋体"/>
          <w:bCs/>
          <w:color w:val="auto"/>
          <w:sz w:val="24"/>
          <w:highlight w:val="none"/>
          <w:u w:val="single"/>
        </w:rPr>
        <w:t>________</w:t>
      </w:r>
      <w:r>
        <w:rPr>
          <w:rFonts w:hint="eastAsia" w:ascii="宋体" w:hAnsi="宋体"/>
          <w:bCs/>
          <w:color w:val="auto"/>
          <w:sz w:val="24"/>
          <w:highlight w:val="none"/>
        </w:rPr>
        <w:t>（公章）</w:t>
      </w:r>
    </w:p>
    <w:p w14:paraId="174E9BFA">
      <w:pPr>
        <w:spacing w:line="460" w:lineRule="exact"/>
        <w:jc w:val="right"/>
        <w:rPr>
          <w:rFonts w:hint="eastAsia" w:ascii="宋体" w:hAnsi="宋体"/>
          <w:bCs/>
          <w:color w:val="auto"/>
          <w:sz w:val="24"/>
          <w:highlight w:val="none"/>
        </w:rPr>
      </w:pPr>
    </w:p>
    <w:p w14:paraId="55B7A6F1">
      <w:pPr>
        <w:spacing w:line="460" w:lineRule="exact"/>
        <w:jc w:val="right"/>
        <w:rPr>
          <w:rFonts w:hint="eastAsia" w:ascii="宋体" w:hAnsi="宋体"/>
          <w:bCs/>
          <w:color w:val="auto"/>
          <w:sz w:val="24"/>
          <w:highlight w:val="none"/>
        </w:rPr>
      </w:pPr>
      <w:r>
        <w:rPr>
          <w:rFonts w:hint="eastAsia" w:ascii="宋体" w:hAnsi="宋体"/>
          <w:bCs/>
          <w:color w:val="auto"/>
          <w:sz w:val="24"/>
          <w:highlight w:val="none"/>
        </w:rPr>
        <w:t xml:space="preserve">                                 日期： 年 月 日</w:t>
      </w:r>
    </w:p>
    <w:p w14:paraId="62E00261">
      <w:pPr>
        <w:snapToGrid w:val="0"/>
        <w:spacing w:line="400" w:lineRule="exact"/>
        <w:ind w:firstLine="540" w:firstLineChars="192"/>
        <w:contextualSpacing/>
        <w:rPr>
          <w:rFonts w:hint="eastAsia" w:ascii="宋体" w:hAnsi="宋体" w:cs="宋体"/>
          <w:b/>
          <w:color w:val="auto"/>
          <w:sz w:val="28"/>
          <w:szCs w:val="28"/>
          <w:highlight w:val="none"/>
        </w:rPr>
      </w:pPr>
    </w:p>
    <w:p w14:paraId="1975B425">
      <w:pPr>
        <w:spacing w:line="360" w:lineRule="auto"/>
        <w:ind w:firstLine="482" w:firstLineChars="200"/>
        <w:rPr>
          <w:rFonts w:hint="eastAsia" w:ascii="宋体" w:hAnsi="宋体" w:cs="宋体"/>
          <w:b/>
          <w:color w:val="auto"/>
          <w:sz w:val="24"/>
          <w:szCs w:val="24"/>
          <w:highlight w:val="none"/>
        </w:rPr>
      </w:pPr>
    </w:p>
    <w:p w14:paraId="27DC82EA">
      <w:pPr>
        <w:spacing w:line="360" w:lineRule="auto"/>
        <w:ind w:firstLine="482" w:firstLineChars="200"/>
        <w:rPr>
          <w:rFonts w:hint="eastAsia" w:ascii="宋体" w:hAnsi="宋体" w:cs="宋体"/>
          <w:b/>
          <w:color w:val="auto"/>
          <w:sz w:val="24"/>
          <w:szCs w:val="24"/>
          <w:highlight w:val="none"/>
        </w:rPr>
      </w:pPr>
    </w:p>
    <w:p w14:paraId="519712DD">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BBB898B">
      <w:pPr>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法定代表人身份证明</w:t>
      </w:r>
    </w:p>
    <w:p w14:paraId="54986A7E">
      <w:pPr>
        <w:spacing w:line="360" w:lineRule="auto"/>
        <w:ind w:firstLine="480" w:firstLineChars="200"/>
        <w:rPr>
          <w:rFonts w:hint="eastAsia" w:ascii="宋体" w:hAnsi="宋体" w:cs="宋体"/>
          <w:color w:val="auto"/>
          <w:sz w:val="24"/>
          <w:szCs w:val="24"/>
          <w:highlight w:val="none"/>
        </w:rPr>
      </w:pPr>
    </w:p>
    <w:p w14:paraId="763A4B2C">
      <w:pPr>
        <w:pStyle w:val="11"/>
        <w:spacing w:after="0" w:line="360" w:lineRule="auto"/>
        <w:ind w:left="0" w:leftChars="0" w:firstLine="480" w:firstLineChars="200"/>
        <w:rPr>
          <w:rFonts w:hint="eastAsia" w:ascii="宋体" w:hAnsi="宋体" w:cs="宋体"/>
          <w:color w:val="auto"/>
          <w:sz w:val="24"/>
          <w:szCs w:val="24"/>
          <w:highlight w:val="none"/>
        </w:rPr>
      </w:pPr>
    </w:p>
    <w:p w14:paraId="3562CA4D">
      <w:pPr>
        <w:widowControl/>
        <w:wordWrap w:val="0"/>
        <w:snapToGrid w:val="0"/>
        <w:spacing w:line="360" w:lineRule="auto"/>
        <w:ind w:firstLine="480" w:firstLineChars="200"/>
        <w:rPr>
          <w:rFonts w:hint="eastAsia" w:ascii="宋体" w:hAnsi="宋体" w:cs="宋体"/>
          <w:color w:val="auto"/>
          <w:kern w:val="0"/>
          <w:sz w:val="24"/>
          <w:szCs w:val="24"/>
          <w:highlight w:val="none"/>
        </w:rPr>
      </w:pPr>
      <w:bookmarkStart w:id="41" w:name="_Hlk96628486"/>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性别：</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身份证号码：</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系我单位的法</w:t>
      </w:r>
      <w:r>
        <w:rPr>
          <w:rFonts w:hint="eastAsia" w:ascii="宋体" w:hAnsi="宋体" w:cs="宋体"/>
          <w:color w:val="auto"/>
          <w:kern w:val="0"/>
          <w:sz w:val="24"/>
          <w:szCs w:val="24"/>
          <w:highlight w:val="none"/>
        </w:rPr>
        <w:t>定代表人。</w:t>
      </w:r>
    </w:p>
    <w:p w14:paraId="29F7B46E">
      <w:pPr>
        <w:widowControl/>
        <w:wordWrap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特此证明。</w:t>
      </w:r>
    </w:p>
    <w:bookmarkEnd w:id="41"/>
    <w:p w14:paraId="1ED1AC3E">
      <w:pPr>
        <w:spacing w:line="360" w:lineRule="auto"/>
        <w:ind w:firstLine="480" w:firstLineChars="200"/>
        <w:rPr>
          <w:rFonts w:hint="eastAsia" w:ascii="宋体" w:hAnsi="宋体" w:cs="宋体"/>
          <w:color w:val="auto"/>
          <w:sz w:val="24"/>
          <w:szCs w:val="24"/>
          <w:highlight w:val="none"/>
        </w:rPr>
      </w:pPr>
    </w:p>
    <w:p w14:paraId="6CC9768D">
      <w:pPr>
        <w:spacing w:line="360" w:lineRule="auto"/>
        <w:ind w:firstLine="480" w:firstLineChars="200"/>
        <w:rPr>
          <w:rFonts w:hint="eastAsia" w:ascii="宋体" w:hAnsi="宋体" w:cs="宋体"/>
          <w:color w:val="auto"/>
          <w:sz w:val="24"/>
          <w:szCs w:val="24"/>
          <w:highlight w:val="none"/>
        </w:rPr>
      </w:pPr>
    </w:p>
    <w:p w14:paraId="07D5E9A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（盖章）</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14:paraId="34704FE8">
      <w:pPr>
        <w:spacing w:line="360" w:lineRule="auto"/>
        <w:ind w:firstLine="480" w:firstLineChars="200"/>
        <w:rPr>
          <w:rFonts w:hint="eastAsia" w:ascii="宋体" w:hAnsi="宋体" w:cs="宋体"/>
          <w:color w:val="auto"/>
          <w:sz w:val="24"/>
          <w:szCs w:val="24"/>
          <w:highlight w:val="none"/>
        </w:rPr>
      </w:pPr>
    </w:p>
    <w:p w14:paraId="53B634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日</w:t>
      </w:r>
    </w:p>
    <w:tbl>
      <w:tblPr>
        <w:tblStyle w:val="2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00035BA">
            <w:pPr>
              <w:snapToGrid w:val="0"/>
              <w:spacing w:line="360" w:lineRule="auto"/>
              <w:ind w:firstLine="480" w:firstLineChars="200"/>
              <w:rPr>
                <w:rFonts w:hint="eastAsia" w:ascii="宋体" w:hAnsi="宋体" w:cs="宋体"/>
                <w:color w:val="auto"/>
                <w:sz w:val="24"/>
                <w:szCs w:val="24"/>
                <w:highlight w:val="none"/>
              </w:rPr>
            </w:pPr>
          </w:p>
          <w:p w14:paraId="7319E14E">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法定代表人身份证（正、反面）复印件</w:t>
            </w:r>
            <w:r>
              <w:rPr>
                <w:rFonts w:hint="eastAsia" w:ascii="宋体" w:hAnsi="宋体" w:cs="宋体"/>
                <w:b/>
                <w:bCs/>
                <w:color w:val="auto"/>
                <w:sz w:val="24"/>
                <w:szCs w:val="24"/>
                <w:highlight w:val="none"/>
                <w:u w:val="single"/>
              </w:rPr>
              <w:t>（粘贴此处）</w:t>
            </w:r>
          </w:p>
          <w:p w14:paraId="42E56B24">
            <w:pPr>
              <w:snapToGrid w:val="0"/>
              <w:spacing w:line="360" w:lineRule="auto"/>
              <w:ind w:firstLine="482" w:firstLineChars="200"/>
              <w:rPr>
                <w:rFonts w:hint="eastAsia" w:ascii="宋体" w:hAnsi="宋体" w:cs="宋体"/>
                <w:b/>
                <w:bCs/>
                <w:color w:val="auto"/>
                <w:sz w:val="24"/>
                <w:szCs w:val="24"/>
                <w:highlight w:val="none"/>
              </w:rPr>
            </w:pPr>
          </w:p>
          <w:p w14:paraId="764C1D04">
            <w:pPr>
              <w:snapToGrid w:val="0"/>
              <w:spacing w:line="360" w:lineRule="auto"/>
              <w:ind w:firstLine="482" w:firstLineChars="200"/>
              <w:rPr>
                <w:rFonts w:hint="eastAsia" w:ascii="宋体" w:hAnsi="宋体" w:cs="宋体"/>
                <w:b/>
                <w:bCs/>
                <w:color w:val="auto"/>
                <w:sz w:val="24"/>
                <w:szCs w:val="24"/>
                <w:highlight w:val="none"/>
              </w:rPr>
            </w:pPr>
          </w:p>
          <w:p w14:paraId="61021398">
            <w:pPr>
              <w:snapToGrid w:val="0"/>
              <w:spacing w:line="360" w:lineRule="auto"/>
              <w:ind w:firstLine="482" w:firstLineChars="200"/>
              <w:rPr>
                <w:rFonts w:hint="eastAsia" w:ascii="宋体" w:hAnsi="宋体" w:cs="宋体"/>
                <w:b/>
                <w:bCs/>
                <w:color w:val="auto"/>
                <w:sz w:val="24"/>
                <w:szCs w:val="24"/>
                <w:highlight w:val="none"/>
              </w:rPr>
            </w:pPr>
          </w:p>
          <w:p w14:paraId="27B692D9">
            <w:pPr>
              <w:snapToGrid w:val="0"/>
              <w:spacing w:line="360" w:lineRule="auto"/>
              <w:ind w:firstLine="480" w:firstLineChars="200"/>
              <w:rPr>
                <w:rFonts w:hint="eastAsia" w:ascii="宋体" w:hAnsi="宋体" w:cs="宋体"/>
                <w:color w:val="auto"/>
                <w:sz w:val="24"/>
                <w:szCs w:val="24"/>
                <w:highlight w:val="none"/>
              </w:rPr>
            </w:pPr>
          </w:p>
        </w:tc>
      </w:tr>
    </w:tbl>
    <w:p w14:paraId="1C6503E9">
      <w:pPr>
        <w:snapToGrid w:val="0"/>
        <w:spacing w:line="360" w:lineRule="auto"/>
        <w:ind w:firstLine="480" w:firstLineChars="200"/>
        <w:rPr>
          <w:rFonts w:hint="eastAsia" w:ascii="宋体" w:hAnsi="宋体" w:cs="宋体"/>
          <w:color w:val="auto"/>
          <w:sz w:val="24"/>
          <w:szCs w:val="24"/>
          <w:highlight w:val="none"/>
        </w:rPr>
      </w:pPr>
    </w:p>
    <w:p w14:paraId="6A53B917">
      <w:pPr>
        <w:snapToGrid w:val="0"/>
        <w:spacing w:line="360" w:lineRule="auto"/>
        <w:ind w:firstLine="480" w:firstLineChars="200"/>
        <w:rPr>
          <w:rFonts w:hint="eastAsia" w:ascii="宋体" w:hAnsi="宋体" w:cs="宋体"/>
          <w:color w:val="auto"/>
          <w:sz w:val="24"/>
          <w:szCs w:val="24"/>
          <w:highlight w:val="none"/>
        </w:rPr>
      </w:pPr>
    </w:p>
    <w:p w14:paraId="28F09115">
      <w:pPr>
        <w:jc w:val="center"/>
        <w:rPr>
          <w:rFonts w:hint="eastAsia" w:ascii="宋体" w:hAnsi="宋体" w:cs="宋体"/>
          <w:b/>
          <w:color w:val="auto"/>
          <w:sz w:val="24"/>
          <w:szCs w:val="24"/>
          <w:highlight w:val="none"/>
        </w:rPr>
      </w:pPr>
      <w:r>
        <w:rPr>
          <w:rFonts w:hint="eastAsia" w:ascii="宋体" w:hAnsi="宋体" w:cs="宋体"/>
          <w:b/>
          <w:bCs/>
          <w:color w:val="auto"/>
          <w:sz w:val="24"/>
          <w:szCs w:val="24"/>
          <w:highlight w:val="none"/>
        </w:rPr>
        <w:br w:type="page"/>
      </w:r>
      <w:r>
        <w:rPr>
          <w:rFonts w:hint="eastAsia" w:ascii="宋体" w:hAnsi="宋体"/>
          <w:b/>
          <w:color w:val="auto"/>
          <w:sz w:val="30"/>
          <w:szCs w:val="30"/>
          <w:highlight w:val="none"/>
        </w:rPr>
        <w:t>法定代表人委托书</w:t>
      </w:r>
    </w:p>
    <w:p w14:paraId="2FFA916C">
      <w:pPr>
        <w:snapToGrid w:val="0"/>
        <w:spacing w:line="360" w:lineRule="auto"/>
        <w:ind w:firstLine="480" w:firstLineChars="200"/>
        <w:rPr>
          <w:rFonts w:hint="eastAsia" w:ascii="宋体" w:hAnsi="宋体" w:cs="宋体"/>
          <w:bCs/>
          <w:color w:val="auto"/>
          <w:sz w:val="24"/>
          <w:szCs w:val="24"/>
          <w:highlight w:val="none"/>
        </w:rPr>
      </w:pPr>
    </w:p>
    <w:p w14:paraId="3AA997F4">
      <w:pPr>
        <w:snapToGrid w:val="0"/>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江苏省南通第一中学：</w:t>
      </w:r>
    </w:p>
    <w:p w14:paraId="17373C91">
      <w:pPr>
        <w:widowControl/>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本委托书声明：我</w:t>
      </w:r>
      <w:r>
        <w:rPr>
          <w:rFonts w:hint="eastAsia" w:ascii="宋体" w:hAnsi="宋体" w:cs="宋体"/>
          <w:color w:val="auto"/>
          <w:sz w:val="24"/>
          <w:szCs w:val="24"/>
          <w:highlight w:val="none"/>
          <w:u w:val="single"/>
        </w:rPr>
        <w:t>（法定代表人姓名）</w:t>
      </w:r>
      <w:r>
        <w:rPr>
          <w:rFonts w:hint="eastAsia" w:ascii="宋体" w:hAnsi="宋体" w:cs="宋体"/>
          <w:color w:val="auto"/>
          <w:sz w:val="24"/>
          <w:szCs w:val="24"/>
          <w:highlight w:val="none"/>
        </w:rPr>
        <w:t>系</w:t>
      </w:r>
      <w:r>
        <w:rPr>
          <w:rFonts w:hint="eastAsia" w:ascii="宋体" w:hAnsi="宋体" w:cs="宋体"/>
          <w:color w:val="auto"/>
          <w:kern w:val="0"/>
          <w:sz w:val="24"/>
          <w:szCs w:val="24"/>
          <w:highlight w:val="none"/>
          <w:u w:val="single"/>
        </w:rPr>
        <w:t xml:space="preserve"> （单位名称） </w:t>
      </w:r>
      <w:r>
        <w:rPr>
          <w:rFonts w:hint="eastAsia" w:ascii="宋体" w:hAnsi="宋体" w:cs="宋体"/>
          <w:color w:val="auto"/>
          <w:kern w:val="0"/>
          <w:sz w:val="24"/>
          <w:szCs w:val="24"/>
          <w:highlight w:val="none"/>
        </w:rPr>
        <w:t>的法定代表人，现</w:t>
      </w:r>
      <w:r>
        <w:rPr>
          <w:rFonts w:hint="eastAsia" w:ascii="宋体" w:hAnsi="宋体" w:cs="宋体"/>
          <w:color w:val="auto"/>
          <w:sz w:val="24"/>
          <w:szCs w:val="24"/>
          <w:highlight w:val="none"/>
        </w:rPr>
        <w:t>代表本单位授权</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 xml:space="preserve"> 的 </w:t>
      </w:r>
      <w:r>
        <w:rPr>
          <w:rFonts w:hint="eastAsia" w:ascii="宋体" w:hAnsi="宋体" w:cs="宋体"/>
          <w:color w:val="auto"/>
          <w:sz w:val="24"/>
          <w:szCs w:val="24"/>
          <w:highlight w:val="none"/>
          <w:u w:val="single"/>
        </w:rPr>
        <w:t>（被授权人的姓名）</w:t>
      </w: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身份证号码：</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为本单位的合法代理人，参加江苏省南通第一中学</w:t>
      </w:r>
      <w:r>
        <w:rPr>
          <w:rFonts w:hint="eastAsia" w:ascii="宋体" w:hAnsi="宋体" w:cs="宋体"/>
          <w:color w:val="auto"/>
          <w:sz w:val="24"/>
          <w:szCs w:val="24"/>
          <w:highlight w:val="none"/>
          <w:u w:val="single"/>
        </w:rPr>
        <w:t>（项目名称及编号）</w:t>
      </w:r>
      <w:r>
        <w:rPr>
          <w:rFonts w:hint="eastAsia" w:ascii="宋体" w:hAnsi="宋体" w:cs="宋体"/>
          <w:color w:val="auto"/>
          <w:sz w:val="24"/>
          <w:szCs w:val="24"/>
          <w:highlight w:val="none"/>
        </w:rPr>
        <w:t>的响应，可</w:t>
      </w:r>
      <w:r>
        <w:rPr>
          <w:rFonts w:hint="eastAsia" w:ascii="宋体" w:hAnsi="宋体" w:cs="宋体"/>
          <w:color w:val="auto"/>
          <w:kern w:val="0"/>
          <w:sz w:val="24"/>
          <w:szCs w:val="24"/>
          <w:highlight w:val="none"/>
        </w:rPr>
        <w:t>代表本公司签署响应文件</w:t>
      </w:r>
      <w:r>
        <w:rPr>
          <w:rFonts w:hint="eastAsia" w:ascii="宋体" w:hAnsi="宋体" w:cs="宋体"/>
          <w:color w:val="auto"/>
          <w:sz w:val="24"/>
          <w:szCs w:val="24"/>
          <w:highlight w:val="none"/>
        </w:rPr>
        <w:t>、签订合同和处理与之有关的一切事务。</w:t>
      </w:r>
    </w:p>
    <w:p w14:paraId="3D1B40BF">
      <w:pPr>
        <w:widowControl/>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本委托书于_______年____月____日签字生效。</w:t>
      </w:r>
    </w:p>
    <w:p w14:paraId="598FB075">
      <w:pPr>
        <w:widowControl/>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法定代表人签字或签章：__________________</w:t>
      </w:r>
    </w:p>
    <w:p w14:paraId="787166DF">
      <w:pPr>
        <w:widowControl/>
        <w:wordWrap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被授权人签字或签章：____________________</w:t>
      </w:r>
    </w:p>
    <w:p w14:paraId="31846835">
      <w:pPr>
        <w:widowControl/>
        <w:wordWrap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（公章）</w:t>
      </w:r>
    </w:p>
    <w:p w14:paraId="3F9E8202">
      <w:pPr>
        <w:widowControl/>
        <w:wordWrap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tbl>
      <w:tblPr>
        <w:tblStyle w:val="2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3EEE6EE1">
            <w:pPr>
              <w:snapToGrid w:val="0"/>
              <w:spacing w:line="360" w:lineRule="auto"/>
              <w:ind w:firstLine="480" w:firstLineChars="200"/>
              <w:rPr>
                <w:rFonts w:hint="eastAsia" w:ascii="宋体" w:hAnsi="宋体" w:cs="宋体"/>
                <w:color w:val="auto"/>
                <w:sz w:val="24"/>
                <w:szCs w:val="24"/>
                <w:highlight w:val="none"/>
              </w:rPr>
            </w:pPr>
          </w:p>
          <w:p w14:paraId="5C2073A5">
            <w:pPr>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被授权人身份证（正、反面）复印件</w:t>
            </w:r>
            <w:r>
              <w:rPr>
                <w:rFonts w:hint="eastAsia" w:ascii="宋体" w:hAnsi="宋体" w:cs="宋体"/>
                <w:b/>
                <w:bCs/>
                <w:color w:val="auto"/>
                <w:sz w:val="24"/>
                <w:szCs w:val="24"/>
                <w:highlight w:val="none"/>
                <w:u w:val="single"/>
              </w:rPr>
              <w:t>（粘贴此处）</w:t>
            </w:r>
          </w:p>
          <w:p w14:paraId="64016CD6">
            <w:pPr>
              <w:snapToGrid w:val="0"/>
              <w:spacing w:line="360" w:lineRule="auto"/>
              <w:ind w:firstLine="482" w:firstLineChars="200"/>
              <w:rPr>
                <w:rFonts w:hint="eastAsia" w:ascii="宋体" w:hAnsi="宋体" w:cs="宋体"/>
                <w:b/>
                <w:bCs/>
                <w:color w:val="auto"/>
                <w:sz w:val="24"/>
                <w:szCs w:val="24"/>
                <w:highlight w:val="none"/>
              </w:rPr>
            </w:pPr>
          </w:p>
          <w:p w14:paraId="25B93D2A">
            <w:pPr>
              <w:snapToGrid w:val="0"/>
              <w:spacing w:line="360" w:lineRule="auto"/>
              <w:ind w:firstLine="482" w:firstLineChars="200"/>
              <w:rPr>
                <w:rFonts w:hint="eastAsia" w:ascii="宋体" w:hAnsi="宋体" w:cs="宋体"/>
                <w:b/>
                <w:bCs/>
                <w:color w:val="auto"/>
                <w:sz w:val="24"/>
                <w:szCs w:val="24"/>
                <w:highlight w:val="none"/>
              </w:rPr>
            </w:pPr>
          </w:p>
          <w:p w14:paraId="4E6C2B8E">
            <w:pPr>
              <w:snapToGrid w:val="0"/>
              <w:spacing w:line="360" w:lineRule="auto"/>
              <w:ind w:firstLine="482" w:firstLineChars="200"/>
              <w:rPr>
                <w:rFonts w:hint="eastAsia" w:ascii="宋体" w:hAnsi="宋体" w:cs="宋体"/>
                <w:b/>
                <w:bCs/>
                <w:color w:val="auto"/>
                <w:sz w:val="24"/>
                <w:szCs w:val="24"/>
                <w:highlight w:val="none"/>
              </w:rPr>
            </w:pPr>
          </w:p>
          <w:p w14:paraId="26CFC260">
            <w:pPr>
              <w:snapToGrid w:val="0"/>
              <w:spacing w:line="360" w:lineRule="auto"/>
              <w:ind w:firstLine="480" w:firstLineChars="200"/>
              <w:rPr>
                <w:rFonts w:hint="eastAsia" w:ascii="宋体" w:hAnsi="宋体" w:cs="宋体"/>
                <w:color w:val="auto"/>
                <w:sz w:val="24"/>
                <w:szCs w:val="24"/>
                <w:highlight w:val="none"/>
              </w:rPr>
            </w:pPr>
          </w:p>
        </w:tc>
      </w:tr>
    </w:tbl>
    <w:p w14:paraId="157CDC9E">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2284B00">
      <w:pPr>
        <w:jc w:val="center"/>
        <w:rPr>
          <w:rFonts w:hint="eastAsia" w:ascii="宋体" w:hAnsi="宋体"/>
          <w:b/>
          <w:color w:val="auto"/>
          <w:sz w:val="30"/>
          <w:szCs w:val="30"/>
          <w:highlight w:val="none"/>
        </w:rPr>
      </w:pPr>
      <w:bookmarkStart w:id="42" w:name="_Hlk89675716"/>
      <w:r>
        <w:rPr>
          <w:rFonts w:hint="eastAsia" w:ascii="宋体" w:hAnsi="宋体"/>
          <w:b/>
          <w:color w:val="auto"/>
          <w:sz w:val="30"/>
          <w:szCs w:val="30"/>
          <w:highlight w:val="none"/>
        </w:rPr>
        <w:t>无失信记录声明</w:t>
      </w:r>
    </w:p>
    <w:p w14:paraId="0ED22249">
      <w:pPr>
        <w:snapToGrid w:val="0"/>
        <w:spacing w:line="48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江苏省南通第一中学：</w:t>
      </w:r>
    </w:p>
    <w:p w14:paraId="1734C6C8">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我公司郑重声明：在参选本项目响应截止时间节点，没有被“信用中国”网站列入失信被执行人、重大税收违法案件当事人名单、采购严重违法失信行为记录名单。</w:t>
      </w:r>
    </w:p>
    <w:p w14:paraId="5EBA933D">
      <w:pPr>
        <w:snapToGrid w:val="0"/>
        <w:spacing w:line="480" w:lineRule="exact"/>
        <w:ind w:firstLine="200"/>
        <w:rPr>
          <w:rFonts w:hint="eastAsia" w:ascii="宋体" w:hAnsi="宋体" w:cs="宋体"/>
          <w:color w:val="auto"/>
          <w:sz w:val="24"/>
          <w:szCs w:val="24"/>
          <w:highlight w:val="none"/>
        </w:rPr>
      </w:pPr>
    </w:p>
    <w:p w14:paraId="36AF67EC">
      <w:pPr>
        <w:snapToGrid w:val="0"/>
        <w:spacing w:line="480" w:lineRule="exact"/>
        <w:ind w:right="720" w:firstLine="480" w:firstLineChars="200"/>
        <w:contextualSpacing/>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法定代表人或授权委托人（签字或盖章）：</w:t>
      </w:r>
    </w:p>
    <w:p w14:paraId="02329DA2">
      <w:pPr>
        <w:snapToGrid w:val="0"/>
        <w:spacing w:line="480" w:lineRule="exact"/>
        <w:ind w:right="720" w:firstLine="480" w:firstLineChars="200"/>
        <w:contextualSpacing/>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6AD5FB9B">
      <w:pPr>
        <w:snapToGrid w:val="0"/>
        <w:spacing w:line="480" w:lineRule="exact"/>
        <w:ind w:firstLine="480" w:firstLineChars="200"/>
        <w:jc w:val="center"/>
        <w:rPr>
          <w:rFonts w:hint="eastAsia" w:ascii="宋体" w:hAnsi="宋体" w:cs="宋体"/>
          <w:color w:val="auto"/>
          <w:sz w:val="24"/>
          <w:szCs w:val="24"/>
          <w:highlight w:val="none"/>
        </w:rPr>
      </w:pPr>
      <w:bookmarkStart w:id="43" w:name="_Toc12794"/>
      <w:r>
        <w:rPr>
          <w:rFonts w:hint="eastAsia" w:ascii="宋体" w:hAnsi="宋体" w:cs="宋体"/>
          <w:color w:val="auto"/>
          <w:sz w:val="24"/>
          <w:szCs w:val="24"/>
          <w:highlight w:val="none"/>
        </w:rPr>
        <w:t xml:space="preserve">                                               日期：</w:t>
      </w:r>
      <w:bookmarkEnd w:id="43"/>
    </w:p>
    <w:p w14:paraId="7B7C190B">
      <w:pPr>
        <w:spacing w:line="360" w:lineRule="auto"/>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9CDEF15">
      <w:pPr>
        <w:snapToGrid w:val="0"/>
        <w:spacing w:line="30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满足资格要求中其他要求的承诺函</w:t>
      </w:r>
    </w:p>
    <w:p w14:paraId="2ACEABC5">
      <w:pPr>
        <w:snapToGri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江苏省南通第一中学：</w:t>
      </w:r>
    </w:p>
    <w:p w14:paraId="79B37B04">
      <w:pPr>
        <w:pStyle w:val="11"/>
        <w:spacing w:after="0" w:line="360" w:lineRule="auto"/>
        <w:ind w:left="0" w:leftChars="0" w:firstLine="480" w:firstLineChars="200"/>
        <w:rPr>
          <w:color w:val="auto"/>
          <w:highlight w:val="none"/>
        </w:rPr>
      </w:pPr>
      <w:r>
        <w:rPr>
          <w:rFonts w:hint="eastAsia" w:ascii="宋体" w:hAnsi="宋体" w:cs="宋体"/>
          <w:color w:val="auto"/>
          <w:sz w:val="24"/>
          <w:szCs w:val="24"/>
          <w:highlight w:val="none"/>
        </w:rPr>
        <w:t>我公司郑重承诺：</w:t>
      </w:r>
    </w:p>
    <w:p w14:paraId="5491C9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1.我单位未处于被责令停业、投标资格被取消或者财产被接管、冻结和破产状态、没有因骗取中标或者严重违约以及因设计原因发生重大工程质量事故等问题，被有关部门暂停投标资格并在暂停期内。</w:t>
      </w:r>
    </w:p>
    <w:p w14:paraId="694751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2.我单位不存在供应商单位负责人为同一人或者存在直接控股、管理关系的不同供应商参加一标段或者未划分标段的同一采购项目的采购活动的情况。</w:t>
      </w:r>
    </w:p>
    <w:p w14:paraId="4FB6838D">
      <w:pPr>
        <w:pStyle w:val="11"/>
        <w:rPr>
          <w:color w:val="auto"/>
          <w:highlight w:val="none"/>
        </w:rPr>
      </w:pPr>
    </w:p>
    <w:p w14:paraId="6B8F1004">
      <w:pPr>
        <w:snapToGrid w:val="0"/>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法定代表人或授权委托人（签字或盖章）：</w:t>
      </w:r>
    </w:p>
    <w:p w14:paraId="30DA88CC">
      <w:pPr>
        <w:snapToGrid w:val="0"/>
        <w:spacing w:line="360" w:lineRule="auto"/>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供应商名称（盖章）：</w:t>
      </w:r>
    </w:p>
    <w:p w14:paraId="48DADC79">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w:t>
      </w:r>
    </w:p>
    <w:p w14:paraId="4E1EF210">
      <w:pPr>
        <w:spacing w:line="360" w:lineRule="auto"/>
        <w:jc w:val="right"/>
        <w:rPr>
          <w:rFonts w:hint="eastAsia" w:ascii="宋体" w:hAnsi="宋体"/>
          <w:b/>
          <w:color w:val="auto"/>
          <w:sz w:val="32"/>
          <w:szCs w:val="32"/>
          <w:highlight w:val="none"/>
        </w:rPr>
      </w:pPr>
    </w:p>
    <w:p w14:paraId="452074DA">
      <w:pPr>
        <w:pStyle w:val="11"/>
        <w:rPr>
          <w:rFonts w:hint="eastAsia" w:ascii="宋体" w:hAnsi="宋体"/>
          <w:b/>
          <w:color w:val="auto"/>
          <w:sz w:val="32"/>
          <w:szCs w:val="32"/>
          <w:highlight w:val="none"/>
        </w:rPr>
      </w:pPr>
    </w:p>
    <w:p w14:paraId="705E8087">
      <w:pPr>
        <w:pStyle w:val="12"/>
        <w:rPr>
          <w:rFonts w:hint="eastAsia" w:ascii="宋体" w:hAnsi="宋体"/>
          <w:b/>
          <w:color w:val="auto"/>
          <w:sz w:val="32"/>
          <w:szCs w:val="32"/>
          <w:highlight w:val="none"/>
        </w:rPr>
      </w:pPr>
    </w:p>
    <w:p w14:paraId="12D39E9C">
      <w:pPr>
        <w:pStyle w:val="12"/>
        <w:rPr>
          <w:rFonts w:hint="eastAsia" w:ascii="宋体" w:hAnsi="宋体"/>
          <w:b/>
          <w:color w:val="auto"/>
          <w:sz w:val="32"/>
          <w:szCs w:val="32"/>
          <w:highlight w:val="none"/>
        </w:rPr>
      </w:pPr>
    </w:p>
    <w:p w14:paraId="1A276DD3">
      <w:pPr>
        <w:pStyle w:val="12"/>
        <w:rPr>
          <w:rFonts w:hint="eastAsia" w:ascii="宋体" w:hAnsi="宋体"/>
          <w:b/>
          <w:color w:val="auto"/>
          <w:sz w:val="32"/>
          <w:szCs w:val="32"/>
          <w:highlight w:val="none"/>
        </w:rPr>
      </w:pPr>
    </w:p>
    <w:p w14:paraId="55990D3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DB28073">
      <w:pPr>
        <w:snapToGrid w:val="0"/>
        <w:spacing w:line="30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商务部分正负偏离表</w:t>
      </w:r>
    </w:p>
    <w:p w14:paraId="29F9F5E1">
      <w:pPr>
        <w:ind w:firstLine="560" w:firstLineChars="200"/>
        <w:jc w:val="center"/>
        <w:rPr>
          <w:rFonts w:hint="eastAsia" w:ascii="宋体" w:hAnsi="宋体"/>
          <w:color w:val="auto"/>
          <w:sz w:val="28"/>
          <w:szCs w:val="28"/>
          <w:highlight w:val="none"/>
        </w:rPr>
      </w:pPr>
      <w:r>
        <w:rPr>
          <w:rFonts w:hint="eastAsia" w:ascii="宋体" w:hAnsi="宋体"/>
          <w:color w:val="auto"/>
          <w:sz w:val="28"/>
          <w:szCs w:val="28"/>
          <w:highlight w:val="none"/>
        </w:rPr>
        <w:t>（由供应商据实填写）</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39"/>
        <w:gridCol w:w="3270"/>
        <w:gridCol w:w="2170"/>
        <w:gridCol w:w="1326"/>
      </w:tblGrid>
      <w:tr w14:paraId="552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23" w:type="pct"/>
            <w:vAlign w:val="center"/>
          </w:tcPr>
          <w:p w14:paraId="36FD765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609" w:type="pct"/>
            <w:vAlign w:val="center"/>
          </w:tcPr>
          <w:p w14:paraId="03BF66D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w:t>
            </w:r>
          </w:p>
        </w:tc>
        <w:tc>
          <w:tcPr>
            <w:tcW w:w="1917" w:type="pct"/>
            <w:vAlign w:val="center"/>
          </w:tcPr>
          <w:p w14:paraId="30C8C64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比选文件要求的商务条款</w:t>
            </w:r>
          </w:p>
        </w:tc>
        <w:tc>
          <w:tcPr>
            <w:tcW w:w="1272" w:type="pct"/>
            <w:vAlign w:val="center"/>
          </w:tcPr>
          <w:p w14:paraId="46E3C68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响应文件响应情况</w:t>
            </w:r>
          </w:p>
        </w:tc>
        <w:tc>
          <w:tcPr>
            <w:tcW w:w="777" w:type="pct"/>
          </w:tcPr>
          <w:p w14:paraId="1F2EEEC4">
            <w:pPr>
              <w:jc w:val="center"/>
              <w:rPr>
                <w:rFonts w:hint="eastAsia" w:ascii="宋体" w:hAnsi="宋体" w:cs="宋体"/>
                <w:color w:val="auto"/>
                <w:sz w:val="24"/>
                <w:szCs w:val="24"/>
                <w:highlight w:val="none"/>
              </w:rPr>
            </w:pPr>
          </w:p>
          <w:p w14:paraId="537CC11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1071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3" w:type="pct"/>
            <w:vAlign w:val="center"/>
          </w:tcPr>
          <w:p w14:paraId="588E7238">
            <w:pPr>
              <w:jc w:val="center"/>
              <w:rPr>
                <w:rFonts w:hint="eastAsia" w:ascii="宋体" w:hAnsi="宋体" w:cs="宋体"/>
                <w:color w:val="auto"/>
                <w:highlight w:val="none"/>
              </w:rPr>
            </w:pPr>
            <w:r>
              <w:rPr>
                <w:rFonts w:hint="eastAsia" w:ascii="宋体" w:hAnsi="宋体" w:cs="宋体"/>
                <w:color w:val="auto"/>
                <w:highlight w:val="none"/>
              </w:rPr>
              <w:t>1</w:t>
            </w:r>
          </w:p>
        </w:tc>
        <w:tc>
          <w:tcPr>
            <w:tcW w:w="609" w:type="pct"/>
            <w:vAlign w:val="center"/>
          </w:tcPr>
          <w:p w14:paraId="78611873">
            <w:pPr>
              <w:pStyle w:val="45"/>
              <w:widowControl w:val="0"/>
              <w:jc w:val="center"/>
              <w:rPr>
                <w:rFonts w:hint="eastAsia" w:ascii="宋体" w:hAnsi="宋体" w:cs="宋体"/>
                <w:color w:val="auto"/>
                <w:kern w:val="2"/>
                <w:sz w:val="21"/>
                <w:szCs w:val="21"/>
                <w:highlight w:val="none"/>
              </w:rPr>
            </w:pPr>
          </w:p>
        </w:tc>
        <w:tc>
          <w:tcPr>
            <w:tcW w:w="1917" w:type="pct"/>
            <w:vAlign w:val="center"/>
          </w:tcPr>
          <w:p w14:paraId="4BA2FC60">
            <w:pPr>
              <w:adjustRightInd w:val="0"/>
              <w:snapToGrid w:val="0"/>
              <w:rPr>
                <w:rFonts w:hint="eastAsia" w:ascii="宋体" w:hAnsi="宋体" w:cs="宋体"/>
                <w:color w:val="auto"/>
                <w:highlight w:val="none"/>
              </w:rPr>
            </w:pPr>
          </w:p>
        </w:tc>
        <w:tc>
          <w:tcPr>
            <w:tcW w:w="1272" w:type="pct"/>
            <w:vAlign w:val="center"/>
          </w:tcPr>
          <w:p w14:paraId="24AF624F">
            <w:pPr>
              <w:jc w:val="left"/>
              <w:rPr>
                <w:rFonts w:hint="eastAsia" w:ascii="宋体" w:hAnsi="宋体" w:cs="宋体"/>
                <w:color w:val="auto"/>
                <w:highlight w:val="none"/>
              </w:rPr>
            </w:pPr>
          </w:p>
        </w:tc>
        <w:tc>
          <w:tcPr>
            <w:tcW w:w="777" w:type="pct"/>
          </w:tcPr>
          <w:p w14:paraId="13041C17">
            <w:pPr>
              <w:jc w:val="left"/>
              <w:rPr>
                <w:rFonts w:hint="eastAsia" w:ascii="宋体" w:hAnsi="宋体" w:cs="宋体"/>
                <w:color w:val="auto"/>
                <w:highlight w:val="none"/>
              </w:rPr>
            </w:pPr>
          </w:p>
        </w:tc>
      </w:tr>
      <w:tr w14:paraId="55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3" w:type="pct"/>
            <w:vAlign w:val="center"/>
          </w:tcPr>
          <w:p w14:paraId="2FFAD7CC">
            <w:pPr>
              <w:jc w:val="center"/>
              <w:rPr>
                <w:rFonts w:hint="eastAsia" w:ascii="宋体" w:hAnsi="宋体" w:cs="宋体"/>
                <w:color w:val="auto"/>
                <w:highlight w:val="none"/>
              </w:rPr>
            </w:pPr>
            <w:r>
              <w:rPr>
                <w:rFonts w:hint="eastAsia" w:ascii="宋体" w:hAnsi="宋体" w:cs="宋体"/>
                <w:color w:val="auto"/>
                <w:highlight w:val="none"/>
              </w:rPr>
              <w:t>2</w:t>
            </w:r>
          </w:p>
        </w:tc>
        <w:tc>
          <w:tcPr>
            <w:tcW w:w="609" w:type="pct"/>
            <w:vAlign w:val="center"/>
          </w:tcPr>
          <w:p w14:paraId="77B70241">
            <w:pPr>
              <w:pStyle w:val="45"/>
              <w:widowControl w:val="0"/>
              <w:jc w:val="center"/>
              <w:rPr>
                <w:rFonts w:hint="eastAsia" w:ascii="宋体" w:hAnsi="宋体" w:cs="宋体"/>
                <w:color w:val="auto"/>
                <w:kern w:val="2"/>
                <w:sz w:val="21"/>
                <w:szCs w:val="21"/>
                <w:highlight w:val="none"/>
              </w:rPr>
            </w:pPr>
          </w:p>
        </w:tc>
        <w:tc>
          <w:tcPr>
            <w:tcW w:w="1917" w:type="pct"/>
            <w:vAlign w:val="center"/>
          </w:tcPr>
          <w:p w14:paraId="76A5142F">
            <w:pPr>
              <w:adjustRightInd w:val="0"/>
              <w:snapToGrid w:val="0"/>
              <w:rPr>
                <w:rFonts w:hint="eastAsia" w:ascii="宋体" w:hAnsi="宋体" w:cs="宋体"/>
                <w:color w:val="auto"/>
                <w:highlight w:val="none"/>
              </w:rPr>
            </w:pPr>
          </w:p>
        </w:tc>
        <w:tc>
          <w:tcPr>
            <w:tcW w:w="1272" w:type="pct"/>
            <w:vAlign w:val="center"/>
          </w:tcPr>
          <w:p w14:paraId="74E55742">
            <w:pPr>
              <w:jc w:val="left"/>
              <w:rPr>
                <w:rFonts w:hint="eastAsia" w:ascii="宋体" w:hAnsi="宋体" w:cs="宋体"/>
                <w:color w:val="auto"/>
                <w:highlight w:val="none"/>
              </w:rPr>
            </w:pPr>
          </w:p>
        </w:tc>
        <w:tc>
          <w:tcPr>
            <w:tcW w:w="777" w:type="pct"/>
          </w:tcPr>
          <w:p w14:paraId="64D2789F">
            <w:pPr>
              <w:jc w:val="left"/>
              <w:rPr>
                <w:rFonts w:hint="eastAsia" w:ascii="宋体" w:hAnsi="宋体" w:cs="宋体"/>
                <w:color w:val="auto"/>
                <w:highlight w:val="none"/>
              </w:rPr>
            </w:pPr>
          </w:p>
        </w:tc>
      </w:tr>
      <w:tr w14:paraId="6C02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3" w:type="pct"/>
            <w:vAlign w:val="center"/>
          </w:tcPr>
          <w:p w14:paraId="10E26226">
            <w:pPr>
              <w:jc w:val="center"/>
              <w:rPr>
                <w:rFonts w:hint="eastAsia" w:ascii="宋体" w:hAnsi="宋体" w:cs="宋体"/>
                <w:color w:val="auto"/>
                <w:highlight w:val="none"/>
              </w:rPr>
            </w:pPr>
            <w:r>
              <w:rPr>
                <w:rFonts w:hint="eastAsia" w:ascii="宋体" w:hAnsi="宋体" w:cs="宋体"/>
                <w:color w:val="auto"/>
                <w:highlight w:val="none"/>
              </w:rPr>
              <w:t>3</w:t>
            </w:r>
          </w:p>
        </w:tc>
        <w:tc>
          <w:tcPr>
            <w:tcW w:w="609" w:type="pct"/>
            <w:vAlign w:val="center"/>
          </w:tcPr>
          <w:p w14:paraId="6E683982">
            <w:pPr>
              <w:jc w:val="center"/>
              <w:rPr>
                <w:rFonts w:hint="eastAsia" w:ascii="宋体" w:hAnsi="宋体" w:cs="宋体"/>
                <w:color w:val="auto"/>
                <w:highlight w:val="none"/>
              </w:rPr>
            </w:pPr>
          </w:p>
        </w:tc>
        <w:tc>
          <w:tcPr>
            <w:tcW w:w="1917" w:type="pct"/>
            <w:vAlign w:val="center"/>
          </w:tcPr>
          <w:p w14:paraId="76DB73CD">
            <w:pPr>
              <w:adjustRightInd w:val="0"/>
              <w:snapToGrid w:val="0"/>
              <w:rPr>
                <w:rFonts w:hint="eastAsia" w:ascii="宋体" w:hAnsi="宋体" w:cs="宋体"/>
                <w:color w:val="auto"/>
                <w:highlight w:val="none"/>
              </w:rPr>
            </w:pPr>
          </w:p>
        </w:tc>
        <w:tc>
          <w:tcPr>
            <w:tcW w:w="1272" w:type="pct"/>
            <w:vAlign w:val="center"/>
          </w:tcPr>
          <w:p w14:paraId="7A49871B">
            <w:pPr>
              <w:jc w:val="left"/>
              <w:rPr>
                <w:rFonts w:hint="eastAsia" w:ascii="宋体" w:hAnsi="宋体" w:cs="宋体"/>
                <w:color w:val="auto"/>
                <w:highlight w:val="none"/>
              </w:rPr>
            </w:pPr>
          </w:p>
        </w:tc>
        <w:tc>
          <w:tcPr>
            <w:tcW w:w="777" w:type="pct"/>
          </w:tcPr>
          <w:p w14:paraId="6AC6C035">
            <w:pPr>
              <w:jc w:val="left"/>
              <w:rPr>
                <w:rFonts w:hint="eastAsia" w:ascii="宋体" w:hAnsi="宋体" w:cs="宋体"/>
                <w:color w:val="auto"/>
                <w:highlight w:val="none"/>
              </w:rPr>
            </w:pPr>
          </w:p>
        </w:tc>
      </w:tr>
    </w:tbl>
    <w:p w14:paraId="443ED5C4">
      <w:pPr>
        <w:snapToGrid w:val="0"/>
        <w:spacing w:line="300" w:lineRule="auto"/>
        <w:contextualSpacing/>
        <w:rPr>
          <w:rFonts w:hint="eastAsia" w:ascii="宋体" w:hAnsi="宋体"/>
          <w:b/>
          <w:color w:val="auto"/>
          <w:sz w:val="24"/>
          <w:szCs w:val="24"/>
          <w:highlight w:val="none"/>
        </w:rPr>
      </w:pPr>
      <w:r>
        <w:rPr>
          <w:rFonts w:hint="eastAsia" w:ascii="宋体" w:hAnsi="宋体"/>
          <w:b/>
          <w:color w:val="auto"/>
          <w:sz w:val="24"/>
          <w:szCs w:val="24"/>
          <w:highlight w:val="none"/>
        </w:rPr>
        <w:t>注：</w:t>
      </w:r>
    </w:p>
    <w:p w14:paraId="4FCC309E">
      <w:pPr>
        <w:snapToGrid w:val="0"/>
        <w:spacing w:line="30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1.供应商提交的响应文件中与</w:t>
      </w:r>
      <w:r>
        <w:rPr>
          <w:rFonts w:hint="eastAsia" w:ascii="宋体" w:hAnsi="宋体" w:cs="宋体"/>
          <w:color w:val="auto"/>
          <w:sz w:val="24"/>
          <w:szCs w:val="24"/>
          <w:highlight w:val="none"/>
        </w:rPr>
        <w:t>比选</w:t>
      </w:r>
      <w:r>
        <w:rPr>
          <w:rFonts w:hint="eastAsia" w:ascii="宋体" w:hAnsi="宋体"/>
          <w:color w:val="auto"/>
          <w:sz w:val="24"/>
          <w:szCs w:val="24"/>
          <w:highlight w:val="none"/>
        </w:rPr>
        <w:t>文件第三部分“项目需求”中的商务部分的要求，如有偏离，应逐条填列在偏离表中。</w:t>
      </w:r>
      <w:r>
        <w:rPr>
          <w:rFonts w:hint="eastAsia" w:ascii="宋体" w:hAnsi="宋体"/>
          <w:b/>
          <w:bCs/>
          <w:color w:val="auto"/>
          <w:sz w:val="24"/>
          <w:szCs w:val="24"/>
          <w:highlight w:val="none"/>
        </w:rPr>
        <w:t>如完全响应，可空白列示。</w:t>
      </w:r>
    </w:p>
    <w:p w14:paraId="74C69146">
      <w:pPr>
        <w:snapToGrid w:val="0"/>
        <w:spacing w:line="30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2.“偏离说明”一栏选择“正偏离”“无偏离”“负偏离”进行填写。正偏离、无偏离的确认和负偏离的是否响应采购文件，由评审小组认定。</w:t>
      </w:r>
    </w:p>
    <w:p w14:paraId="4F7CE9AA">
      <w:pPr>
        <w:snapToGrid w:val="0"/>
        <w:spacing w:line="30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3.供应商如果虚假响应，将被暂停参加采购单位组织的任何采购活动。</w:t>
      </w:r>
    </w:p>
    <w:p w14:paraId="4B5336B7">
      <w:pPr>
        <w:snapToGrid w:val="0"/>
        <w:spacing w:line="300" w:lineRule="auto"/>
        <w:ind w:firstLine="480" w:firstLineChars="200"/>
        <w:contextualSpacing/>
        <w:rPr>
          <w:rFonts w:hint="eastAsia" w:ascii="宋体" w:hAnsi="宋体"/>
          <w:bCs/>
          <w:color w:val="auto"/>
          <w:sz w:val="24"/>
          <w:szCs w:val="24"/>
          <w:highlight w:val="none"/>
        </w:rPr>
      </w:pPr>
      <w:r>
        <w:rPr>
          <w:rFonts w:hint="eastAsia" w:ascii="宋体" w:hAnsi="宋体"/>
          <w:bCs/>
          <w:color w:val="auto"/>
          <w:sz w:val="24"/>
          <w:szCs w:val="24"/>
          <w:highlight w:val="none"/>
        </w:rPr>
        <w:t>4.供应商若提供其他增值服务，可以在表中自行据实填写。</w:t>
      </w:r>
    </w:p>
    <w:p w14:paraId="05108E97">
      <w:pPr>
        <w:snapToGrid w:val="0"/>
        <w:spacing w:line="400" w:lineRule="exact"/>
        <w:ind w:firstLine="540" w:firstLineChars="192"/>
        <w:contextualSpacing/>
        <w:rPr>
          <w:rFonts w:hint="eastAsia" w:ascii="宋体" w:hAnsi="宋体" w:cs="宋体"/>
          <w:b/>
          <w:color w:val="auto"/>
          <w:sz w:val="28"/>
          <w:szCs w:val="28"/>
          <w:highlight w:val="none"/>
        </w:rPr>
      </w:pPr>
    </w:p>
    <w:p w14:paraId="11FAB8E0">
      <w:pPr>
        <w:snapToGrid w:val="0"/>
        <w:spacing w:line="360" w:lineRule="auto"/>
        <w:ind w:right="79"/>
        <w:jc w:val="righ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响应供应商：（公章）</w:t>
      </w:r>
    </w:p>
    <w:p w14:paraId="6BE97C5A">
      <w:pPr>
        <w:tabs>
          <w:tab w:val="left" w:pos="5665"/>
          <w:tab w:val="right" w:pos="8360"/>
        </w:tabs>
        <w:snapToGrid w:val="0"/>
        <w:spacing w:line="360" w:lineRule="auto"/>
        <w:ind w:right="42"/>
        <w:jc w:val="right"/>
        <w:textAlignment w:val="baseline"/>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法定代表人或</w:t>
      </w:r>
      <w:r>
        <w:rPr>
          <w:rFonts w:hint="eastAsia" w:ascii="宋体" w:hAnsi="宋体" w:cs="仿宋_GB2312"/>
          <w:color w:val="auto"/>
          <w:sz w:val="24"/>
          <w:szCs w:val="28"/>
          <w:highlight w:val="none"/>
        </w:rPr>
        <w:t>授权委托人（签字或盖章）</w:t>
      </w:r>
      <w:r>
        <w:rPr>
          <w:rFonts w:hint="eastAsia" w:ascii="宋体" w:hAnsi="宋体" w:cs="宋体"/>
          <w:color w:val="auto"/>
          <w:sz w:val="24"/>
          <w:szCs w:val="28"/>
          <w:highlight w:val="none"/>
        </w:rPr>
        <w:t>：</w:t>
      </w:r>
    </w:p>
    <w:p w14:paraId="641AD463">
      <w:pPr>
        <w:snapToGrid w:val="0"/>
        <w:spacing w:line="520" w:lineRule="exact"/>
        <w:jc w:val="right"/>
        <w:rPr>
          <w:rFonts w:ascii="宋体"/>
          <w:color w:val="auto"/>
          <w:sz w:val="24"/>
          <w:szCs w:val="24"/>
          <w:highlight w:val="none"/>
        </w:rPr>
      </w:pPr>
      <w:r>
        <w:rPr>
          <w:rFonts w:hint="eastAsia" w:ascii="宋体" w:hAnsi="宋体" w:cs="宋体"/>
          <w:color w:val="auto"/>
          <w:sz w:val="24"/>
          <w:szCs w:val="24"/>
          <w:highlight w:val="none"/>
        </w:rPr>
        <w:t xml:space="preserve">    日期：  年  月  日</w:t>
      </w:r>
    </w:p>
    <w:p w14:paraId="0B014E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67471D9">
      <w:pPr>
        <w:snapToGrid w:val="0"/>
        <w:spacing w:line="30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技术部分正负偏离表</w:t>
      </w:r>
    </w:p>
    <w:p w14:paraId="065FEA9F">
      <w:pPr>
        <w:ind w:firstLine="560" w:firstLineChars="200"/>
        <w:jc w:val="center"/>
        <w:rPr>
          <w:rFonts w:hint="eastAsia" w:ascii="宋体" w:hAnsi="宋体"/>
          <w:color w:val="auto"/>
          <w:sz w:val="28"/>
          <w:szCs w:val="28"/>
          <w:highlight w:val="none"/>
        </w:rPr>
      </w:pPr>
      <w:r>
        <w:rPr>
          <w:rFonts w:hint="eastAsia" w:ascii="宋体" w:hAnsi="宋体"/>
          <w:color w:val="auto"/>
          <w:sz w:val="28"/>
          <w:szCs w:val="28"/>
          <w:highlight w:val="none"/>
        </w:rPr>
        <w:t>（由供应商据实填写）</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31"/>
        <w:gridCol w:w="3811"/>
        <w:gridCol w:w="1476"/>
        <w:gridCol w:w="1326"/>
      </w:tblGrid>
      <w:tr w14:paraId="5859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9" w:type="pct"/>
            <w:vAlign w:val="center"/>
          </w:tcPr>
          <w:p w14:paraId="2A4D818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663" w:type="pct"/>
            <w:vAlign w:val="center"/>
          </w:tcPr>
          <w:p w14:paraId="40515EA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w:t>
            </w:r>
          </w:p>
        </w:tc>
        <w:tc>
          <w:tcPr>
            <w:tcW w:w="2234" w:type="pct"/>
            <w:vAlign w:val="center"/>
          </w:tcPr>
          <w:p w14:paraId="358644B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比选文件要求的技术要求</w:t>
            </w:r>
          </w:p>
        </w:tc>
        <w:tc>
          <w:tcPr>
            <w:tcW w:w="865" w:type="pct"/>
            <w:vAlign w:val="center"/>
          </w:tcPr>
          <w:p w14:paraId="3A63035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响应文件响应情况</w:t>
            </w:r>
          </w:p>
        </w:tc>
        <w:tc>
          <w:tcPr>
            <w:tcW w:w="777" w:type="pct"/>
          </w:tcPr>
          <w:p w14:paraId="28062084">
            <w:pPr>
              <w:jc w:val="center"/>
              <w:rPr>
                <w:rFonts w:hint="eastAsia" w:ascii="宋体" w:hAnsi="宋体" w:cs="宋体"/>
                <w:color w:val="auto"/>
                <w:sz w:val="24"/>
                <w:szCs w:val="24"/>
                <w:highlight w:val="none"/>
              </w:rPr>
            </w:pPr>
          </w:p>
          <w:p w14:paraId="0C9940E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679D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9" w:type="pct"/>
            <w:vAlign w:val="center"/>
          </w:tcPr>
          <w:p w14:paraId="228FA5C6">
            <w:pPr>
              <w:jc w:val="center"/>
              <w:rPr>
                <w:rFonts w:hint="eastAsia" w:ascii="宋体" w:hAnsi="宋体" w:cs="宋体"/>
                <w:color w:val="auto"/>
                <w:highlight w:val="none"/>
              </w:rPr>
            </w:pPr>
            <w:r>
              <w:rPr>
                <w:rFonts w:hint="eastAsia" w:ascii="宋体" w:hAnsi="宋体" w:cs="宋体"/>
                <w:color w:val="auto"/>
                <w:highlight w:val="none"/>
              </w:rPr>
              <w:t>1</w:t>
            </w:r>
          </w:p>
        </w:tc>
        <w:tc>
          <w:tcPr>
            <w:tcW w:w="663" w:type="pct"/>
            <w:vAlign w:val="center"/>
          </w:tcPr>
          <w:p w14:paraId="4F20CFB3">
            <w:pPr>
              <w:jc w:val="center"/>
              <w:rPr>
                <w:rFonts w:hint="eastAsia" w:ascii="宋体" w:hAnsi="宋体" w:cs="宋体"/>
                <w:color w:val="auto"/>
                <w:highlight w:val="none"/>
              </w:rPr>
            </w:pPr>
          </w:p>
        </w:tc>
        <w:tc>
          <w:tcPr>
            <w:tcW w:w="2234" w:type="pct"/>
            <w:vAlign w:val="center"/>
          </w:tcPr>
          <w:p w14:paraId="47449CF6">
            <w:pPr>
              <w:widowControl/>
              <w:jc w:val="left"/>
              <w:textAlignment w:val="center"/>
              <w:rPr>
                <w:rFonts w:hint="eastAsia" w:ascii="宋体" w:hAnsi="宋体" w:cs="宋体"/>
                <w:color w:val="auto"/>
                <w:highlight w:val="none"/>
              </w:rPr>
            </w:pPr>
          </w:p>
        </w:tc>
        <w:tc>
          <w:tcPr>
            <w:tcW w:w="865" w:type="pct"/>
            <w:vAlign w:val="center"/>
          </w:tcPr>
          <w:p w14:paraId="1548C14A">
            <w:pPr>
              <w:jc w:val="left"/>
              <w:rPr>
                <w:rFonts w:hint="eastAsia" w:ascii="宋体" w:hAnsi="宋体" w:cs="宋体"/>
                <w:color w:val="auto"/>
                <w:highlight w:val="none"/>
              </w:rPr>
            </w:pPr>
          </w:p>
        </w:tc>
        <w:tc>
          <w:tcPr>
            <w:tcW w:w="777" w:type="pct"/>
          </w:tcPr>
          <w:p w14:paraId="79F308B2">
            <w:pPr>
              <w:jc w:val="left"/>
              <w:rPr>
                <w:rFonts w:hint="eastAsia" w:ascii="宋体" w:hAnsi="宋体" w:cs="宋体"/>
                <w:color w:val="auto"/>
                <w:highlight w:val="none"/>
              </w:rPr>
            </w:pPr>
          </w:p>
        </w:tc>
      </w:tr>
      <w:tr w14:paraId="724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373C6BFD">
            <w:pPr>
              <w:jc w:val="center"/>
              <w:rPr>
                <w:rFonts w:hint="eastAsia" w:ascii="宋体" w:hAnsi="宋体" w:cs="宋体"/>
                <w:color w:val="auto"/>
                <w:highlight w:val="none"/>
              </w:rPr>
            </w:pPr>
            <w:r>
              <w:rPr>
                <w:rFonts w:hint="eastAsia" w:ascii="宋体" w:hAnsi="宋体" w:cs="宋体"/>
                <w:color w:val="auto"/>
                <w:highlight w:val="none"/>
              </w:rPr>
              <w:t>2</w:t>
            </w:r>
          </w:p>
        </w:tc>
        <w:tc>
          <w:tcPr>
            <w:tcW w:w="663" w:type="pct"/>
            <w:vAlign w:val="center"/>
          </w:tcPr>
          <w:p w14:paraId="7C157E6A">
            <w:pPr>
              <w:jc w:val="center"/>
              <w:rPr>
                <w:rFonts w:hint="eastAsia" w:ascii="宋体" w:hAnsi="宋体" w:cs="宋体"/>
                <w:color w:val="auto"/>
                <w:highlight w:val="none"/>
              </w:rPr>
            </w:pPr>
          </w:p>
        </w:tc>
        <w:tc>
          <w:tcPr>
            <w:tcW w:w="2234" w:type="pct"/>
            <w:vAlign w:val="center"/>
          </w:tcPr>
          <w:p w14:paraId="367B1C7D">
            <w:pPr>
              <w:adjustRightInd w:val="0"/>
              <w:snapToGrid w:val="0"/>
              <w:rPr>
                <w:rFonts w:hint="eastAsia" w:ascii="宋体" w:hAnsi="宋体" w:cs="宋体"/>
                <w:color w:val="auto"/>
                <w:kern w:val="0"/>
                <w:highlight w:val="none"/>
              </w:rPr>
            </w:pPr>
          </w:p>
        </w:tc>
        <w:tc>
          <w:tcPr>
            <w:tcW w:w="865" w:type="pct"/>
            <w:vAlign w:val="center"/>
          </w:tcPr>
          <w:p w14:paraId="57E84E88">
            <w:pPr>
              <w:jc w:val="left"/>
              <w:rPr>
                <w:rFonts w:hint="eastAsia" w:ascii="宋体" w:hAnsi="宋体" w:cs="宋体"/>
                <w:color w:val="auto"/>
                <w:highlight w:val="none"/>
              </w:rPr>
            </w:pPr>
          </w:p>
        </w:tc>
        <w:tc>
          <w:tcPr>
            <w:tcW w:w="777" w:type="pct"/>
          </w:tcPr>
          <w:p w14:paraId="15F139D4">
            <w:pPr>
              <w:jc w:val="left"/>
              <w:rPr>
                <w:rFonts w:hint="eastAsia" w:ascii="宋体" w:hAnsi="宋体" w:cs="宋体"/>
                <w:color w:val="auto"/>
                <w:highlight w:val="none"/>
              </w:rPr>
            </w:pPr>
          </w:p>
        </w:tc>
      </w:tr>
      <w:tr w14:paraId="4951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7D547752">
            <w:pPr>
              <w:jc w:val="center"/>
              <w:rPr>
                <w:rFonts w:hint="eastAsia" w:ascii="宋体" w:hAnsi="宋体" w:cs="宋体"/>
                <w:color w:val="auto"/>
                <w:highlight w:val="none"/>
              </w:rPr>
            </w:pPr>
            <w:r>
              <w:rPr>
                <w:rFonts w:hint="eastAsia" w:ascii="宋体" w:hAnsi="宋体" w:cs="宋体"/>
                <w:color w:val="auto"/>
                <w:highlight w:val="none"/>
              </w:rPr>
              <w:t>3</w:t>
            </w:r>
          </w:p>
        </w:tc>
        <w:tc>
          <w:tcPr>
            <w:tcW w:w="663" w:type="pct"/>
            <w:vAlign w:val="center"/>
          </w:tcPr>
          <w:p w14:paraId="6496DFB7">
            <w:pPr>
              <w:jc w:val="center"/>
              <w:rPr>
                <w:rFonts w:hint="eastAsia" w:ascii="宋体" w:hAnsi="宋体" w:cs="宋体"/>
                <w:color w:val="auto"/>
                <w:highlight w:val="none"/>
              </w:rPr>
            </w:pPr>
          </w:p>
        </w:tc>
        <w:tc>
          <w:tcPr>
            <w:tcW w:w="2234" w:type="pct"/>
            <w:vAlign w:val="center"/>
          </w:tcPr>
          <w:p w14:paraId="294BF383">
            <w:pPr>
              <w:adjustRightInd w:val="0"/>
              <w:snapToGrid w:val="0"/>
              <w:rPr>
                <w:rFonts w:hint="eastAsia" w:ascii="宋体" w:hAnsi="宋体" w:cs="宋体"/>
                <w:color w:val="auto"/>
                <w:kern w:val="0"/>
                <w:highlight w:val="none"/>
              </w:rPr>
            </w:pPr>
          </w:p>
        </w:tc>
        <w:tc>
          <w:tcPr>
            <w:tcW w:w="865" w:type="pct"/>
            <w:vAlign w:val="center"/>
          </w:tcPr>
          <w:p w14:paraId="330C0219">
            <w:pPr>
              <w:jc w:val="left"/>
              <w:rPr>
                <w:rFonts w:hint="eastAsia" w:ascii="宋体" w:hAnsi="宋体" w:cs="宋体"/>
                <w:color w:val="auto"/>
                <w:highlight w:val="none"/>
              </w:rPr>
            </w:pPr>
          </w:p>
        </w:tc>
        <w:tc>
          <w:tcPr>
            <w:tcW w:w="777" w:type="pct"/>
          </w:tcPr>
          <w:p w14:paraId="1AE7B74C">
            <w:pPr>
              <w:jc w:val="left"/>
              <w:rPr>
                <w:rFonts w:hint="eastAsia" w:ascii="宋体" w:hAnsi="宋体" w:cs="宋体"/>
                <w:color w:val="auto"/>
                <w:highlight w:val="none"/>
              </w:rPr>
            </w:pPr>
          </w:p>
        </w:tc>
      </w:tr>
    </w:tbl>
    <w:p w14:paraId="05D21E94">
      <w:pPr>
        <w:snapToGrid w:val="0"/>
        <w:spacing w:line="300" w:lineRule="auto"/>
        <w:contextualSpacing/>
        <w:rPr>
          <w:rFonts w:hint="eastAsia" w:ascii="宋体" w:hAnsi="宋体"/>
          <w:b/>
          <w:color w:val="auto"/>
          <w:sz w:val="24"/>
          <w:szCs w:val="24"/>
          <w:highlight w:val="none"/>
        </w:rPr>
      </w:pPr>
      <w:r>
        <w:rPr>
          <w:rFonts w:hint="eastAsia" w:ascii="宋体" w:hAnsi="宋体"/>
          <w:b/>
          <w:color w:val="auto"/>
          <w:sz w:val="24"/>
          <w:szCs w:val="24"/>
          <w:highlight w:val="none"/>
        </w:rPr>
        <w:t>注：</w:t>
      </w:r>
    </w:p>
    <w:p w14:paraId="447487F4">
      <w:pPr>
        <w:snapToGrid w:val="0"/>
        <w:spacing w:line="300" w:lineRule="auto"/>
        <w:ind w:firstLine="480" w:firstLineChars="200"/>
        <w:contextualSpacing/>
        <w:rPr>
          <w:rFonts w:hint="eastAsia" w:ascii="宋体" w:hAnsi="宋体"/>
          <w:b/>
          <w:bCs/>
          <w:color w:val="auto"/>
          <w:sz w:val="24"/>
          <w:szCs w:val="24"/>
          <w:highlight w:val="none"/>
        </w:rPr>
      </w:pPr>
      <w:r>
        <w:rPr>
          <w:rFonts w:hint="eastAsia" w:ascii="宋体" w:hAnsi="宋体"/>
          <w:color w:val="auto"/>
          <w:sz w:val="24"/>
          <w:szCs w:val="24"/>
          <w:highlight w:val="none"/>
        </w:rPr>
        <w:t>1.供应商提交的响应文件中与</w:t>
      </w:r>
      <w:r>
        <w:rPr>
          <w:rFonts w:hint="eastAsia" w:ascii="宋体" w:hAnsi="宋体" w:cs="宋体"/>
          <w:color w:val="auto"/>
          <w:sz w:val="24"/>
          <w:szCs w:val="24"/>
          <w:highlight w:val="none"/>
        </w:rPr>
        <w:t>比选</w:t>
      </w:r>
      <w:r>
        <w:rPr>
          <w:rFonts w:hint="eastAsia" w:ascii="宋体" w:hAnsi="宋体"/>
          <w:color w:val="auto"/>
          <w:sz w:val="24"/>
          <w:szCs w:val="24"/>
          <w:highlight w:val="none"/>
        </w:rPr>
        <w:t>文件第三部分“项目需求”中的技术部分的要求，如有偏离，应逐条填列在偏离表中</w:t>
      </w:r>
      <w:r>
        <w:rPr>
          <w:rFonts w:hint="eastAsia" w:ascii="宋体" w:hAnsi="宋体"/>
          <w:b/>
          <w:bCs/>
          <w:color w:val="auto"/>
          <w:sz w:val="24"/>
          <w:szCs w:val="24"/>
          <w:highlight w:val="none"/>
        </w:rPr>
        <w:t>。如完全响应，可空白列示。</w:t>
      </w:r>
    </w:p>
    <w:p w14:paraId="0D0EEA71">
      <w:pPr>
        <w:snapToGrid w:val="0"/>
        <w:spacing w:line="30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2.“偏离说明”一栏选择“正偏离”“无偏离”“负偏离”进行填写。正偏离、无偏离的确认和负偏离的是否响应采购文件，由评审小组认定。</w:t>
      </w:r>
    </w:p>
    <w:p w14:paraId="012997F0">
      <w:pPr>
        <w:snapToGrid w:val="0"/>
        <w:spacing w:line="30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3.供应商如果虚假响应，将被暂停参加采购单位组织的任何采购活动。</w:t>
      </w:r>
    </w:p>
    <w:p w14:paraId="674B2527">
      <w:pPr>
        <w:snapToGrid w:val="0"/>
        <w:spacing w:line="300" w:lineRule="auto"/>
        <w:ind w:firstLine="480" w:firstLineChars="200"/>
        <w:contextualSpacing/>
        <w:rPr>
          <w:rFonts w:hint="eastAsia" w:ascii="宋体" w:hAnsi="宋体"/>
          <w:bCs/>
          <w:color w:val="auto"/>
          <w:sz w:val="24"/>
          <w:szCs w:val="24"/>
          <w:highlight w:val="none"/>
        </w:rPr>
      </w:pPr>
      <w:r>
        <w:rPr>
          <w:rFonts w:hint="eastAsia" w:ascii="宋体" w:hAnsi="宋体"/>
          <w:bCs/>
          <w:color w:val="auto"/>
          <w:sz w:val="24"/>
          <w:szCs w:val="24"/>
          <w:highlight w:val="none"/>
        </w:rPr>
        <w:t>4.供应商若提供其他增值服务，可以在表中自行据实填写。</w:t>
      </w:r>
    </w:p>
    <w:p w14:paraId="1C5B53EF">
      <w:pPr>
        <w:snapToGrid w:val="0"/>
        <w:spacing w:line="400" w:lineRule="exact"/>
        <w:ind w:firstLine="540" w:firstLineChars="192"/>
        <w:contextualSpacing/>
        <w:rPr>
          <w:rFonts w:hint="eastAsia" w:ascii="宋体" w:hAnsi="宋体" w:cs="宋体"/>
          <w:b/>
          <w:color w:val="auto"/>
          <w:sz w:val="28"/>
          <w:szCs w:val="28"/>
          <w:highlight w:val="none"/>
        </w:rPr>
      </w:pPr>
    </w:p>
    <w:p w14:paraId="21100CB3">
      <w:pPr>
        <w:snapToGrid w:val="0"/>
        <w:spacing w:line="400" w:lineRule="exact"/>
        <w:ind w:firstLine="540" w:firstLineChars="192"/>
        <w:contextualSpacing/>
        <w:rPr>
          <w:rFonts w:hint="eastAsia" w:ascii="宋体" w:hAnsi="宋体" w:cs="宋体"/>
          <w:b/>
          <w:color w:val="auto"/>
          <w:sz w:val="28"/>
          <w:szCs w:val="28"/>
          <w:highlight w:val="none"/>
        </w:rPr>
      </w:pPr>
    </w:p>
    <w:p w14:paraId="284E79E3">
      <w:pPr>
        <w:snapToGrid w:val="0"/>
        <w:spacing w:line="400" w:lineRule="exact"/>
        <w:ind w:firstLine="540" w:firstLineChars="192"/>
        <w:contextualSpacing/>
        <w:rPr>
          <w:rFonts w:hint="eastAsia" w:ascii="宋体" w:hAnsi="宋体" w:cs="宋体"/>
          <w:b/>
          <w:color w:val="auto"/>
          <w:sz w:val="28"/>
          <w:szCs w:val="28"/>
          <w:highlight w:val="none"/>
        </w:rPr>
      </w:pPr>
    </w:p>
    <w:p w14:paraId="38077A9E">
      <w:pPr>
        <w:snapToGrid w:val="0"/>
        <w:spacing w:line="360" w:lineRule="auto"/>
        <w:ind w:right="79"/>
        <w:jc w:val="righ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响应供应商：（公章）</w:t>
      </w:r>
    </w:p>
    <w:p w14:paraId="36D0692B">
      <w:pPr>
        <w:tabs>
          <w:tab w:val="left" w:pos="5665"/>
          <w:tab w:val="right" w:pos="8360"/>
        </w:tabs>
        <w:snapToGrid w:val="0"/>
        <w:spacing w:line="360" w:lineRule="auto"/>
        <w:ind w:right="42"/>
        <w:jc w:val="right"/>
        <w:textAlignment w:val="baseline"/>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法定代表人或</w:t>
      </w:r>
      <w:r>
        <w:rPr>
          <w:rFonts w:hint="eastAsia" w:ascii="宋体" w:hAnsi="宋体" w:cs="仿宋_GB2312"/>
          <w:color w:val="auto"/>
          <w:sz w:val="24"/>
          <w:szCs w:val="28"/>
          <w:highlight w:val="none"/>
        </w:rPr>
        <w:t>授权委托人（签字或盖章）</w:t>
      </w:r>
      <w:r>
        <w:rPr>
          <w:rFonts w:hint="eastAsia" w:ascii="宋体" w:hAnsi="宋体" w:cs="宋体"/>
          <w:color w:val="auto"/>
          <w:sz w:val="24"/>
          <w:szCs w:val="28"/>
          <w:highlight w:val="none"/>
        </w:rPr>
        <w:t>：</w:t>
      </w:r>
    </w:p>
    <w:p w14:paraId="434B01CD">
      <w:pPr>
        <w:snapToGrid w:val="0"/>
        <w:spacing w:line="520" w:lineRule="exact"/>
        <w:jc w:val="right"/>
        <w:rPr>
          <w:rFonts w:ascii="宋体"/>
          <w:color w:val="auto"/>
          <w:sz w:val="24"/>
          <w:szCs w:val="24"/>
          <w:highlight w:val="none"/>
        </w:rPr>
      </w:pPr>
      <w:r>
        <w:rPr>
          <w:rFonts w:hint="eastAsia" w:ascii="宋体" w:hAnsi="宋体" w:cs="宋体"/>
          <w:color w:val="auto"/>
          <w:sz w:val="24"/>
          <w:szCs w:val="24"/>
          <w:highlight w:val="none"/>
        </w:rPr>
        <w:t xml:space="preserve">    日期：  年  月  日</w:t>
      </w:r>
    </w:p>
    <w:p w14:paraId="7B3DAAE8">
      <w:pPr>
        <w:autoSpaceDE w:val="0"/>
        <w:autoSpaceDN w:val="0"/>
        <w:adjustRightInd w:val="0"/>
        <w:snapToGrid w:val="0"/>
        <w:spacing w:line="360" w:lineRule="auto"/>
        <w:ind w:firstLine="482" w:firstLineChars="200"/>
        <w:contextualSpacing/>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br w:type="page"/>
      </w:r>
    </w:p>
    <w:bookmarkEnd w:id="42"/>
    <w:p w14:paraId="32D450EA">
      <w:pPr>
        <w:pStyle w:val="33"/>
        <w:snapToGrid w:val="0"/>
        <w:spacing w:line="360" w:lineRule="auto"/>
        <w:ind w:firstLine="643" w:firstLineChars="200"/>
        <w:jc w:val="center"/>
        <w:rPr>
          <w:rFonts w:hint="eastAsia" w:ascii="宋体" w:eastAsia="宋体"/>
          <w:b/>
          <w:color w:val="auto"/>
          <w:kern w:val="2"/>
          <w:sz w:val="32"/>
          <w:szCs w:val="32"/>
          <w:highlight w:val="none"/>
        </w:rPr>
      </w:pPr>
      <w:r>
        <w:rPr>
          <w:rFonts w:hint="eastAsia" w:ascii="宋体" w:eastAsia="宋体"/>
          <w:b/>
          <w:color w:val="auto"/>
          <w:kern w:val="2"/>
          <w:sz w:val="32"/>
          <w:szCs w:val="32"/>
          <w:highlight w:val="none"/>
        </w:rPr>
        <w:t>报价总表</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1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630F8D4">
            <w:pPr>
              <w:kinsoku w:val="0"/>
              <w:topLinePunct/>
              <w:snapToGrid w:val="0"/>
              <w:rPr>
                <w:color w:val="auto"/>
                <w:sz w:val="24"/>
                <w:szCs w:val="24"/>
                <w:highlight w:val="none"/>
              </w:rPr>
            </w:pPr>
            <w:r>
              <w:rPr>
                <w:rFonts w:hAnsi="宋体"/>
                <w:color w:val="auto"/>
                <w:sz w:val="24"/>
                <w:szCs w:val="24"/>
                <w:highlight w:val="none"/>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6FC68BFE">
            <w:pPr>
              <w:kinsoku w:val="0"/>
              <w:topLinePunct/>
              <w:snapToGrid w:val="0"/>
              <w:jc w:val="center"/>
              <w:rPr>
                <w:rFonts w:hint="eastAsia" w:eastAsia="宋体"/>
                <w:color w:val="auto"/>
                <w:sz w:val="24"/>
                <w:szCs w:val="24"/>
                <w:highlight w:val="none"/>
                <w:lang w:eastAsia="zh-CN"/>
              </w:rPr>
            </w:pPr>
            <w:r>
              <w:rPr>
                <w:rFonts w:hint="eastAsia" w:hAnsi="宋体"/>
                <w:color w:val="auto"/>
                <w:sz w:val="24"/>
                <w:szCs w:val="24"/>
                <w:highlight w:val="none"/>
                <w:lang w:eastAsia="zh-CN"/>
              </w:rPr>
              <w:t>人民西路38号别墅（崇文楼）修缮保护工程设计采购项目</w:t>
            </w:r>
          </w:p>
        </w:tc>
      </w:tr>
      <w:tr w14:paraId="259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42E3B4C9">
            <w:pPr>
              <w:kinsoku w:val="0"/>
              <w:topLinePunct/>
              <w:snapToGrid w:val="0"/>
              <w:rPr>
                <w:rFonts w:hint="eastAsia" w:hAnsi="宋体"/>
                <w:color w:val="auto"/>
                <w:sz w:val="24"/>
                <w:szCs w:val="24"/>
                <w:highlight w:val="none"/>
              </w:rPr>
            </w:pPr>
            <w:r>
              <w:rPr>
                <w:rFonts w:hint="eastAsia" w:hAnsi="宋体"/>
                <w:color w:val="auto"/>
                <w:sz w:val="24"/>
                <w:szCs w:val="24"/>
                <w:highlight w:val="none"/>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5D18E9F3">
            <w:pPr>
              <w:kinsoku w:val="0"/>
              <w:topLinePunct/>
              <w:snapToGrid w:val="0"/>
              <w:jc w:val="center"/>
              <w:rPr>
                <w:rFonts w:hint="default" w:hAnsi="宋体"/>
                <w:color w:val="auto"/>
                <w:sz w:val="24"/>
                <w:szCs w:val="24"/>
                <w:highlight w:val="none"/>
                <w:lang w:val="en-US"/>
              </w:rPr>
            </w:pPr>
            <w:r>
              <w:rPr>
                <w:rFonts w:hint="eastAsia" w:ascii="Times New Roman" w:hAnsi="宋体" w:eastAsia="宋体" w:cs="Times New Roman"/>
                <w:color w:val="auto"/>
                <w:sz w:val="24"/>
                <w:szCs w:val="24"/>
                <w:highlight w:val="none"/>
                <w:lang w:val="en-US" w:eastAsia="zh-CN"/>
              </w:rPr>
              <w:t>NTYZ</w:t>
            </w:r>
            <w:r>
              <w:rPr>
                <w:rFonts w:hint="eastAsia" w:ascii="Times New Roman" w:hAnsi="宋体" w:eastAsia="宋体" w:cs="Times New Roman"/>
                <w:color w:val="auto"/>
                <w:sz w:val="24"/>
                <w:szCs w:val="24"/>
                <w:highlight w:val="none"/>
                <w:lang w:eastAsia="zh-CN"/>
              </w:rPr>
              <w:t>20260</w:t>
            </w:r>
            <w:r>
              <w:rPr>
                <w:rFonts w:hint="eastAsia" w:hAnsi="宋体" w:cs="Times New Roman"/>
                <w:color w:val="auto"/>
                <w:sz w:val="24"/>
                <w:szCs w:val="24"/>
                <w:highlight w:val="none"/>
                <w:lang w:val="en-US" w:eastAsia="zh-CN"/>
              </w:rPr>
              <w:t>430</w:t>
            </w: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CEA3484">
            <w:pPr>
              <w:kinsoku w:val="0"/>
              <w:topLinePunct/>
              <w:snapToGrid w:val="0"/>
              <w:rPr>
                <w:color w:val="auto"/>
                <w:sz w:val="24"/>
                <w:szCs w:val="24"/>
                <w:highlight w:val="none"/>
              </w:rPr>
            </w:pPr>
            <w:r>
              <w:rPr>
                <w:rFonts w:hint="eastAsia" w:hAnsi="宋体"/>
                <w:color w:val="auto"/>
                <w:sz w:val="24"/>
                <w:szCs w:val="24"/>
                <w:highlight w:val="none"/>
              </w:rPr>
              <w:t>响应</w:t>
            </w:r>
            <w:r>
              <w:rPr>
                <w:rFonts w:hAnsi="宋体"/>
                <w:color w:val="auto"/>
                <w:sz w:val="24"/>
                <w:szCs w:val="24"/>
                <w:highlight w:val="none"/>
              </w:rPr>
              <w:t>报价</w:t>
            </w:r>
          </w:p>
        </w:tc>
        <w:tc>
          <w:tcPr>
            <w:tcW w:w="4197" w:type="pct"/>
            <w:tcBorders>
              <w:top w:val="single" w:color="auto" w:sz="4" w:space="0"/>
              <w:left w:val="single" w:color="auto" w:sz="4" w:space="0"/>
              <w:bottom w:val="single" w:color="auto" w:sz="4" w:space="0"/>
              <w:right w:val="single" w:color="auto" w:sz="4" w:space="0"/>
            </w:tcBorders>
            <w:vAlign w:val="center"/>
          </w:tcPr>
          <w:p w14:paraId="2F80D830">
            <w:pPr>
              <w:snapToGrid w:val="0"/>
              <w:spacing w:line="460" w:lineRule="exact"/>
              <w:jc w:val="center"/>
              <w:rPr>
                <w:rFonts w:hint="eastAsia" w:ascii="宋体" w:hAnsi="宋体" w:cs="宋体"/>
                <w:color w:val="auto"/>
                <w:kern w:val="0"/>
                <w:sz w:val="24"/>
                <w:szCs w:val="24"/>
                <w:highlight w:val="none"/>
                <w:u w:val="single"/>
                <w:lang w:eastAsia="zh-CN" w:bidi="ar"/>
              </w:rPr>
            </w:pPr>
            <w:r>
              <w:rPr>
                <w:rFonts w:hint="eastAsia" w:ascii="宋体" w:hAnsi="宋体" w:cs="宋体"/>
                <w:color w:val="auto"/>
                <w:kern w:val="0"/>
                <w:sz w:val="24"/>
                <w:szCs w:val="24"/>
                <w:highlight w:val="none"/>
                <w:lang w:val="en-US" w:eastAsia="zh-CN" w:bidi="ar"/>
              </w:rPr>
              <w:t>大写：</w:t>
            </w:r>
            <w:r>
              <w:rPr>
                <w:rFonts w:hint="eastAsia" w:ascii="宋体" w:hAnsi="宋体" w:cs="宋体"/>
                <w:color w:val="auto"/>
                <w:kern w:val="0"/>
                <w:sz w:val="24"/>
                <w:szCs w:val="24"/>
                <w:highlight w:val="none"/>
                <w:u w:val="single"/>
                <w:lang w:val="en-US" w:eastAsia="zh-CN" w:bidi="ar"/>
              </w:rPr>
              <w:t xml:space="preserve">    万    仟    佰    拾    元     角     分</w:t>
            </w:r>
            <w:r>
              <w:rPr>
                <w:rFonts w:hint="eastAsia" w:ascii="宋体" w:hAnsi="宋体" w:cs="宋体"/>
                <w:color w:val="auto"/>
                <w:kern w:val="0"/>
                <w:sz w:val="24"/>
                <w:szCs w:val="24"/>
                <w:highlight w:val="none"/>
                <w:u w:val="single"/>
                <w:lang w:eastAsia="zh-CN" w:bidi="ar"/>
              </w:rPr>
              <w:t>；</w:t>
            </w:r>
          </w:p>
          <w:p w14:paraId="6C15B37E">
            <w:pPr>
              <w:snapToGrid w:val="0"/>
              <w:spacing w:line="460" w:lineRule="exact"/>
              <w:jc w:val="both"/>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（小写）</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lang w:val="en-US" w:eastAsia="zh-CN" w:bidi="ar"/>
              </w:rPr>
              <w:t xml:space="preserve">   </w:t>
            </w:r>
          </w:p>
        </w:tc>
      </w:tr>
      <w:tr w14:paraId="358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81FB3AF">
            <w:pPr>
              <w:snapToGrid w:val="0"/>
              <w:spacing w:line="480" w:lineRule="exact"/>
              <w:jc w:val="center"/>
              <w:textAlignment w:val="baseline"/>
              <w:rPr>
                <w:rFonts w:hint="eastAsia" w:hAnsi="宋体"/>
                <w:color w:val="auto"/>
                <w:sz w:val="24"/>
                <w:szCs w:val="24"/>
                <w:highlight w:val="none"/>
              </w:rPr>
            </w:pPr>
            <w:r>
              <w:rPr>
                <w:rFonts w:hint="eastAsia" w:ascii="宋体" w:hAnsi="宋体" w:cs="宋体"/>
                <w:color w:val="auto"/>
                <w:sz w:val="24"/>
                <w:szCs w:val="24"/>
                <w:highlight w:val="none"/>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5322346F">
            <w:pPr>
              <w:snapToGrid w:val="0"/>
              <w:spacing w:line="480" w:lineRule="exact"/>
              <w:jc w:val="center"/>
              <w:textAlignment w:val="baseline"/>
              <w:rPr>
                <w:rFonts w:hint="eastAsia" w:ascii="宋体" w:hAnsi="宋体" w:cs="宋体"/>
                <w:color w:val="auto"/>
                <w:kern w:val="0"/>
                <w:sz w:val="24"/>
                <w:szCs w:val="24"/>
                <w:highlight w:val="none"/>
                <w:lang w:bidi="ar"/>
              </w:rPr>
            </w:pPr>
            <w:r>
              <w:rPr>
                <w:rFonts w:hint="eastAsia" w:ascii="宋体" w:hAnsi="宋体" w:cs="宋体"/>
                <w:color w:val="auto"/>
                <w:sz w:val="24"/>
                <w:szCs w:val="24"/>
                <w:highlight w:val="none"/>
              </w:rPr>
              <w:t>完全接受并响应本项目比选文件的要求。</w:t>
            </w:r>
          </w:p>
        </w:tc>
      </w:tr>
    </w:tbl>
    <w:p w14:paraId="42B51B6C">
      <w:pPr>
        <w:spacing w:line="360" w:lineRule="auto"/>
        <w:ind w:firstLine="480" w:firstLineChars="200"/>
        <w:rPr>
          <w:rFonts w:hint="eastAsia" w:ascii="宋体" w:hAnsi="宋体"/>
          <w:color w:val="auto"/>
          <w:sz w:val="24"/>
          <w:highlight w:val="none"/>
        </w:rPr>
      </w:pPr>
    </w:p>
    <w:p w14:paraId="66A9896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响应</w:t>
      </w:r>
      <w:r>
        <w:rPr>
          <w:rFonts w:ascii="宋体" w:hAnsi="宋体"/>
          <w:color w:val="auto"/>
          <w:sz w:val="24"/>
          <w:highlight w:val="none"/>
        </w:rPr>
        <w:t xml:space="preserve">供应商：（盖章）             </w:t>
      </w:r>
    </w:p>
    <w:p w14:paraId="110967F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法定代表人或被授权人（签字或盖章）：</w:t>
      </w:r>
    </w:p>
    <w:p w14:paraId="30E5A7D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日期：</w:t>
      </w:r>
    </w:p>
    <w:p w14:paraId="7565101D">
      <w:pPr>
        <w:spacing w:line="360" w:lineRule="auto"/>
        <w:ind w:firstLine="482" w:firstLineChars="200"/>
        <w:rPr>
          <w:rFonts w:hint="eastAsia" w:ascii="宋体" w:hAnsi="宋体"/>
          <w:b/>
          <w:bCs/>
          <w:color w:val="auto"/>
          <w:sz w:val="24"/>
          <w:highlight w:val="none"/>
        </w:rPr>
      </w:pPr>
    </w:p>
    <w:p w14:paraId="41281209">
      <w:pPr>
        <w:spacing w:line="360" w:lineRule="auto"/>
        <w:ind w:firstLine="482" w:firstLineChars="200"/>
        <w:rPr>
          <w:rFonts w:hint="eastAsia" w:ascii="宋体" w:hAnsi="宋体"/>
          <w:bCs/>
          <w:color w:val="auto"/>
          <w:sz w:val="24"/>
          <w:highlight w:val="none"/>
        </w:rPr>
      </w:pPr>
      <w:r>
        <w:rPr>
          <w:rFonts w:ascii="宋体" w:hAnsi="宋体"/>
          <w:b/>
          <w:bCs/>
          <w:color w:val="auto"/>
          <w:sz w:val="24"/>
          <w:highlight w:val="none"/>
        </w:rPr>
        <w:t>注：</w:t>
      </w:r>
    </w:p>
    <w:p w14:paraId="353DD56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本表为格式表，不得自行改动，必须提供。</w:t>
      </w:r>
    </w:p>
    <w:p w14:paraId="7529CB3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（2）响应报价金额最多保留两位小数。</w:t>
      </w:r>
    </w:p>
    <w:p w14:paraId="043DC1DB">
      <w:pPr>
        <w:spacing w:line="360" w:lineRule="auto"/>
        <w:ind w:firstLine="420" w:firstLineChars="200"/>
        <w:rPr>
          <w:color w:val="auto"/>
          <w:highlight w:val="none"/>
        </w:rPr>
      </w:pPr>
    </w:p>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roman"/>
    <w:pitch w:val="default"/>
    <w:sig w:usb0="00000000" w:usb1="00000000" w:usb2="00000016" w:usb3="00000000" w:csb0="00060007" w:csb1="00000000"/>
  </w:font>
  <w:font w:name="‹ÎSå">
    <w:altName w:val="Segoe Print"/>
    <w:panose1 w:val="020B0604020202020204"/>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140A4"/>
    <w:multiLevelType w:val="multilevel"/>
    <w:tmpl w:val="278140A4"/>
    <w:lvl w:ilvl="0" w:tentative="0">
      <w:start w:val="1"/>
      <w:numFmt w:val="chineseCountingThousand"/>
      <w:pStyle w:val="3"/>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EE40667"/>
    <w:multiLevelType w:val="singleLevel"/>
    <w:tmpl w:val="2EE40667"/>
    <w:lvl w:ilvl="0" w:tentative="0">
      <w:start w:val="9"/>
      <w:numFmt w:val="chineseCounting"/>
      <w:suff w:val="nothing"/>
      <w:lvlText w:val="%1、"/>
      <w:lvlJc w:val="left"/>
      <w:rPr>
        <w:rFonts w:hint="eastAsia"/>
      </w:rPr>
    </w:lvl>
  </w:abstractNum>
  <w:abstractNum w:abstractNumId="2">
    <w:nsid w:val="68664077"/>
    <w:multiLevelType w:val="singleLevel"/>
    <w:tmpl w:val="68664077"/>
    <w:lvl w:ilvl="0" w:tentative="0">
      <w:start w:val="1"/>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4YjRkNGZkZjQyZjA0MjFjMmQwZjBkNjgxYTFiZmEifQ=="/>
  </w:docVars>
  <w:rsids>
    <w:rsidRoot w:val="ADEF3320"/>
    <w:rsid w:val="00033A70"/>
    <w:rsid w:val="000432F6"/>
    <w:rsid w:val="00047B12"/>
    <w:rsid w:val="00073D9F"/>
    <w:rsid w:val="00076C2E"/>
    <w:rsid w:val="0008198D"/>
    <w:rsid w:val="000B41E9"/>
    <w:rsid w:val="000B45A1"/>
    <w:rsid w:val="000B7159"/>
    <w:rsid w:val="001A30CF"/>
    <w:rsid w:val="001B5E38"/>
    <w:rsid w:val="001C6808"/>
    <w:rsid w:val="001D6B76"/>
    <w:rsid w:val="002135E6"/>
    <w:rsid w:val="00223AC0"/>
    <w:rsid w:val="00223FC1"/>
    <w:rsid w:val="00257951"/>
    <w:rsid w:val="0028047D"/>
    <w:rsid w:val="002838E6"/>
    <w:rsid w:val="00292A7D"/>
    <w:rsid w:val="002978CE"/>
    <w:rsid w:val="002B3C69"/>
    <w:rsid w:val="002F446B"/>
    <w:rsid w:val="00316EC7"/>
    <w:rsid w:val="00333E81"/>
    <w:rsid w:val="0034284C"/>
    <w:rsid w:val="00344E53"/>
    <w:rsid w:val="0037053B"/>
    <w:rsid w:val="00375622"/>
    <w:rsid w:val="00386176"/>
    <w:rsid w:val="0039478D"/>
    <w:rsid w:val="004022C2"/>
    <w:rsid w:val="00427BA5"/>
    <w:rsid w:val="00461AE8"/>
    <w:rsid w:val="00472D8B"/>
    <w:rsid w:val="004A0749"/>
    <w:rsid w:val="00535167"/>
    <w:rsid w:val="005540AD"/>
    <w:rsid w:val="00575BAE"/>
    <w:rsid w:val="0057759B"/>
    <w:rsid w:val="00582B4C"/>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C4E67"/>
    <w:rsid w:val="00A3685E"/>
    <w:rsid w:val="00A44928"/>
    <w:rsid w:val="00A50C93"/>
    <w:rsid w:val="00A70726"/>
    <w:rsid w:val="00AD32E6"/>
    <w:rsid w:val="00AE2580"/>
    <w:rsid w:val="00B264CD"/>
    <w:rsid w:val="00B416D3"/>
    <w:rsid w:val="00B50FBE"/>
    <w:rsid w:val="00B57F5D"/>
    <w:rsid w:val="00BC5D8B"/>
    <w:rsid w:val="00BE512F"/>
    <w:rsid w:val="00BE67E6"/>
    <w:rsid w:val="00CB0971"/>
    <w:rsid w:val="00CC59E1"/>
    <w:rsid w:val="00CE24E5"/>
    <w:rsid w:val="00CF19BA"/>
    <w:rsid w:val="00D00C9F"/>
    <w:rsid w:val="00D920FF"/>
    <w:rsid w:val="00DF1BB4"/>
    <w:rsid w:val="00E36634"/>
    <w:rsid w:val="00E61EDE"/>
    <w:rsid w:val="00E736B8"/>
    <w:rsid w:val="00E82390"/>
    <w:rsid w:val="00EC0C13"/>
    <w:rsid w:val="00F21DFB"/>
    <w:rsid w:val="00F42CBF"/>
    <w:rsid w:val="00F6407C"/>
    <w:rsid w:val="00FE0208"/>
    <w:rsid w:val="00FE15BF"/>
    <w:rsid w:val="011102A5"/>
    <w:rsid w:val="02175C5A"/>
    <w:rsid w:val="02DC3F04"/>
    <w:rsid w:val="03174F3D"/>
    <w:rsid w:val="03A13748"/>
    <w:rsid w:val="04032235"/>
    <w:rsid w:val="068F74D5"/>
    <w:rsid w:val="06936FD0"/>
    <w:rsid w:val="074B1659"/>
    <w:rsid w:val="07F57D96"/>
    <w:rsid w:val="09572537"/>
    <w:rsid w:val="09850549"/>
    <w:rsid w:val="09E73DFE"/>
    <w:rsid w:val="0C901349"/>
    <w:rsid w:val="0CE560AB"/>
    <w:rsid w:val="0DCC7613"/>
    <w:rsid w:val="0DFF9CEB"/>
    <w:rsid w:val="0E73655B"/>
    <w:rsid w:val="11DC5FC8"/>
    <w:rsid w:val="16856C77"/>
    <w:rsid w:val="17155B43"/>
    <w:rsid w:val="176A1687"/>
    <w:rsid w:val="17C17400"/>
    <w:rsid w:val="17E407DB"/>
    <w:rsid w:val="19981D6E"/>
    <w:rsid w:val="19D54A32"/>
    <w:rsid w:val="1A004525"/>
    <w:rsid w:val="1A6A6835"/>
    <w:rsid w:val="1AC437A4"/>
    <w:rsid w:val="1B0B4F2F"/>
    <w:rsid w:val="1D1066F5"/>
    <w:rsid w:val="1D271DC8"/>
    <w:rsid w:val="1D5530B1"/>
    <w:rsid w:val="1E024D4F"/>
    <w:rsid w:val="1E154419"/>
    <w:rsid w:val="1E990AA4"/>
    <w:rsid w:val="1F1C3BAF"/>
    <w:rsid w:val="1F3A5DE3"/>
    <w:rsid w:val="1FCAB64F"/>
    <w:rsid w:val="1FDE0FFE"/>
    <w:rsid w:val="2042511F"/>
    <w:rsid w:val="206F5F60"/>
    <w:rsid w:val="220628E4"/>
    <w:rsid w:val="231554EA"/>
    <w:rsid w:val="23A81EB5"/>
    <w:rsid w:val="23C57D5C"/>
    <w:rsid w:val="241A61E3"/>
    <w:rsid w:val="26290297"/>
    <w:rsid w:val="2668100C"/>
    <w:rsid w:val="268F2373"/>
    <w:rsid w:val="27D843EB"/>
    <w:rsid w:val="29A46C7B"/>
    <w:rsid w:val="2A7523C5"/>
    <w:rsid w:val="2B6106D8"/>
    <w:rsid w:val="2BBB12E0"/>
    <w:rsid w:val="2BEF6F0D"/>
    <w:rsid w:val="2DE03BB8"/>
    <w:rsid w:val="2E191452"/>
    <w:rsid w:val="2E1B3283"/>
    <w:rsid w:val="2E697617"/>
    <w:rsid w:val="2ED6734C"/>
    <w:rsid w:val="2EEB70FA"/>
    <w:rsid w:val="306673E9"/>
    <w:rsid w:val="30CB7A59"/>
    <w:rsid w:val="31CC460C"/>
    <w:rsid w:val="31FD7870"/>
    <w:rsid w:val="32056724"/>
    <w:rsid w:val="32371A8B"/>
    <w:rsid w:val="32596095"/>
    <w:rsid w:val="32EA54FC"/>
    <w:rsid w:val="32F8C307"/>
    <w:rsid w:val="339477F7"/>
    <w:rsid w:val="33FD2358"/>
    <w:rsid w:val="340842AA"/>
    <w:rsid w:val="3575771D"/>
    <w:rsid w:val="35D61EA0"/>
    <w:rsid w:val="35EB5C31"/>
    <w:rsid w:val="369E0EF6"/>
    <w:rsid w:val="36B32ACF"/>
    <w:rsid w:val="371A0673"/>
    <w:rsid w:val="37DFE570"/>
    <w:rsid w:val="37FF70F9"/>
    <w:rsid w:val="38820727"/>
    <w:rsid w:val="38835197"/>
    <w:rsid w:val="38AD71CE"/>
    <w:rsid w:val="38CD161E"/>
    <w:rsid w:val="391E49EA"/>
    <w:rsid w:val="39531E2A"/>
    <w:rsid w:val="39A276E1"/>
    <w:rsid w:val="39E575EF"/>
    <w:rsid w:val="3A9B1346"/>
    <w:rsid w:val="3B334302"/>
    <w:rsid w:val="3B5D25CD"/>
    <w:rsid w:val="3BAF791C"/>
    <w:rsid w:val="3C2F2BED"/>
    <w:rsid w:val="3D185D83"/>
    <w:rsid w:val="3EA70056"/>
    <w:rsid w:val="3F6835F7"/>
    <w:rsid w:val="3FFFCCCB"/>
    <w:rsid w:val="40085897"/>
    <w:rsid w:val="412B7F0F"/>
    <w:rsid w:val="42976F25"/>
    <w:rsid w:val="43EB7F48"/>
    <w:rsid w:val="46CA462D"/>
    <w:rsid w:val="47372A84"/>
    <w:rsid w:val="474653BD"/>
    <w:rsid w:val="47723A6B"/>
    <w:rsid w:val="47813469"/>
    <w:rsid w:val="47D91699"/>
    <w:rsid w:val="486D6DCE"/>
    <w:rsid w:val="487B1097"/>
    <w:rsid w:val="4A641AAE"/>
    <w:rsid w:val="4B26717E"/>
    <w:rsid w:val="4BD9365E"/>
    <w:rsid w:val="4C1A4723"/>
    <w:rsid w:val="4DC031E4"/>
    <w:rsid w:val="4F4C5455"/>
    <w:rsid w:val="53E977FC"/>
    <w:rsid w:val="53F7C880"/>
    <w:rsid w:val="54F55170"/>
    <w:rsid w:val="553219A3"/>
    <w:rsid w:val="55BB6F76"/>
    <w:rsid w:val="55CFE320"/>
    <w:rsid w:val="5682029D"/>
    <w:rsid w:val="56F64328"/>
    <w:rsid w:val="57312724"/>
    <w:rsid w:val="59973834"/>
    <w:rsid w:val="5A326E76"/>
    <w:rsid w:val="5A382944"/>
    <w:rsid w:val="5A7B3690"/>
    <w:rsid w:val="5B902D67"/>
    <w:rsid w:val="5BA7B32D"/>
    <w:rsid w:val="5C02145B"/>
    <w:rsid w:val="5C950492"/>
    <w:rsid w:val="5CCA7690"/>
    <w:rsid w:val="5D35760E"/>
    <w:rsid w:val="5D727373"/>
    <w:rsid w:val="5E070123"/>
    <w:rsid w:val="5E086AD1"/>
    <w:rsid w:val="5E2F405E"/>
    <w:rsid w:val="5E5774EB"/>
    <w:rsid w:val="5E8175E2"/>
    <w:rsid w:val="5E92742B"/>
    <w:rsid w:val="5EEF5B00"/>
    <w:rsid w:val="5F0F421B"/>
    <w:rsid w:val="5F1E79F9"/>
    <w:rsid w:val="5F7A755A"/>
    <w:rsid w:val="5F7B034F"/>
    <w:rsid w:val="5F7DDC44"/>
    <w:rsid w:val="5FB011CE"/>
    <w:rsid w:val="5FC54B4B"/>
    <w:rsid w:val="63802886"/>
    <w:rsid w:val="64FD94D9"/>
    <w:rsid w:val="65DA0F56"/>
    <w:rsid w:val="661029C7"/>
    <w:rsid w:val="66691D63"/>
    <w:rsid w:val="677E0294"/>
    <w:rsid w:val="68273FF7"/>
    <w:rsid w:val="6848469A"/>
    <w:rsid w:val="6BD5BBE7"/>
    <w:rsid w:val="6BDD4A92"/>
    <w:rsid w:val="6C000472"/>
    <w:rsid w:val="6D7C3514"/>
    <w:rsid w:val="6E0A6E8C"/>
    <w:rsid w:val="6ED0363B"/>
    <w:rsid w:val="6F017762"/>
    <w:rsid w:val="6F07001F"/>
    <w:rsid w:val="6F6D4CA2"/>
    <w:rsid w:val="71641E18"/>
    <w:rsid w:val="719621D2"/>
    <w:rsid w:val="72C47013"/>
    <w:rsid w:val="74862C03"/>
    <w:rsid w:val="75963CF6"/>
    <w:rsid w:val="763E0E8A"/>
    <w:rsid w:val="76E37D44"/>
    <w:rsid w:val="77816BF1"/>
    <w:rsid w:val="7797CEDD"/>
    <w:rsid w:val="77BF5BDE"/>
    <w:rsid w:val="77D7F48C"/>
    <w:rsid w:val="7ACC0CD4"/>
    <w:rsid w:val="7B6FCDAA"/>
    <w:rsid w:val="7B76CCDB"/>
    <w:rsid w:val="7BB86609"/>
    <w:rsid w:val="7BBF77BA"/>
    <w:rsid w:val="7BDFF640"/>
    <w:rsid w:val="7BE7D603"/>
    <w:rsid w:val="7D146922"/>
    <w:rsid w:val="7D5F2213"/>
    <w:rsid w:val="7DBBA714"/>
    <w:rsid w:val="7E2D0162"/>
    <w:rsid w:val="7E5C7C58"/>
    <w:rsid w:val="7EDF052A"/>
    <w:rsid w:val="7EFF03EB"/>
    <w:rsid w:val="7EFF77ED"/>
    <w:rsid w:val="7F776141"/>
    <w:rsid w:val="7F7D128A"/>
    <w:rsid w:val="7F7E85F8"/>
    <w:rsid w:val="7F7FB99E"/>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qFormat/>
    <w:uiPriority w:val="0"/>
    <w:pPr>
      <w:keepNext/>
      <w:jc w:val="center"/>
      <w:outlineLvl w:val="3"/>
    </w:pPr>
    <w:rPr>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标题 41"/>
    <w:qFormat/>
    <w:uiPriority w:val="0"/>
    <w:pPr>
      <w:keepNext/>
      <w:widowControl w:val="0"/>
      <w:jc w:val="center"/>
      <w:outlineLvl w:val="3"/>
    </w:pPr>
    <w:rPr>
      <w:rFonts w:ascii="Times New Roman" w:hAnsi="Times New Roman" w:eastAsia="新宋体" w:cs="Times New Roman"/>
      <w:kern w:val="2"/>
      <w:sz w:val="30"/>
      <w:szCs w:val="21"/>
      <w:lang w:val="en-US" w:eastAsia="zh-CN" w:bidi="ar-SA"/>
    </w:rPr>
  </w:style>
  <w:style w:type="paragraph" w:styleId="7">
    <w:name w:val="table of authorities"/>
    <w:basedOn w:val="1"/>
    <w:next w:val="1"/>
    <w:unhideWhenUsed/>
    <w:qFormat/>
    <w:uiPriority w:val="99"/>
    <w:pPr>
      <w:ind w:left="420" w:leftChars="200"/>
    </w:pPr>
  </w:style>
  <w:style w:type="paragraph" w:styleId="8">
    <w:name w:val="Normal Indent"/>
    <w:basedOn w:val="1"/>
    <w:qFormat/>
    <w:uiPriority w:val="0"/>
    <w:pPr>
      <w:ind w:firstLine="420"/>
    </w:pPr>
    <w:rPr>
      <w:kern w:val="0"/>
      <w:sz w:val="20"/>
      <w:szCs w:val="20"/>
    </w:rPr>
  </w:style>
  <w:style w:type="paragraph" w:styleId="9">
    <w:name w:val="annotation text"/>
    <w:basedOn w:val="1"/>
    <w:link w:val="42"/>
    <w:qFormat/>
    <w:uiPriority w:val="0"/>
    <w:pPr>
      <w:jc w:val="left"/>
    </w:pPr>
  </w:style>
  <w:style w:type="paragraph" w:styleId="10">
    <w:name w:val="Body Text"/>
    <w:basedOn w:val="1"/>
    <w:next w:val="1"/>
    <w:qFormat/>
    <w:uiPriority w:val="0"/>
    <w:rPr>
      <w:rFonts w:ascii="仿宋_GB2312" w:eastAsia="仿宋_GB2312"/>
      <w:kern w:val="0"/>
      <w:sz w:val="24"/>
      <w:szCs w:val="20"/>
    </w:rPr>
  </w:style>
  <w:style w:type="paragraph" w:styleId="11">
    <w:name w:val="Body Text Indent"/>
    <w:basedOn w:val="1"/>
    <w:next w:val="12"/>
    <w:unhideWhenUsed/>
    <w:qFormat/>
    <w:uiPriority w:val="99"/>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Plain Text"/>
    <w:basedOn w:val="1"/>
    <w:qFormat/>
    <w:uiPriority w:val="0"/>
    <w:rPr>
      <w:rFonts w:ascii="宋体" w:hAnsi="Courier New"/>
      <w:szCs w:val="20"/>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pPr>
    <w:rPr>
      <w:b/>
    </w:rPr>
  </w:style>
  <w:style w:type="paragraph" w:styleId="17">
    <w:name w:val="toc 1"/>
    <w:basedOn w:val="1"/>
    <w:next w:val="1"/>
    <w:qFormat/>
    <w:uiPriority w:val="0"/>
    <w:pPr>
      <w:adjustRightInd w:val="0"/>
      <w:jc w:val="left"/>
      <w:textAlignment w:val="baseline"/>
    </w:pPr>
    <w:rPr>
      <w:sz w:val="24"/>
    </w:rPr>
  </w:style>
  <w:style w:type="paragraph" w:styleId="18">
    <w:name w:val="Body Text Indent 3"/>
    <w:basedOn w:val="1"/>
    <w:qFormat/>
    <w:uiPriority w:val="0"/>
    <w:pPr>
      <w:spacing w:line="520" w:lineRule="exact"/>
      <w:ind w:firstLine="539" w:firstLineChars="184"/>
    </w:pPr>
    <w:rPr>
      <w:rFonts w:ascii="宋体"/>
      <w:b/>
      <w:spacing w:val="6"/>
      <w:sz w:val="28"/>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9"/>
    <w:next w:val="9"/>
    <w:link w:val="43"/>
    <w:qFormat/>
    <w:uiPriority w:val="0"/>
    <w:rPr>
      <w:b/>
      <w:bCs/>
    </w:rPr>
  </w:style>
  <w:style w:type="paragraph" w:styleId="22">
    <w:name w:val="Body Text First Indent"/>
    <w:basedOn w:val="10"/>
    <w:qFormat/>
    <w:uiPriority w:val="0"/>
    <w:pPr>
      <w:spacing w:after="120"/>
      <w:ind w:firstLine="420" w:firstLineChars="100"/>
    </w:pPr>
    <w:rPr>
      <w:rFonts w:ascii="Times New Roman" w:eastAsia="宋体"/>
      <w:szCs w:val="24"/>
    </w:rPr>
  </w:style>
  <w:style w:type="paragraph" w:styleId="23">
    <w:name w:val="Body Text First Indent 2"/>
    <w:basedOn w:val="11"/>
    <w:qFormat/>
    <w:uiPriority w:val="0"/>
    <w:pPr>
      <w:ind w:firstLine="200" w:firstLineChars="20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annotation reference"/>
    <w:basedOn w:val="26"/>
    <w:qFormat/>
    <w:uiPriority w:val="0"/>
    <w:rPr>
      <w:sz w:val="21"/>
      <w:szCs w:val="21"/>
    </w:rPr>
  </w:style>
  <w:style w:type="paragraph" w:customStyle="1" w:styleId="29">
    <w:name w:val="正文文本首行缩进 21"/>
    <w:basedOn w:val="30"/>
    <w:qFormat/>
    <w:uiPriority w:val="0"/>
    <w:pPr>
      <w:spacing w:after="0" w:line="360" w:lineRule="auto"/>
      <w:ind w:left="0" w:firstLine="420"/>
    </w:pPr>
    <w:rPr>
      <w:rFonts w:ascii="宋体" w:hAnsi="宋体"/>
      <w:szCs w:val="20"/>
    </w:rPr>
  </w:style>
  <w:style w:type="paragraph" w:customStyle="1" w:styleId="30">
    <w:name w:val="正文文本缩进1"/>
    <w:basedOn w:val="1"/>
    <w:next w:val="31"/>
    <w:unhideWhenUsed/>
    <w:qFormat/>
    <w:uiPriority w:val="0"/>
    <w:pPr>
      <w:spacing w:after="120"/>
      <w:ind w:left="420"/>
    </w:pPr>
  </w:style>
  <w:style w:type="paragraph" w:customStyle="1" w:styleId="31">
    <w:name w:val="寄信人地址1"/>
    <w:basedOn w:val="1"/>
    <w:unhideWhenUsed/>
    <w:qFormat/>
    <w:uiPriority w:val="99"/>
    <w:rPr>
      <w:rFonts w:ascii="Arial" w:hAnsi="Arial"/>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4">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p0"/>
    <w:basedOn w:val="1"/>
    <w:qFormat/>
    <w:uiPriority w:val="0"/>
    <w:pPr>
      <w:widowControl/>
    </w:pPr>
    <w:rPr>
      <w:rFonts w:ascii="Calibri" w:hAnsi="Calibri"/>
      <w:kern w:val="0"/>
      <w:szCs w:val="20"/>
    </w:rPr>
  </w:style>
  <w:style w:type="paragraph" w:customStyle="1" w:styleId="37">
    <w:name w:val="正文 + 宋体"/>
    <w:basedOn w:val="1"/>
    <w:qFormat/>
    <w:uiPriority w:val="0"/>
    <w:pPr>
      <w:widowControl/>
      <w:autoSpaceDE w:val="0"/>
      <w:autoSpaceDN w:val="0"/>
      <w:spacing w:line="360" w:lineRule="auto"/>
      <w:textAlignment w:val="bottom"/>
    </w:pPr>
    <w:rPr>
      <w:rFonts w:ascii="宋体" w:hAnsi="宋体"/>
    </w:rPr>
  </w:style>
  <w:style w:type="paragraph" w:styleId="38">
    <w:name w:val="List Paragraph"/>
    <w:basedOn w:val="1"/>
    <w:unhideWhenUsed/>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40">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1">
    <w:name w:val="批注框文本 字符"/>
    <w:basedOn w:val="26"/>
    <w:link w:val="14"/>
    <w:qFormat/>
    <w:uiPriority w:val="0"/>
    <w:rPr>
      <w:kern w:val="2"/>
      <w:sz w:val="18"/>
      <w:szCs w:val="18"/>
    </w:rPr>
  </w:style>
  <w:style w:type="character" w:customStyle="1" w:styleId="42">
    <w:name w:val="批注文字 字符"/>
    <w:basedOn w:val="26"/>
    <w:link w:val="9"/>
    <w:qFormat/>
    <w:uiPriority w:val="0"/>
    <w:rPr>
      <w:kern w:val="2"/>
      <w:sz w:val="21"/>
      <w:szCs w:val="21"/>
    </w:rPr>
  </w:style>
  <w:style w:type="character" w:customStyle="1" w:styleId="43">
    <w:name w:val="批注主题 字符"/>
    <w:basedOn w:val="42"/>
    <w:link w:val="21"/>
    <w:qFormat/>
    <w:uiPriority w:val="0"/>
    <w:rPr>
      <w:b/>
      <w:bCs/>
      <w:kern w:val="2"/>
      <w:sz w:val="21"/>
      <w:szCs w:val="21"/>
    </w:rPr>
  </w:style>
  <w:style w:type="character" w:customStyle="1" w:styleId="44">
    <w:name w:val="font21"/>
    <w:basedOn w:val="26"/>
    <w:qFormat/>
    <w:uiPriority w:val="0"/>
    <w:rPr>
      <w:rFonts w:hint="eastAsia" w:ascii="宋体" w:hAnsi="宋体" w:eastAsia="宋体" w:cs="宋体"/>
      <w:color w:val="FF0000"/>
      <w:sz w:val="22"/>
      <w:szCs w:val="22"/>
      <w:u w:val="none"/>
    </w:rPr>
  </w:style>
  <w:style w:type="paragraph" w:customStyle="1" w:styleId="45">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6">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7">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8">
    <w:name w:val="列表段落1"/>
    <w:basedOn w:val="1"/>
    <w:qFormat/>
    <w:uiPriority w:val="1"/>
    <w:rPr>
      <w:rFonts w:ascii="Calibri" w:hAnsi="Calibri"/>
    </w:rPr>
  </w:style>
  <w:style w:type="character" w:customStyle="1" w:styleId="49">
    <w:name w:val="font11"/>
    <w:qFormat/>
    <w:uiPriority w:val="0"/>
    <w:rPr>
      <w:rFonts w:ascii="Calibri" w:hAnsi="Calibri" w:cs="Calibri"/>
      <w:color w:val="0000FF"/>
      <w:sz w:val="24"/>
      <w:szCs w:val="24"/>
      <w:u w:val="none"/>
    </w:rPr>
  </w:style>
  <w:style w:type="paragraph" w:customStyle="1" w:styleId="50">
    <w:name w:val="列出段落1"/>
    <w:basedOn w:val="1"/>
    <w:qFormat/>
    <w:uiPriority w:val="0"/>
    <w:pPr>
      <w:snapToGrid w:val="0"/>
      <w:spacing w:line="360" w:lineRule="auto"/>
      <w:ind w:left="560"/>
    </w:pPr>
    <w:rPr>
      <w:rFonts w:ascii="仿宋_GB2312" w:hAnsi="Calibri" w:eastAsia="仿宋_GB2312"/>
      <w:sz w:val="28"/>
      <w:szCs w:val="28"/>
    </w:rPr>
  </w:style>
  <w:style w:type="paragraph" w:customStyle="1" w:styleId="51">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2">
    <w:name w:val="Table Paragraph"/>
    <w:qFormat/>
    <w:uiPriority w:val="99"/>
    <w:pPr>
      <w:widowControl w:val="0"/>
      <w:autoSpaceDE w:val="0"/>
      <w:autoSpaceDN w:val="0"/>
      <w:jc w:val="left"/>
    </w:pPr>
    <w:rPr>
      <w:rFonts w:ascii="宋体" w:hAnsi="宋体" w:eastAsia="宋体" w:cs="宋体"/>
      <w:kern w:val="0"/>
      <w:sz w:val="22"/>
      <w:szCs w:val="22"/>
      <w:lang w:val="zh-CN" w:eastAsia="zh-CN" w:bidi="ar-SA"/>
    </w:rPr>
  </w:style>
  <w:style w:type="paragraph" w:customStyle="1" w:styleId="53">
    <w:name w:val="无间隔1"/>
    <w:qFormat/>
    <w:uiPriority w:val="0"/>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09e85717-d107-48d2-aa54-36652856d335</errorID>
      <errorWord>【2022】2号</errorWord>
      <group>L1_Knowledge</group>
      <groupName>知识性问题</groupName>
      <ability>L2_Knowledge</ability>
      <abilityName>其他知识</abilityName>
      <candidateList>
        <item>〔2022〕2号</item>
      </candidateList>
      <explain>发文字号格式错误。</explain>
      <paraID> 2878CD3</paraID>
      <start>14</start>
      <end>22</end>
      <status>modified</status>
      <modifiedWord>〔2022〕2号</modifiedWord>
      <trackRevisions>false</trackRevisions>
    </reviewItem>
    <reviewItem>
      <errorID>6f6dbfcb-9ae2-4baa-aa4e-15fdcc99aefa</errorID>
      <errorWord>(</errorWord>
      <group>L1_Format</group>
      <groupName>格式问题</groupName>
      <ability>L2_HalfPunc</ability>
      <abilityName>全半角检查</abilityName>
      <candidateList>
        <item>（</item>
      </candidateList>
      <explain>文本全半角错误。</explain>
      <paraID>5D50A5CE</paraID>
      <start>15</start>
      <end>16</end>
      <status>modified</status>
      <modifiedWord>（</modifiedWord>
      <trackRevisions>false</trackRevisions>
    </reviewItem>
    <reviewItem>
      <errorID>48e61ea1-0126-42a5-b012-76ab1b349c0d</errorID>
      <errorWord>)</errorWord>
      <group>L1_Format</group>
      <groupName>格式问题</groupName>
      <ability>L2_HalfPunc</ability>
      <abilityName>全半角检查</abilityName>
      <candidateList>
        <item>）</item>
      </candidateList>
      <explain>文本全半角错误。</explain>
      <paraID>5D50A5CE</paraID>
      <start>24</start>
      <end>25</end>
      <status>modified</status>
      <modifiedWord>）</modifiedWord>
      <trackRevisions>false</trackRevisions>
    </reviewItem>
    <reviewItem>
      <errorID>73af8113-97ca-49a5-ac6b-44676c201efa</errorID>
      <errorWord>(</errorWord>
      <group>L1_Format</group>
      <groupName>格式问题</groupName>
      <ability>L2_HalfPunc</ability>
      <abilityName>全半角检查</abilityName>
      <candidateList>
        <item>（</item>
      </candidateList>
      <explain>文本全半角错误。</explain>
      <paraID>5D50A5CE</paraID>
      <start>32</start>
      <end>33</end>
      <status>modified</status>
      <modifiedWord>（</modifiedWord>
      <trackRevisions>false</trackRevisions>
    </reviewItem>
    <reviewItem>
      <errorID>bbba88a6-d9e0-4ad1-8a47-64047ac83794</errorID>
      <errorWord>)</errorWord>
      <group>L1_Format</group>
      <groupName>格式问题</groupName>
      <ability>L2_HalfPunc</ability>
      <abilityName>全半角检查</abilityName>
      <candidateList>
        <item>）</item>
      </candidateList>
      <explain>文本全半角错误。</explain>
      <paraID>5D50A5CE</paraID>
      <start>42</start>
      <end>43</end>
      <status>modified</status>
      <modifiedWord>）</modifiedWord>
      <trackRevisions>false</trackRevisions>
    </reviewItem>
    <reviewItem>
      <errorID>a6bac4c0-f82d-4b70-a42b-23df645bb701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4DC6C55E</paraID>
      <start>20</start>
      <end>22</end>
      <status>ignored</status>
      <modifiedWord/>
      <trackRevisions>false</trackRevisions>
    </reviewItem>
    <reviewItem>
      <errorID>ca34df0b-df26-4e6f-abbc-3e42723cb29e</errorID>
      <errorWord>&lt;</errorWord>
      <group>L1_Format</group>
      <groupName>格式问题</groupName>
      <ability>L2_HalfPunc</ability>
      <abilityName>全半角检查</abilityName>
      <candidateList>
        <item>〈</item>
      </candidateList>
      <explain>文本全半角错误。</explain>
      <paraID>3CB6D8D3</paraID>
      <start>37</start>
      <end>38</end>
      <status>ignored</status>
      <modifiedWord/>
      <trackRevisions>false</trackRevisions>
    </reviewItem>
    <reviewItem>
      <errorID>2e0ec9c7-464c-4d35-a064-979ab73c8503</errorID>
      <errorWord>&lt;</errorWord>
      <group>L1_Format</group>
      <groupName>格式问题</groupName>
      <ability>L2_HalfPunc</ability>
      <abilityName>全半角检查</abilityName>
      <candidateList>
        <item>〈</item>
      </candidateList>
      <explain>文本全半角错误。</explain>
      <paraID>709B5F31</paraID>
      <start>37</start>
      <end>38</end>
      <status>ignored</status>
      <modifiedWord/>
      <trackRevisions>false</trackRevisions>
    </reviewItem>
    <reviewItem>
      <errorID>9f7534dc-b300-4f57-8708-485fe56b5b7c</errorID>
      <errorWord>&lt;</errorWord>
      <group>L1_Format</group>
      <groupName>格式问题</groupName>
      <ability>L2_HalfPunc</ability>
      <abilityName>全半角检查</abilityName>
      <candidateList>
        <item>〈</item>
      </candidateList>
      <explain>文本全半角错误。</explain>
      <paraID>391CEC87</paraID>
      <start>26</start>
      <end>27</end>
      <status>ignored</status>
      <modifiedWord/>
      <trackRevisions>false</trackRevisions>
    </reviewItem>
    <reviewItem>
      <errorID>12ecbd93-dca8-4158-bb34-216f7aaf9c56</errorID>
      <errorWord>须</errorWord>
      <group>L1_Word</group>
      <groupName>字词问题</groupName>
      <ability>L2_Typo</ability>
      <abilityName>字词错误</abilityName>
      <candidateList>
        <item>需</item>
      </candidateList>
      <explain>存在发音相同字词的误用。</explain>
      <paraID>31C7D8E5</paraID>
      <start>11</start>
      <end>12</end>
      <status>modified</status>
      <modifiedWord>需</modifiedWord>
      <trackRevisions>false</trackRevisions>
    </reviewItem>
    <reviewItem>
      <errorID>90572b1d-257b-41c0-802d-516ece8e419a</errorID>
      <errorWord>“/</errorWord>
      <group>L1_Punc</group>
      <groupName>标点问题</groupName>
      <ability>L2_Punc</ability>
      <abilityName>标点符号检查</abilityName>
      <candidateList>
        <item>“</item>
      </candidateList>
      <explain/>
      <paraID>3948B385</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D7D4D-FB73-4CCC-8C06-C0D2CFFF5F3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30</Pages>
  <Words>7249</Words>
  <Characters>7467</Characters>
  <Lines>99</Lines>
  <Paragraphs>27</Paragraphs>
  <TotalTime>27</TotalTime>
  <ScaleCrop>false</ScaleCrop>
  <LinksUpToDate>false</LinksUpToDate>
  <CharactersWithSpaces>7492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2026-04-19T11:17:00Z</dcterms:created>
  <dc:creator>admin</dc:creator>
  <cp:lastModifiedBy>张云飞</cp:lastModifiedBy>
  <cp:lastPrinted>2026-01-31T15:03:00Z</cp:lastPrinted>
  <dcterms:modified xsi:type="dcterms:W3CDTF">2026-04-24T02:44:30Z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69FE22295F9345579532B056352A4E02_13</vt:lpwstr>
  </property>
  <property fmtid="{D5CDD505-2E9C-101B-9397-08002B2CF9AE}" pid="4" name="KSOTemplateDocerSaveRecord">
    <vt:lpwstr>eyJoZGlkIjoiMWNkMWVkMDEwMTU2Nzk0YzZiZjQ0NjRlODk5MDdjMjEiLCJ1c2VySWQiOiIxNjU4MzI4NjU4In0=</vt:lpwstr>
  </property>
</Properties>
</file>