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F7DEF8">
      <w:pPr>
        <w:spacing w:line="520" w:lineRule="exact"/>
        <w:jc w:val="center"/>
        <w:rPr>
          <w:rFonts w:ascii="宋体" w:hAnsi="宋体" w:cs="宋体"/>
          <w:b/>
          <w:bCs/>
          <w:color w:val="000000" w:themeColor="text1"/>
          <w:sz w:val="44"/>
          <w:szCs w:val="44"/>
          <w14:textFill>
            <w14:solidFill>
              <w14:schemeClr w14:val="tx1"/>
            </w14:solidFill>
          </w14:textFill>
        </w:rPr>
      </w:pPr>
      <w:r>
        <w:rPr>
          <w:rFonts w:hint="eastAsia" w:ascii="宋体" w:hAnsi="宋体" w:cs="宋体"/>
          <w:b/>
          <w:bCs/>
          <w:color w:val="000000" w:themeColor="text1"/>
          <w:sz w:val="44"/>
          <w:szCs w:val="44"/>
          <w14:textFill>
            <w14:solidFill>
              <w14:schemeClr w14:val="tx1"/>
            </w14:solidFill>
          </w14:textFill>
        </w:rPr>
        <w:t>慧学南通智慧教育云平台维保项目</w:t>
      </w:r>
    </w:p>
    <w:p w14:paraId="0D7F9753">
      <w:pPr>
        <w:spacing w:line="520" w:lineRule="exact"/>
        <w:jc w:val="center"/>
        <w:rPr>
          <w:rFonts w:ascii="宋体" w:hAnsi="宋体" w:cs="宋体"/>
          <w:b/>
          <w:bCs/>
          <w:color w:val="000000" w:themeColor="text1"/>
          <w:sz w:val="44"/>
          <w:szCs w:val="44"/>
          <w14:textFill>
            <w14:solidFill>
              <w14:schemeClr w14:val="tx1"/>
            </w14:solidFill>
          </w14:textFill>
        </w:rPr>
      </w:pPr>
    </w:p>
    <w:p w14:paraId="1F1FC020">
      <w:pPr>
        <w:spacing w:line="520" w:lineRule="exact"/>
        <w:jc w:val="center"/>
        <w:rPr>
          <w:rFonts w:ascii="宋体" w:hAnsi="宋体" w:cs="宋体"/>
          <w:b/>
          <w:bCs/>
          <w:color w:val="000000" w:themeColor="text1"/>
          <w:sz w:val="44"/>
          <w:szCs w:val="44"/>
          <w14:textFill>
            <w14:solidFill>
              <w14:schemeClr w14:val="tx1"/>
            </w14:solidFill>
          </w14:textFill>
        </w:rPr>
      </w:pPr>
    </w:p>
    <w:p w14:paraId="37EA3D09">
      <w:pPr>
        <w:jc w:val="center"/>
        <w:rPr>
          <w:rFonts w:ascii="黑体" w:hAnsi="黑体" w:eastAsia="黑体" w:cs="黑体"/>
          <w:b/>
          <w:color w:val="000000" w:themeColor="text1"/>
          <w:sz w:val="72"/>
          <w:szCs w:val="100"/>
          <w14:textFill>
            <w14:solidFill>
              <w14:schemeClr w14:val="tx1"/>
            </w14:solidFill>
          </w14:textFill>
        </w:rPr>
      </w:pPr>
      <w:r>
        <w:rPr>
          <w:rFonts w:hint="eastAsia" w:ascii="黑体" w:hAnsi="黑体" w:eastAsia="黑体" w:cs="黑体"/>
          <w:b/>
          <w:color w:val="000000" w:themeColor="text1"/>
          <w:sz w:val="72"/>
          <w:szCs w:val="100"/>
          <w14:textFill>
            <w14:solidFill>
              <w14:schemeClr w14:val="tx1"/>
            </w14:solidFill>
          </w14:textFill>
        </w:rPr>
        <w:t>比价采购文件</w:t>
      </w:r>
    </w:p>
    <w:p w14:paraId="4D2464FA">
      <w:pPr>
        <w:pStyle w:val="18"/>
        <w:rPr>
          <w:color w:val="000000" w:themeColor="text1"/>
          <w14:textFill>
            <w14:solidFill>
              <w14:schemeClr w14:val="tx1"/>
            </w14:solidFill>
          </w14:textFill>
        </w:rPr>
      </w:pPr>
    </w:p>
    <w:p w14:paraId="57A6B7FF">
      <w:pPr>
        <w:keepNext/>
        <w:spacing w:line="500" w:lineRule="exact"/>
        <w:jc w:val="center"/>
        <w:rPr>
          <w:rFonts w:ascii="宋体" w:hAnsi="宋体"/>
          <w:b/>
          <w:color w:val="000000" w:themeColor="text1"/>
          <w:kern w:val="0"/>
          <w:sz w:val="36"/>
          <w:szCs w:val="36"/>
          <w14:textFill>
            <w14:solidFill>
              <w14:schemeClr w14:val="tx1"/>
            </w14:solidFill>
          </w14:textFill>
        </w:rPr>
      </w:pPr>
      <w:r>
        <w:rPr>
          <w:rFonts w:hint="eastAsia" w:ascii="宋体" w:hAnsi="宋体"/>
          <w:b/>
          <w:color w:val="000000" w:themeColor="text1"/>
          <w:kern w:val="0"/>
          <w:sz w:val="36"/>
          <w:szCs w:val="36"/>
          <w14:textFill>
            <w14:solidFill>
              <w14:schemeClr w14:val="tx1"/>
            </w14:solidFill>
          </w14:textFill>
        </w:rPr>
        <w:t>采购文件编号：</w:t>
      </w:r>
      <w:r>
        <w:rPr>
          <w:rFonts w:ascii="宋体" w:hAnsi="宋体"/>
          <w:b/>
          <w:color w:val="000000" w:themeColor="text1"/>
          <w:kern w:val="0"/>
          <w:sz w:val="36"/>
          <w:szCs w:val="36"/>
          <w14:textFill>
            <w14:solidFill>
              <w14:schemeClr w14:val="tx1"/>
            </w14:solidFill>
          </w14:textFill>
        </w:rPr>
        <w:t>JYJS202</w:t>
      </w:r>
      <w:r>
        <w:rPr>
          <w:rFonts w:hint="eastAsia" w:ascii="宋体" w:hAnsi="宋体"/>
          <w:b/>
          <w:color w:val="000000" w:themeColor="text1"/>
          <w:kern w:val="0"/>
          <w:sz w:val="36"/>
          <w:szCs w:val="36"/>
          <w14:textFill>
            <w14:solidFill>
              <w14:schemeClr w14:val="tx1"/>
            </w14:solidFill>
          </w14:textFill>
        </w:rPr>
        <w:t xml:space="preserve">4 </w:t>
      </w:r>
      <w:r>
        <w:rPr>
          <w:rFonts w:ascii="宋体" w:hAnsi="宋体"/>
          <w:b/>
          <w:color w:val="000000" w:themeColor="text1"/>
          <w:kern w:val="0"/>
          <w:sz w:val="36"/>
          <w:szCs w:val="36"/>
          <w14:textFill>
            <w14:solidFill>
              <w14:schemeClr w14:val="tx1"/>
            </w14:solidFill>
          </w14:textFill>
        </w:rPr>
        <w:t>B</w:t>
      </w:r>
      <w:r>
        <w:rPr>
          <w:rFonts w:hint="eastAsia" w:ascii="宋体" w:hAnsi="宋体"/>
          <w:b/>
          <w:color w:val="000000" w:themeColor="text1"/>
          <w:kern w:val="0"/>
          <w:sz w:val="36"/>
          <w:szCs w:val="36"/>
          <w14:textFill>
            <w14:solidFill>
              <w14:schemeClr w14:val="tx1"/>
            </w14:solidFill>
          </w14:textFill>
        </w:rPr>
        <w:t>J</w:t>
      </w:r>
      <w:r>
        <w:rPr>
          <w:rFonts w:ascii="宋体" w:hAnsi="宋体"/>
          <w:b/>
          <w:color w:val="000000" w:themeColor="text1"/>
          <w:kern w:val="0"/>
          <w:sz w:val="36"/>
          <w:szCs w:val="36"/>
          <w14:textFill>
            <w14:solidFill>
              <w14:schemeClr w14:val="tx1"/>
            </w14:solidFill>
          </w14:textFill>
        </w:rPr>
        <w:t>00</w:t>
      </w:r>
      <w:r>
        <w:rPr>
          <w:rFonts w:hint="eastAsia" w:ascii="宋体" w:hAnsi="宋体"/>
          <w:b/>
          <w:color w:val="000000" w:themeColor="text1"/>
          <w:kern w:val="0"/>
          <w:sz w:val="36"/>
          <w:szCs w:val="36"/>
          <w14:textFill>
            <w14:solidFill>
              <w14:schemeClr w14:val="tx1"/>
            </w14:solidFill>
          </w14:textFill>
        </w:rPr>
        <w:t>7</w:t>
      </w:r>
    </w:p>
    <w:p w14:paraId="5C54BD7C">
      <w:pPr>
        <w:pStyle w:val="18"/>
        <w:rPr>
          <w:color w:val="000000" w:themeColor="text1"/>
          <w14:textFill>
            <w14:solidFill>
              <w14:schemeClr w14:val="tx1"/>
            </w14:solidFill>
          </w14:textFill>
        </w:rPr>
      </w:pPr>
    </w:p>
    <w:p w14:paraId="1163D931">
      <w:pPr>
        <w:spacing w:line="520" w:lineRule="exact"/>
        <w:jc w:val="center"/>
        <w:rPr>
          <w:rFonts w:ascii="宋体" w:hAnsi="宋体" w:cs="宋体"/>
          <w:b/>
          <w:color w:val="000000" w:themeColor="text1"/>
          <w:spacing w:val="20"/>
          <w:sz w:val="52"/>
          <w:szCs w:val="32"/>
          <w14:textFill>
            <w14:solidFill>
              <w14:schemeClr w14:val="tx1"/>
            </w14:solidFill>
          </w14:textFill>
        </w:rPr>
      </w:pPr>
    </w:p>
    <w:p w14:paraId="046F612D">
      <w:pPr>
        <w:pStyle w:val="11"/>
        <w:rPr>
          <w:rFonts w:ascii="仿宋" w:hAnsi="仿宋" w:eastAsia="仿宋" w:cs="仿宋"/>
          <w:color w:val="000000" w:themeColor="text1"/>
          <w:szCs w:val="28"/>
          <w14:textFill>
            <w14:solidFill>
              <w14:schemeClr w14:val="tx1"/>
            </w14:solidFill>
          </w14:textFill>
        </w:rPr>
      </w:pPr>
    </w:p>
    <w:p w14:paraId="7FCF94D8">
      <w:pPr>
        <w:pStyle w:val="11"/>
        <w:rPr>
          <w:rFonts w:ascii="仿宋" w:hAnsi="仿宋" w:eastAsia="仿宋" w:cs="仿宋"/>
          <w:color w:val="000000" w:themeColor="text1"/>
          <w:szCs w:val="28"/>
          <w14:textFill>
            <w14:solidFill>
              <w14:schemeClr w14:val="tx1"/>
            </w14:solidFill>
          </w14:textFill>
        </w:rPr>
      </w:pPr>
      <w:r>
        <w:rPr>
          <w:rFonts w:hint="eastAsia" w:ascii="仿宋" w:hAnsi="仿宋" w:eastAsia="仿宋" w:cs="仿宋"/>
          <w:color w:val="000000" w:themeColor="text1"/>
          <w:szCs w:val="28"/>
          <w14:textFill>
            <w14:solidFill>
              <w14:schemeClr w14:val="tx1"/>
            </w14:solidFill>
          </w14:textFill>
        </w:rPr>
        <w:t xml:space="preserve">  </w:t>
      </w:r>
    </w:p>
    <w:p w14:paraId="091F764D">
      <w:pPr>
        <w:pStyle w:val="11"/>
        <w:rPr>
          <w:rFonts w:ascii="仿宋" w:hAnsi="仿宋" w:eastAsia="仿宋" w:cs="仿宋"/>
          <w:color w:val="000000" w:themeColor="text1"/>
          <w:szCs w:val="28"/>
          <w14:textFill>
            <w14:solidFill>
              <w14:schemeClr w14:val="tx1"/>
            </w14:solidFill>
          </w14:textFill>
        </w:rPr>
      </w:pPr>
    </w:p>
    <w:p w14:paraId="71125AEB">
      <w:pPr>
        <w:pStyle w:val="11"/>
        <w:rPr>
          <w:rFonts w:ascii="仿宋" w:hAnsi="仿宋" w:eastAsia="仿宋" w:cs="仿宋"/>
          <w:color w:val="000000" w:themeColor="text1"/>
          <w:szCs w:val="28"/>
          <w14:textFill>
            <w14:solidFill>
              <w14:schemeClr w14:val="tx1"/>
            </w14:solidFill>
          </w14:textFill>
        </w:rPr>
      </w:pPr>
    </w:p>
    <w:p w14:paraId="226EE792">
      <w:pPr>
        <w:pStyle w:val="11"/>
        <w:rPr>
          <w:rFonts w:ascii="仿宋" w:hAnsi="仿宋" w:eastAsia="仿宋" w:cs="仿宋"/>
          <w:color w:val="000000" w:themeColor="text1"/>
          <w:szCs w:val="28"/>
          <w14:textFill>
            <w14:solidFill>
              <w14:schemeClr w14:val="tx1"/>
            </w14:solidFill>
          </w14:textFill>
        </w:rPr>
      </w:pPr>
    </w:p>
    <w:p w14:paraId="4A3F6AB1">
      <w:pPr>
        <w:pStyle w:val="11"/>
        <w:rPr>
          <w:rFonts w:ascii="仿宋" w:hAnsi="仿宋" w:eastAsia="仿宋" w:cs="仿宋"/>
          <w:color w:val="000000" w:themeColor="text1"/>
          <w:szCs w:val="28"/>
          <w14:textFill>
            <w14:solidFill>
              <w14:schemeClr w14:val="tx1"/>
            </w14:solidFill>
          </w14:textFill>
        </w:rPr>
      </w:pPr>
    </w:p>
    <w:p w14:paraId="4BBBA0B8">
      <w:pPr>
        <w:pStyle w:val="11"/>
        <w:rPr>
          <w:rFonts w:ascii="仿宋" w:hAnsi="仿宋" w:eastAsia="仿宋" w:cs="仿宋"/>
          <w:color w:val="000000" w:themeColor="text1"/>
          <w:szCs w:val="28"/>
          <w14:textFill>
            <w14:solidFill>
              <w14:schemeClr w14:val="tx1"/>
            </w14:solidFill>
          </w14:textFill>
        </w:rPr>
      </w:pPr>
    </w:p>
    <w:p w14:paraId="4B61F536">
      <w:pPr>
        <w:pStyle w:val="11"/>
        <w:rPr>
          <w:rFonts w:ascii="仿宋" w:hAnsi="仿宋" w:eastAsia="仿宋" w:cs="仿宋"/>
          <w:color w:val="000000" w:themeColor="text1"/>
          <w:szCs w:val="28"/>
          <w14:textFill>
            <w14:solidFill>
              <w14:schemeClr w14:val="tx1"/>
            </w14:solidFill>
          </w14:textFill>
        </w:rPr>
      </w:pPr>
    </w:p>
    <w:p w14:paraId="51EE62D3">
      <w:pPr>
        <w:pStyle w:val="11"/>
        <w:ind w:firstLine="613"/>
        <w:rPr>
          <w:rFonts w:hAnsi="宋体" w:cs="宋体"/>
          <w:color w:val="000000" w:themeColor="text1"/>
          <w:sz w:val="32"/>
          <w:szCs w:val="32"/>
          <w14:textFill>
            <w14:solidFill>
              <w14:schemeClr w14:val="tx1"/>
            </w14:solidFill>
          </w14:textFill>
        </w:rPr>
      </w:pPr>
    </w:p>
    <w:p w14:paraId="6A41BAF6">
      <w:pPr>
        <w:pStyle w:val="11"/>
        <w:ind w:firstLine="613"/>
        <w:rPr>
          <w:rFonts w:hAnsi="宋体" w:cs="宋体"/>
          <w:color w:val="000000" w:themeColor="text1"/>
          <w:sz w:val="32"/>
          <w:szCs w:val="32"/>
          <w14:textFill>
            <w14:solidFill>
              <w14:schemeClr w14:val="tx1"/>
            </w14:solidFill>
          </w14:textFill>
        </w:rPr>
      </w:pPr>
    </w:p>
    <w:p w14:paraId="35DAA854">
      <w:pPr>
        <w:pStyle w:val="6"/>
        <w:rPr>
          <w:rFonts w:ascii="宋体" w:hAnsi="宋体" w:eastAsia="宋体" w:cs="宋体"/>
          <w:color w:val="000000" w:themeColor="text1"/>
          <w:sz w:val="32"/>
          <w:szCs w:val="32"/>
          <w14:textFill>
            <w14:solidFill>
              <w14:schemeClr w14:val="tx1"/>
            </w14:solidFill>
          </w14:textFill>
        </w:rPr>
      </w:pPr>
    </w:p>
    <w:p w14:paraId="2B6ACA65">
      <w:pPr>
        <w:rPr>
          <w:rFonts w:ascii="宋体" w:hAnsi="宋体" w:cs="宋体"/>
          <w:color w:val="000000" w:themeColor="text1"/>
          <w:sz w:val="32"/>
          <w:szCs w:val="32"/>
          <w14:textFill>
            <w14:solidFill>
              <w14:schemeClr w14:val="tx1"/>
            </w14:solidFill>
          </w14:textFill>
        </w:rPr>
      </w:pPr>
    </w:p>
    <w:p w14:paraId="0604EFCD">
      <w:pPr>
        <w:pStyle w:val="18"/>
        <w:rPr>
          <w:color w:val="000000" w:themeColor="text1"/>
          <w14:textFill>
            <w14:solidFill>
              <w14:schemeClr w14:val="tx1"/>
            </w14:solidFill>
          </w14:textFill>
        </w:rPr>
      </w:pPr>
    </w:p>
    <w:p w14:paraId="477B22D9">
      <w:pPr>
        <w:rPr>
          <w:rFonts w:ascii="宋体" w:hAnsi="宋体" w:cs="宋体"/>
          <w:color w:val="000000" w:themeColor="text1"/>
          <w:sz w:val="32"/>
          <w:szCs w:val="32"/>
          <w14:textFill>
            <w14:solidFill>
              <w14:schemeClr w14:val="tx1"/>
            </w14:solidFill>
          </w14:textFill>
        </w:rPr>
      </w:pPr>
    </w:p>
    <w:p w14:paraId="4A91360A">
      <w:pPr>
        <w:pStyle w:val="4"/>
        <w:ind w:firstLine="118"/>
        <w:rPr>
          <w:color w:val="000000" w:themeColor="text1"/>
          <w14:textFill>
            <w14:solidFill>
              <w14:schemeClr w14:val="tx1"/>
            </w14:solidFill>
          </w14:textFill>
        </w:rPr>
      </w:pPr>
    </w:p>
    <w:p w14:paraId="0BDFC123">
      <w:pPr>
        <w:pStyle w:val="19"/>
        <w:adjustRightInd w:val="0"/>
        <w:snapToGrid w:val="0"/>
        <w:spacing w:after="360" w:afterLines="150" w:line="520" w:lineRule="exact"/>
        <w:ind w:left="4176" w:hanging="4176" w:hangingChars="1300"/>
        <w:jc w:val="center"/>
        <w:rPr>
          <w:rFonts w:ascii="宋体" w:hAnsi="宋体" w:cs="宋体"/>
          <w:b/>
          <w:bCs/>
          <w:color w:val="000000" w:themeColor="text1"/>
          <w:sz w:val="32"/>
          <w:szCs w:val="32"/>
          <w14:textFill>
            <w14:solidFill>
              <w14:schemeClr w14:val="tx1"/>
            </w14:solidFill>
          </w14:textFill>
        </w:rPr>
      </w:pPr>
      <w:r>
        <w:rPr>
          <w:rFonts w:hint="eastAsia" w:ascii="宋体" w:hAnsi="宋体" w:cs="宋体"/>
          <w:b/>
          <w:bCs/>
          <w:color w:val="000000" w:themeColor="text1"/>
          <w:sz w:val="32"/>
          <w:szCs w:val="32"/>
          <w14:textFill>
            <w14:solidFill>
              <w14:schemeClr w14:val="tx1"/>
            </w14:solidFill>
          </w14:textFill>
        </w:rPr>
        <w:t>采购单位：南通市教育技术中心</w:t>
      </w:r>
    </w:p>
    <w:p w14:paraId="2182FC42">
      <w:pPr>
        <w:pStyle w:val="11"/>
        <w:ind w:firstLine="2273" w:firstLineChars="682"/>
        <w:rPr>
          <w:rFonts w:hAnsi="宋体" w:cs="宋体"/>
          <w:bCs/>
          <w:color w:val="000000" w:themeColor="text1"/>
          <w:sz w:val="32"/>
          <w:szCs w:val="32"/>
          <w14:textFill>
            <w14:solidFill>
              <w14:schemeClr w14:val="tx1"/>
            </w14:solidFill>
          </w14:textFill>
        </w:rPr>
      </w:pPr>
      <w:r>
        <w:rPr>
          <w:rFonts w:hint="eastAsia" w:hAnsi="宋体" w:cs="宋体"/>
          <w:bCs/>
          <w:color w:val="000000" w:themeColor="text1"/>
          <w:sz w:val="32"/>
          <w:szCs w:val="32"/>
          <w14:textFill>
            <w14:solidFill>
              <w14:schemeClr w14:val="tx1"/>
            </w14:solidFill>
          </w14:textFill>
        </w:rPr>
        <w:t>日期：2024年8月23日</w:t>
      </w:r>
    </w:p>
    <w:p w14:paraId="229B433C">
      <w:pPr>
        <w:pStyle w:val="11"/>
        <w:rPr>
          <w:rFonts w:ascii="仿宋" w:hAnsi="仿宋" w:eastAsia="仿宋" w:cs="仿宋"/>
          <w:color w:val="000000" w:themeColor="text1"/>
          <w:szCs w:val="28"/>
          <w14:textFill>
            <w14:solidFill>
              <w14:schemeClr w14:val="tx1"/>
            </w14:solidFill>
          </w14:textFill>
        </w:rPr>
      </w:pPr>
    </w:p>
    <w:p w14:paraId="125B889B">
      <w:pPr>
        <w:pStyle w:val="11"/>
        <w:rPr>
          <w:rFonts w:ascii="仿宋" w:hAnsi="仿宋" w:eastAsia="仿宋" w:cs="仿宋"/>
          <w:color w:val="000000" w:themeColor="text1"/>
          <w:szCs w:val="28"/>
          <w14:textFill>
            <w14:solidFill>
              <w14:schemeClr w14:val="tx1"/>
            </w14:solidFill>
          </w14:textFill>
        </w:rPr>
      </w:pPr>
    </w:p>
    <w:p w14:paraId="5258FC78">
      <w:pPr>
        <w:pStyle w:val="11"/>
        <w:rPr>
          <w:rFonts w:ascii="仿宋" w:hAnsi="仿宋" w:eastAsia="仿宋" w:cs="仿宋"/>
          <w:color w:val="000000" w:themeColor="text1"/>
          <w:szCs w:val="28"/>
          <w14:textFill>
            <w14:solidFill>
              <w14:schemeClr w14:val="tx1"/>
            </w14:solidFill>
          </w14:textFill>
        </w:rPr>
      </w:pPr>
    </w:p>
    <w:p w14:paraId="6CB12160">
      <w:pPr>
        <w:pStyle w:val="11"/>
        <w:rPr>
          <w:rFonts w:ascii="仿宋" w:hAnsi="仿宋" w:eastAsia="仿宋" w:cs="仿宋"/>
          <w:color w:val="000000" w:themeColor="text1"/>
          <w:szCs w:val="28"/>
          <w14:textFill>
            <w14:solidFill>
              <w14:schemeClr w14:val="tx1"/>
            </w14:solidFill>
          </w14:textFill>
        </w:rPr>
      </w:pPr>
    </w:p>
    <w:p w14:paraId="3D46A8C8">
      <w:pPr>
        <w:autoSpaceDE w:val="0"/>
        <w:autoSpaceDN w:val="0"/>
        <w:adjustRightInd w:val="0"/>
        <w:snapToGrid w:val="0"/>
        <w:spacing w:line="360" w:lineRule="auto"/>
        <w:ind w:firstLine="556"/>
        <w:jc w:val="center"/>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目录</w:t>
      </w:r>
    </w:p>
    <w:p w14:paraId="28B7B381">
      <w:pPr>
        <w:autoSpaceDE w:val="0"/>
        <w:autoSpaceDN w:val="0"/>
        <w:adjustRightInd w:val="0"/>
        <w:snapToGrid w:val="0"/>
        <w:spacing w:line="360" w:lineRule="auto"/>
        <w:ind w:firstLine="55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第一部分  比价公告</w:t>
      </w:r>
    </w:p>
    <w:p w14:paraId="4FF517D3">
      <w:pPr>
        <w:autoSpaceDE w:val="0"/>
        <w:autoSpaceDN w:val="0"/>
        <w:adjustRightInd w:val="0"/>
        <w:snapToGrid w:val="0"/>
        <w:spacing w:line="360" w:lineRule="auto"/>
        <w:ind w:firstLine="556"/>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第二部分  比价须知</w:t>
      </w:r>
    </w:p>
    <w:p w14:paraId="2C2B38C7">
      <w:pPr>
        <w:autoSpaceDE w:val="0"/>
        <w:autoSpaceDN w:val="0"/>
        <w:adjustRightInd w:val="0"/>
        <w:snapToGrid w:val="0"/>
        <w:spacing w:line="360" w:lineRule="auto"/>
        <w:ind w:firstLine="537"/>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第三部分  项目需求</w:t>
      </w:r>
    </w:p>
    <w:p w14:paraId="22A7C4CA">
      <w:pPr>
        <w:autoSpaceDE w:val="0"/>
        <w:autoSpaceDN w:val="0"/>
        <w:adjustRightInd w:val="0"/>
        <w:snapToGrid w:val="0"/>
        <w:spacing w:line="360" w:lineRule="auto"/>
        <w:ind w:firstLine="537"/>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第四部分  开标和评标</w:t>
      </w:r>
    </w:p>
    <w:p w14:paraId="2A9D52BA">
      <w:pPr>
        <w:autoSpaceDE w:val="0"/>
        <w:autoSpaceDN w:val="0"/>
        <w:adjustRightInd w:val="0"/>
        <w:snapToGrid w:val="0"/>
        <w:spacing w:line="360" w:lineRule="auto"/>
        <w:ind w:firstLine="537"/>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第五部分  合同签订与验收付款</w:t>
      </w:r>
    </w:p>
    <w:p w14:paraId="329EB487">
      <w:pPr>
        <w:autoSpaceDE w:val="0"/>
        <w:autoSpaceDN w:val="0"/>
        <w:adjustRightInd w:val="0"/>
        <w:snapToGrid w:val="0"/>
        <w:spacing w:line="360" w:lineRule="auto"/>
        <w:ind w:firstLine="537"/>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第六部分  响应文件组成</w:t>
      </w:r>
    </w:p>
    <w:p w14:paraId="2188EE46">
      <w:pPr>
        <w:autoSpaceDE w:val="0"/>
        <w:autoSpaceDN w:val="0"/>
        <w:adjustRightInd w:val="0"/>
        <w:snapToGrid w:val="0"/>
        <w:spacing w:line="360" w:lineRule="auto"/>
        <w:ind w:firstLine="537"/>
        <w:rPr>
          <w:rFonts w:ascii="黑体" w:hAnsi="黑体" w:eastAsia="黑体" w:cs="黑体"/>
          <w:color w:val="000000" w:themeColor="text1"/>
          <w:sz w:val="32"/>
          <w:szCs w:val="32"/>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第七部分  质询提出和处理</w:t>
      </w:r>
    </w:p>
    <w:p w14:paraId="51CB0E8D">
      <w:pPr>
        <w:autoSpaceDE w:val="0"/>
        <w:autoSpaceDN w:val="0"/>
        <w:adjustRightInd w:val="0"/>
        <w:snapToGrid w:val="0"/>
        <w:spacing w:line="360" w:lineRule="auto"/>
        <w:ind w:firstLine="556"/>
        <w:rPr>
          <w:rFonts w:ascii="黑体" w:hAnsi="黑体" w:eastAsia="黑体" w:cs="黑体"/>
          <w:color w:val="000000" w:themeColor="text1"/>
          <w:sz w:val="32"/>
          <w:szCs w:val="32"/>
          <w14:textFill>
            <w14:solidFill>
              <w14:schemeClr w14:val="tx1"/>
            </w14:solidFill>
          </w14:textFill>
        </w:rPr>
      </w:pPr>
    </w:p>
    <w:p w14:paraId="1B3E0EE6">
      <w:pPr>
        <w:pStyle w:val="11"/>
        <w:jc w:val="center"/>
        <w:rPr>
          <w:rFonts w:ascii="仿宋" w:hAnsi="仿宋" w:eastAsia="仿宋" w:cs="仿宋"/>
          <w:color w:val="000000" w:themeColor="text1"/>
          <w:szCs w:val="28"/>
          <w14:textFill>
            <w14:solidFill>
              <w14:schemeClr w14:val="tx1"/>
            </w14:solidFill>
          </w14:textFill>
        </w:rPr>
      </w:pPr>
    </w:p>
    <w:p w14:paraId="24D7ECAD">
      <w:pPr>
        <w:pStyle w:val="11"/>
        <w:jc w:val="center"/>
        <w:rPr>
          <w:rFonts w:ascii="仿宋" w:hAnsi="仿宋" w:eastAsia="仿宋" w:cs="仿宋"/>
          <w:color w:val="000000" w:themeColor="text1"/>
          <w:szCs w:val="28"/>
          <w14:textFill>
            <w14:solidFill>
              <w14:schemeClr w14:val="tx1"/>
            </w14:solidFill>
          </w14:textFill>
        </w:rPr>
      </w:pPr>
    </w:p>
    <w:p w14:paraId="1DAA9835">
      <w:pPr>
        <w:pStyle w:val="11"/>
        <w:jc w:val="center"/>
        <w:rPr>
          <w:rFonts w:ascii="仿宋" w:hAnsi="仿宋" w:eastAsia="仿宋" w:cs="仿宋"/>
          <w:color w:val="000000" w:themeColor="text1"/>
          <w:szCs w:val="28"/>
          <w14:textFill>
            <w14:solidFill>
              <w14:schemeClr w14:val="tx1"/>
            </w14:solidFill>
          </w14:textFill>
        </w:rPr>
      </w:pPr>
    </w:p>
    <w:p w14:paraId="2C9D2140">
      <w:pPr>
        <w:pStyle w:val="11"/>
        <w:jc w:val="center"/>
        <w:rPr>
          <w:rFonts w:ascii="仿宋" w:hAnsi="仿宋" w:eastAsia="仿宋" w:cs="仿宋"/>
          <w:color w:val="000000" w:themeColor="text1"/>
          <w:szCs w:val="28"/>
          <w14:textFill>
            <w14:solidFill>
              <w14:schemeClr w14:val="tx1"/>
            </w14:solidFill>
          </w14:textFill>
        </w:rPr>
      </w:pPr>
    </w:p>
    <w:p w14:paraId="70CE43DC">
      <w:pPr>
        <w:pStyle w:val="11"/>
        <w:jc w:val="center"/>
        <w:rPr>
          <w:rFonts w:ascii="仿宋" w:hAnsi="仿宋" w:eastAsia="仿宋" w:cs="仿宋"/>
          <w:color w:val="000000" w:themeColor="text1"/>
          <w:szCs w:val="28"/>
          <w14:textFill>
            <w14:solidFill>
              <w14:schemeClr w14:val="tx1"/>
            </w14:solidFill>
          </w14:textFill>
        </w:rPr>
      </w:pPr>
    </w:p>
    <w:p w14:paraId="48E0D4E0">
      <w:pPr>
        <w:pStyle w:val="11"/>
        <w:jc w:val="center"/>
        <w:rPr>
          <w:rFonts w:ascii="仿宋" w:hAnsi="仿宋" w:eastAsia="仿宋" w:cs="仿宋"/>
          <w:color w:val="000000" w:themeColor="text1"/>
          <w:szCs w:val="28"/>
          <w14:textFill>
            <w14:solidFill>
              <w14:schemeClr w14:val="tx1"/>
            </w14:solidFill>
          </w14:textFill>
        </w:rPr>
      </w:pPr>
    </w:p>
    <w:p w14:paraId="0B59B466">
      <w:pPr>
        <w:pStyle w:val="11"/>
        <w:jc w:val="center"/>
        <w:rPr>
          <w:rFonts w:ascii="仿宋" w:hAnsi="仿宋" w:eastAsia="仿宋" w:cs="仿宋"/>
          <w:color w:val="000000" w:themeColor="text1"/>
          <w:szCs w:val="28"/>
          <w14:textFill>
            <w14:solidFill>
              <w14:schemeClr w14:val="tx1"/>
            </w14:solidFill>
          </w14:textFill>
        </w:rPr>
      </w:pPr>
    </w:p>
    <w:p w14:paraId="55888E66">
      <w:pPr>
        <w:pStyle w:val="11"/>
        <w:jc w:val="center"/>
        <w:rPr>
          <w:rFonts w:ascii="仿宋" w:hAnsi="仿宋" w:eastAsia="仿宋" w:cs="仿宋"/>
          <w:color w:val="000000" w:themeColor="text1"/>
          <w:szCs w:val="28"/>
          <w14:textFill>
            <w14:solidFill>
              <w14:schemeClr w14:val="tx1"/>
            </w14:solidFill>
          </w14:textFill>
        </w:rPr>
      </w:pPr>
    </w:p>
    <w:p w14:paraId="483747E6">
      <w:pPr>
        <w:pStyle w:val="11"/>
        <w:jc w:val="center"/>
        <w:rPr>
          <w:rFonts w:ascii="仿宋" w:hAnsi="仿宋" w:eastAsia="仿宋" w:cs="仿宋"/>
          <w:color w:val="000000" w:themeColor="text1"/>
          <w:szCs w:val="28"/>
          <w14:textFill>
            <w14:solidFill>
              <w14:schemeClr w14:val="tx1"/>
            </w14:solidFill>
          </w14:textFill>
        </w:rPr>
      </w:pPr>
    </w:p>
    <w:p w14:paraId="62912B5D">
      <w:pPr>
        <w:pStyle w:val="11"/>
        <w:jc w:val="center"/>
        <w:rPr>
          <w:rFonts w:ascii="仿宋" w:hAnsi="仿宋" w:eastAsia="仿宋" w:cs="仿宋"/>
          <w:color w:val="000000" w:themeColor="text1"/>
          <w:szCs w:val="28"/>
          <w14:textFill>
            <w14:solidFill>
              <w14:schemeClr w14:val="tx1"/>
            </w14:solidFill>
          </w14:textFill>
        </w:rPr>
      </w:pPr>
    </w:p>
    <w:p w14:paraId="274B7CD9">
      <w:pPr>
        <w:pStyle w:val="11"/>
        <w:jc w:val="center"/>
        <w:rPr>
          <w:rFonts w:ascii="仿宋" w:hAnsi="仿宋" w:eastAsia="仿宋" w:cs="仿宋"/>
          <w:color w:val="000000" w:themeColor="text1"/>
          <w:szCs w:val="28"/>
          <w14:textFill>
            <w14:solidFill>
              <w14:schemeClr w14:val="tx1"/>
            </w14:solidFill>
          </w14:textFill>
        </w:rPr>
      </w:pPr>
    </w:p>
    <w:p w14:paraId="58380166">
      <w:pPr>
        <w:pStyle w:val="11"/>
        <w:jc w:val="center"/>
        <w:rPr>
          <w:rFonts w:ascii="仿宋" w:hAnsi="仿宋" w:eastAsia="仿宋" w:cs="仿宋"/>
          <w:color w:val="000000" w:themeColor="text1"/>
          <w:szCs w:val="28"/>
          <w14:textFill>
            <w14:solidFill>
              <w14:schemeClr w14:val="tx1"/>
            </w14:solidFill>
          </w14:textFill>
        </w:rPr>
      </w:pPr>
    </w:p>
    <w:p w14:paraId="7A21F378">
      <w:pPr>
        <w:pStyle w:val="11"/>
        <w:jc w:val="center"/>
        <w:rPr>
          <w:rFonts w:ascii="仿宋" w:hAnsi="仿宋" w:eastAsia="仿宋" w:cs="仿宋"/>
          <w:color w:val="000000" w:themeColor="text1"/>
          <w:szCs w:val="28"/>
          <w14:textFill>
            <w14:solidFill>
              <w14:schemeClr w14:val="tx1"/>
            </w14:solidFill>
          </w14:textFill>
        </w:rPr>
      </w:pPr>
    </w:p>
    <w:p w14:paraId="7143114A">
      <w:pPr>
        <w:pStyle w:val="11"/>
        <w:jc w:val="center"/>
        <w:rPr>
          <w:rFonts w:ascii="仿宋" w:hAnsi="仿宋" w:eastAsia="仿宋" w:cs="仿宋"/>
          <w:color w:val="000000" w:themeColor="text1"/>
          <w:szCs w:val="28"/>
          <w14:textFill>
            <w14:solidFill>
              <w14:schemeClr w14:val="tx1"/>
            </w14:solidFill>
          </w14:textFill>
        </w:rPr>
      </w:pPr>
    </w:p>
    <w:p w14:paraId="41CAA183">
      <w:pPr>
        <w:pStyle w:val="11"/>
        <w:spacing w:line="460" w:lineRule="exact"/>
        <w:ind w:firstLine="687"/>
        <w:jc w:val="center"/>
        <w:outlineLvl w:val="0"/>
        <w:rPr>
          <w:rFonts w:hAnsi="宋体" w:cs="宋体"/>
          <w:color w:val="000000" w:themeColor="text1"/>
          <w:sz w:val="36"/>
          <w:szCs w:val="36"/>
          <w14:textFill>
            <w14:solidFill>
              <w14:schemeClr w14:val="tx1"/>
            </w14:solidFill>
          </w14:textFill>
        </w:rPr>
      </w:pPr>
      <w:bookmarkStart w:id="0" w:name="_Toc1938"/>
      <w:r>
        <w:rPr>
          <w:rFonts w:hint="eastAsia" w:hAnsi="宋体" w:cs="宋体"/>
          <w:color w:val="000000" w:themeColor="text1"/>
          <w:sz w:val="36"/>
          <w:szCs w:val="36"/>
          <w14:textFill>
            <w14:solidFill>
              <w14:schemeClr w14:val="tx1"/>
            </w14:solidFill>
          </w14:textFill>
        </w:rPr>
        <w:t>第一章 比价</w:t>
      </w:r>
      <w:bookmarkEnd w:id="0"/>
      <w:r>
        <w:rPr>
          <w:rFonts w:hint="eastAsia" w:hAnsi="宋体" w:cs="宋体"/>
          <w:color w:val="000000" w:themeColor="text1"/>
          <w:sz w:val="36"/>
          <w:szCs w:val="36"/>
          <w14:textFill>
            <w14:solidFill>
              <w14:schemeClr w14:val="tx1"/>
            </w14:solidFill>
          </w14:textFill>
        </w:rPr>
        <w:t>公告</w:t>
      </w:r>
    </w:p>
    <w:p w14:paraId="46F4902A">
      <w:pPr>
        <w:pBdr>
          <w:top w:val="single" w:color="auto" w:sz="4" w:space="1"/>
          <w:left w:val="single" w:color="auto" w:sz="4" w:space="4"/>
          <w:bottom w:val="single" w:color="auto" w:sz="4" w:space="1"/>
          <w:right w:val="single" w:color="auto" w:sz="4" w:space="4"/>
        </w:pBdr>
        <w:spacing w:line="460" w:lineRule="exact"/>
        <w:ind w:firstLine="560" w:firstLineChars="200"/>
        <w:rPr>
          <w:rFonts w:ascii="仿宋" w:hAnsi="仿宋" w:eastAsia="仿宋" w:cs="仿宋"/>
          <w:bCs/>
          <w:color w:val="000000" w:themeColor="text1"/>
          <w:sz w:val="28"/>
          <w:szCs w:val="28"/>
          <w14:textFill>
            <w14:solidFill>
              <w14:schemeClr w14:val="tx1"/>
            </w14:solidFill>
          </w14:textFill>
        </w:rPr>
      </w:pPr>
      <w:bookmarkStart w:id="1" w:name="_Toc35393798"/>
      <w:bookmarkStart w:id="2" w:name="_Toc28359089"/>
      <w:bookmarkStart w:id="3" w:name="_Toc35393629"/>
      <w:bookmarkStart w:id="4" w:name="_Toc28359012"/>
      <w:r>
        <w:rPr>
          <w:rFonts w:hint="eastAsia" w:ascii="仿宋" w:hAnsi="仿宋" w:eastAsia="仿宋" w:cs="仿宋"/>
          <w:color w:val="000000"/>
          <w:sz w:val="28"/>
          <w:szCs w:val="28"/>
        </w:rPr>
        <w:t>慧学南通智慧教育云平台维保项目</w:t>
      </w:r>
      <w:r>
        <w:rPr>
          <w:rFonts w:hint="eastAsia" w:ascii="仿宋" w:hAnsi="仿宋" w:eastAsia="仿宋" w:cs="仿宋"/>
          <w:bCs/>
          <w:color w:val="000000" w:themeColor="text1"/>
          <w:sz w:val="28"/>
          <w:szCs w:val="28"/>
          <w14:textFill>
            <w14:solidFill>
              <w14:schemeClr w14:val="tx1"/>
            </w14:solidFill>
          </w14:textFill>
        </w:rPr>
        <w:t>(项目编号:JYJS2024 BJ007)的潜在供应商应在南通市教育局官网获取采购文件，并于</w:t>
      </w:r>
      <w:r>
        <w:rPr>
          <w:rFonts w:hint="eastAsia" w:ascii="仿宋" w:hAnsi="仿宋" w:eastAsia="仿宋" w:cs="仿宋"/>
          <w:bCs/>
          <w:color w:val="000000" w:themeColor="text1"/>
          <w:sz w:val="28"/>
          <w:szCs w:val="28"/>
          <w:highlight w:val="yellow"/>
          <w14:textFill>
            <w14:solidFill>
              <w14:schemeClr w14:val="tx1"/>
            </w14:solidFill>
          </w14:textFill>
        </w:rPr>
        <w:t>2024年8月</w:t>
      </w:r>
      <w:r>
        <w:rPr>
          <w:rFonts w:ascii="仿宋" w:hAnsi="仿宋" w:eastAsia="仿宋" w:cs="仿宋"/>
          <w:bCs/>
          <w:color w:val="000000" w:themeColor="text1"/>
          <w:sz w:val="28"/>
          <w:szCs w:val="28"/>
          <w:highlight w:val="yellow"/>
          <w14:textFill>
            <w14:solidFill>
              <w14:schemeClr w14:val="tx1"/>
            </w14:solidFill>
          </w14:textFill>
        </w:rPr>
        <w:t>30</w:t>
      </w:r>
      <w:r>
        <w:rPr>
          <w:rFonts w:hint="eastAsia" w:ascii="仿宋" w:hAnsi="仿宋" w:eastAsia="仿宋" w:cs="仿宋"/>
          <w:bCs/>
          <w:color w:val="000000" w:themeColor="text1"/>
          <w:sz w:val="28"/>
          <w:szCs w:val="28"/>
          <w:highlight w:val="yellow"/>
          <w14:textFill>
            <w14:solidFill>
              <w14:schemeClr w14:val="tx1"/>
            </w14:solidFill>
          </w14:textFill>
        </w:rPr>
        <w:t>日</w:t>
      </w:r>
      <w:r>
        <w:rPr>
          <w:rFonts w:hint="eastAsia" w:ascii="仿宋" w:hAnsi="仿宋" w:eastAsia="仿宋" w:cs="仿宋"/>
          <w:bCs/>
          <w:color w:val="000000" w:themeColor="text1"/>
          <w:sz w:val="28"/>
          <w:szCs w:val="28"/>
          <w14:textFill>
            <w14:solidFill>
              <w14:schemeClr w14:val="tx1"/>
            </w14:solidFill>
          </w14:textFill>
        </w:rPr>
        <w:t>14点30分（北京时间）前提交响应文件。</w:t>
      </w:r>
    </w:p>
    <w:p w14:paraId="2231E923">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一、项目基本信息</w:t>
      </w:r>
    </w:p>
    <w:p w14:paraId="0B79FE6C">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项目编号：</w:t>
      </w:r>
      <w:r>
        <w:rPr>
          <w:rFonts w:hint="eastAsia" w:ascii="仿宋" w:hAnsi="仿宋" w:eastAsia="仿宋" w:cs="仿宋"/>
          <w:bCs/>
          <w:color w:val="000000" w:themeColor="text1"/>
          <w:sz w:val="28"/>
          <w:szCs w:val="28"/>
          <w14:textFill>
            <w14:solidFill>
              <w14:schemeClr w14:val="tx1"/>
            </w14:solidFill>
          </w14:textFill>
        </w:rPr>
        <w:t>JYJS2024 BJ007</w:t>
      </w:r>
    </w:p>
    <w:p w14:paraId="2456C251">
      <w:pPr>
        <w:snapToGrid w:val="0"/>
        <w:spacing w:line="460" w:lineRule="exact"/>
        <w:ind w:firstLine="560" w:firstLineChars="200"/>
        <w:rPr>
          <w:rFonts w:ascii="仿宋" w:hAnsi="仿宋" w:eastAsia="仿宋" w:cs="仿宋"/>
          <w:color w:val="000000"/>
          <w:sz w:val="28"/>
          <w:szCs w:val="28"/>
        </w:rPr>
      </w:pPr>
      <w:r>
        <w:rPr>
          <w:rFonts w:hint="eastAsia" w:ascii="仿宋" w:hAnsi="仿宋" w:eastAsia="仿宋" w:cs="仿宋"/>
          <w:color w:val="000000" w:themeColor="text1"/>
          <w:sz w:val="28"/>
          <w:szCs w:val="28"/>
          <w14:textFill>
            <w14:solidFill>
              <w14:schemeClr w14:val="tx1"/>
            </w14:solidFill>
          </w14:textFill>
        </w:rPr>
        <w:t>项目名称：</w:t>
      </w:r>
      <w:r>
        <w:rPr>
          <w:rFonts w:hint="eastAsia" w:ascii="仿宋" w:hAnsi="仿宋" w:eastAsia="仿宋" w:cs="仿宋"/>
          <w:color w:val="000000"/>
          <w:sz w:val="28"/>
          <w:szCs w:val="28"/>
        </w:rPr>
        <w:t>慧学南通智慧教育云平台维保项目</w:t>
      </w:r>
    </w:p>
    <w:p w14:paraId="628D0EE0">
      <w:pPr>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项目概况：</w:t>
      </w:r>
      <w:r>
        <w:rPr>
          <w:rFonts w:hint="eastAsia" w:ascii="仿宋" w:hAnsi="仿宋" w:eastAsia="仿宋" w:cs="仿宋"/>
          <w:color w:val="000000"/>
          <w:sz w:val="28"/>
          <w:szCs w:val="28"/>
        </w:rPr>
        <w:t>为落实南通市双减政策及教育均衡推进教育资源的有效利用，实现信息技术与该区域教师常态化学科教学的有效整合，变革教师的教学方式和学生学习，依据《国家CELTS标准》建设丰富、有效、适用的教学资源库的指导方针，需对原“慧学南通”开放互联系统核心平台项目进行持续性维护</w:t>
      </w:r>
      <w:r>
        <w:rPr>
          <w:rFonts w:hint="eastAsia" w:ascii="仿宋" w:hAnsi="仿宋" w:eastAsia="仿宋" w:cs="仿宋"/>
          <w:color w:val="000000" w:themeColor="text1"/>
          <w:sz w:val="28"/>
          <w:szCs w:val="28"/>
          <w14:textFill>
            <w14:solidFill>
              <w14:schemeClr w14:val="tx1"/>
            </w14:solidFill>
          </w14:textFill>
        </w:rPr>
        <w:t>，总预算为12.5万元。</w:t>
      </w:r>
    </w:p>
    <w:p w14:paraId="59A429A0">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最高限价：12.5万元。</w:t>
      </w:r>
    </w:p>
    <w:p w14:paraId="7A6869F9">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采购需求：详见第三章项目需求</w:t>
      </w:r>
    </w:p>
    <w:p w14:paraId="1EDBD160">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合同履行期限：1年。</w:t>
      </w:r>
    </w:p>
    <w:p w14:paraId="0883C7DC">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二、比价文件内容</w:t>
      </w:r>
    </w:p>
    <w:p w14:paraId="7E77E316">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详见比价采购文件，请仔细研究</w:t>
      </w:r>
    </w:p>
    <w:p w14:paraId="67344561">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三、供应商资格要求</w:t>
      </w:r>
    </w:p>
    <w:p w14:paraId="7FE2233B">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（一）基本要求</w:t>
      </w:r>
    </w:p>
    <w:p w14:paraId="00F7BCEE">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符合以下条件：具有独立承担民事责任的能力；具有良好的商业信誉和健全的财务会计制度；具有履行合同所必需的设备和专业技术能力；有依法缴纳税收和社会保障资金的良好记录；参加本次采购活动前三年内，在经营活动中没有重大违法记录；</w:t>
      </w:r>
    </w:p>
    <w:p w14:paraId="6BC88D3C">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2.具有独立承担民事责任的能力（提供有效的营业执照副本复印件）；</w:t>
      </w:r>
    </w:p>
    <w:p w14:paraId="416F30E5">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（二）其他资格条件要求</w:t>
      </w:r>
    </w:p>
    <w:p w14:paraId="13C4ABF1">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1.未被“信用中国”网站列入失信被执行人、重大税收违法案件当事人名单、采购严重违法失信行为记录名单；</w:t>
      </w:r>
    </w:p>
    <w:p w14:paraId="7850E75D">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2.提供法定代表人身份证明及本人身份证复印件；非法定代表人参加比价的，还必须提供法定代表人签字或盖章的授权委托书及被授权人本人的身份证复印件；</w:t>
      </w:r>
    </w:p>
    <w:p w14:paraId="1EF67BF2">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3.法定代表人为同一个人的两个及两个以上法人，母公司、全资子公司及其控股公司，都不得在同一采购项目或同一标段中同时参加投标，一经发现，将视同围标处理。</w:t>
      </w:r>
    </w:p>
    <w:p w14:paraId="0F23A542">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4.本项目不接受联合体。</w:t>
      </w:r>
    </w:p>
    <w:p w14:paraId="2F89219A">
      <w:pPr>
        <w:pStyle w:val="2"/>
      </w:pPr>
      <w:r>
        <w:rPr>
          <w:rFonts w:hint="eastAsia" w:ascii="仿宋" w:hAnsi="仿宋" w:eastAsia="仿宋" w:cs="仿宋"/>
          <w:color w:val="000000" w:themeColor="text1"/>
          <w:sz w:val="28"/>
          <w:szCs w:val="28"/>
          <w14:textFill>
            <w14:solidFill>
              <w14:schemeClr w14:val="tx1"/>
            </w14:solidFill>
          </w14:textFill>
        </w:rPr>
        <w:t xml:space="preserve">    5.第三章项目需求中所提到的资格要求。</w:t>
      </w:r>
    </w:p>
    <w:p w14:paraId="6C2088C4">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四、获取比价文件</w:t>
      </w:r>
    </w:p>
    <w:p w14:paraId="72801E62">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时间：</w:t>
      </w:r>
      <w:r>
        <w:rPr>
          <w:rFonts w:hint="eastAsia" w:ascii="仿宋" w:hAnsi="仿宋" w:eastAsia="仿宋" w:cs="仿宋"/>
          <w:color w:val="000000" w:themeColor="text1"/>
          <w:sz w:val="28"/>
          <w:szCs w:val="28"/>
          <w:highlight w:val="yellow"/>
          <w14:textFill>
            <w14:solidFill>
              <w14:schemeClr w14:val="tx1"/>
            </w14:solidFill>
          </w14:textFill>
        </w:rPr>
        <w:t>2024年8月</w:t>
      </w:r>
      <w:r>
        <w:rPr>
          <w:rFonts w:ascii="仿宋" w:hAnsi="仿宋" w:eastAsia="仿宋" w:cs="仿宋"/>
          <w:color w:val="000000" w:themeColor="text1"/>
          <w:sz w:val="28"/>
          <w:szCs w:val="28"/>
          <w:highlight w:val="yellow"/>
          <w14:textFill>
            <w14:solidFill>
              <w14:schemeClr w14:val="tx1"/>
            </w14:solidFill>
          </w14:textFill>
        </w:rPr>
        <w:t>26</w:t>
      </w:r>
      <w:r>
        <w:rPr>
          <w:rFonts w:hint="eastAsia" w:ascii="仿宋" w:hAnsi="仿宋" w:eastAsia="仿宋" w:cs="仿宋"/>
          <w:color w:val="000000" w:themeColor="text1"/>
          <w:sz w:val="28"/>
          <w:szCs w:val="28"/>
          <w:highlight w:val="yellow"/>
          <w14:textFill>
            <w14:solidFill>
              <w14:schemeClr w14:val="tx1"/>
            </w14:solidFill>
          </w14:textFill>
        </w:rPr>
        <w:t>日至2024年8月</w:t>
      </w:r>
      <w:r>
        <w:rPr>
          <w:rFonts w:ascii="仿宋" w:hAnsi="仿宋" w:eastAsia="仿宋" w:cs="仿宋"/>
          <w:color w:val="000000" w:themeColor="text1"/>
          <w:sz w:val="28"/>
          <w:szCs w:val="28"/>
          <w:highlight w:val="yellow"/>
          <w14:textFill>
            <w14:solidFill>
              <w14:schemeClr w14:val="tx1"/>
            </w14:solidFill>
          </w14:textFill>
        </w:rPr>
        <w:t>28</w:t>
      </w:r>
      <w:r>
        <w:rPr>
          <w:rFonts w:hint="eastAsia" w:ascii="仿宋" w:hAnsi="仿宋" w:eastAsia="仿宋" w:cs="仿宋"/>
          <w:color w:val="000000" w:themeColor="text1"/>
          <w:sz w:val="28"/>
          <w:szCs w:val="28"/>
          <w:highlight w:val="yellow"/>
          <w14:textFill>
            <w14:solidFill>
              <w14:schemeClr w14:val="tx1"/>
            </w14:solidFill>
          </w14:textFill>
        </w:rPr>
        <w:t>日</w:t>
      </w:r>
      <w:r>
        <w:rPr>
          <w:rFonts w:hint="eastAsia" w:ascii="仿宋" w:hAnsi="仿宋" w:eastAsia="仿宋" w:cs="仿宋"/>
          <w:color w:val="000000" w:themeColor="text1"/>
          <w:sz w:val="28"/>
          <w:szCs w:val="28"/>
          <w14:textFill>
            <w14:solidFill>
              <w14:schemeClr w14:val="tx1"/>
            </w14:solidFill>
          </w14:textFill>
        </w:rPr>
        <w:t>（北京时间，法定节假日除外）</w:t>
      </w:r>
    </w:p>
    <w:p w14:paraId="7825DE3A">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地点：南通市教育局官网</w:t>
      </w:r>
    </w:p>
    <w:p w14:paraId="16F4E7ED">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方式：供应商可在此期间自行下载采购文件，对项目需求部分（供应商资格要求、项目需求）的询问、异议请向采购人提出，由采购人负责答复；对项目采购文件其它部分的询问请向南通市教育技术中心提出。</w:t>
      </w:r>
    </w:p>
    <w:p w14:paraId="69895095">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五、比价响应文件提交</w:t>
      </w:r>
    </w:p>
    <w:p w14:paraId="4A3A41EA">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截止时间：</w:t>
      </w:r>
      <w:r>
        <w:rPr>
          <w:rFonts w:hint="eastAsia" w:ascii="仿宋" w:hAnsi="仿宋" w:eastAsia="仿宋" w:cs="仿宋"/>
          <w:color w:val="000000" w:themeColor="text1"/>
          <w:sz w:val="28"/>
          <w:szCs w:val="28"/>
          <w:highlight w:val="yellow"/>
          <w14:textFill>
            <w14:solidFill>
              <w14:schemeClr w14:val="tx1"/>
            </w14:solidFill>
          </w14:textFill>
        </w:rPr>
        <w:t>2024年8月</w:t>
      </w:r>
      <w:r>
        <w:rPr>
          <w:rFonts w:ascii="仿宋" w:hAnsi="仿宋" w:eastAsia="仿宋" w:cs="仿宋"/>
          <w:color w:val="000000" w:themeColor="text1"/>
          <w:sz w:val="28"/>
          <w:szCs w:val="28"/>
          <w:highlight w:val="yellow"/>
          <w14:textFill>
            <w14:solidFill>
              <w14:schemeClr w14:val="tx1"/>
            </w14:solidFill>
          </w14:textFill>
        </w:rPr>
        <w:t>30</w:t>
      </w:r>
      <w:r>
        <w:rPr>
          <w:rFonts w:hint="eastAsia" w:ascii="仿宋" w:hAnsi="仿宋" w:eastAsia="仿宋" w:cs="仿宋"/>
          <w:color w:val="000000" w:themeColor="text1"/>
          <w:sz w:val="28"/>
          <w:szCs w:val="28"/>
          <w:highlight w:val="yellow"/>
          <w14:textFill>
            <w14:solidFill>
              <w14:schemeClr w14:val="tx1"/>
            </w14:solidFill>
          </w14:textFill>
        </w:rPr>
        <w:t>日14点30分</w:t>
      </w:r>
      <w:r>
        <w:rPr>
          <w:rFonts w:hint="eastAsia" w:ascii="仿宋" w:hAnsi="仿宋" w:eastAsia="仿宋" w:cs="仿宋"/>
          <w:color w:val="000000" w:themeColor="text1"/>
          <w:sz w:val="28"/>
          <w:szCs w:val="28"/>
          <w14:textFill>
            <w14:solidFill>
              <w14:schemeClr w14:val="tx1"/>
            </w14:solidFill>
          </w14:textFill>
        </w:rPr>
        <w:t>（北京时间）</w:t>
      </w:r>
    </w:p>
    <w:p w14:paraId="4088A063">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地点： 南通市教育技术中心一楼评标室，如有变动另行通知。</w:t>
      </w:r>
    </w:p>
    <w:p w14:paraId="6D870951">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六、比价响应文件开启</w:t>
      </w:r>
    </w:p>
    <w:p w14:paraId="3D962E6C">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时间：</w:t>
      </w:r>
      <w:r>
        <w:rPr>
          <w:rFonts w:hint="eastAsia" w:ascii="仿宋" w:hAnsi="仿宋" w:eastAsia="仿宋" w:cs="仿宋"/>
          <w:color w:val="000000" w:themeColor="text1"/>
          <w:sz w:val="28"/>
          <w:szCs w:val="28"/>
          <w:highlight w:val="yellow"/>
          <w14:textFill>
            <w14:solidFill>
              <w14:schemeClr w14:val="tx1"/>
            </w14:solidFill>
          </w14:textFill>
        </w:rPr>
        <w:t>2024年8月</w:t>
      </w:r>
      <w:r>
        <w:rPr>
          <w:rFonts w:ascii="仿宋" w:hAnsi="仿宋" w:eastAsia="仿宋" w:cs="仿宋"/>
          <w:color w:val="000000" w:themeColor="text1"/>
          <w:sz w:val="28"/>
          <w:szCs w:val="28"/>
          <w:highlight w:val="yellow"/>
          <w14:textFill>
            <w14:solidFill>
              <w14:schemeClr w14:val="tx1"/>
            </w14:solidFill>
          </w14:textFill>
        </w:rPr>
        <w:t>30</w:t>
      </w:r>
      <w:r>
        <w:rPr>
          <w:rFonts w:hint="eastAsia" w:ascii="仿宋" w:hAnsi="仿宋" w:eastAsia="仿宋" w:cs="仿宋"/>
          <w:color w:val="000000" w:themeColor="text1"/>
          <w:sz w:val="28"/>
          <w:szCs w:val="28"/>
          <w:highlight w:val="yellow"/>
          <w14:textFill>
            <w14:solidFill>
              <w14:schemeClr w14:val="tx1"/>
            </w14:solidFill>
          </w14:textFill>
        </w:rPr>
        <w:t>日14点30分</w:t>
      </w:r>
      <w:r>
        <w:rPr>
          <w:rFonts w:hint="eastAsia" w:ascii="仿宋" w:hAnsi="仿宋" w:eastAsia="仿宋" w:cs="仿宋"/>
          <w:color w:val="000000" w:themeColor="text1"/>
          <w:sz w:val="28"/>
          <w:szCs w:val="28"/>
          <w14:textFill>
            <w14:solidFill>
              <w14:schemeClr w14:val="tx1"/>
            </w14:solidFill>
          </w14:textFill>
        </w:rPr>
        <w:t>（北京时间）</w:t>
      </w:r>
    </w:p>
    <w:p w14:paraId="61AD51CD">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地点：南通市教育技术中心一楼评标室 ，如有变动另行通知。</w:t>
      </w:r>
    </w:p>
    <w:p w14:paraId="58640B71">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七、比价公告期限</w:t>
      </w:r>
    </w:p>
    <w:p w14:paraId="440F39DA">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自比价公告在南通市教育局官网发布之日起1个工作日。</w:t>
      </w:r>
    </w:p>
    <w:p w14:paraId="1634DF19">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八、其他补充事宜：无。</w:t>
      </w:r>
    </w:p>
    <w:p w14:paraId="6191B615">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九、凡对本次采购提出询问，请按以下方式联系。</w:t>
      </w:r>
    </w:p>
    <w:p w14:paraId="7BE8A395">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1.采购人信息</w:t>
      </w:r>
    </w:p>
    <w:p w14:paraId="6C2AD28E">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名    称：南通市教育技术中心</w:t>
      </w:r>
    </w:p>
    <w:p w14:paraId="0B21B277">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联系方式：陈老师</w:t>
      </w:r>
    </w:p>
    <w:p w14:paraId="577DFC99">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联系电话：0513-85010960</w:t>
      </w:r>
    </w:p>
    <w:p w14:paraId="38E949DA">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2.项目联系方式</w:t>
      </w:r>
    </w:p>
    <w:p w14:paraId="1ED417EE">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项目比价经办人：张先生</w:t>
      </w:r>
    </w:p>
    <w:p w14:paraId="3DA37E2B">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联系电话：0513-85010355</w:t>
      </w:r>
    </w:p>
    <w:bookmarkEnd w:id="1"/>
    <w:bookmarkEnd w:id="2"/>
    <w:bookmarkEnd w:id="3"/>
    <w:bookmarkEnd w:id="4"/>
    <w:p w14:paraId="28CF1F18">
      <w:pPr>
        <w:snapToGrid w:val="0"/>
        <w:spacing w:line="520" w:lineRule="exact"/>
        <w:jc w:val="center"/>
        <w:outlineLvl w:val="0"/>
        <w:rPr>
          <w:rFonts w:ascii="仿宋" w:hAnsi="仿宋" w:eastAsia="仿宋" w:cs="仿宋"/>
          <w:b/>
          <w:color w:val="000000" w:themeColor="text1"/>
          <w:sz w:val="28"/>
          <w:szCs w:val="28"/>
          <w14:textFill>
            <w14:solidFill>
              <w14:schemeClr w14:val="tx1"/>
            </w14:solidFill>
          </w14:textFill>
        </w:rPr>
      </w:pPr>
      <w:bookmarkStart w:id="5" w:name="_Toc18907"/>
      <w:r>
        <w:rPr>
          <w:rFonts w:hint="eastAsia" w:ascii="仿宋" w:hAnsi="仿宋" w:eastAsia="仿宋" w:cs="宋体"/>
          <w:color w:val="000000" w:themeColor="text1"/>
          <w:kern w:val="0"/>
          <w:sz w:val="28"/>
          <w:szCs w:val="28"/>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第二章 比价须知</w:t>
      </w:r>
      <w:bookmarkEnd w:id="5"/>
    </w:p>
    <w:p w14:paraId="7D29901D">
      <w:pPr>
        <w:snapToGrid w:val="0"/>
        <w:spacing w:line="460" w:lineRule="exact"/>
        <w:ind w:firstLine="562" w:firstLineChars="200"/>
        <w:outlineLvl w:val="1"/>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一、采购文件由采购人解释</w:t>
      </w:r>
      <w:r>
        <w:rPr>
          <w:rFonts w:hint="eastAsia" w:ascii="仿宋" w:hAnsi="仿宋" w:eastAsia="仿宋" w:cs="仿宋"/>
          <w:color w:val="000000" w:themeColor="text1"/>
          <w:sz w:val="28"/>
          <w:szCs w:val="28"/>
          <w14:textFill>
            <w14:solidFill>
              <w14:schemeClr w14:val="tx1"/>
            </w14:solidFill>
          </w14:textFill>
        </w:rPr>
        <w:t>。</w:t>
      </w:r>
    </w:p>
    <w:p w14:paraId="03693963">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供应商下载采购文件后，应仔细检查采购文件的所有内容，如对采购项目活动事项有疑问的，应在规定时间以书面形式提出询问或疑问，未在规定时间内提出询问或疑问的，视同供应商理解并接受本采购文件所有内容，并由此引起的比价损失自负。</w:t>
      </w:r>
    </w:p>
    <w:p w14:paraId="213CC6CC">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议价人应认真审阅采购文件中所有的事项、格式、条款和规范要求等，如果议价人没有按照采购文件要求提交比价响应文件，或者比价响应文件没有对采购文件做出实质性响应，其比价将被拒绝，议价人自行承担责任。</w:t>
      </w:r>
    </w:p>
    <w:p w14:paraId="4DC93FE4">
      <w:pPr>
        <w:snapToGrid w:val="0"/>
        <w:spacing w:line="460" w:lineRule="exact"/>
        <w:ind w:firstLine="562" w:firstLineChars="200"/>
        <w:outlineLvl w:val="1"/>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二、采购文件的澄清、修改、答疑</w:t>
      </w:r>
    </w:p>
    <w:p w14:paraId="29FDA206">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1.采购人有权对发出的采购文件进行必要的澄清或修改。</w:t>
      </w:r>
    </w:p>
    <w:p w14:paraId="36BE82C7">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2.采购人可视情取消、延长相关时间。</w:t>
      </w:r>
    </w:p>
    <w:p w14:paraId="0104FB69">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3.采购人对采购文件的澄清、修改将构成采购文件的一部分，对议价人具有约束力。</w:t>
      </w:r>
    </w:p>
    <w:p w14:paraId="22280455">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4.议价人由于对采购文件的任何推论和误解以及采购人对有关问题的口头解释所造成的后果，均由议价人自负。</w:t>
      </w:r>
    </w:p>
    <w:p w14:paraId="15812FDF">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5.采购人视情组织答疑会。</w:t>
      </w:r>
    </w:p>
    <w:p w14:paraId="3E48D0D8">
      <w:pPr>
        <w:snapToGrid w:val="0"/>
        <w:spacing w:line="460" w:lineRule="exact"/>
        <w:ind w:firstLine="562" w:firstLineChars="200"/>
        <w:outlineLvl w:val="1"/>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三、比价报价</w:t>
      </w:r>
    </w:p>
    <w:p w14:paraId="48D835EC">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一个标的只允许一个报价，不接受任何有选择性的报价。</w:t>
      </w:r>
    </w:p>
    <w:p w14:paraId="5804CBF1">
      <w:pPr>
        <w:snapToGrid w:val="0"/>
        <w:spacing w:line="460" w:lineRule="exact"/>
        <w:ind w:firstLine="562" w:firstLineChars="200"/>
        <w:outlineLvl w:val="1"/>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四、比价响应响应文件的编写、份数和签署</w:t>
      </w:r>
    </w:p>
    <w:p w14:paraId="52CDF017">
      <w:pPr>
        <w:snapToGrid w:val="0"/>
        <w:spacing w:line="460" w:lineRule="exact"/>
        <w:ind w:firstLine="560"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投标人按第七部分“响应文件组成”编写投标文件，牢固装订成册。按照采购文件所规定的内容顺序，统一编制目录，逐页编码；投标文件不得行间插字、涂改、增删，如修补错漏处，须经投标文件签署人签字并加盖公章。</w:t>
      </w:r>
    </w:p>
    <w:p w14:paraId="161B51C5">
      <w:pPr>
        <w:snapToGrid w:val="0"/>
        <w:spacing w:line="460" w:lineRule="exact"/>
        <w:ind w:firstLine="560" w:firstLineChars="200"/>
        <w:contextualSpacing/>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2.比价响应文件（资格审查文件、价格标），明确标注议价人全称、“正本”、“副本”字样。</w:t>
      </w:r>
      <w:r>
        <w:rPr>
          <w:rFonts w:hint="eastAsia" w:ascii="仿宋" w:hAnsi="仿宋" w:eastAsia="仿宋" w:cs="仿宋"/>
          <w:b/>
          <w:color w:val="000000" w:themeColor="text1"/>
          <w:sz w:val="28"/>
          <w:szCs w:val="28"/>
          <w14:textFill>
            <w14:solidFill>
              <w14:schemeClr w14:val="tx1"/>
            </w14:solidFill>
          </w14:textFill>
        </w:rPr>
        <w:t>正本份数：1份，副本份数：2份。</w:t>
      </w:r>
    </w:p>
    <w:p w14:paraId="6CA7D1F5">
      <w:pPr>
        <w:snapToGrid w:val="0"/>
        <w:spacing w:line="460" w:lineRule="exact"/>
        <w:ind w:firstLine="560"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3.比价响应文件正本须打印并由议价人法定代表人或授权人签字并加盖单位印章。副本可复印，但须加盖单位印章。</w:t>
      </w:r>
    </w:p>
    <w:p w14:paraId="4F51B09D">
      <w:pPr>
        <w:snapToGrid w:val="0"/>
        <w:spacing w:line="460" w:lineRule="exact"/>
        <w:ind w:firstLine="562" w:firstLineChars="200"/>
        <w:outlineLvl w:val="1"/>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五、比价响应文件的密封及标记</w:t>
      </w:r>
    </w:p>
    <w:p w14:paraId="29ED83CC">
      <w:pPr>
        <w:snapToGrid w:val="0"/>
        <w:spacing w:line="460" w:lineRule="exact"/>
        <w:ind w:firstLine="560"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1.议价人将资格审查证明材料正本、副本合并密封，统一装在一个密封袋内。</w:t>
      </w:r>
    </w:p>
    <w:p w14:paraId="07EC28FB">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2.价格标须单独密封，不得出现于比价响应文件其他部分中。</w:t>
      </w:r>
    </w:p>
    <w:p w14:paraId="4637E797">
      <w:pPr>
        <w:snapToGrid w:val="0"/>
        <w:spacing w:line="460" w:lineRule="exact"/>
        <w:ind w:firstLine="560"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3.密封后比价响应文件（资格审查文件、价格标）封面分别标明采购文件项目名称、项目编号、边缝处加盖单位骑缝章或骑缝签字，并注明于开标前不得启封。</w:t>
      </w:r>
    </w:p>
    <w:p w14:paraId="5BCBD7BE">
      <w:pPr>
        <w:snapToGrid w:val="0"/>
        <w:spacing w:line="460" w:lineRule="exact"/>
        <w:ind w:firstLine="560" w:firstLineChars="20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4.采购人将拒绝接收未按照采购文件要求密封的比价响应文件。</w:t>
      </w:r>
    </w:p>
    <w:p w14:paraId="4D34C94E">
      <w:pPr>
        <w:snapToGrid w:val="0"/>
        <w:spacing w:line="460" w:lineRule="exact"/>
        <w:ind w:firstLine="562" w:firstLineChars="200"/>
        <w:outlineLvl w:val="1"/>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六、比价响应文件的递交时间</w:t>
      </w:r>
    </w:p>
    <w:p w14:paraId="6F5D8D0D">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1.比价响应文件必须在规定的接收截止时间前送达采购人。采购人将拒绝接收在比价截止时间后递交的比价响应文件。</w:t>
      </w:r>
    </w:p>
    <w:p w14:paraId="4670B664">
      <w:pPr>
        <w:snapToGrid w:val="0"/>
        <w:spacing w:line="4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供应商应依照规定提交各类声明函、承诺函，不再同时提供原件备查或提供有关部门出具的相关证明文件。但供应商应做好提交声明函、承诺函、资信认证、业绩等相应原件的核查准备；核查后发现隐瞒虚假或不能提供原件或违背声明承诺的，依照相关法律法规规定处理。</w:t>
      </w:r>
    </w:p>
    <w:p w14:paraId="66E15C53">
      <w:pPr>
        <w:pStyle w:val="11"/>
        <w:jc w:val="center"/>
        <w:rPr>
          <w:rFonts w:ascii="仿宋" w:hAnsi="仿宋" w:eastAsia="仿宋" w:cs="仿宋"/>
          <w:color w:val="000000" w:themeColor="text1"/>
          <w:szCs w:val="28"/>
          <w14:textFill>
            <w14:solidFill>
              <w14:schemeClr w14:val="tx1"/>
            </w14:solidFill>
          </w14:textFill>
        </w:rPr>
      </w:pPr>
    </w:p>
    <w:p w14:paraId="4C93C2B6">
      <w:pPr>
        <w:pStyle w:val="11"/>
        <w:jc w:val="center"/>
        <w:rPr>
          <w:rFonts w:ascii="仿宋" w:hAnsi="仿宋" w:eastAsia="仿宋" w:cs="仿宋"/>
          <w:color w:val="000000" w:themeColor="text1"/>
          <w:szCs w:val="28"/>
          <w14:textFill>
            <w14:solidFill>
              <w14:schemeClr w14:val="tx1"/>
            </w14:solidFill>
          </w14:textFill>
        </w:rPr>
      </w:pPr>
    </w:p>
    <w:p w14:paraId="4D0EF0E6">
      <w:pPr>
        <w:pStyle w:val="11"/>
        <w:ind w:firstLine="0" w:firstLineChars="0"/>
        <w:jc w:val="center"/>
        <w:outlineLvl w:val="0"/>
        <w:rPr>
          <w:rFonts w:hAnsi="宋体" w:cs="宋体"/>
          <w:color w:val="000000" w:themeColor="text1"/>
          <w:sz w:val="36"/>
          <w:szCs w:val="36"/>
          <w14:textFill>
            <w14:solidFill>
              <w14:schemeClr w14:val="tx1"/>
            </w14:solidFill>
          </w14:textFill>
        </w:rPr>
      </w:pPr>
      <w:bookmarkStart w:id="6" w:name="_Toc5043"/>
    </w:p>
    <w:p w14:paraId="12CFF45D">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0241B404">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4CF47503">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5E88CFA4">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0FC852E4">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7137CA6F">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6CDE5A99">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7E384BE6">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7F7E2630">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51DCFEB4">
      <w:pPr>
        <w:pStyle w:val="11"/>
        <w:ind w:firstLine="0" w:firstLineChars="0"/>
        <w:jc w:val="center"/>
        <w:outlineLvl w:val="0"/>
        <w:rPr>
          <w:rFonts w:hAnsi="宋体" w:cs="宋体"/>
          <w:color w:val="000000" w:themeColor="text1"/>
          <w:sz w:val="36"/>
          <w:szCs w:val="36"/>
          <w14:textFill>
            <w14:solidFill>
              <w14:schemeClr w14:val="tx1"/>
            </w14:solidFill>
          </w14:textFill>
        </w:rPr>
      </w:pPr>
    </w:p>
    <w:p w14:paraId="489EAA7B">
      <w:pPr>
        <w:pStyle w:val="11"/>
        <w:ind w:firstLine="0" w:firstLineChars="0"/>
        <w:jc w:val="center"/>
        <w:outlineLvl w:val="0"/>
        <w:rPr>
          <w:rFonts w:ascii="仿宋" w:hAnsi="仿宋" w:eastAsia="仿宋" w:cs="仿宋"/>
          <w:color w:val="000000" w:themeColor="text1"/>
          <w:sz w:val="36"/>
          <w:szCs w:val="36"/>
          <w14:textFill>
            <w14:solidFill>
              <w14:schemeClr w14:val="tx1"/>
            </w14:solidFill>
          </w14:textFill>
        </w:rPr>
      </w:pPr>
      <w:r>
        <w:rPr>
          <w:rFonts w:hint="eastAsia" w:hAnsi="宋体" w:cs="宋体"/>
          <w:color w:val="000000" w:themeColor="text1"/>
          <w:sz w:val="36"/>
          <w:szCs w:val="36"/>
          <w14:textFill>
            <w14:solidFill>
              <w14:schemeClr w14:val="tx1"/>
            </w14:solidFill>
          </w14:textFill>
        </w:rPr>
        <w:t>第三章  项目需求</w:t>
      </w:r>
      <w:bookmarkEnd w:id="6"/>
    </w:p>
    <w:p w14:paraId="07AFBFF5">
      <w:pPr>
        <w:widowControl/>
        <w:shd w:val="clear" w:color="auto" w:fill="FFFFFF"/>
        <w:ind w:firstLine="560"/>
        <w:jc w:val="left"/>
        <w:rPr>
          <w:rFonts w:ascii="仿宋" w:hAnsi="仿宋" w:eastAsia="仿宋" w:cs="宋体"/>
          <w:b/>
          <w:bCs/>
          <w:color w:val="000000" w:themeColor="text1"/>
          <w:kern w:val="0"/>
          <w:sz w:val="28"/>
          <w:szCs w:val="28"/>
          <w14:textFill>
            <w14:solidFill>
              <w14:schemeClr w14:val="tx1"/>
            </w14:solidFill>
          </w14:textFill>
        </w:rPr>
      </w:pPr>
      <w:bookmarkStart w:id="7" w:name="_Toc24193"/>
      <w:r>
        <w:rPr>
          <w:rFonts w:hint="eastAsia" w:ascii="仿宋" w:hAnsi="仿宋" w:eastAsia="仿宋" w:cs="宋体"/>
          <w:b/>
          <w:bCs/>
          <w:color w:val="000000" w:themeColor="text1"/>
          <w:kern w:val="0"/>
          <w:sz w:val="28"/>
          <w:szCs w:val="28"/>
          <w14:textFill>
            <w14:solidFill>
              <w14:schemeClr w14:val="tx1"/>
            </w14:solidFill>
          </w14:textFill>
        </w:rPr>
        <w:t>一、基本情况</w:t>
      </w:r>
    </w:p>
    <w:p w14:paraId="1DBB8746">
      <w:pPr>
        <w:widowControl/>
        <w:shd w:val="clear" w:color="auto" w:fill="FFFFFF"/>
        <w:ind w:firstLine="56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本项目为慧学南通智慧教育云平台维保项目，总预算为12.5万元。</w:t>
      </w:r>
    </w:p>
    <w:p w14:paraId="3BFDAFB3">
      <w:pPr>
        <w:pStyle w:val="2"/>
        <w:ind w:firstLine="560" w:firstLineChars="200"/>
        <w:rPr>
          <w:rFonts w:ascii="仿宋" w:hAnsi="仿宋" w:eastAsia="仿宋" w:cs="宋体"/>
          <w:color w:val="000000"/>
          <w:sz w:val="28"/>
          <w:szCs w:val="28"/>
        </w:rPr>
      </w:pPr>
      <w:r>
        <w:rPr>
          <w:rFonts w:hint="eastAsia" w:ascii="仿宋" w:hAnsi="仿宋" w:eastAsia="仿宋" w:cs="宋体"/>
          <w:color w:val="000000"/>
          <w:sz w:val="28"/>
          <w:szCs w:val="28"/>
        </w:rPr>
        <w:t>“慧学南通”平台是南通市教育局在2017年为提高教育公共服务水平，能够为学生提供全程的敎育服务，平台专注于中小学教育提供各种智慧教育资源和工具，为南通中小学师生提供更广泛的教育服务，平台覆盖各个教育阶段，通过物联网技术和移动互联技术构建了智慧的校园感知网络和智慧的教学环境，突破了时空局限，实现了随时随地的泛在学习。通过大数据分析技术、云计算技术、虚拟仿真技术为打破了信息孤岛，通过数据安全可靠的统一管理、跟踪、挖掘、分析，实现了智慧教学法，优化各项业务流程，提高决策效率，提升教育教学服务，最终构建全方位一站式的管理、教学、服务应用和资源获取体系，为学生提供个性化的学习支持服务，为教师提供针对性的教学决策支持和高质高效资源。推进南通市数字教育资源的共建共享进程。为教育资源提供者和使用者搭建一个网络交流、共享和应用的环境，从而促进优质教育资源的广泛共享。学习者可以在任何时候、任何地方借助电脑、 数字电视、手机等各种云端设备进行主动、高质量和个性化的学习。为不同类型 的学习者提供满足学历敎育、非学历教育以及个性化自主学习等需求的多模式远 程学习服务，提高整体素质水平，促进平民教育与终身教育发展，提升公众创新 能力，实现全民教育。</w:t>
      </w:r>
    </w:p>
    <w:p w14:paraId="2A4EAEBD">
      <w:pPr>
        <w:pStyle w:val="2"/>
        <w:numPr>
          <w:ilvl w:val="0"/>
          <w:numId w:val="2"/>
        </w:numPr>
        <w:rPr>
          <w:rFonts w:ascii="仿宋" w:hAnsi="仿宋" w:eastAsia="仿宋" w:cs="宋体"/>
          <w:b/>
          <w:bCs/>
          <w:color w:val="000000"/>
          <w:sz w:val="28"/>
          <w:szCs w:val="28"/>
        </w:rPr>
      </w:pPr>
      <w:r>
        <w:rPr>
          <w:rFonts w:hint="eastAsia" w:ascii="仿宋" w:hAnsi="仿宋" w:eastAsia="仿宋" w:cs="宋体"/>
          <w:b/>
          <w:bCs/>
          <w:color w:val="000000"/>
          <w:sz w:val="28"/>
          <w:szCs w:val="28"/>
        </w:rPr>
        <w:t>平台整体框架</w:t>
      </w:r>
    </w:p>
    <w:p w14:paraId="5D50ED3B">
      <w:pPr>
        <w:jc w:val="center"/>
      </w:pPr>
      <w:r>
        <w:rPr>
          <w:highlight w:val="yellow"/>
        </w:rPr>
        <w:drawing>
          <wp:inline distT="0" distB="0" distL="114300" distR="114300">
            <wp:extent cx="5274310" cy="29667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74310" cy="2966720"/>
                    </a:xfrm>
                    <a:prstGeom prst="rect">
                      <a:avLst/>
                    </a:prstGeom>
                    <a:noFill/>
                    <a:ln>
                      <a:noFill/>
                    </a:ln>
                  </pic:spPr>
                </pic:pic>
              </a:graphicData>
            </a:graphic>
          </wp:inline>
        </w:drawing>
      </w:r>
    </w:p>
    <w:p w14:paraId="73140E70">
      <w:pPr>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慧学南通”平台整体架构分为五层架构，分别是基础设施层、服务支撑层、综合管理平台、资源云平台、统一门户平台。基础设施层由各类专业服务器、采集器、传感器、摄像机、网络设备等构成，通过物联网技术将校园形成一个严密无缝的互联感知网络和智慧教学环境。</w:t>
      </w:r>
    </w:p>
    <w:p w14:paraId="4D190D14">
      <w:pPr>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服务支撑层是连接数据、服务、应用和基础设施层的运行数据和采集数据的核心处理层，主要实现支持平台应用的核心组件，包括用户权限管理，用户认证，设备管理，通信协议互联，流媒体处理，安全管理，移动服务管理等等。该层可通过智能设备、数据采集终端、人工录入、第三方系统等方式获取元数据，对数据做基本的归类，加工，及更新等处理，为上层应用和数据挖掘提供基础。隔离应用层与基础支撑层之间的联系，使得系统架构稳定，扩展容易，开放包容。</w:t>
      </w:r>
    </w:p>
    <w:p w14:paraId="37C00FD8">
      <w:pPr>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资源云平台为师生建立了统一的便捷的资源获取途径。高效备授课资源、互动测评资源、提分及考试资源、区域本地化资源、名师微课资源、学生课外拓展资源、学科特色资源等组成。以各学科知识图谱为核心主线，横向关联同步学科备授课资源、纵向关联知识点测评资源、智能为班级及个人整合精准提分资源，融合区域内优质校本资源、教师微课资源，为高效实现以学生为中心的班级标准化教学、分层差异化教学及个性化自适应学习、群智学习活动提供内容支撑，能够提供同步备授课资源、互动资源、精准提分资源、仿真实验、习题库、在线作业、名师微课、数字阅览室、个性化本地资源等全方位的资源体系。</w:t>
      </w:r>
    </w:p>
    <w:p w14:paraId="1AAF4629">
      <w:pPr>
        <w:ind w:firstLine="560" w:firstLineChars="200"/>
        <w:rPr>
          <w:rFonts w:ascii="仿宋" w:hAnsi="仿宋" w:eastAsia="仿宋" w:cs="宋体"/>
          <w:color w:val="000000"/>
          <w:kern w:val="0"/>
          <w:sz w:val="28"/>
          <w:szCs w:val="28"/>
        </w:rPr>
      </w:pPr>
      <w:r>
        <w:rPr>
          <w:rFonts w:hint="eastAsia" w:ascii="仿宋" w:hAnsi="仿宋" w:eastAsia="仿宋" w:cs="宋体"/>
          <w:color w:val="000000"/>
          <w:kern w:val="0"/>
          <w:sz w:val="28"/>
          <w:szCs w:val="28"/>
        </w:rPr>
        <w:t>统一门户平台根据不同的用户需求应用，提供了统一的服务入口，能够根据不同的需求，个性化地提供不同的应用功能。学生、教室、家长、管理者、公众等用户通过PC、手机、互动答题卡、PAD终端、自助终端等介质为获得一站式管理、学习、教学、生活、文化服务。</w:t>
      </w:r>
    </w:p>
    <w:p w14:paraId="2992C0D3">
      <w:pPr>
        <w:pStyle w:val="2"/>
        <w:numPr>
          <w:ilvl w:val="0"/>
          <w:numId w:val="2"/>
        </w:numPr>
        <w:rPr>
          <w:rFonts w:ascii="仿宋" w:hAnsi="仿宋" w:eastAsia="仿宋" w:cs="宋体"/>
          <w:b/>
          <w:bCs/>
          <w:color w:val="000000"/>
          <w:sz w:val="28"/>
          <w:szCs w:val="28"/>
        </w:rPr>
      </w:pPr>
      <w:r>
        <w:rPr>
          <w:rFonts w:hint="eastAsia" w:ascii="仿宋" w:hAnsi="仿宋" w:eastAsia="仿宋" w:cs="宋体"/>
          <w:b/>
          <w:bCs/>
          <w:color w:val="000000"/>
          <w:sz w:val="28"/>
          <w:szCs w:val="28"/>
        </w:rPr>
        <w:t>资源内容更新</w:t>
      </w:r>
    </w:p>
    <w:p w14:paraId="2307D0B4">
      <w:pPr>
        <w:pStyle w:val="25"/>
        <w:ind w:left="0" w:firstLine="420" w:firstLineChars="150"/>
        <w:rPr>
          <w:rFonts w:ascii="仿宋" w:hAnsi="仿宋" w:eastAsia="仿宋" w:cs="仿宋"/>
          <w:sz w:val="28"/>
          <w:szCs w:val="28"/>
        </w:rPr>
      </w:pPr>
      <w:r>
        <w:rPr>
          <w:rFonts w:hint="eastAsia" w:ascii="仿宋" w:hAnsi="仿宋" w:eastAsia="仿宋" w:cs="仿宋"/>
          <w:sz w:val="28"/>
          <w:szCs w:val="28"/>
        </w:rPr>
        <w:t>资源更新内容覆盖小、初、高语文、数学、英语、地理、历史、政治、物理、化学、生物、音乐、美术、科学、品德、信息技术等34个学科，283个版本，资源更新类型包括教案、导学案、课件、素材、习题等，涵盖课前、课中、课后资源。教育资源中心资源播控团队依据学科编辑每周资源更新策划单，远程维护，通过资源管理系统，制定资源调度计划，实施资源数据更新同步（可提供每周更新内容清单），年度更新量视频资料不低于5%，文本资料不低于20%。定期巡检服务器的正常运行，确保教师开展日常教学和学生自主学习活动时正常使用。</w:t>
      </w:r>
    </w:p>
    <w:tbl>
      <w:tblPr>
        <w:tblStyle w:val="16"/>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59"/>
        <w:gridCol w:w="4188"/>
        <w:gridCol w:w="2275"/>
      </w:tblGrid>
      <w:tr w14:paraId="7DB9DA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2059" w:type="dxa"/>
          </w:tcPr>
          <w:p w14:paraId="32675577">
            <w:pPr>
              <w:spacing w:line="360" w:lineRule="auto"/>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更新资源类型</w:t>
            </w:r>
          </w:p>
        </w:tc>
        <w:tc>
          <w:tcPr>
            <w:tcW w:w="4188" w:type="dxa"/>
            <w:vAlign w:val="center"/>
          </w:tcPr>
          <w:p w14:paraId="312007AA">
            <w:pPr>
              <w:spacing w:line="360" w:lineRule="auto"/>
              <w:ind w:firstLine="422" w:firstLineChars="15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更新资源内容</w:t>
            </w:r>
          </w:p>
        </w:tc>
        <w:tc>
          <w:tcPr>
            <w:tcW w:w="2275" w:type="dxa"/>
            <w:vAlign w:val="center"/>
          </w:tcPr>
          <w:p w14:paraId="2624A0A8">
            <w:pPr>
              <w:spacing w:line="360" w:lineRule="auto"/>
              <w:ind w:firstLine="422" w:firstLineChars="15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更新规划</w:t>
            </w:r>
          </w:p>
        </w:tc>
      </w:tr>
      <w:tr w14:paraId="57A550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1" w:hRule="atLeast"/>
          <w:jc w:val="center"/>
        </w:trPr>
        <w:tc>
          <w:tcPr>
            <w:tcW w:w="2059" w:type="dxa"/>
            <w:vMerge w:val="restart"/>
            <w:vAlign w:val="center"/>
          </w:tcPr>
          <w:p w14:paraId="474562A0">
            <w:pPr>
              <w:spacing w:line="360" w:lineRule="auto"/>
              <w:ind w:firstLine="420" w:firstLineChars="150"/>
              <w:jc w:val="center"/>
              <w:rPr>
                <w:rFonts w:ascii="仿宋" w:hAnsi="仿宋" w:eastAsia="仿宋" w:cs="仿宋"/>
                <w:color w:val="000000"/>
                <w:sz w:val="28"/>
                <w:szCs w:val="28"/>
              </w:rPr>
            </w:pPr>
          </w:p>
          <w:p w14:paraId="74209CBA">
            <w:pPr>
              <w:spacing w:line="360" w:lineRule="auto"/>
              <w:ind w:firstLine="420" w:firstLineChars="150"/>
              <w:jc w:val="center"/>
              <w:rPr>
                <w:rFonts w:ascii="仿宋" w:hAnsi="仿宋" w:eastAsia="仿宋" w:cs="仿宋"/>
                <w:color w:val="000000"/>
                <w:sz w:val="28"/>
                <w:szCs w:val="28"/>
              </w:rPr>
            </w:pPr>
          </w:p>
          <w:p w14:paraId="261E212C">
            <w:pPr>
              <w:spacing w:line="360" w:lineRule="auto"/>
              <w:ind w:firstLine="420" w:firstLineChars="150"/>
              <w:jc w:val="center"/>
              <w:rPr>
                <w:rFonts w:ascii="仿宋" w:hAnsi="仿宋" w:eastAsia="仿宋" w:cs="仿宋"/>
                <w:color w:val="000000"/>
                <w:sz w:val="28"/>
                <w:szCs w:val="28"/>
              </w:rPr>
            </w:pPr>
          </w:p>
          <w:p w14:paraId="6F47F854">
            <w:pPr>
              <w:spacing w:line="360" w:lineRule="auto"/>
              <w:ind w:firstLine="420" w:firstLineChars="150"/>
              <w:jc w:val="center"/>
              <w:rPr>
                <w:rFonts w:ascii="仿宋" w:hAnsi="仿宋" w:eastAsia="仿宋" w:cs="仿宋"/>
                <w:color w:val="000000"/>
                <w:sz w:val="28"/>
                <w:szCs w:val="28"/>
              </w:rPr>
            </w:pPr>
          </w:p>
          <w:p w14:paraId="2805CC88">
            <w:pPr>
              <w:spacing w:line="360" w:lineRule="auto"/>
              <w:ind w:firstLine="420" w:firstLineChars="150"/>
              <w:jc w:val="center"/>
              <w:rPr>
                <w:rFonts w:ascii="仿宋" w:hAnsi="仿宋" w:eastAsia="仿宋" w:cs="仿宋"/>
                <w:color w:val="000000"/>
                <w:sz w:val="28"/>
                <w:szCs w:val="28"/>
              </w:rPr>
            </w:pPr>
          </w:p>
          <w:p w14:paraId="2F72236F">
            <w:pPr>
              <w:spacing w:line="360" w:lineRule="auto"/>
              <w:ind w:firstLine="420" w:firstLineChars="150"/>
              <w:jc w:val="center"/>
              <w:rPr>
                <w:rFonts w:ascii="仿宋" w:hAnsi="仿宋" w:eastAsia="仿宋" w:cs="仿宋"/>
                <w:color w:val="000000"/>
                <w:sz w:val="28"/>
                <w:szCs w:val="28"/>
              </w:rPr>
            </w:pPr>
          </w:p>
          <w:p w14:paraId="00AF02D1">
            <w:pPr>
              <w:spacing w:line="360" w:lineRule="auto"/>
              <w:ind w:firstLine="420" w:firstLineChars="150"/>
              <w:jc w:val="center"/>
              <w:rPr>
                <w:rFonts w:ascii="仿宋" w:hAnsi="仿宋" w:eastAsia="仿宋" w:cs="仿宋"/>
                <w:color w:val="000000"/>
                <w:sz w:val="28"/>
                <w:szCs w:val="28"/>
              </w:rPr>
            </w:pPr>
          </w:p>
          <w:p w14:paraId="1590A236">
            <w:pPr>
              <w:spacing w:line="360" w:lineRule="auto"/>
              <w:ind w:firstLine="420" w:firstLineChars="150"/>
              <w:jc w:val="center"/>
              <w:rPr>
                <w:rFonts w:ascii="仿宋" w:hAnsi="仿宋" w:eastAsia="仿宋" w:cs="仿宋"/>
                <w:color w:val="000000"/>
                <w:sz w:val="28"/>
                <w:szCs w:val="28"/>
              </w:rPr>
            </w:pPr>
          </w:p>
          <w:p w14:paraId="6DD4569A">
            <w:pPr>
              <w:spacing w:line="360" w:lineRule="auto"/>
              <w:ind w:firstLine="420" w:firstLineChars="150"/>
              <w:jc w:val="center"/>
              <w:rPr>
                <w:rFonts w:ascii="仿宋" w:hAnsi="仿宋" w:eastAsia="仿宋" w:cs="仿宋"/>
                <w:color w:val="000000"/>
                <w:sz w:val="28"/>
                <w:szCs w:val="28"/>
              </w:rPr>
            </w:pPr>
          </w:p>
          <w:p w14:paraId="6E116119">
            <w:pPr>
              <w:spacing w:line="360" w:lineRule="auto"/>
              <w:ind w:firstLine="420" w:firstLineChars="150"/>
              <w:jc w:val="center"/>
              <w:rPr>
                <w:rFonts w:ascii="仿宋" w:hAnsi="仿宋" w:eastAsia="仿宋" w:cs="仿宋"/>
                <w:color w:val="000000"/>
                <w:sz w:val="28"/>
                <w:szCs w:val="28"/>
              </w:rPr>
            </w:pPr>
            <w:r>
              <w:rPr>
                <w:rFonts w:hint="eastAsia" w:ascii="仿宋" w:hAnsi="仿宋" w:eastAsia="仿宋" w:cs="仿宋"/>
                <w:color w:val="000000"/>
                <w:sz w:val="28"/>
                <w:szCs w:val="28"/>
              </w:rPr>
              <w:t>基础教材资源更新</w:t>
            </w:r>
          </w:p>
        </w:tc>
        <w:tc>
          <w:tcPr>
            <w:tcW w:w="4188" w:type="dxa"/>
            <w:vAlign w:val="center"/>
          </w:tcPr>
          <w:p w14:paraId="64D9857E">
            <w:pPr>
              <w:spacing w:line="360" w:lineRule="auto"/>
              <w:ind w:firstLine="420" w:firstLineChars="150"/>
              <w:rPr>
                <w:rFonts w:ascii="仿宋" w:hAnsi="仿宋" w:eastAsia="仿宋" w:cs="仿宋"/>
                <w:kern w:val="0"/>
                <w:sz w:val="28"/>
                <w:szCs w:val="28"/>
              </w:rPr>
            </w:pPr>
            <w:r>
              <w:rPr>
                <w:rFonts w:hint="eastAsia" w:ascii="仿宋" w:hAnsi="仿宋" w:eastAsia="仿宋" w:cs="仿宋"/>
                <w:kern w:val="0"/>
                <w:sz w:val="28"/>
                <w:szCs w:val="28"/>
              </w:rPr>
              <w:t>依据最新义务教育新课标修订教材内容和用户应用需求，更新小初高各学科各版本各类资源，满足教师日常教学备课、授课、学生自主学习需求。</w:t>
            </w:r>
          </w:p>
          <w:p w14:paraId="130E27B2">
            <w:pPr>
              <w:spacing w:line="360" w:lineRule="auto"/>
              <w:ind w:firstLine="420" w:firstLineChars="150"/>
              <w:rPr>
                <w:rFonts w:ascii="仿宋" w:hAnsi="仿宋" w:eastAsia="仿宋" w:cs="仿宋"/>
                <w:kern w:val="0"/>
                <w:sz w:val="28"/>
                <w:szCs w:val="28"/>
              </w:rPr>
            </w:pPr>
            <w:r>
              <w:rPr>
                <w:rFonts w:hint="eastAsia" w:ascii="仿宋" w:hAnsi="仿宋" w:eastAsia="仿宋" w:cs="仿宋"/>
                <w:kern w:val="0"/>
                <w:sz w:val="28"/>
                <w:szCs w:val="28"/>
              </w:rPr>
              <w:t>新换教材资源：按照新教材，补充调整课程目录、补充完善各类资源；</w:t>
            </w:r>
          </w:p>
          <w:p w14:paraId="4F4A38D3">
            <w:pPr>
              <w:spacing w:line="360" w:lineRule="auto"/>
              <w:ind w:firstLine="420" w:firstLineChars="150"/>
              <w:rPr>
                <w:rFonts w:ascii="仿宋" w:hAnsi="仿宋" w:eastAsia="仿宋" w:cs="仿宋"/>
                <w:kern w:val="0"/>
                <w:sz w:val="28"/>
                <w:szCs w:val="28"/>
              </w:rPr>
            </w:pPr>
            <w:r>
              <w:rPr>
                <w:rFonts w:hint="eastAsia" w:ascii="仿宋" w:hAnsi="仿宋" w:eastAsia="仿宋" w:cs="仿宋"/>
                <w:kern w:val="0"/>
                <w:sz w:val="28"/>
                <w:szCs w:val="28"/>
              </w:rPr>
              <w:t>新增版本资源：开展地方版本课程资源开发建设，提前教学进度进行更新；</w:t>
            </w:r>
          </w:p>
        </w:tc>
        <w:tc>
          <w:tcPr>
            <w:tcW w:w="2275" w:type="dxa"/>
            <w:vAlign w:val="center"/>
          </w:tcPr>
          <w:p w14:paraId="1491B8D3">
            <w:pPr>
              <w:spacing w:line="360" w:lineRule="auto"/>
              <w:ind w:firstLine="420" w:firstLineChars="150"/>
              <w:rPr>
                <w:rFonts w:ascii="仿宋" w:hAnsi="仿宋" w:eastAsia="仿宋" w:cs="仿宋"/>
                <w:kern w:val="0"/>
                <w:sz w:val="28"/>
                <w:szCs w:val="28"/>
              </w:rPr>
            </w:pPr>
            <w:r>
              <w:rPr>
                <w:rFonts w:hint="eastAsia" w:ascii="仿宋" w:hAnsi="仿宋" w:eastAsia="仿宋" w:cs="仿宋"/>
                <w:kern w:val="0"/>
                <w:sz w:val="28"/>
                <w:szCs w:val="28"/>
              </w:rPr>
              <w:t>上学期资源更新周期：当年6月—11月</w:t>
            </w:r>
          </w:p>
          <w:p w14:paraId="2EEFC6A4">
            <w:pPr>
              <w:spacing w:line="360" w:lineRule="auto"/>
              <w:ind w:firstLine="420" w:firstLineChars="150"/>
              <w:rPr>
                <w:rFonts w:ascii="仿宋" w:hAnsi="仿宋" w:eastAsia="仿宋" w:cs="仿宋"/>
                <w:kern w:val="0"/>
                <w:sz w:val="28"/>
                <w:szCs w:val="28"/>
              </w:rPr>
            </w:pPr>
            <w:r>
              <w:rPr>
                <w:rFonts w:hint="eastAsia" w:ascii="仿宋" w:hAnsi="仿宋" w:eastAsia="仿宋" w:cs="仿宋"/>
                <w:kern w:val="0"/>
                <w:sz w:val="28"/>
                <w:szCs w:val="28"/>
              </w:rPr>
              <w:t>下学期资源更新周期：当12月—次年5月</w:t>
            </w:r>
          </w:p>
        </w:tc>
      </w:tr>
      <w:tr w14:paraId="4C4091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059" w:type="dxa"/>
            <w:vMerge w:val="continue"/>
          </w:tcPr>
          <w:p w14:paraId="5DDD2BB0">
            <w:pPr>
              <w:spacing w:line="360" w:lineRule="auto"/>
              <w:ind w:firstLine="420" w:firstLineChars="150"/>
              <w:rPr>
                <w:rFonts w:ascii="仿宋" w:hAnsi="仿宋" w:eastAsia="仿宋" w:cs="仿宋"/>
                <w:color w:val="000000"/>
                <w:sz w:val="28"/>
                <w:szCs w:val="28"/>
              </w:rPr>
            </w:pPr>
          </w:p>
        </w:tc>
        <w:tc>
          <w:tcPr>
            <w:tcW w:w="4188" w:type="dxa"/>
            <w:vAlign w:val="center"/>
          </w:tcPr>
          <w:p w14:paraId="510F0C5A">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依据每年地区考试大纲要求，定期更新小升初、中招、高考全国及地方备考资源。</w:t>
            </w:r>
          </w:p>
          <w:p w14:paraId="01C93917">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优化专题结构：优化考试专题栏目知识点结构，完善资源体系；</w:t>
            </w:r>
          </w:p>
          <w:p w14:paraId="74658973">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 xml:space="preserve">优化更新资源：补充最新考试真题、段考模拟、模拟冲刺、应试指导资源； </w:t>
            </w:r>
          </w:p>
        </w:tc>
        <w:tc>
          <w:tcPr>
            <w:tcW w:w="2275" w:type="dxa"/>
            <w:vAlign w:val="center"/>
          </w:tcPr>
          <w:p w14:paraId="092CF6C2">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依据各学段升学考试复习规律及时更新</w:t>
            </w:r>
          </w:p>
        </w:tc>
      </w:tr>
      <w:tr w14:paraId="1EFEB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2059" w:type="dxa"/>
            <w:vMerge w:val="continue"/>
          </w:tcPr>
          <w:p w14:paraId="21197AD2">
            <w:pPr>
              <w:spacing w:line="360" w:lineRule="auto"/>
              <w:ind w:firstLine="420" w:firstLineChars="150"/>
              <w:rPr>
                <w:rFonts w:ascii="仿宋" w:hAnsi="仿宋" w:eastAsia="仿宋" w:cs="仿宋"/>
                <w:color w:val="000000"/>
                <w:sz w:val="28"/>
                <w:szCs w:val="28"/>
              </w:rPr>
            </w:pPr>
          </w:p>
        </w:tc>
        <w:tc>
          <w:tcPr>
            <w:tcW w:w="4188" w:type="dxa"/>
            <w:tcBorders>
              <w:top w:val="single" w:color="auto" w:sz="4" w:space="0"/>
            </w:tcBorders>
            <w:vAlign w:val="center"/>
          </w:tcPr>
          <w:p w14:paraId="20190C8F">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结合学生年龄特点、依据学校和学生日常的素质教育活动开展需求，定期更新国学教育、科普教育、探究与实践、主题教育、课外知识、学习策略、团队活动等带有地区特色的专题资源。</w:t>
            </w:r>
          </w:p>
          <w:p w14:paraId="7EEEF1B5">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优化已建资源：补充区域性学校特色活动资源、替换具备时效性资源、完善各主题教育资源；</w:t>
            </w:r>
          </w:p>
          <w:p w14:paraId="33BFD46D">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分学段开展相关主题资源更新、优化。</w:t>
            </w:r>
          </w:p>
        </w:tc>
        <w:tc>
          <w:tcPr>
            <w:tcW w:w="2275" w:type="dxa"/>
            <w:vAlign w:val="center"/>
          </w:tcPr>
          <w:p w14:paraId="3351B860">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2期/月依据校活动开展及时更新</w:t>
            </w:r>
          </w:p>
        </w:tc>
      </w:tr>
      <w:tr w14:paraId="640A2A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28" w:hRule="atLeast"/>
          <w:jc w:val="center"/>
        </w:trPr>
        <w:tc>
          <w:tcPr>
            <w:tcW w:w="2059" w:type="dxa"/>
            <w:vMerge w:val="continue"/>
          </w:tcPr>
          <w:p w14:paraId="03E753DC">
            <w:pPr>
              <w:spacing w:line="360" w:lineRule="auto"/>
              <w:ind w:firstLine="420" w:firstLineChars="150"/>
              <w:rPr>
                <w:rFonts w:ascii="仿宋" w:hAnsi="仿宋" w:eastAsia="仿宋" w:cs="仿宋"/>
                <w:color w:val="000000"/>
                <w:sz w:val="28"/>
                <w:szCs w:val="28"/>
              </w:rPr>
            </w:pPr>
          </w:p>
        </w:tc>
        <w:tc>
          <w:tcPr>
            <w:tcW w:w="4188" w:type="dxa"/>
            <w:tcBorders>
              <w:top w:val="single" w:color="auto" w:sz="4" w:space="0"/>
            </w:tcBorders>
            <w:vAlign w:val="center"/>
          </w:tcPr>
          <w:p w14:paraId="1E573FEF">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依据用户对习题的需求，定期更新覆盖小初高各学科的基础巩固、能力提升、拓展延伸等习题试题资源。</w:t>
            </w:r>
          </w:p>
        </w:tc>
        <w:tc>
          <w:tcPr>
            <w:tcW w:w="2275" w:type="dxa"/>
            <w:vAlign w:val="center"/>
          </w:tcPr>
          <w:p w14:paraId="793C128A">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每周定期更新</w:t>
            </w:r>
          </w:p>
        </w:tc>
      </w:tr>
    </w:tbl>
    <w:p w14:paraId="62BA09D8">
      <w:pPr>
        <w:pStyle w:val="2"/>
        <w:numPr>
          <w:ilvl w:val="0"/>
          <w:numId w:val="2"/>
        </w:numPr>
        <w:rPr>
          <w:rFonts w:ascii="仿宋" w:hAnsi="仿宋" w:eastAsia="仿宋" w:cs="宋体"/>
          <w:b/>
          <w:bCs/>
          <w:color w:val="000000"/>
          <w:sz w:val="28"/>
          <w:szCs w:val="28"/>
        </w:rPr>
      </w:pPr>
      <w:r>
        <w:rPr>
          <w:rFonts w:hint="eastAsia" w:ascii="仿宋" w:hAnsi="仿宋" w:eastAsia="仿宋" w:cs="宋体"/>
          <w:b/>
          <w:bCs/>
          <w:color w:val="000000"/>
          <w:sz w:val="28"/>
          <w:szCs w:val="28"/>
        </w:rPr>
        <w:t>机房状况</w:t>
      </w:r>
    </w:p>
    <w:tbl>
      <w:tblPr>
        <w:tblStyle w:val="16"/>
        <w:tblW w:w="8330"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8"/>
        <w:gridCol w:w="3543"/>
        <w:gridCol w:w="1560"/>
        <w:gridCol w:w="1559"/>
      </w:tblGrid>
      <w:tr w14:paraId="5782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1668" w:type="dxa"/>
            <w:vAlign w:val="center"/>
          </w:tcPr>
          <w:p w14:paraId="025989F8">
            <w:pPr>
              <w:pStyle w:val="26"/>
              <w:spacing w:line="240" w:lineRule="auto"/>
              <w:ind w:firstLine="420" w:firstLineChars="150"/>
              <w:jc w:val="center"/>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地区</w:t>
            </w:r>
          </w:p>
        </w:tc>
        <w:tc>
          <w:tcPr>
            <w:tcW w:w="3543" w:type="dxa"/>
            <w:vAlign w:val="center"/>
          </w:tcPr>
          <w:p w14:paraId="15E0E21D">
            <w:pPr>
              <w:pStyle w:val="26"/>
              <w:spacing w:line="240" w:lineRule="auto"/>
              <w:ind w:firstLine="420" w:firstLineChars="150"/>
              <w:jc w:val="center"/>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地理位置</w:t>
            </w:r>
          </w:p>
        </w:tc>
        <w:tc>
          <w:tcPr>
            <w:tcW w:w="1560" w:type="dxa"/>
            <w:vAlign w:val="center"/>
          </w:tcPr>
          <w:p w14:paraId="654C34A5">
            <w:pPr>
              <w:pStyle w:val="26"/>
              <w:spacing w:line="240" w:lineRule="auto"/>
              <w:ind w:firstLine="420" w:firstLineChars="150"/>
              <w:jc w:val="center"/>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运维等级</w:t>
            </w:r>
          </w:p>
        </w:tc>
        <w:tc>
          <w:tcPr>
            <w:tcW w:w="1559" w:type="dxa"/>
            <w:vAlign w:val="center"/>
          </w:tcPr>
          <w:p w14:paraId="0078E83B">
            <w:pPr>
              <w:pStyle w:val="26"/>
              <w:spacing w:line="240" w:lineRule="auto"/>
              <w:jc w:val="both"/>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机柜数量</w:t>
            </w:r>
          </w:p>
        </w:tc>
      </w:tr>
      <w:tr w14:paraId="660C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68" w:type="dxa"/>
            <w:vAlign w:val="center"/>
          </w:tcPr>
          <w:p w14:paraId="0F4FE3AC">
            <w:pPr>
              <w:pStyle w:val="26"/>
              <w:spacing w:line="240" w:lineRule="auto"/>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江苏南京</w:t>
            </w:r>
          </w:p>
        </w:tc>
        <w:tc>
          <w:tcPr>
            <w:tcW w:w="3543" w:type="dxa"/>
            <w:vAlign w:val="center"/>
          </w:tcPr>
          <w:p w14:paraId="32CCA760">
            <w:pPr>
              <w:pStyle w:val="26"/>
              <w:spacing w:line="240" w:lineRule="auto"/>
              <w:jc w:val="both"/>
              <w:rPr>
                <w:rFonts w:ascii="仿宋" w:hAnsi="仿宋" w:eastAsia="仿宋" w:cs="仿宋"/>
                <w:sz w:val="28"/>
                <w:szCs w:val="28"/>
                <w:lang w:val="en-US" w:eastAsia="zh-CN" w:bidi="en-US"/>
              </w:rPr>
            </w:pPr>
            <w:r>
              <w:rPr>
                <w:rFonts w:hint="eastAsia" w:ascii="仿宋" w:hAnsi="仿宋" w:eastAsia="仿宋" w:cs="仿宋"/>
                <w:color w:val="171A1D"/>
                <w:sz w:val="28"/>
                <w:szCs w:val="28"/>
                <w:shd w:val="clear" w:color="auto" w:fill="FFFFFF"/>
              </w:rPr>
              <w:t>江苏省南京市鼓楼区江东北路211号 新时空大厦</w:t>
            </w:r>
          </w:p>
        </w:tc>
        <w:tc>
          <w:tcPr>
            <w:tcW w:w="1560" w:type="dxa"/>
            <w:vAlign w:val="center"/>
          </w:tcPr>
          <w:p w14:paraId="78B6361E">
            <w:pPr>
              <w:pStyle w:val="26"/>
              <w:spacing w:line="240" w:lineRule="auto"/>
              <w:rPr>
                <w:rFonts w:ascii="仿宋" w:hAnsi="仿宋" w:eastAsia="仿宋" w:cs="仿宋"/>
                <w:sz w:val="28"/>
                <w:szCs w:val="28"/>
                <w:lang w:val="en-US" w:eastAsia="zh-CN" w:bidi="en-US"/>
              </w:rPr>
            </w:pPr>
            <w:r>
              <w:rPr>
                <w:rFonts w:hint="eastAsia" w:ascii="仿宋" w:hAnsi="仿宋" w:eastAsia="仿宋" w:cs="仿宋"/>
                <w:color w:val="000000"/>
                <w:kern w:val="0"/>
                <w:sz w:val="28"/>
                <w:szCs w:val="28"/>
                <w:lang w:val="en-US" w:eastAsia="zh-CN" w:bidi="ar-SA"/>
              </w:rPr>
              <w:t>ITSS二级</w:t>
            </w:r>
          </w:p>
        </w:tc>
        <w:tc>
          <w:tcPr>
            <w:tcW w:w="1559" w:type="dxa"/>
            <w:vAlign w:val="center"/>
          </w:tcPr>
          <w:p w14:paraId="3AE0FD06">
            <w:pPr>
              <w:pStyle w:val="26"/>
              <w:spacing w:line="240" w:lineRule="auto"/>
              <w:ind w:firstLine="420" w:firstLineChars="150"/>
              <w:jc w:val="center"/>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2</w:t>
            </w:r>
          </w:p>
        </w:tc>
      </w:tr>
      <w:tr w14:paraId="6B8BF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668" w:type="dxa"/>
          </w:tcPr>
          <w:p w14:paraId="7472F786">
            <w:pPr>
              <w:pStyle w:val="26"/>
              <w:spacing w:line="240" w:lineRule="auto"/>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江苏南通</w:t>
            </w:r>
          </w:p>
        </w:tc>
        <w:tc>
          <w:tcPr>
            <w:tcW w:w="3543" w:type="dxa"/>
          </w:tcPr>
          <w:p w14:paraId="1870D2A4">
            <w:pPr>
              <w:pStyle w:val="26"/>
              <w:spacing w:line="240" w:lineRule="auto"/>
              <w:rPr>
                <w:rFonts w:ascii="仿宋" w:hAnsi="仿宋" w:eastAsia="仿宋" w:cs="仿宋"/>
                <w:sz w:val="28"/>
                <w:szCs w:val="28"/>
                <w:lang w:eastAsia="zh-CN" w:bidi="en-US"/>
              </w:rPr>
            </w:pPr>
            <w:r>
              <w:rPr>
                <w:rFonts w:hint="eastAsia" w:ascii="仿宋" w:hAnsi="仿宋" w:eastAsia="仿宋" w:cs="仿宋"/>
                <w:sz w:val="28"/>
                <w:szCs w:val="28"/>
                <w:lang w:eastAsia="zh-CN" w:bidi="en-US"/>
              </w:rPr>
              <w:t>江苏南通人民中路103号</w:t>
            </w:r>
          </w:p>
        </w:tc>
        <w:tc>
          <w:tcPr>
            <w:tcW w:w="1560" w:type="dxa"/>
          </w:tcPr>
          <w:p w14:paraId="36594B61">
            <w:pPr>
              <w:pStyle w:val="26"/>
              <w:spacing w:line="240" w:lineRule="auto"/>
              <w:rPr>
                <w:rFonts w:ascii="仿宋" w:hAnsi="仿宋" w:eastAsia="仿宋" w:cs="仿宋"/>
                <w:color w:val="000000"/>
                <w:kern w:val="0"/>
                <w:sz w:val="28"/>
                <w:szCs w:val="28"/>
                <w:lang w:val="en-US" w:eastAsia="zh-CN" w:bidi="ar-SA"/>
              </w:rPr>
            </w:pPr>
            <w:r>
              <w:rPr>
                <w:rFonts w:hint="eastAsia" w:ascii="仿宋" w:hAnsi="仿宋" w:eastAsia="仿宋" w:cs="仿宋"/>
                <w:color w:val="000000"/>
                <w:kern w:val="0"/>
                <w:sz w:val="28"/>
                <w:szCs w:val="28"/>
                <w:lang w:val="en-US" w:eastAsia="zh-CN" w:bidi="ar-SA"/>
              </w:rPr>
              <w:t>ITSS二级</w:t>
            </w:r>
          </w:p>
        </w:tc>
        <w:tc>
          <w:tcPr>
            <w:tcW w:w="1559" w:type="dxa"/>
          </w:tcPr>
          <w:p w14:paraId="71F7E3CB">
            <w:pPr>
              <w:pStyle w:val="26"/>
              <w:spacing w:line="240" w:lineRule="auto"/>
              <w:ind w:firstLine="420" w:firstLineChars="150"/>
              <w:jc w:val="center"/>
              <w:rPr>
                <w:rFonts w:ascii="仿宋" w:hAnsi="仿宋" w:eastAsia="仿宋" w:cs="仿宋"/>
                <w:sz w:val="28"/>
                <w:szCs w:val="28"/>
                <w:lang w:val="en-US" w:eastAsia="zh-CN" w:bidi="en-US"/>
              </w:rPr>
            </w:pPr>
            <w:r>
              <w:rPr>
                <w:rFonts w:hint="eastAsia" w:ascii="仿宋" w:hAnsi="仿宋" w:eastAsia="仿宋" w:cs="仿宋"/>
                <w:sz w:val="28"/>
                <w:szCs w:val="28"/>
                <w:lang w:val="en-US" w:eastAsia="zh-CN" w:bidi="en-US"/>
              </w:rPr>
              <w:t>2</w:t>
            </w:r>
          </w:p>
        </w:tc>
      </w:tr>
    </w:tbl>
    <w:p w14:paraId="0ADD8D8B"/>
    <w:p w14:paraId="683B095A">
      <w:pPr>
        <w:pStyle w:val="2"/>
        <w:numPr>
          <w:ilvl w:val="0"/>
          <w:numId w:val="2"/>
        </w:numPr>
        <w:rPr>
          <w:rFonts w:ascii="仿宋" w:hAnsi="仿宋" w:eastAsia="仿宋" w:cs="宋体"/>
          <w:b/>
          <w:bCs/>
          <w:color w:val="000000"/>
          <w:sz w:val="28"/>
          <w:szCs w:val="28"/>
        </w:rPr>
      </w:pPr>
      <w:r>
        <w:rPr>
          <w:rFonts w:hint="eastAsia" w:ascii="仿宋" w:hAnsi="仿宋" w:eastAsia="仿宋" w:cs="宋体"/>
          <w:b/>
          <w:bCs/>
          <w:color w:val="000000"/>
          <w:sz w:val="28"/>
          <w:szCs w:val="28"/>
        </w:rPr>
        <w:t>平台投建硬件设备及维护清单</w:t>
      </w:r>
    </w:p>
    <w:tbl>
      <w:tblPr>
        <w:tblStyle w:val="16"/>
        <w:tblW w:w="8438" w:type="dxa"/>
        <w:tblInd w:w="708" w:type="dxa"/>
        <w:tblLayout w:type="fixed"/>
        <w:tblCellMar>
          <w:top w:w="0" w:type="dxa"/>
          <w:left w:w="108" w:type="dxa"/>
          <w:bottom w:w="0" w:type="dxa"/>
          <w:right w:w="108" w:type="dxa"/>
        </w:tblCellMar>
      </w:tblPr>
      <w:tblGrid>
        <w:gridCol w:w="713"/>
        <w:gridCol w:w="5625"/>
        <w:gridCol w:w="1287"/>
        <w:gridCol w:w="813"/>
      </w:tblGrid>
      <w:tr w14:paraId="4093EFA4">
        <w:tblPrEx>
          <w:tblCellMar>
            <w:top w:w="0" w:type="dxa"/>
            <w:left w:w="108" w:type="dxa"/>
            <w:bottom w:w="0" w:type="dxa"/>
            <w:right w:w="108" w:type="dxa"/>
          </w:tblCellMar>
        </w:tblPrEx>
        <w:trPr>
          <w:trHeight w:val="437" w:hRule="atLeast"/>
        </w:trPr>
        <w:tc>
          <w:tcPr>
            <w:tcW w:w="713" w:type="dxa"/>
            <w:tcBorders>
              <w:top w:val="single" w:color="auto" w:sz="4" w:space="0"/>
              <w:left w:val="single" w:color="auto" w:sz="4" w:space="0"/>
              <w:bottom w:val="single" w:color="auto" w:sz="4" w:space="0"/>
              <w:right w:val="single" w:color="auto" w:sz="4" w:space="0"/>
            </w:tcBorders>
            <w:vAlign w:val="center"/>
          </w:tcPr>
          <w:p w14:paraId="5A751AB6">
            <w:pPr>
              <w:jc w:val="center"/>
              <w:rPr>
                <w:rFonts w:ascii="宋体" w:hAnsi="宋体" w:cs="宋体"/>
                <w:b/>
                <w:bCs/>
                <w:color w:val="000000"/>
                <w:sz w:val="24"/>
                <w:szCs w:val="24"/>
              </w:rPr>
            </w:pPr>
            <w:r>
              <w:rPr>
                <w:rFonts w:hint="eastAsia" w:ascii="宋体" w:hAnsi="宋体" w:cs="宋体"/>
                <w:b/>
                <w:bCs/>
                <w:color w:val="000000"/>
                <w:sz w:val="24"/>
                <w:szCs w:val="24"/>
              </w:rPr>
              <w:t>序号</w:t>
            </w:r>
          </w:p>
        </w:tc>
        <w:tc>
          <w:tcPr>
            <w:tcW w:w="5625" w:type="dxa"/>
            <w:tcBorders>
              <w:top w:val="single" w:color="auto" w:sz="4" w:space="0"/>
              <w:left w:val="nil"/>
              <w:bottom w:val="single" w:color="auto" w:sz="4" w:space="0"/>
              <w:right w:val="single" w:color="auto" w:sz="4" w:space="0"/>
            </w:tcBorders>
            <w:vAlign w:val="center"/>
          </w:tcPr>
          <w:p w14:paraId="77657F78">
            <w:pPr>
              <w:jc w:val="center"/>
              <w:rPr>
                <w:rFonts w:ascii="宋体" w:hAnsi="宋体" w:cs="宋体"/>
                <w:b/>
                <w:bCs/>
                <w:color w:val="000000"/>
                <w:sz w:val="24"/>
                <w:szCs w:val="24"/>
              </w:rPr>
            </w:pPr>
            <w:r>
              <w:rPr>
                <w:rFonts w:hint="eastAsia" w:ascii="宋体" w:hAnsi="宋体" w:cs="宋体"/>
                <w:b/>
                <w:bCs/>
                <w:color w:val="000000"/>
                <w:sz w:val="24"/>
                <w:szCs w:val="24"/>
              </w:rPr>
              <w:t>名称</w:t>
            </w:r>
          </w:p>
        </w:tc>
        <w:tc>
          <w:tcPr>
            <w:tcW w:w="1287" w:type="dxa"/>
            <w:tcBorders>
              <w:top w:val="single" w:color="auto" w:sz="4" w:space="0"/>
              <w:left w:val="nil"/>
              <w:bottom w:val="single" w:color="auto" w:sz="4" w:space="0"/>
              <w:right w:val="single" w:color="auto" w:sz="4" w:space="0"/>
            </w:tcBorders>
            <w:vAlign w:val="center"/>
          </w:tcPr>
          <w:p w14:paraId="3CDC3B48">
            <w:pPr>
              <w:jc w:val="center"/>
              <w:rPr>
                <w:rFonts w:ascii="宋体" w:hAnsi="宋体" w:cs="宋体"/>
                <w:b/>
                <w:bCs/>
                <w:color w:val="000000"/>
                <w:sz w:val="24"/>
                <w:szCs w:val="24"/>
              </w:rPr>
            </w:pPr>
            <w:r>
              <w:rPr>
                <w:rFonts w:hint="eastAsia" w:ascii="宋体" w:hAnsi="宋体" w:cs="宋体"/>
                <w:b/>
                <w:bCs/>
                <w:color w:val="000000"/>
                <w:sz w:val="24"/>
                <w:szCs w:val="24"/>
              </w:rPr>
              <w:t>型号</w:t>
            </w:r>
          </w:p>
        </w:tc>
        <w:tc>
          <w:tcPr>
            <w:tcW w:w="813" w:type="dxa"/>
            <w:tcBorders>
              <w:top w:val="single" w:color="auto" w:sz="4" w:space="0"/>
              <w:left w:val="nil"/>
              <w:bottom w:val="single" w:color="auto" w:sz="4" w:space="0"/>
              <w:right w:val="single" w:color="auto" w:sz="4" w:space="0"/>
            </w:tcBorders>
            <w:vAlign w:val="center"/>
          </w:tcPr>
          <w:p w14:paraId="5750CBF3">
            <w:pPr>
              <w:jc w:val="center"/>
              <w:rPr>
                <w:rFonts w:ascii="宋体" w:hAnsi="宋体" w:cs="宋体"/>
                <w:b/>
                <w:bCs/>
                <w:color w:val="000000"/>
                <w:sz w:val="24"/>
                <w:szCs w:val="24"/>
              </w:rPr>
            </w:pPr>
            <w:r>
              <w:rPr>
                <w:rFonts w:hint="eastAsia" w:ascii="宋体" w:hAnsi="宋体" w:cs="宋体"/>
                <w:b/>
                <w:bCs/>
                <w:color w:val="000000"/>
                <w:sz w:val="24"/>
                <w:szCs w:val="24"/>
              </w:rPr>
              <w:t>数量</w:t>
            </w:r>
          </w:p>
        </w:tc>
      </w:tr>
      <w:tr w14:paraId="6F6EFFB3">
        <w:tblPrEx>
          <w:tblCellMar>
            <w:top w:w="0" w:type="dxa"/>
            <w:left w:w="108" w:type="dxa"/>
            <w:bottom w:w="0" w:type="dxa"/>
            <w:right w:w="108" w:type="dxa"/>
          </w:tblCellMar>
        </w:tblPrEx>
        <w:trPr>
          <w:trHeight w:val="562" w:hRule="atLeast"/>
        </w:trPr>
        <w:tc>
          <w:tcPr>
            <w:tcW w:w="713" w:type="dxa"/>
            <w:tcBorders>
              <w:top w:val="nil"/>
              <w:left w:val="single" w:color="auto" w:sz="4" w:space="0"/>
              <w:bottom w:val="single" w:color="auto" w:sz="4" w:space="0"/>
              <w:right w:val="single" w:color="auto" w:sz="4" w:space="0"/>
            </w:tcBorders>
            <w:vAlign w:val="center"/>
          </w:tcPr>
          <w:p w14:paraId="45B6F13F">
            <w:pPr>
              <w:jc w:val="center"/>
              <w:rPr>
                <w:rFonts w:ascii="宋体" w:hAnsi="宋体" w:cs="宋体"/>
                <w:b/>
                <w:bCs/>
                <w:color w:val="000000"/>
                <w:sz w:val="24"/>
                <w:szCs w:val="24"/>
              </w:rPr>
            </w:pPr>
            <w:r>
              <w:rPr>
                <w:rFonts w:hint="eastAsia" w:ascii="宋体" w:hAnsi="宋体" w:cs="宋体"/>
                <w:b/>
                <w:bCs/>
                <w:color w:val="000000"/>
                <w:sz w:val="24"/>
                <w:szCs w:val="24"/>
              </w:rPr>
              <w:t>1</w:t>
            </w:r>
          </w:p>
        </w:tc>
        <w:tc>
          <w:tcPr>
            <w:tcW w:w="5625" w:type="dxa"/>
            <w:tcBorders>
              <w:top w:val="single" w:color="auto" w:sz="4" w:space="0"/>
              <w:left w:val="nil"/>
              <w:bottom w:val="single" w:color="auto" w:sz="4" w:space="0"/>
              <w:right w:val="single" w:color="auto" w:sz="4" w:space="0"/>
            </w:tcBorders>
            <w:vAlign w:val="center"/>
          </w:tcPr>
          <w:p w14:paraId="72D1348A">
            <w:pPr>
              <w:jc w:val="left"/>
              <w:rPr>
                <w:rFonts w:ascii="仿宋" w:hAnsi="仿宋" w:eastAsia="仿宋" w:cs="仿宋"/>
                <w:sz w:val="28"/>
                <w:szCs w:val="28"/>
                <w:lang w:bidi="en-US"/>
              </w:rPr>
            </w:pPr>
            <w:r>
              <w:rPr>
                <w:rFonts w:hint="eastAsia" w:ascii="仿宋" w:hAnsi="仿宋" w:eastAsia="仿宋" w:cs="宋体"/>
                <w:color w:val="000000"/>
                <w:kern w:val="0"/>
                <w:sz w:val="28"/>
                <w:szCs w:val="28"/>
                <w:lang w:val="zh-TW"/>
              </w:rPr>
              <w:t>交换机/华为S5700-28C-EI/24千兆以太口/4口万兆SFP+/4口千兆SFP/冗余电源/4*SFP单模块</w:t>
            </w:r>
          </w:p>
        </w:tc>
        <w:tc>
          <w:tcPr>
            <w:tcW w:w="1287" w:type="dxa"/>
            <w:tcBorders>
              <w:top w:val="nil"/>
              <w:left w:val="nil"/>
              <w:bottom w:val="single" w:color="auto" w:sz="4" w:space="0"/>
              <w:right w:val="single" w:color="auto" w:sz="4" w:space="0"/>
            </w:tcBorders>
            <w:noWrap/>
            <w:vAlign w:val="center"/>
          </w:tcPr>
          <w:p w14:paraId="407A7B85">
            <w:pPr>
              <w:jc w:val="center"/>
              <w:rPr>
                <w:rFonts w:ascii="仿宋" w:hAnsi="仿宋" w:eastAsia="仿宋" w:cs="仿宋"/>
                <w:sz w:val="28"/>
                <w:szCs w:val="28"/>
                <w:lang w:bidi="en-US"/>
              </w:rPr>
            </w:pPr>
            <w:r>
              <w:rPr>
                <w:rFonts w:hint="eastAsia" w:ascii="仿宋" w:hAnsi="仿宋" w:eastAsia="仿宋" w:cs="仿宋"/>
                <w:sz w:val="28"/>
                <w:szCs w:val="28"/>
                <w:lang w:val="zh-TW" w:bidi="en-US"/>
              </w:rPr>
              <w:t>交换机</w:t>
            </w:r>
          </w:p>
        </w:tc>
        <w:tc>
          <w:tcPr>
            <w:tcW w:w="813" w:type="dxa"/>
            <w:tcBorders>
              <w:top w:val="nil"/>
              <w:left w:val="nil"/>
              <w:bottom w:val="single" w:color="auto" w:sz="4" w:space="0"/>
              <w:right w:val="single" w:color="auto" w:sz="4" w:space="0"/>
            </w:tcBorders>
            <w:noWrap/>
            <w:vAlign w:val="center"/>
          </w:tcPr>
          <w:p w14:paraId="4480B604">
            <w:pPr>
              <w:jc w:val="center"/>
              <w:rPr>
                <w:rFonts w:ascii="仿宋" w:hAnsi="仿宋" w:eastAsia="仿宋" w:cs="仿宋"/>
                <w:sz w:val="28"/>
                <w:szCs w:val="28"/>
                <w:lang w:bidi="en-US"/>
              </w:rPr>
            </w:pPr>
            <w:r>
              <w:rPr>
                <w:rFonts w:hint="eastAsia" w:ascii="仿宋" w:hAnsi="仿宋" w:eastAsia="仿宋" w:cs="仿宋"/>
                <w:sz w:val="28"/>
                <w:szCs w:val="28"/>
                <w:lang w:val="zh-TW" w:bidi="en-US"/>
              </w:rPr>
              <w:t>1</w:t>
            </w:r>
          </w:p>
        </w:tc>
      </w:tr>
      <w:tr w14:paraId="034DEA6B">
        <w:tblPrEx>
          <w:tblCellMar>
            <w:top w:w="0" w:type="dxa"/>
            <w:left w:w="108" w:type="dxa"/>
            <w:bottom w:w="0" w:type="dxa"/>
            <w:right w:w="108" w:type="dxa"/>
          </w:tblCellMar>
        </w:tblPrEx>
        <w:trPr>
          <w:trHeight w:val="675" w:hRule="atLeast"/>
        </w:trPr>
        <w:tc>
          <w:tcPr>
            <w:tcW w:w="713" w:type="dxa"/>
            <w:tcBorders>
              <w:top w:val="nil"/>
              <w:left w:val="single" w:color="auto" w:sz="4" w:space="0"/>
              <w:bottom w:val="single" w:color="auto" w:sz="4" w:space="0"/>
              <w:right w:val="single" w:color="auto" w:sz="4" w:space="0"/>
            </w:tcBorders>
            <w:vAlign w:val="center"/>
          </w:tcPr>
          <w:p w14:paraId="26D1757B">
            <w:pPr>
              <w:jc w:val="center"/>
              <w:rPr>
                <w:rFonts w:ascii="宋体" w:hAnsi="宋体" w:cs="宋体"/>
                <w:b/>
                <w:bCs/>
                <w:color w:val="000000"/>
                <w:sz w:val="24"/>
                <w:szCs w:val="24"/>
              </w:rPr>
            </w:pPr>
            <w:r>
              <w:rPr>
                <w:rFonts w:hint="eastAsia" w:ascii="宋体" w:hAnsi="宋体" w:cs="宋体"/>
                <w:b/>
                <w:bCs/>
                <w:color w:val="000000"/>
                <w:sz w:val="24"/>
                <w:szCs w:val="24"/>
              </w:rPr>
              <w:t>2</w:t>
            </w:r>
          </w:p>
        </w:tc>
        <w:tc>
          <w:tcPr>
            <w:tcW w:w="5625" w:type="dxa"/>
            <w:tcBorders>
              <w:top w:val="single" w:color="auto" w:sz="4" w:space="0"/>
              <w:left w:val="nil"/>
              <w:bottom w:val="single" w:color="auto" w:sz="4" w:space="0"/>
              <w:right w:val="single" w:color="auto" w:sz="4" w:space="0"/>
            </w:tcBorders>
            <w:vAlign w:val="center"/>
          </w:tcPr>
          <w:p w14:paraId="76AEA244">
            <w:pPr>
              <w:jc w:val="left"/>
              <w:rPr>
                <w:rFonts w:ascii="仿宋" w:hAnsi="仿宋" w:eastAsia="仿宋" w:cs="仿宋"/>
                <w:sz w:val="28"/>
                <w:szCs w:val="28"/>
                <w:lang w:bidi="en-US"/>
              </w:rPr>
            </w:pPr>
            <w:r>
              <w:rPr>
                <w:rFonts w:hint="eastAsia" w:ascii="仿宋" w:hAnsi="仿宋" w:eastAsia="仿宋" w:cs="仿宋"/>
                <w:sz w:val="28"/>
                <w:szCs w:val="28"/>
                <w:lang w:val="zh-TW" w:bidi="en-US"/>
              </w:rPr>
              <w:t>网络安全设备/飞塔/FortiGade-300D/标准机箱/6*GE RJ45/4*GE SFP/标配电源/FW吞吐量&gt;8Gbps，最大并发连接数&gt;600万，每秒新建&gt;4万/秒；IPS吞吐量&gt;2.8Gbps</w:t>
            </w:r>
          </w:p>
        </w:tc>
        <w:tc>
          <w:tcPr>
            <w:tcW w:w="1287" w:type="dxa"/>
            <w:tcBorders>
              <w:top w:val="nil"/>
              <w:left w:val="nil"/>
              <w:bottom w:val="single" w:color="auto" w:sz="4" w:space="0"/>
              <w:right w:val="single" w:color="auto" w:sz="4" w:space="0"/>
            </w:tcBorders>
            <w:noWrap/>
            <w:vAlign w:val="center"/>
          </w:tcPr>
          <w:p w14:paraId="67ABCC28">
            <w:pPr>
              <w:jc w:val="center"/>
              <w:rPr>
                <w:rFonts w:ascii="仿宋" w:hAnsi="仿宋" w:eastAsia="仿宋" w:cs="仿宋"/>
                <w:sz w:val="28"/>
                <w:szCs w:val="28"/>
                <w:lang w:bidi="en-US"/>
              </w:rPr>
            </w:pPr>
            <w:r>
              <w:rPr>
                <w:rFonts w:hint="eastAsia" w:ascii="仿宋" w:hAnsi="仿宋" w:eastAsia="仿宋" w:cs="仿宋"/>
                <w:sz w:val="28"/>
                <w:szCs w:val="28"/>
                <w:lang w:val="zh-TW" w:bidi="en-US"/>
              </w:rPr>
              <w:t>网络安全设备</w:t>
            </w:r>
          </w:p>
        </w:tc>
        <w:tc>
          <w:tcPr>
            <w:tcW w:w="813" w:type="dxa"/>
            <w:tcBorders>
              <w:top w:val="nil"/>
              <w:left w:val="nil"/>
              <w:bottom w:val="single" w:color="auto" w:sz="4" w:space="0"/>
              <w:right w:val="single" w:color="auto" w:sz="4" w:space="0"/>
            </w:tcBorders>
            <w:noWrap/>
            <w:vAlign w:val="center"/>
          </w:tcPr>
          <w:p w14:paraId="78AEA625">
            <w:pPr>
              <w:jc w:val="center"/>
              <w:rPr>
                <w:rFonts w:ascii="仿宋" w:hAnsi="仿宋" w:eastAsia="仿宋" w:cs="仿宋"/>
                <w:sz w:val="28"/>
                <w:szCs w:val="28"/>
                <w:lang w:bidi="en-US"/>
              </w:rPr>
            </w:pPr>
            <w:r>
              <w:rPr>
                <w:rFonts w:hint="eastAsia" w:ascii="仿宋" w:hAnsi="仿宋" w:eastAsia="仿宋" w:cs="仿宋"/>
                <w:sz w:val="28"/>
                <w:szCs w:val="28"/>
                <w:lang w:val="zh-TW" w:bidi="en-US"/>
              </w:rPr>
              <w:t>1</w:t>
            </w:r>
          </w:p>
        </w:tc>
      </w:tr>
      <w:tr w14:paraId="40A53274">
        <w:tblPrEx>
          <w:tblCellMar>
            <w:top w:w="0" w:type="dxa"/>
            <w:left w:w="108" w:type="dxa"/>
            <w:bottom w:w="0" w:type="dxa"/>
            <w:right w:w="108" w:type="dxa"/>
          </w:tblCellMar>
        </w:tblPrEx>
        <w:trPr>
          <w:trHeight w:val="300" w:hRule="atLeast"/>
        </w:trPr>
        <w:tc>
          <w:tcPr>
            <w:tcW w:w="713" w:type="dxa"/>
            <w:tcBorders>
              <w:top w:val="nil"/>
              <w:left w:val="single" w:color="auto" w:sz="4" w:space="0"/>
              <w:bottom w:val="single" w:color="auto" w:sz="4" w:space="0"/>
              <w:right w:val="single" w:color="auto" w:sz="4" w:space="0"/>
            </w:tcBorders>
            <w:vAlign w:val="center"/>
          </w:tcPr>
          <w:p w14:paraId="7A898B9B">
            <w:pPr>
              <w:jc w:val="center"/>
              <w:rPr>
                <w:rFonts w:ascii="宋体" w:hAnsi="宋体" w:cs="宋体"/>
                <w:b/>
                <w:bCs/>
                <w:color w:val="000000"/>
                <w:sz w:val="24"/>
                <w:szCs w:val="24"/>
              </w:rPr>
            </w:pPr>
            <w:r>
              <w:rPr>
                <w:rFonts w:hint="eastAsia" w:ascii="宋体" w:hAnsi="宋体" w:cs="宋体"/>
                <w:b/>
                <w:bCs/>
                <w:color w:val="000000"/>
                <w:sz w:val="24"/>
                <w:szCs w:val="24"/>
              </w:rPr>
              <w:t>3</w:t>
            </w:r>
          </w:p>
        </w:tc>
        <w:tc>
          <w:tcPr>
            <w:tcW w:w="5625" w:type="dxa"/>
            <w:tcBorders>
              <w:top w:val="single" w:color="auto" w:sz="4" w:space="0"/>
              <w:left w:val="nil"/>
              <w:bottom w:val="single" w:color="auto" w:sz="4" w:space="0"/>
              <w:right w:val="single" w:color="auto" w:sz="4" w:space="0"/>
            </w:tcBorders>
            <w:vAlign w:val="center"/>
          </w:tcPr>
          <w:p w14:paraId="09C6FB98">
            <w:pPr>
              <w:jc w:val="left"/>
              <w:rPr>
                <w:rFonts w:ascii="仿宋" w:hAnsi="仿宋" w:eastAsia="仿宋" w:cs="仿宋"/>
                <w:sz w:val="28"/>
                <w:szCs w:val="28"/>
                <w:lang w:bidi="en-US"/>
              </w:rPr>
            </w:pPr>
            <w:r>
              <w:rPr>
                <w:rFonts w:hint="eastAsia" w:ascii="仿宋" w:hAnsi="仿宋" w:eastAsia="仿宋" w:cs="仿宋"/>
                <w:sz w:val="28"/>
                <w:szCs w:val="28"/>
                <w:lang w:val="zh-TW" w:bidi="en-US"/>
              </w:rPr>
              <w:t>StorNext 4.0 共享存储软件(LINUX版)</w:t>
            </w:r>
          </w:p>
        </w:tc>
        <w:tc>
          <w:tcPr>
            <w:tcW w:w="1287" w:type="dxa"/>
            <w:tcBorders>
              <w:top w:val="nil"/>
              <w:left w:val="nil"/>
              <w:bottom w:val="single" w:color="auto" w:sz="4" w:space="0"/>
              <w:right w:val="single" w:color="auto" w:sz="4" w:space="0"/>
            </w:tcBorders>
            <w:noWrap/>
            <w:vAlign w:val="center"/>
          </w:tcPr>
          <w:p w14:paraId="40082D21">
            <w:pPr>
              <w:jc w:val="center"/>
              <w:rPr>
                <w:rFonts w:ascii="仿宋" w:hAnsi="仿宋" w:eastAsia="仿宋" w:cs="仿宋"/>
                <w:sz w:val="28"/>
                <w:szCs w:val="28"/>
                <w:lang w:bidi="en-US"/>
              </w:rPr>
            </w:pPr>
            <w:r>
              <w:rPr>
                <w:rFonts w:hint="eastAsia" w:ascii="仿宋" w:hAnsi="仿宋" w:eastAsia="仿宋" w:cs="仿宋"/>
                <w:sz w:val="28"/>
                <w:szCs w:val="28"/>
                <w:lang w:val="zh-TW" w:bidi="en-US"/>
              </w:rPr>
              <w:t>共享软件</w:t>
            </w:r>
          </w:p>
        </w:tc>
        <w:tc>
          <w:tcPr>
            <w:tcW w:w="813" w:type="dxa"/>
            <w:tcBorders>
              <w:top w:val="nil"/>
              <w:left w:val="nil"/>
              <w:bottom w:val="single" w:color="auto" w:sz="4" w:space="0"/>
              <w:right w:val="single" w:color="auto" w:sz="4" w:space="0"/>
            </w:tcBorders>
            <w:noWrap/>
            <w:vAlign w:val="center"/>
          </w:tcPr>
          <w:p w14:paraId="148E775B">
            <w:pPr>
              <w:jc w:val="center"/>
              <w:rPr>
                <w:rFonts w:ascii="仿宋" w:hAnsi="仿宋" w:eastAsia="仿宋" w:cs="仿宋"/>
                <w:sz w:val="28"/>
                <w:szCs w:val="28"/>
                <w:lang w:bidi="en-US"/>
              </w:rPr>
            </w:pPr>
            <w:r>
              <w:rPr>
                <w:rFonts w:hint="eastAsia" w:ascii="仿宋" w:hAnsi="仿宋" w:eastAsia="仿宋" w:cs="仿宋"/>
                <w:sz w:val="28"/>
                <w:szCs w:val="28"/>
                <w:lang w:val="zh-TW" w:bidi="en-US"/>
              </w:rPr>
              <w:t>4</w:t>
            </w:r>
          </w:p>
        </w:tc>
      </w:tr>
      <w:tr w14:paraId="5F197211">
        <w:tblPrEx>
          <w:tblCellMar>
            <w:top w:w="0" w:type="dxa"/>
            <w:left w:w="108" w:type="dxa"/>
            <w:bottom w:w="0" w:type="dxa"/>
            <w:right w:w="108" w:type="dxa"/>
          </w:tblCellMar>
        </w:tblPrEx>
        <w:trPr>
          <w:trHeight w:val="487" w:hRule="atLeast"/>
        </w:trPr>
        <w:tc>
          <w:tcPr>
            <w:tcW w:w="713" w:type="dxa"/>
            <w:tcBorders>
              <w:top w:val="nil"/>
              <w:left w:val="single" w:color="auto" w:sz="4" w:space="0"/>
              <w:bottom w:val="single" w:color="auto" w:sz="4" w:space="0"/>
              <w:right w:val="single" w:color="auto" w:sz="4" w:space="0"/>
            </w:tcBorders>
            <w:vAlign w:val="center"/>
          </w:tcPr>
          <w:p w14:paraId="02C8C67D">
            <w:pPr>
              <w:jc w:val="center"/>
              <w:rPr>
                <w:rFonts w:ascii="宋体" w:hAnsi="宋体" w:cs="宋体"/>
                <w:b/>
                <w:bCs/>
                <w:color w:val="000000"/>
                <w:sz w:val="24"/>
                <w:szCs w:val="24"/>
              </w:rPr>
            </w:pPr>
            <w:r>
              <w:rPr>
                <w:rFonts w:hint="eastAsia" w:ascii="宋体" w:hAnsi="宋体" w:cs="宋体"/>
                <w:b/>
                <w:bCs/>
                <w:color w:val="000000"/>
                <w:sz w:val="24"/>
                <w:szCs w:val="24"/>
              </w:rPr>
              <w:t>4</w:t>
            </w:r>
          </w:p>
        </w:tc>
        <w:tc>
          <w:tcPr>
            <w:tcW w:w="5625" w:type="dxa"/>
            <w:tcBorders>
              <w:top w:val="single" w:color="auto" w:sz="4" w:space="0"/>
              <w:left w:val="nil"/>
              <w:bottom w:val="single" w:color="auto" w:sz="4" w:space="0"/>
              <w:right w:val="single" w:color="auto" w:sz="4" w:space="0"/>
            </w:tcBorders>
            <w:vAlign w:val="center"/>
          </w:tcPr>
          <w:p w14:paraId="22048FEB">
            <w:pPr>
              <w:jc w:val="left"/>
              <w:rPr>
                <w:rFonts w:ascii="仿宋" w:hAnsi="仿宋" w:eastAsia="仿宋" w:cs="仿宋"/>
                <w:sz w:val="28"/>
                <w:szCs w:val="28"/>
                <w:lang w:bidi="en-US"/>
              </w:rPr>
            </w:pPr>
            <w:r>
              <w:rPr>
                <w:rFonts w:hint="eastAsia" w:ascii="仿宋" w:hAnsi="仿宋" w:eastAsia="仿宋" w:cs="仿宋"/>
                <w:sz w:val="28"/>
                <w:szCs w:val="28"/>
                <w:lang w:val="zh-TW" w:bidi="en-US"/>
              </w:rPr>
              <w:t>服务器/DELLR520/2*E5-2430/4*16GDDR3/2*300G 10K SAS/1*8GB HBA/2*495W电源/远程管理</w:t>
            </w:r>
          </w:p>
        </w:tc>
        <w:tc>
          <w:tcPr>
            <w:tcW w:w="1287" w:type="dxa"/>
            <w:tcBorders>
              <w:top w:val="nil"/>
              <w:left w:val="nil"/>
              <w:bottom w:val="single" w:color="auto" w:sz="4" w:space="0"/>
              <w:right w:val="single" w:color="auto" w:sz="4" w:space="0"/>
            </w:tcBorders>
            <w:noWrap/>
            <w:vAlign w:val="center"/>
          </w:tcPr>
          <w:p w14:paraId="302BC53D">
            <w:pPr>
              <w:jc w:val="center"/>
              <w:rPr>
                <w:rFonts w:ascii="仿宋" w:hAnsi="仿宋" w:eastAsia="仿宋" w:cs="仿宋"/>
                <w:sz w:val="28"/>
                <w:szCs w:val="28"/>
                <w:lang w:bidi="en-US"/>
              </w:rPr>
            </w:pPr>
            <w:r>
              <w:rPr>
                <w:rFonts w:hint="eastAsia" w:ascii="仿宋" w:hAnsi="仿宋" w:eastAsia="仿宋" w:cs="仿宋"/>
                <w:sz w:val="28"/>
                <w:szCs w:val="28"/>
                <w:lang w:val="zh-TW" w:bidi="en-US"/>
              </w:rPr>
              <w:t>服务器</w:t>
            </w:r>
          </w:p>
        </w:tc>
        <w:tc>
          <w:tcPr>
            <w:tcW w:w="813" w:type="dxa"/>
            <w:tcBorders>
              <w:top w:val="nil"/>
              <w:left w:val="nil"/>
              <w:bottom w:val="single" w:color="auto" w:sz="4" w:space="0"/>
              <w:right w:val="single" w:color="auto" w:sz="4" w:space="0"/>
            </w:tcBorders>
            <w:noWrap/>
            <w:vAlign w:val="center"/>
          </w:tcPr>
          <w:p w14:paraId="68CD9047">
            <w:pPr>
              <w:jc w:val="center"/>
              <w:rPr>
                <w:rFonts w:ascii="仿宋" w:hAnsi="仿宋" w:eastAsia="仿宋" w:cs="仿宋"/>
                <w:sz w:val="28"/>
                <w:szCs w:val="28"/>
                <w:lang w:bidi="en-US"/>
              </w:rPr>
            </w:pPr>
            <w:r>
              <w:rPr>
                <w:rFonts w:hint="eastAsia" w:ascii="仿宋" w:hAnsi="仿宋" w:eastAsia="仿宋" w:cs="仿宋"/>
                <w:sz w:val="28"/>
                <w:szCs w:val="28"/>
                <w:lang w:val="zh-TW" w:bidi="en-US"/>
              </w:rPr>
              <w:t>4</w:t>
            </w:r>
          </w:p>
        </w:tc>
      </w:tr>
      <w:tr w14:paraId="543FD3A9">
        <w:tblPrEx>
          <w:tblCellMar>
            <w:top w:w="0" w:type="dxa"/>
            <w:left w:w="108" w:type="dxa"/>
            <w:bottom w:w="0" w:type="dxa"/>
            <w:right w:w="108" w:type="dxa"/>
          </w:tblCellMar>
        </w:tblPrEx>
        <w:trPr>
          <w:trHeight w:val="662" w:hRule="atLeast"/>
        </w:trPr>
        <w:tc>
          <w:tcPr>
            <w:tcW w:w="713" w:type="dxa"/>
            <w:tcBorders>
              <w:top w:val="nil"/>
              <w:left w:val="single" w:color="auto" w:sz="4" w:space="0"/>
              <w:bottom w:val="single" w:color="auto" w:sz="4" w:space="0"/>
              <w:right w:val="single" w:color="auto" w:sz="4" w:space="0"/>
            </w:tcBorders>
            <w:vAlign w:val="center"/>
          </w:tcPr>
          <w:p w14:paraId="3FC42D9F">
            <w:pPr>
              <w:jc w:val="center"/>
              <w:rPr>
                <w:rFonts w:ascii="宋体" w:hAnsi="宋体" w:cs="宋体"/>
                <w:b/>
                <w:bCs/>
                <w:color w:val="000000"/>
                <w:sz w:val="24"/>
                <w:szCs w:val="24"/>
              </w:rPr>
            </w:pPr>
            <w:r>
              <w:rPr>
                <w:rFonts w:hint="eastAsia" w:ascii="宋体" w:hAnsi="宋体" w:cs="宋体"/>
                <w:b/>
                <w:bCs/>
                <w:color w:val="000000"/>
                <w:sz w:val="24"/>
                <w:szCs w:val="24"/>
              </w:rPr>
              <w:t>5</w:t>
            </w:r>
          </w:p>
        </w:tc>
        <w:tc>
          <w:tcPr>
            <w:tcW w:w="5625" w:type="dxa"/>
            <w:tcBorders>
              <w:top w:val="single" w:color="auto" w:sz="4" w:space="0"/>
              <w:left w:val="nil"/>
              <w:bottom w:val="single" w:color="auto" w:sz="4" w:space="0"/>
              <w:right w:val="single" w:color="auto" w:sz="4" w:space="0"/>
            </w:tcBorders>
            <w:vAlign w:val="center"/>
          </w:tcPr>
          <w:p w14:paraId="30091534">
            <w:pPr>
              <w:jc w:val="left"/>
              <w:rPr>
                <w:rFonts w:ascii="仿宋" w:hAnsi="仿宋" w:eastAsia="仿宋" w:cs="仿宋"/>
                <w:sz w:val="28"/>
                <w:szCs w:val="28"/>
                <w:lang w:bidi="en-US"/>
              </w:rPr>
            </w:pPr>
            <w:r>
              <w:rPr>
                <w:rFonts w:hint="eastAsia" w:ascii="仿宋" w:hAnsi="仿宋" w:eastAsia="仿宋" w:cs="仿宋"/>
                <w:sz w:val="28"/>
                <w:szCs w:val="28"/>
                <w:lang w:val="zh-TW" w:bidi="en-US"/>
              </w:rPr>
              <w:t>HDS HUS110/双控/15GB缓存/8*8GbFC接口8*6GB SAS接口/12*3TB 7.2K SAS/8*8GB SFP/三年</w:t>
            </w:r>
          </w:p>
        </w:tc>
        <w:tc>
          <w:tcPr>
            <w:tcW w:w="1287" w:type="dxa"/>
            <w:tcBorders>
              <w:top w:val="nil"/>
              <w:left w:val="nil"/>
              <w:bottom w:val="single" w:color="auto" w:sz="4" w:space="0"/>
              <w:right w:val="single" w:color="auto" w:sz="4" w:space="0"/>
            </w:tcBorders>
            <w:noWrap/>
            <w:vAlign w:val="center"/>
          </w:tcPr>
          <w:p w14:paraId="6B34650F">
            <w:pPr>
              <w:jc w:val="center"/>
              <w:rPr>
                <w:rFonts w:ascii="仿宋" w:hAnsi="仿宋" w:eastAsia="仿宋" w:cs="仿宋"/>
                <w:sz w:val="28"/>
                <w:szCs w:val="28"/>
                <w:lang w:bidi="en-US"/>
              </w:rPr>
            </w:pPr>
            <w:r>
              <w:rPr>
                <w:rFonts w:hint="eastAsia" w:ascii="仿宋" w:hAnsi="仿宋" w:eastAsia="仿宋" w:cs="仿宋"/>
                <w:sz w:val="28"/>
                <w:szCs w:val="28"/>
                <w:lang w:val="zh-TW" w:bidi="en-US"/>
              </w:rPr>
              <w:t>磁盘阵列柜</w:t>
            </w:r>
          </w:p>
        </w:tc>
        <w:tc>
          <w:tcPr>
            <w:tcW w:w="813" w:type="dxa"/>
            <w:tcBorders>
              <w:top w:val="nil"/>
              <w:left w:val="nil"/>
              <w:bottom w:val="single" w:color="auto" w:sz="4" w:space="0"/>
              <w:right w:val="single" w:color="auto" w:sz="4" w:space="0"/>
            </w:tcBorders>
            <w:noWrap/>
            <w:vAlign w:val="center"/>
          </w:tcPr>
          <w:p w14:paraId="30D45872">
            <w:pPr>
              <w:jc w:val="center"/>
              <w:rPr>
                <w:rFonts w:ascii="仿宋" w:hAnsi="仿宋" w:eastAsia="仿宋" w:cs="仿宋"/>
                <w:sz w:val="28"/>
                <w:szCs w:val="28"/>
                <w:lang w:bidi="en-US"/>
              </w:rPr>
            </w:pPr>
            <w:r>
              <w:rPr>
                <w:rFonts w:hint="eastAsia" w:ascii="仿宋" w:hAnsi="仿宋" w:eastAsia="仿宋" w:cs="仿宋"/>
                <w:sz w:val="28"/>
                <w:szCs w:val="28"/>
                <w:lang w:val="zh-TW" w:bidi="en-US"/>
              </w:rPr>
              <w:t>1</w:t>
            </w:r>
          </w:p>
        </w:tc>
      </w:tr>
      <w:tr w14:paraId="197EFAC4">
        <w:tblPrEx>
          <w:tblCellMar>
            <w:top w:w="0" w:type="dxa"/>
            <w:left w:w="108" w:type="dxa"/>
            <w:bottom w:w="0" w:type="dxa"/>
            <w:right w:w="108" w:type="dxa"/>
          </w:tblCellMar>
        </w:tblPrEx>
        <w:trPr>
          <w:trHeight w:val="1587" w:hRule="atLeast"/>
        </w:trPr>
        <w:tc>
          <w:tcPr>
            <w:tcW w:w="713" w:type="dxa"/>
            <w:tcBorders>
              <w:top w:val="nil"/>
              <w:left w:val="single" w:color="auto" w:sz="4" w:space="0"/>
              <w:bottom w:val="single" w:color="auto" w:sz="4" w:space="0"/>
              <w:right w:val="single" w:color="auto" w:sz="4" w:space="0"/>
            </w:tcBorders>
            <w:vAlign w:val="center"/>
          </w:tcPr>
          <w:p w14:paraId="73E24E1E">
            <w:pPr>
              <w:jc w:val="center"/>
              <w:rPr>
                <w:rFonts w:ascii="宋体" w:hAnsi="宋体" w:cs="宋体"/>
                <w:b/>
                <w:bCs/>
                <w:color w:val="000000"/>
                <w:sz w:val="24"/>
                <w:szCs w:val="24"/>
              </w:rPr>
            </w:pPr>
            <w:r>
              <w:rPr>
                <w:rFonts w:hint="eastAsia" w:ascii="宋体" w:hAnsi="宋体" w:cs="宋体"/>
                <w:b/>
                <w:bCs/>
                <w:color w:val="000000"/>
                <w:sz w:val="24"/>
                <w:szCs w:val="24"/>
              </w:rPr>
              <w:t>6</w:t>
            </w:r>
          </w:p>
        </w:tc>
        <w:tc>
          <w:tcPr>
            <w:tcW w:w="5625" w:type="dxa"/>
            <w:tcBorders>
              <w:top w:val="single" w:color="auto" w:sz="4" w:space="0"/>
              <w:left w:val="nil"/>
              <w:bottom w:val="single" w:color="auto" w:sz="4" w:space="0"/>
              <w:right w:val="single" w:color="auto" w:sz="4" w:space="0"/>
            </w:tcBorders>
            <w:vAlign w:val="center"/>
          </w:tcPr>
          <w:p w14:paraId="3595DA14">
            <w:pPr>
              <w:jc w:val="left"/>
              <w:rPr>
                <w:rFonts w:ascii="仿宋" w:hAnsi="仿宋" w:eastAsia="仿宋" w:cs="仿宋"/>
                <w:sz w:val="28"/>
                <w:szCs w:val="28"/>
                <w:lang w:bidi="en-US"/>
              </w:rPr>
            </w:pPr>
            <w:r>
              <w:rPr>
                <w:rFonts w:hint="eastAsia" w:ascii="仿宋" w:hAnsi="仿宋" w:eastAsia="仿宋" w:cs="仿宋"/>
                <w:sz w:val="28"/>
                <w:szCs w:val="28"/>
                <w:lang w:bidi="en-US"/>
              </w:rPr>
              <w:t>刀片式服务器，2*Intel® 志强E5-2650 (20M Cache, 2.00 GHz, 8.00 GT/s Intel® QPI)/12*16G DDR III ECC 1333MHZ RDIMM 内存，支持内存镜像/300GB 10K 6Gbps热插拔SAS硬盘*2/RAID卡（支持RAID 0 1,标配512MB高速缓存）/1*8GB 双通道HBA/主板集成双端口万兆网卡/集成远程图形管理模块/</w:t>
            </w:r>
          </w:p>
        </w:tc>
        <w:tc>
          <w:tcPr>
            <w:tcW w:w="1287" w:type="dxa"/>
            <w:tcBorders>
              <w:top w:val="nil"/>
              <w:left w:val="nil"/>
              <w:bottom w:val="single" w:color="auto" w:sz="4" w:space="0"/>
              <w:right w:val="single" w:color="auto" w:sz="4" w:space="0"/>
            </w:tcBorders>
            <w:noWrap/>
            <w:vAlign w:val="center"/>
          </w:tcPr>
          <w:p w14:paraId="29D5BF3D">
            <w:pPr>
              <w:jc w:val="center"/>
              <w:rPr>
                <w:rFonts w:ascii="仿宋" w:hAnsi="仿宋" w:eastAsia="仿宋" w:cs="仿宋"/>
                <w:sz w:val="28"/>
                <w:szCs w:val="28"/>
                <w:lang w:bidi="en-US"/>
              </w:rPr>
            </w:pPr>
            <w:r>
              <w:rPr>
                <w:rFonts w:hint="eastAsia" w:ascii="仿宋" w:hAnsi="仿宋" w:eastAsia="仿宋" w:cs="仿宋"/>
                <w:sz w:val="28"/>
                <w:szCs w:val="28"/>
                <w:lang w:bidi="en-US"/>
              </w:rPr>
              <w:t>应用服务器DELL M620</w:t>
            </w:r>
          </w:p>
        </w:tc>
        <w:tc>
          <w:tcPr>
            <w:tcW w:w="813" w:type="dxa"/>
            <w:tcBorders>
              <w:top w:val="nil"/>
              <w:left w:val="nil"/>
              <w:bottom w:val="single" w:color="auto" w:sz="4" w:space="0"/>
              <w:right w:val="single" w:color="auto" w:sz="4" w:space="0"/>
            </w:tcBorders>
            <w:noWrap/>
            <w:vAlign w:val="center"/>
          </w:tcPr>
          <w:p w14:paraId="25AEC621">
            <w:pPr>
              <w:jc w:val="center"/>
              <w:rPr>
                <w:rFonts w:ascii="仿宋" w:hAnsi="仿宋" w:eastAsia="仿宋" w:cs="仿宋"/>
                <w:sz w:val="28"/>
                <w:szCs w:val="28"/>
                <w:lang w:bidi="en-US"/>
              </w:rPr>
            </w:pPr>
            <w:r>
              <w:rPr>
                <w:rFonts w:hint="eastAsia" w:ascii="仿宋" w:hAnsi="仿宋" w:eastAsia="仿宋" w:cs="仿宋"/>
                <w:sz w:val="28"/>
                <w:szCs w:val="28"/>
                <w:lang w:bidi="en-US"/>
              </w:rPr>
              <w:t>6</w:t>
            </w:r>
          </w:p>
        </w:tc>
      </w:tr>
      <w:tr w14:paraId="63C72481">
        <w:tblPrEx>
          <w:tblCellMar>
            <w:top w:w="0" w:type="dxa"/>
            <w:left w:w="108" w:type="dxa"/>
            <w:bottom w:w="0" w:type="dxa"/>
            <w:right w:w="108" w:type="dxa"/>
          </w:tblCellMar>
        </w:tblPrEx>
        <w:trPr>
          <w:trHeight w:val="975" w:hRule="atLeast"/>
        </w:trPr>
        <w:tc>
          <w:tcPr>
            <w:tcW w:w="713" w:type="dxa"/>
            <w:tcBorders>
              <w:top w:val="nil"/>
              <w:left w:val="single" w:color="auto" w:sz="4" w:space="0"/>
              <w:bottom w:val="single" w:color="auto" w:sz="4" w:space="0"/>
              <w:right w:val="single" w:color="auto" w:sz="4" w:space="0"/>
            </w:tcBorders>
            <w:vAlign w:val="center"/>
          </w:tcPr>
          <w:p w14:paraId="10546595">
            <w:pPr>
              <w:jc w:val="center"/>
              <w:rPr>
                <w:rFonts w:ascii="宋体" w:hAnsi="宋体" w:cs="宋体"/>
                <w:b/>
                <w:bCs/>
                <w:color w:val="000000"/>
                <w:sz w:val="24"/>
                <w:szCs w:val="24"/>
              </w:rPr>
            </w:pPr>
            <w:r>
              <w:rPr>
                <w:rFonts w:hint="eastAsia" w:ascii="宋体" w:hAnsi="宋体" w:cs="宋体"/>
                <w:b/>
                <w:bCs/>
                <w:color w:val="000000"/>
                <w:sz w:val="24"/>
                <w:szCs w:val="24"/>
              </w:rPr>
              <w:t>7</w:t>
            </w:r>
          </w:p>
        </w:tc>
        <w:tc>
          <w:tcPr>
            <w:tcW w:w="5625" w:type="dxa"/>
            <w:tcBorders>
              <w:top w:val="single" w:color="auto" w:sz="4" w:space="0"/>
              <w:left w:val="nil"/>
              <w:bottom w:val="single" w:color="auto" w:sz="4" w:space="0"/>
              <w:right w:val="single" w:color="auto" w:sz="4" w:space="0"/>
            </w:tcBorders>
            <w:vAlign w:val="center"/>
          </w:tcPr>
          <w:p w14:paraId="438B32DF">
            <w:pPr>
              <w:jc w:val="left"/>
              <w:rPr>
                <w:rFonts w:ascii="仿宋" w:hAnsi="仿宋" w:eastAsia="仿宋" w:cs="仿宋"/>
                <w:sz w:val="28"/>
                <w:szCs w:val="28"/>
                <w:lang w:val="zh-TW" w:bidi="en-US"/>
              </w:rPr>
            </w:pPr>
            <w:r>
              <w:rPr>
                <w:rFonts w:hint="eastAsia" w:ascii="仿宋" w:hAnsi="仿宋" w:eastAsia="仿宋" w:cs="仿宋"/>
                <w:sz w:val="28"/>
                <w:szCs w:val="28"/>
                <w:lang w:bidi="en-US"/>
              </w:rPr>
              <w:t>刀片式服务器，2*Intel® 志强E5-2430 (6核，15M Cache, 2.20 GHz, 7.20 GT/s Intel® QPI)/4*4G DDR III ECC 1333MHZ RDIMM 内存，支持内存镜像/300GB 10K 6Gbps热插拔SAS硬盘*2/RAID卡（支持RAID 0 1,标配512MB高速缓存）/1*8GB 双通道HBA/主板集成双端口兆网卡/集成远程图形管理模块</w:t>
            </w:r>
          </w:p>
        </w:tc>
        <w:tc>
          <w:tcPr>
            <w:tcW w:w="1287" w:type="dxa"/>
            <w:tcBorders>
              <w:top w:val="nil"/>
              <w:left w:val="nil"/>
              <w:bottom w:val="single" w:color="auto" w:sz="4" w:space="0"/>
              <w:right w:val="single" w:color="auto" w:sz="4" w:space="0"/>
            </w:tcBorders>
            <w:noWrap/>
            <w:vAlign w:val="center"/>
          </w:tcPr>
          <w:p w14:paraId="2E6DD223">
            <w:pPr>
              <w:jc w:val="center"/>
              <w:rPr>
                <w:rFonts w:ascii="仿宋" w:hAnsi="仿宋" w:eastAsia="仿宋" w:cs="仿宋"/>
                <w:sz w:val="28"/>
                <w:szCs w:val="28"/>
                <w:lang w:val="zh-TW" w:bidi="en-US"/>
              </w:rPr>
            </w:pPr>
            <w:r>
              <w:rPr>
                <w:rFonts w:hint="eastAsia" w:ascii="仿宋" w:hAnsi="仿宋" w:eastAsia="仿宋" w:cs="仿宋"/>
                <w:sz w:val="28"/>
                <w:szCs w:val="28"/>
                <w:lang w:bidi="en-US"/>
              </w:rPr>
              <w:t>资源服务器DELL M520</w:t>
            </w:r>
          </w:p>
        </w:tc>
        <w:tc>
          <w:tcPr>
            <w:tcW w:w="813" w:type="dxa"/>
            <w:tcBorders>
              <w:top w:val="nil"/>
              <w:left w:val="nil"/>
              <w:bottom w:val="single" w:color="auto" w:sz="4" w:space="0"/>
              <w:right w:val="single" w:color="auto" w:sz="4" w:space="0"/>
            </w:tcBorders>
            <w:noWrap/>
            <w:vAlign w:val="center"/>
          </w:tcPr>
          <w:p w14:paraId="3CF3BC29">
            <w:pPr>
              <w:jc w:val="center"/>
              <w:rPr>
                <w:rFonts w:ascii="仿宋" w:hAnsi="仿宋" w:eastAsia="仿宋" w:cs="仿宋"/>
                <w:sz w:val="28"/>
                <w:szCs w:val="28"/>
                <w:lang w:bidi="en-US"/>
              </w:rPr>
            </w:pPr>
            <w:r>
              <w:rPr>
                <w:rFonts w:hint="eastAsia" w:ascii="仿宋" w:hAnsi="仿宋" w:eastAsia="仿宋" w:cs="仿宋"/>
                <w:sz w:val="28"/>
                <w:szCs w:val="28"/>
                <w:lang w:bidi="en-US"/>
              </w:rPr>
              <w:t>2</w:t>
            </w:r>
          </w:p>
        </w:tc>
      </w:tr>
      <w:tr w14:paraId="4620CF1A">
        <w:tblPrEx>
          <w:tblCellMar>
            <w:top w:w="0" w:type="dxa"/>
            <w:left w:w="108" w:type="dxa"/>
            <w:bottom w:w="0" w:type="dxa"/>
            <w:right w:w="108" w:type="dxa"/>
          </w:tblCellMar>
        </w:tblPrEx>
        <w:trPr>
          <w:trHeight w:val="975" w:hRule="atLeast"/>
        </w:trPr>
        <w:tc>
          <w:tcPr>
            <w:tcW w:w="713" w:type="dxa"/>
            <w:tcBorders>
              <w:top w:val="nil"/>
              <w:left w:val="single" w:color="auto" w:sz="4" w:space="0"/>
              <w:bottom w:val="single" w:color="auto" w:sz="4" w:space="0"/>
              <w:right w:val="single" w:color="auto" w:sz="4" w:space="0"/>
            </w:tcBorders>
            <w:vAlign w:val="center"/>
          </w:tcPr>
          <w:p w14:paraId="73DF037E">
            <w:pPr>
              <w:jc w:val="center"/>
              <w:rPr>
                <w:rFonts w:ascii="宋体" w:hAnsi="宋体" w:cs="宋体"/>
                <w:b/>
                <w:bCs/>
                <w:color w:val="000000"/>
                <w:sz w:val="24"/>
                <w:szCs w:val="24"/>
              </w:rPr>
            </w:pPr>
            <w:r>
              <w:rPr>
                <w:rFonts w:hint="eastAsia" w:ascii="宋体" w:hAnsi="宋体" w:cs="宋体"/>
                <w:b/>
                <w:bCs/>
                <w:color w:val="000000"/>
                <w:sz w:val="24"/>
                <w:szCs w:val="24"/>
              </w:rPr>
              <w:t>8</w:t>
            </w:r>
          </w:p>
        </w:tc>
        <w:tc>
          <w:tcPr>
            <w:tcW w:w="5625" w:type="dxa"/>
            <w:tcBorders>
              <w:top w:val="single" w:color="auto" w:sz="4" w:space="0"/>
              <w:left w:val="nil"/>
              <w:bottom w:val="single" w:color="auto" w:sz="4" w:space="0"/>
              <w:right w:val="single" w:color="auto" w:sz="4" w:space="0"/>
            </w:tcBorders>
            <w:vAlign w:val="center"/>
          </w:tcPr>
          <w:p w14:paraId="32A499AD">
            <w:pPr>
              <w:jc w:val="left"/>
              <w:rPr>
                <w:rFonts w:ascii="仿宋" w:hAnsi="仿宋" w:eastAsia="仿宋" w:cs="仿宋"/>
                <w:sz w:val="28"/>
                <w:szCs w:val="28"/>
                <w:lang w:val="zh-TW" w:bidi="en-US"/>
              </w:rPr>
            </w:pPr>
            <w:r>
              <w:rPr>
                <w:rFonts w:hint="eastAsia" w:ascii="仿宋" w:hAnsi="仿宋" w:eastAsia="仿宋" w:cs="仿宋"/>
                <w:sz w:val="28"/>
                <w:szCs w:val="28"/>
                <w:lang w:bidi="en-US"/>
              </w:rPr>
              <w:t>刀片式服务器，2*Intel® 志强E5-2650 (20M Cache, 2.00 GHz, 8.00 GT/s Intel® QPI)/8*8G DDR III ECC 1333MHZ 内存，支持内存镜像/300GB 10K 6Gbps热插拔SAS硬盘*2/RAID卡（支持RAID 0 1，标配512MB高速缓存）/1*8GB 双通道HBA/主板集成双端口万兆网卡/集成远程图形管理模块</w:t>
            </w:r>
          </w:p>
        </w:tc>
        <w:tc>
          <w:tcPr>
            <w:tcW w:w="1287" w:type="dxa"/>
            <w:tcBorders>
              <w:top w:val="nil"/>
              <w:left w:val="nil"/>
              <w:bottom w:val="single" w:color="auto" w:sz="4" w:space="0"/>
              <w:right w:val="single" w:color="auto" w:sz="4" w:space="0"/>
            </w:tcBorders>
            <w:noWrap/>
            <w:vAlign w:val="center"/>
          </w:tcPr>
          <w:p w14:paraId="3BC628BC">
            <w:pPr>
              <w:jc w:val="center"/>
              <w:rPr>
                <w:rFonts w:ascii="仿宋" w:hAnsi="仿宋" w:eastAsia="仿宋" w:cs="仿宋"/>
                <w:sz w:val="28"/>
                <w:szCs w:val="28"/>
                <w:lang w:val="zh-TW" w:bidi="en-US"/>
              </w:rPr>
            </w:pPr>
            <w:r>
              <w:rPr>
                <w:rFonts w:hint="eastAsia" w:ascii="仿宋" w:hAnsi="仿宋" w:eastAsia="仿宋" w:cs="仿宋"/>
                <w:sz w:val="28"/>
                <w:szCs w:val="28"/>
                <w:lang w:bidi="en-US"/>
              </w:rPr>
              <w:t>数据库系统DELL M620</w:t>
            </w:r>
          </w:p>
        </w:tc>
        <w:tc>
          <w:tcPr>
            <w:tcW w:w="813" w:type="dxa"/>
            <w:tcBorders>
              <w:top w:val="nil"/>
              <w:left w:val="nil"/>
              <w:bottom w:val="single" w:color="auto" w:sz="4" w:space="0"/>
              <w:right w:val="single" w:color="auto" w:sz="4" w:space="0"/>
            </w:tcBorders>
            <w:noWrap/>
            <w:vAlign w:val="center"/>
          </w:tcPr>
          <w:p w14:paraId="43E8DC42">
            <w:pPr>
              <w:jc w:val="center"/>
              <w:rPr>
                <w:rFonts w:ascii="仿宋" w:hAnsi="仿宋" w:eastAsia="仿宋" w:cs="仿宋"/>
                <w:sz w:val="28"/>
                <w:szCs w:val="28"/>
                <w:lang w:bidi="en-US"/>
              </w:rPr>
            </w:pPr>
            <w:r>
              <w:rPr>
                <w:rFonts w:hint="eastAsia" w:ascii="仿宋" w:hAnsi="仿宋" w:eastAsia="仿宋" w:cs="仿宋"/>
                <w:sz w:val="28"/>
                <w:szCs w:val="28"/>
                <w:lang w:bidi="en-US"/>
              </w:rPr>
              <w:t>2</w:t>
            </w:r>
          </w:p>
        </w:tc>
      </w:tr>
      <w:tr w14:paraId="02531FC5">
        <w:tblPrEx>
          <w:tblCellMar>
            <w:top w:w="0" w:type="dxa"/>
            <w:left w:w="108" w:type="dxa"/>
            <w:bottom w:w="0" w:type="dxa"/>
            <w:right w:w="108" w:type="dxa"/>
          </w:tblCellMar>
        </w:tblPrEx>
        <w:trPr>
          <w:trHeight w:val="975" w:hRule="atLeast"/>
        </w:trPr>
        <w:tc>
          <w:tcPr>
            <w:tcW w:w="713" w:type="dxa"/>
            <w:tcBorders>
              <w:top w:val="nil"/>
              <w:left w:val="single" w:color="auto" w:sz="4" w:space="0"/>
              <w:bottom w:val="single" w:color="auto" w:sz="4" w:space="0"/>
              <w:right w:val="single" w:color="auto" w:sz="4" w:space="0"/>
            </w:tcBorders>
            <w:vAlign w:val="center"/>
          </w:tcPr>
          <w:p w14:paraId="74C8853A">
            <w:pPr>
              <w:jc w:val="center"/>
              <w:rPr>
                <w:rFonts w:ascii="宋体" w:hAnsi="宋体" w:cs="宋体"/>
                <w:b/>
                <w:bCs/>
                <w:color w:val="000000"/>
                <w:sz w:val="24"/>
                <w:szCs w:val="24"/>
              </w:rPr>
            </w:pPr>
            <w:r>
              <w:rPr>
                <w:rFonts w:hint="eastAsia" w:ascii="宋体" w:hAnsi="宋体" w:cs="宋体"/>
                <w:b/>
                <w:bCs/>
                <w:color w:val="000000"/>
                <w:sz w:val="24"/>
                <w:szCs w:val="24"/>
              </w:rPr>
              <w:t>9</w:t>
            </w:r>
          </w:p>
        </w:tc>
        <w:tc>
          <w:tcPr>
            <w:tcW w:w="5625" w:type="dxa"/>
            <w:tcBorders>
              <w:top w:val="single" w:color="auto" w:sz="4" w:space="0"/>
              <w:left w:val="nil"/>
              <w:bottom w:val="single" w:color="auto" w:sz="4" w:space="0"/>
              <w:right w:val="single" w:color="auto" w:sz="4" w:space="0"/>
            </w:tcBorders>
            <w:vAlign w:val="center"/>
          </w:tcPr>
          <w:p w14:paraId="2FCF2107">
            <w:pPr>
              <w:jc w:val="left"/>
              <w:rPr>
                <w:rFonts w:ascii="仿宋" w:hAnsi="仿宋" w:eastAsia="仿宋" w:cs="仿宋"/>
                <w:sz w:val="28"/>
                <w:szCs w:val="28"/>
                <w:lang w:val="zh-TW" w:bidi="en-US"/>
              </w:rPr>
            </w:pPr>
            <w:r>
              <w:rPr>
                <w:rFonts w:hint="eastAsia" w:ascii="仿宋" w:hAnsi="仿宋" w:eastAsia="仿宋" w:cs="仿宋"/>
                <w:sz w:val="28"/>
                <w:szCs w:val="28"/>
                <w:lang w:bidi="en-US"/>
              </w:rPr>
              <w:t>2U 机架式设备，非OEM 产品.FC-SAN架构，双控制器，15*600G 10K RPM SAS盘，15GB缓存，已激活自动精简配置、企业级多路径负载均衡，基于存储系统本身的控制器实现数据在不同LUN之间的数据迁移，迁移和切换且无需中断应用访问，支持RAID1，RAID0，RAID10，RAID5，RAID6。VMWARE Vcenter的存储插件，能够在Vcenter管理存储，存储能够自动识别VMWARE服务器等支持不同RAID级别并存和热备盘，VMWARE Vcenter的存储插件，能够在Vcenter管理存储，存储能够自动识别VMWARE服务器等；8个8Gb SFP模块，8根5米长光纤线缆，三年7*24专业服务,原厂工程师实施安装服务。</w:t>
            </w:r>
          </w:p>
        </w:tc>
        <w:tc>
          <w:tcPr>
            <w:tcW w:w="1287" w:type="dxa"/>
            <w:tcBorders>
              <w:top w:val="nil"/>
              <w:left w:val="nil"/>
              <w:bottom w:val="single" w:color="auto" w:sz="4" w:space="0"/>
              <w:right w:val="single" w:color="auto" w:sz="4" w:space="0"/>
            </w:tcBorders>
            <w:noWrap/>
            <w:vAlign w:val="center"/>
          </w:tcPr>
          <w:p w14:paraId="6F3622DD">
            <w:pPr>
              <w:jc w:val="center"/>
              <w:rPr>
                <w:rFonts w:ascii="仿宋" w:hAnsi="仿宋" w:eastAsia="仿宋" w:cs="仿宋"/>
                <w:sz w:val="28"/>
                <w:szCs w:val="28"/>
                <w:lang w:val="zh-TW" w:bidi="en-US"/>
              </w:rPr>
            </w:pPr>
            <w:r>
              <w:rPr>
                <w:rFonts w:hint="eastAsia" w:ascii="仿宋" w:hAnsi="仿宋" w:eastAsia="仿宋" w:cs="仿宋"/>
                <w:sz w:val="28"/>
                <w:szCs w:val="28"/>
                <w:lang w:bidi="en-US"/>
              </w:rPr>
              <w:t>虚拟化存储系统HDS HUS110</w:t>
            </w:r>
          </w:p>
        </w:tc>
        <w:tc>
          <w:tcPr>
            <w:tcW w:w="813" w:type="dxa"/>
            <w:tcBorders>
              <w:top w:val="nil"/>
              <w:left w:val="nil"/>
              <w:bottom w:val="single" w:color="auto" w:sz="4" w:space="0"/>
              <w:right w:val="single" w:color="auto" w:sz="4" w:space="0"/>
            </w:tcBorders>
            <w:noWrap/>
            <w:vAlign w:val="center"/>
          </w:tcPr>
          <w:p w14:paraId="5E2F158D">
            <w:pPr>
              <w:jc w:val="center"/>
              <w:rPr>
                <w:rFonts w:ascii="仿宋" w:hAnsi="仿宋" w:eastAsia="仿宋" w:cs="仿宋"/>
                <w:sz w:val="28"/>
                <w:szCs w:val="28"/>
                <w:lang w:bidi="en-US"/>
              </w:rPr>
            </w:pPr>
            <w:r>
              <w:rPr>
                <w:rFonts w:hint="eastAsia" w:ascii="仿宋" w:hAnsi="仿宋" w:eastAsia="仿宋" w:cs="仿宋"/>
                <w:sz w:val="28"/>
                <w:szCs w:val="28"/>
                <w:lang w:bidi="en-US"/>
              </w:rPr>
              <w:t>1</w:t>
            </w:r>
          </w:p>
        </w:tc>
      </w:tr>
      <w:tr w14:paraId="4101C09A">
        <w:tblPrEx>
          <w:tblCellMar>
            <w:top w:w="0" w:type="dxa"/>
            <w:left w:w="108" w:type="dxa"/>
            <w:bottom w:w="0" w:type="dxa"/>
            <w:right w:w="108" w:type="dxa"/>
          </w:tblCellMar>
        </w:tblPrEx>
        <w:trPr>
          <w:trHeight w:val="975" w:hRule="atLeast"/>
        </w:trPr>
        <w:tc>
          <w:tcPr>
            <w:tcW w:w="713" w:type="dxa"/>
            <w:tcBorders>
              <w:top w:val="nil"/>
              <w:left w:val="single" w:color="auto" w:sz="4" w:space="0"/>
              <w:bottom w:val="single" w:color="auto" w:sz="4" w:space="0"/>
              <w:right w:val="single" w:color="auto" w:sz="4" w:space="0"/>
            </w:tcBorders>
            <w:vAlign w:val="center"/>
          </w:tcPr>
          <w:p w14:paraId="660A65AB">
            <w:pPr>
              <w:jc w:val="center"/>
              <w:rPr>
                <w:rFonts w:ascii="宋体" w:hAnsi="宋体" w:cs="宋体"/>
                <w:b/>
                <w:bCs/>
                <w:color w:val="000000"/>
                <w:sz w:val="24"/>
                <w:szCs w:val="24"/>
              </w:rPr>
            </w:pPr>
            <w:r>
              <w:rPr>
                <w:rFonts w:hint="eastAsia" w:ascii="宋体" w:hAnsi="宋体" w:cs="宋体"/>
                <w:b/>
                <w:bCs/>
                <w:color w:val="000000"/>
                <w:sz w:val="24"/>
                <w:szCs w:val="24"/>
              </w:rPr>
              <w:t>10</w:t>
            </w:r>
          </w:p>
        </w:tc>
        <w:tc>
          <w:tcPr>
            <w:tcW w:w="5625" w:type="dxa"/>
            <w:tcBorders>
              <w:top w:val="single" w:color="auto" w:sz="4" w:space="0"/>
              <w:left w:val="nil"/>
              <w:bottom w:val="single" w:color="auto" w:sz="4" w:space="0"/>
              <w:right w:val="single" w:color="auto" w:sz="4" w:space="0"/>
            </w:tcBorders>
            <w:vAlign w:val="center"/>
          </w:tcPr>
          <w:p w14:paraId="240C9F2B">
            <w:pPr>
              <w:jc w:val="left"/>
              <w:rPr>
                <w:rFonts w:ascii="仿宋" w:hAnsi="仿宋" w:eastAsia="仿宋" w:cs="仿宋"/>
                <w:sz w:val="28"/>
                <w:szCs w:val="28"/>
                <w:lang w:bidi="en-US"/>
              </w:rPr>
            </w:pPr>
            <w:r>
              <w:rPr>
                <w:rFonts w:hint="eastAsia" w:ascii="仿宋" w:hAnsi="仿宋" w:eastAsia="仿宋" w:cs="仿宋"/>
                <w:sz w:val="28"/>
                <w:szCs w:val="28"/>
                <w:lang w:bidi="en-US"/>
              </w:rPr>
              <w:t>U 机架式设备，原厂生产，非OEM 产品，FC-SAN 架构，对称双活控制器，配置12 块3.5 寸3000GB 7.2K RPM NL_SAS 盘，配置15GB 缓存，激活自动精简配置，文件重复数据消除、压缩，配置企业级多路径负载均衡，配置基于存储系统本身的控制器实现数据在不同LUN 之间的数据迁移功能，迁移和切换无需中断应用访问。支持RAID1，RAID0，RAID10，RAID5，RAID6，支持不同RAID 级别并存和热备盘；支持VMWARE Vcenter 的存储插件，能够在Vcenter 管理存储，存储能够自动识别VMWARE服务器，支持虚拟化Site Recovery Manager 复制应用驱动认证等；产品配置8 个8Gb SFP 模块，8 根5 米长光纤线缆；提供三年7*24 专业服务,原厂工程师实施安装服务。</w:t>
            </w:r>
          </w:p>
        </w:tc>
        <w:tc>
          <w:tcPr>
            <w:tcW w:w="1287" w:type="dxa"/>
            <w:tcBorders>
              <w:top w:val="nil"/>
              <w:left w:val="nil"/>
              <w:bottom w:val="single" w:color="auto" w:sz="4" w:space="0"/>
              <w:right w:val="single" w:color="auto" w:sz="4" w:space="0"/>
            </w:tcBorders>
            <w:noWrap/>
            <w:vAlign w:val="center"/>
          </w:tcPr>
          <w:p w14:paraId="296FB795">
            <w:pPr>
              <w:jc w:val="center"/>
              <w:rPr>
                <w:rFonts w:ascii="仿宋" w:hAnsi="仿宋" w:eastAsia="仿宋" w:cs="仿宋"/>
                <w:sz w:val="28"/>
                <w:szCs w:val="28"/>
                <w:lang w:val="zh-TW" w:bidi="en-US"/>
              </w:rPr>
            </w:pPr>
            <w:r>
              <w:rPr>
                <w:rFonts w:hint="eastAsia" w:ascii="仿宋" w:hAnsi="仿宋" w:eastAsia="仿宋" w:cs="仿宋"/>
                <w:sz w:val="28"/>
                <w:szCs w:val="28"/>
                <w:lang w:bidi="en-US"/>
              </w:rPr>
              <w:t>虚拟化存储系统HDS HUS110</w:t>
            </w:r>
          </w:p>
        </w:tc>
        <w:tc>
          <w:tcPr>
            <w:tcW w:w="813" w:type="dxa"/>
            <w:tcBorders>
              <w:top w:val="nil"/>
              <w:left w:val="nil"/>
              <w:bottom w:val="single" w:color="auto" w:sz="4" w:space="0"/>
              <w:right w:val="single" w:color="auto" w:sz="4" w:space="0"/>
            </w:tcBorders>
            <w:noWrap/>
            <w:vAlign w:val="center"/>
          </w:tcPr>
          <w:p w14:paraId="3594DA25">
            <w:pPr>
              <w:jc w:val="center"/>
              <w:rPr>
                <w:rFonts w:ascii="仿宋" w:hAnsi="仿宋" w:eastAsia="仿宋" w:cs="仿宋"/>
                <w:sz w:val="28"/>
                <w:szCs w:val="28"/>
                <w:lang w:bidi="en-US"/>
              </w:rPr>
            </w:pPr>
            <w:r>
              <w:rPr>
                <w:rFonts w:hint="eastAsia" w:ascii="仿宋" w:hAnsi="仿宋" w:eastAsia="仿宋" w:cs="仿宋"/>
                <w:sz w:val="28"/>
                <w:szCs w:val="28"/>
                <w:lang w:bidi="en-US"/>
              </w:rPr>
              <w:t>1</w:t>
            </w:r>
          </w:p>
        </w:tc>
      </w:tr>
      <w:tr w14:paraId="56A2664E">
        <w:tblPrEx>
          <w:tblCellMar>
            <w:top w:w="0" w:type="dxa"/>
            <w:left w:w="108" w:type="dxa"/>
            <w:bottom w:w="0" w:type="dxa"/>
            <w:right w:w="108" w:type="dxa"/>
          </w:tblCellMar>
        </w:tblPrEx>
        <w:trPr>
          <w:trHeight w:val="975" w:hRule="atLeast"/>
        </w:trPr>
        <w:tc>
          <w:tcPr>
            <w:tcW w:w="713" w:type="dxa"/>
            <w:tcBorders>
              <w:top w:val="nil"/>
              <w:left w:val="single" w:color="auto" w:sz="4" w:space="0"/>
              <w:bottom w:val="single" w:color="auto" w:sz="4" w:space="0"/>
              <w:right w:val="single" w:color="auto" w:sz="4" w:space="0"/>
            </w:tcBorders>
            <w:vAlign w:val="center"/>
          </w:tcPr>
          <w:p w14:paraId="03C86EB1">
            <w:pPr>
              <w:jc w:val="center"/>
              <w:rPr>
                <w:rFonts w:ascii="宋体" w:hAnsi="宋体" w:cs="宋体"/>
                <w:b/>
                <w:bCs/>
                <w:color w:val="000000"/>
                <w:sz w:val="24"/>
                <w:szCs w:val="24"/>
              </w:rPr>
            </w:pPr>
            <w:r>
              <w:rPr>
                <w:rFonts w:hint="eastAsia" w:ascii="宋体" w:hAnsi="宋体" w:cs="宋体"/>
                <w:b/>
                <w:bCs/>
                <w:color w:val="000000"/>
                <w:sz w:val="24"/>
                <w:szCs w:val="24"/>
              </w:rPr>
              <w:t>11</w:t>
            </w:r>
          </w:p>
        </w:tc>
        <w:tc>
          <w:tcPr>
            <w:tcW w:w="5625" w:type="dxa"/>
            <w:tcBorders>
              <w:top w:val="single" w:color="auto" w:sz="4" w:space="0"/>
              <w:left w:val="nil"/>
              <w:bottom w:val="single" w:color="auto" w:sz="4" w:space="0"/>
              <w:right w:val="single" w:color="auto" w:sz="4" w:space="0"/>
            </w:tcBorders>
            <w:vAlign w:val="center"/>
          </w:tcPr>
          <w:p w14:paraId="1EC1542D">
            <w:pPr>
              <w:jc w:val="left"/>
              <w:rPr>
                <w:rFonts w:ascii="仿宋" w:hAnsi="仿宋" w:eastAsia="仿宋" w:cs="仿宋"/>
                <w:sz w:val="28"/>
                <w:szCs w:val="28"/>
                <w:lang w:bidi="en-US"/>
              </w:rPr>
            </w:pPr>
            <w:r>
              <w:rPr>
                <w:rFonts w:hint="eastAsia" w:ascii="仿宋" w:hAnsi="仿宋" w:eastAsia="仿宋" w:cs="仿宋"/>
                <w:sz w:val="28"/>
                <w:szCs w:val="28"/>
                <w:lang w:bidi="en-US"/>
              </w:rPr>
              <w:t>刀片机框：10U机箱/16个槽位/4个热插拔电源及电源线/全冗余风扇/1个管理模块/网络模块：2个48端口 三层以太网交换机模块/SAN连接模块:2个24口 2/4/8Gb自适应光纤通道交换模块/SFP模块：12个8GB多模SFP模块</w:t>
            </w:r>
          </w:p>
        </w:tc>
        <w:tc>
          <w:tcPr>
            <w:tcW w:w="1287" w:type="dxa"/>
            <w:tcBorders>
              <w:top w:val="nil"/>
              <w:left w:val="nil"/>
              <w:bottom w:val="single" w:color="auto" w:sz="4" w:space="0"/>
              <w:right w:val="single" w:color="auto" w:sz="4" w:space="0"/>
            </w:tcBorders>
            <w:noWrap/>
            <w:vAlign w:val="center"/>
          </w:tcPr>
          <w:p w14:paraId="604CE72F">
            <w:pPr>
              <w:jc w:val="center"/>
              <w:rPr>
                <w:rFonts w:ascii="仿宋" w:hAnsi="仿宋" w:eastAsia="仿宋" w:cs="仿宋"/>
                <w:sz w:val="28"/>
                <w:szCs w:val="28"/>
                <w:lang w:val="zh-TW" w:bidi="en-US"/>
              </w:rPr>
            </w:pPr>
            <w:r>
              <w:rPr>
                <w:rFonts w:hint="eastAsia" w:ascii="仿宋" w:hAnsi="仿宋" w:eastAsia="仿宋" w:cs="仿宋"/>
                <w:sz w:val="28"/>
                <w:szCs w:val="28"/>
                <w:lang w:bidi="en-US"/>
              </w:rPr>
              <w:t>刀片中心Dell M1000E</w:t>
            </w:r>
          </w:p>
        </w:tc>
        <w:tc>
          <w:tcPr>
            <w:tcW w:w="813" w:type="dxa"/>
            <w:tcBorders>
              <w:top w:val="nil"/>
              <w:left w:val="nil"/>
              <w:bottom w:val="single" w:color="auto" w:sz="4" w:space="0"/>
              <w:right w:val="single" w:color="auto" w:sz="4" w:space="0"/>
            </w:tcBorders>
            <w:noWrap/>
            <w:vAlign w:val="center"/>
          </w:tcPr>
          <w:p w14:paraId="193F1525">
            <w:pPr>
              <w:jc w:val="center"/>
              <w:rPr>
                <w:rFonts w:ascii="仿宋" w:hAnsi="仿宋" w:eastAsia="仿宋" w:cs="仿宋"/>
                <w:sz w:val="28"/>
                <w:szCs w:val="28"/>
                <w:lang w:bidi="en-US"/>
              </w:rPr>
            </w:pPr>
            <w:r>
              <w:rPr>
                <w:rFonts w:hint="eastAsia" w:ascii="仿宋" w:hAnsi="仿宋" w:eastAsia="仿宋" w:cs="仿宋"/>
                <w:sz w:val="28"/>
                <w:szCs w:val="28"/>
                <w:lang w:bidi="en-US"/>
              </w:rPr>
              <w:t>1</w:t>
            </w:r>
          </w:p>
        </w:tc>
      </w:tr>
    </w:tbl>
    <w:p w14:paraId="22FA2CF2">
      <w:pPr>
        <w:pStyle w:val="2"/>
      </w:pPr>
    </w:p>
    <w:p w14:paraId="1BC2BF36">
      <w:pPr>
        <w:ind w:firstLine="560" w:firstLineChars="200"/>
        <w:rPr>
          <w:rFonts w:ascii="SourceHanSansCN-Regular" w:hAnsi="SourceHanSansCN-Regular" w:cs="宋体"/>
          <w:b/>
          <w:bCs/>
          <w:color w:val="000000"/>
          <w:kern w:val="0"/>
        </w:rPr>
      </w:pPr>
      <w:r>
        <w:rPr>
          <w:rFonts w:hint="eastAsia" w:ascii="仿宋" w:hAnsi="仿宋" w:eastAsia="仿宋" w:cs="宋体"/>
          <w:color w:val="000000"/>
          <w:kern w:val="0"/>
          <w:sz w:val="28"/>
          <w:szCs w:val="28"/>
        </w:rPr>
        <w:t xml:space="preserve"> </w:t>
      </w:r>
      <w:r>
        <w:rPr>
          <w:rFonts w:hint="eastAsia" w:ascii="仿宋" w:hAnsi="仿宋" w:eastAsia="仿宋" w:cs="宋体"/>
          <w:b/>
          <w:bCs/>
          <w:color w:val="000000"/>
          <w:kern w:val="0"/>
          <w:sz w:val="28"/>
          <w:szCs w:val="28"/>
        </w:rPr>
        <w:t>二、供应商技术保障要求</w:t>
      </w:r>
    </w:p>
    <w:p w14:paraId="7B05EE25">
      <w:pPr>
        <w:pStyle w:val="3"/>
        <w:ind w:firstLine="422" w:firstLineChars="150"/>
        <w:rPr>
          <w:rFonts w:ascii="仿宋" w:hAnsi="仿宋" w:eastAsia="仿宋" w:cs="仿宋"/>
          <w:sz w:val="28"/>
          <w:szCs w:val="28"/>
        </w:rPr>
      </w:pPr>
      <w:r>
        <w:rPr>
          <w:rFonts w:hint="eastAsia" w:ascii="仿宋" w:hAnsi="仿宋" w:eastAsia="仿宋" w:cs="仿宋"/>
          <w:sz w:val="28"/>
          <w:szCs w:val="28"/>
        </w:rPr>
        <w:t>1.基础服务平台维护要求</w:t>
      </w:r>
    </w:p>
    <w:p w14:paraId="2D1E7B66">
      <w:pPr>
        <w:pStyle w:val="3"/>
        <w:ind w:firstLine="422" w:firstLineChars="150"/>
        <w:rPr>
          <w:rFonts w:ascii="仿宋" w:hAnsi="仿宋" w:eastAsia="仿宋" w:cs="仿宋"/>
          <w:sz w:val="28"/>
          <w:szCs w:val="28"/>
        </w:rPr>
      </w:pPr>
      <w:r>
        <w:rPr>
          <w:rFonts w:hint="eastAsia" w:ascii="仿宋" w:hAnsi="仿宋" w:eastAsia="仿宋" w:cs="仿宋"/>
          <w:sz w:val="28"/>
          <w:szCs w:val="28"/>
        </w:rPr>
        <w:t>1.1运维服务模式</w:t>
      </w:r>
    </w:p>
    <w:p w14:paraId="7BC7BF90">
      <w:pPr>
        <w:ind w:firstLine="422" w:firstLineChars="150"/>
        <w:rPr>
          <w:rFonts w:ascii="仿宋" w:hAnsi="仿宋" w:eastAsia="仿宋" w:cs="仿宋"/>
          <w:b/>
          <w:sz w:val="28"/>
          <w:szCs w:val="28"/>
        </w:rPr>
      </w:pPr>
      <w:r>
        <w:rPr>
          <w:rFonts w:hint="eastAsia" w:ascii="仿宋" w:hAnsi="仿宋" w:eastAsia="仿宋" w:cs="仿宋"/>
          <w:b/>
          <w:sz w:val="28"/>
          <w:szCs w:val="28"/>
        </w:rPr>
        <w:t>1.1.1运维要求</w:t>
      </w:r>
    </w:p>
    <w:p w14:paraId="11E091B5">
      <w:pPr>
        <w:pStyle w:val="25"/>
        <w:tabs>
          <w:tab w:val="clear" w:pos="709"/>
        </w:tabs>
        <w:adjustRightInd/>
        <w:snapToGrid w:val="0"/>
        <w:spacing w:line="300" w:lineRule="auto"/>
        <w:ind w:left="0" w:firstLine="420" w:firstLineChars="150"/>
        <w:contextualSpacing/>
        <w:textAlignment w:val="auto"/>
        <w:rPr>
          <w:rFonts w:ascii="仿宋" w:hAnsi="仿宋" w:eastAsia="仿宋" w:cs="仿宋"/>
          <w:sz w:val="28"/>
          <w:szCs w:val="28"/>
        </w:rPr>
      </w:pPr>
      <w:r>
        <w:rPr>
          <w:rFonts w:hint="eastAsia" w:ascii="仿宋" w:hAnsi="仿宋" w:eastAsia="仿宋" w:cs="仿宋"/>
          <w:sz w:val="28"/>
          <w:szCs w:val="28"/>
        </w:rPr>
        <w:t>通过VDMS分布式综合运维平台，运维服务中心组建专职服务团队，不少于6人项目组，开展日常持续服务的可用性进行远程监控，一旦发现服务器不可用或者网络设备不可用，在第一时间向现场或远端运维技术服务人员发出APP告警信息。技术服务人员在收到报警后，远程提供技术支持和响应服务，将故障消除的同时，将处理过程填入服务流程管理平台中，并输出问题处理报告。硬件出现故障，在项目本地建立有备件中心，提供本地化快速服务。</w:t>
      </w:r>
    </w:p>
    <w:p w14:paraId="193CEAE2">
      <w:pPr>
        <w:pStyle w:val="25"/>
        <w:tabs>
          <w:tab w:val="clear" w:pos="709"/>
        </w:tabs>
        <w:adjustRightInd/>
        <w:snapToGrid w:val="0"/>
        <w:spacing w:line="300" w:lineRule="auto"/>
        <w:ind w:left="0" w:firstLine="420" w:firstLineChars="150"/>
        <w:contextualSpacing/>
        <w:textAlignment w:val="auto"/>
        <w:rPr>
          <w:rFonts w:ascii="仿宋" w:hAnsi="仿宋" w:eastAsia="仿宋" w:cs="仿宋"/>
          <w:sz w:val="28"/>
          <w:szCs w:val="28"/>
        </w:rPr>
      </w:pPr>
      <w:r>
        <w:rPr>
          <w:rFonts w:hint="eastAsia" w:ascii="仿宋" w:hAnsi="仿宋" w:eastAsia="仿宋" w:cs="仿宋"/>
          <w:sz w:val="28"/>
          <w:szCs w:val="28"/>
        </w:rPr>
        <w:t>结合各校、教育主管对教学活动需求，提供方案咨询，制定运营活动服务方案，并提供现场支撑服务。</w:t>
      </w:r>
    </w:p>
    <w:p w14:paraId="39E010CF">
      <w:pPr>
        <w:pStyle w:val="25"/>
        <w:ind w:left="0" w:firstLine="420" w:firstLineChars="150"/>
        <w:rPr>
          <w:rFonts w:ascii="仿宋" w:hAnsi="仿宋" w:eastAsia="仿宋" w:cs="仿宋"/>
          <w:sz w:val="28"/>
          <w:szCs w:val="28"/>
        </w:rPr>
      </w:pPr>
      <w:r>
        <w:rPr>
          <w:rFonts w:hint="eastAsia" w:ascii="仿宋" w:hAnsi="仿宋" w:eastAsia="仿宋" w:cs="仿宋"/>
          <w:sz w:val="28"/>
          <w:szCs w:val="28"/>
        </w:rPr>
        <w:t>1.1.2响应方式</w:t>
      </w:r>
    </w:p>
    <w:p w14:paraId="068FD314">
      <w:pPr>
        <w:pStyle w:val="25"/>
        <w:ind w:left="0" w:firstLine="420" w:firstLineChars="150"/>
        <w:rPr>
          <w:rFonts w:ascii="仿宋" w:hAnsi="仿宋" w:eastAsia="仿宋" w:cs="仿宋"/>
          <w:sz w:val="28"/>
          <w:szCs w:val="28"/>
        </w:rPr>
      </w:pPr>
      <w:r>
        <w:rPr>
          <w:rFonts w:hint="eastAsia" w:ascii="仿宋" w:hAnsi="仿宋" w:eastAsia="仿宋" w:cs="仿宋"/>
          <w:sz w:val="28"/>
          <w:szCs w:val="28"/>
        </w:rPr>
        <w:t>用户遇到系统平台软件故障及使用问题，可通过400热线或优教通微信公众号进行咨询和故障报送，运维客服受理团队提供早7点-22:30时段电话响应支撑，为用户指导解决问题，其他时间可通过优教通公众号提供在线问题应答服务。</w:t>
      </w:r>
    </w:p>
    <w:p w14:paraId="3E53B786">
      <w:pPr>
        <w:pStyle w:val="25"/>
        <w:ind w:left="0" w:firstLine="420" w:firstLineChars="150"/>
        <w:rPr>
          <w:rFonts w:ascii="仿宋" w:hAnsi="仿宋" w:eastAsia="仿宋" w:cs="仿宋"/>
          <w:sz w:val="28"/>
          <w:szCs w:val="28"/>
        </w:rPr>
      </w:pPr>
      <w:r>
        <w:rPr>
          <w:rFonts w:hint="eastAsia" w:ascii="仿宋" w:hAnsi="仿宋" w:eastAsia="仿宋" w:cs="仿宋"/>
          <w:sz w:val="28"/>
          <w:szCs w:val="28"/>
        </w:rPr>
        <w:t>运维团队提供7*24小时有人值守，巡检各业务平台，保障平台可持续服务。</w:t>
      </w:r>
    </w:p>
    <w:p w14:paraId="307E820C">
      <w:pPr>
        <w:ind w:firstLine="420" w:firstLineChars="150"/>
        <w:rPr>
          <w:rFonts w:ascii="仿宋" w:hAnsi="仿宋" w:eastAsia="仿宋" w:cs="仿宋"/>
          <w:sz w:val="28"/>
          <w:szCs w:val="28"/>
        </w:rPr>
      </w:pPr>
    </w:p>
    <w:p w14:paraId="2395FA3C">
      <w:pPr>
        <w:pStyle w:val="25"/>
        <w:ind w:left="0" w:firstLine="420" w:firstLineChars="150"/>
        <w:rPr>
          <w:rFonts w:ascii="仿宋" w:hAnsi="仿宋" w:eastAsia="仿宋" w:cs="仿宋"/>
          <w:sz w:val="28"/>
          <w:szCs w:val="28"/>
        </w:rPr>
      </w:pPr>
      <w:r>
        <w:rPr>
          <w:rFonts w:hint="eastAsia" w:ascii="仿宋" w:hAnsi="仿宋" w:eastAsia="仿宋" w:cs="仿宋"/>
          <w:sz w:val="28"/>
          <w:szCs w:val="28"/>
        </w:rPr>
        <w:t>1.1.3应急能力</w:t>
      </w:r>
    </w:p>
    <w:p w14:paraId="5CD2C787">
      <w:pPr>
        <w:pStyle w:val="25"/>
        <w:ind w:left="0" w:firstLine="420" w:firstLineChars="150"/>
        <w:rPr>
          <w:rFonts w:ascii="仿宋" w:hAnsi="仿宋" w:eastAsia="仿宋" w:cs="仿宋"/>
          <w:sz w:val="28"/>
          <w:szCs w:val="28"/>
        </w:rPr>
      </w:pPr>
      <w:r>
        <w:rPr>
          <w:rFonts w:hint="eastAsia" w:ascii="仿宋" w:hAnsi="仿宋" w:eastAsia="仿宋" w:cs="仿宋"/>
          <w:sz w:val="28"/>
          <w:szCs w:val="28"/>
        </w:rPr>
        <w:t>针对该项目系统定义了三级故障事件，故障事件等级如下：</w:t>
      </w:r>
    </w:p>
    <w:tbl>
      <w:tblPr>
        <w:tblStyle w:val="16"/>
        <w:tblW w:w="7654" w:type="dxa"/>
        <w:tblInd w:w="9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4536"/>
        <w:gridCol w:w="1417"/>
      </w:tblGrid>
      <w:tr w14:paraId="691DA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shd w:val="clear" w:color="auto" w:fill="F2F2F2"/>
            <w:vAlign w:val="center"/>
          </w:tcPr>
          <w:p w14:paraId="2C00EC29">
            <w:pPr>
              <w:widowControl/>
              <w:spacing w:before="120" w:after="120" w:line="378" w:lineRule="atLeast"/>
              <w:ind w:firstLine="440" w:firstLineChars="150"/>
              <w:jc w:val="center"/>
              <w:rPr>
                <w:rFonts w:ascii="仿宋" w:hAnsi="仿宋" w:eastAsia="仿宋" w:cs="仿宋"/>
                <w:b/>
                <w:spacing w:val="6"/>
                <w:kern w:val="0"/>
                <w:sz w:val="28"/>
                <w:szCs w:val="28"/>
              </w:rPr>
            </w:pPr>
            <w:r>
              <w:rPr>
                <w:rFonts w:hint="eastAsia" w:ascii="仿宋" w:hAnsi="仿宋" w:eastAsia="仿宋" w:cs="仿宋"/>
                <w:b/>
                <w:spacing w:val="6"/>
                <w:kern w:val="0"/>
                <w:sz w:val="28"/>
                <w:szCs w:val="28"/>
              </w:rPr>
              <w:t>事件定级类别</w:t>
            </w:r>
          </w:p>
        </w:tc>
        <w:tc>
          <w:tcPr>
            <w:tcW w:w="4536" w:type="dxa"/>
            <w:tcBorders>
              <w:top w:val="single" w:color="auto" w:sz="4" w:space="0"/>
              <w:left w:val="single" w:color="auto" w:sz="4" w:space="0"/>
              <w:bottom w:val="single" w:color="auto" w:sz="4" w:space="0"/>
              <w:right w:val="single" w:color="auto" w:sz="4" w:space="0"/>
            </w:tcBorders>
            <w:shd w:val="clear" w:color="auto" w:fill="F2F2F2"/>
            <w:vAlign w:val="center"/>
          </w:tcPr>
          <w:p w14:paraId="0FD512DF">
            <w:pPr>
              <w:widowControl/>
              <w:spacing w:before="120" w:after="120" w:line="378" w:lineRule="atLeast"/>
              <w:ind w:firstLine="440" w:firstLineChars="150"/>
              <w:jc w:val="center"/>
              <w:rPr>
                <w:rFonts w:ascii="仿宋" w:hAnsi="仿宋" w:eastAsia="仿宋" w:cs="仿宋"/>
                <w:b/>
                <w:spacing w:val="6"/>
                <w:kern w:val="0"/>
                <w:sz w:val="28"/>
                <w:szCs w:val="28"/>
              </w:rPr>
            </w:pPr>
            <w:r>
              <w:rPr>
                <w:rFonts w:hint="eastAsia" w:ascii="仿宋" w:hAnsi="仿宋" w:eastAsia="仿宋" w:cs="仿宋"/>
                <w:b/>
                <w:spacing w:val="6"/>
                <w:kern w:val="0"/>
                <w:sz w:val="28"/>
                <w:szCs w:val="28"/>
              </w:rPr>
              <w:t>事件定级分类</w:t>
            </w:r>
          </w:p>
        </w:tc>
        <w:tc>
          <w:tcPr>
            <w:tcW w:w="1417" w:type="dxa"/>
            <w:tcBorders>
              <w:top w:val="single" w:color="auto" w:sz="4" w:space="0"/>
              <w:left w:val="single" w:color="auto" w:sz="4" w:space="0"/>
              <w:bottom w:val="single" w:color="auto" w:sz="4" w:space="0"/>
              <w:right w:val="single" w:color="auto" w:sz="4" w:space="0"/>
            </w:tcBorders>
            <w:shd w:val="clear" w:color="auto" w:fill="F2F2F2"/>
            <w:vAlign w:val="center"/>
          </w:tcPr>
          <w:p w14:paraId="322E6C2D">
            <w:pPr>
              <w:widowControl/>
              <w:spacing w:before="120" w:after="120" w:line="378" w:lineRule="atLeast"/>
              <w:ind w:firstLine="440" w:firstLineChars="150"/>
              <w:jc w:val="center"/>
              <w:rPr>
                <w:rFonts w:ascii="仿宋" w:hAnsi="仿宋" w:eastAsia="仿宋" w:cs="仿宋"/>
                <w:b/>
                <w:spacing w:val="6"/>
                <w:kern w:val="0"/>
                <w:sz w:val="28"/>
                <w:szCs w:val="28"/>
              </w:rPr>
            </w:pPr>
            <w:r>
              <w:rPr>
                <w:rFonts w:hint="eastAsia" w:ascii="仿宋" w:hAnsi="仿宋" w:eastAsia="仿宋" w:cs="仿宋"/>
                <w:b/>
                <w:spacing w:val="6"/>
                <w:kern w:val="0"/>
                <w:sz w:val="28"/>
                <w:szCs w:val="28"/>
              </w:rPr>
              <w:t>响应时间</w:t>
            </w:r>
          </w:p>
        </w:tc>
      </w:tr>
      <w:tr w14:paraId="7FFC4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0440017D">
            <w:pPr>
              <w:widowControl/>
              <w:spacing w:before="120" w:after="120" w:line="378" w:lineRule="atLeast"/>
              <w:ind w:firstLine="438" w:firstLineChars="150"/>
              <w:jc w:val="center"/>
              <w:rPr>
                <w:rFonts w:ascii="仿宋" w:hAnsi="仿宋" w:eastAsia="仿宋" w:cs="仿宋"/>
                <w:spacing w:val="6"/>
                <w:kern w:val="0"/>
                <w:sz w:val="28"/>
                <w:szCs w:val="28"/>
              </w:rPr>
            </w:pPr>
            <w:r>
              <w:rPr>
                <w:rFonts w:hint="eastAsia" w:ascii="仿宋" w:hAnsi="仿宋" w:eastAsia="仿宋" w:cs="仿宋"/>
                <w:spacing w:val="6"/>
                <w:kern w:val="0"/>
                <w:sz w:val="28"/>
                <w:szCs w:val="28"/>
              </w:rPr>
              <w:t>一级故障事件</w:t>
            </w:r>
          </w:p>
        </w:tc>
        <w:tc>
          <w:tcPr>
            <w:tcW w:w="4536" w:type="dxa"/>
            <w:tcBorders>
              <w:top w:val="single" w:color="auto" w:sz="4" w:space="0"/>
              <w:left w:val="single" w:color="auto" w:sz="4" w:space="0"/>
              <w:bottom w:val="single" w:color="auto" w:sz="4" w:space="0"/>
              <w:right w:val="single" w:color="auto" w:sz="4" w:space="0"/>
            </w:tcBorders>
          </w:tcPr>
          <w:p w14:paraId="0A1F5F81">
            <w:pPr>
              <w:widowControl/>
              <w:spacing w:before="120" w:after="120" w:line="378" w:lineRule="atLeast"/>
              <w:ind w:firstLine="438" w:firstLineChars="150"/>
              <w:rPr>
                <w:rFonts w:ascii="仿宋" w:hAnsi="仿宋" w:eastAsia="仿宋" w:cs="仿宋"/>
                <w:spacing w:val="6"/>
                <w:kern w:val="0"/>
                <w:sz w:val="28"/>
                <w:szCs w:val="28"/>
              </w:rPr>
            </w:pPr>
            <w:r>
              <w:rPr>
                <w:rFonts w:hint="eastAsia" w:ascii="仿宋" w:hAnsi="仿宋" w:eastAsia="仿宋" w:cs="仿宋"/>
                <w:spacing w:val="6"/>
                <w:kern w:val="0"/>
                <w:sz w:val="28"/>
                <w:szCs w:val="28"/>
              </w:rPr>
              <w:t>由于安全事件导致的核心区网络中断超过半个小时以上，重要应用系统停机，或遭到严重攻击行为、安全事件，对多数用户的业务运作有重大影响，持续小于4小时的事件。</w:t>
            </w:r>
          </w:p>
        </w:tc>
        <w:tc>
          <w:tcPr>
            <w:tcW w:w="1417" w:type="dxa"/>
            <w:tcBorders>
              <w:top w:val="single" w:color="auto" w:sz="4" w:space="0"/>
              <w:left w:val="single" w:color="auto" w:sz="4" w:space="0"/>
              <w:bottom w:val="single" w:color="auto" w:sz="4" w:space="0"/>
              <w:right w:val="single" w:color="auto" w:sz="4" w:space="0"/>
            </w:tcBorders>
            <w:vAlign w:val="center"/>
          </w:tcPr>
          <w:p w14:paraId="15221858">
            <w:pPr>
              <w:widowControl/>
              <w:spacing w:before="120" w:after="120" w:line="378" w:lineRule="atLeast"/>
              <w:ind w:firstLine="438" w:firstLineChars="150"/>
              <w:jc w:val="center"/>
              <w:rPr>
                <w:rFonts w:ascii="仿宋" w:hAnsi="仿宋" w:eastAsia="仿宋" w:cs="仿宋"/>
                <w:spacing w:val="6"/>
                <w:kern w:val="0"/>
                <w:sz w:val="28"/>
                <w:szCs w:val="28"/>
              </w:rPr>
            </w:pPr>
            <w:r>
              <w:rPr>
                <w:rFonts w:hint="eastAsia" w:ascii="仿宋" w:hAnsi="仿宋" w:eastAsia="仿宋" w:cs="仿宋"/>
                <w:spacing w:val="6"/>
                <w:kern w:val="0"/>
                <w:sz w:val="28"/>
                <w:szCs w:val="28"/>
              </w:rPr>
              <w:t>0.5小时</w:t>
            </w:r>
          </w:p>
        </w:tc>
      </w:tr>
      <w:tr w14:paraId="1461D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30A8BE00">
            <w:pPr>
              <w:widowControl/>
              <w:spacing w:before="120" w:after="120" w:line="378" w:lineRule="atLeast"/>
              <w:ind w:firstLine="438" w:firstLineChars="150"/>
              <w:jc w:val="center"/>
              <w:rPr>
                <w:rFonts w:ascii="仿宋" w:hAnsi="仿宋" w:eastAsia="仿宋" w:cs="仿宋"/>
                <w:spacing w:val="6"/>
                <w:kern w:val="0"/>
                <w:sz w:val="28"/>
                <w:szCs w:val="28"/>
              </w:rPr>
            </w:pPr>
            <w:r>
              <w:rPr>
                <w:rFonts w:hint="eastAsia" w:ascii="仿宋" w:hAnsi="仿宋" w:eastAsia="仿宋" w:cs="仿宋"/>
                <w:spacing w:val="6"/>
                <w:kern w:val="0"/>
                <w:sz w:val="28"/>
                <w:szCs w:val="28"/>
              </w:rPr>
              <w:t>二级故障事件</w:t>
            </w:r>
          </w:p>
        </w:tc>
        <w:tc>
          <w:tcPr>
            <w:tcW w:w="4536" w:type="dxa"/>
            <w:tcBorders>
              <w:top w:val="single" w:color="auto" w:sz="4" w:space="0"/>
              <w:left w:val="single" w:color="auto" w:sz="4" w:space="0"/>
              <w:bottom w:val="single" w:color="auto" w:sz="4" w:space="0"/>
              <w:right w:val="single" w:color="auto" w:sz="4" w:space="0"/>
            </w:tcBorders>
          </w:tcPr>
          <w:p w14:paraId="41432383">
            <w:pPr>
              <w:widowControl/>
              <w:spacing w:before="120" w:after="120" w:line="378" w:lineRule="atLeast"/>
              <w:ind w:firstLine="438" w:firstLineChars="150"/>
              <w:rPr>
                <w:rFonts w:ascii="仿宋" w:hAnsi="仿宋" w:eastAsia="仿宋" w:cs="仿宋"/>
                <w:spacing w:val="6"/>
                <w:kern w:val="0"/>
                <w:sz w:val="28"/>
                <w:szCs w:val="28"/>
              </w:rPr>
            </w:pPr>
            <w:r>
              <w:rPr>
                <w:rFonts w:hint="eastAsia" w:ascii="仿宋" w:hAnsi="仿宋" w:eastAsia="仿宋" w:cs="仿宋"/>
                <w:spacing w:val="6"/>
                <w:kern w:val="0"/>
                <w:sz w:val="28"/>
                <w:szCs w:val="28"/>
              </w:rPr>
              <w:t>由于安全事件导致网络性能下降明显，重要应用系统的操作性能严重降级，或由于网络性能失常、安全事件严重影响个别用户业务运作，持续小于8小时的事件，持续时间超过8小时则升级到一级事件。</w:t>
            </w:r>
          </w:p>
        </w:tc>
        <w:tc>
          <w:tcPr>
            <w:tcW w:w="1417" w:type="dxa"/>
            <w:tcBorders>
              <w:top w:val="single" w:color="auto" w:sz="4" w:space="0"/>
              <w:left w:val="single" w:color="auto" w:sz="4" w:space="0"/>
              <w:bottom w:val="single" w:color="auto" w:sz="4" w:space="0"/>
              <w:right w:val="single" w:color="auto" w:sz="4" w:space="0"/>
            </w:tcBorders>
            <w:vAlign w:val="center"/>
          </w:tcPr>
          <w:p w14:paraId="658518BE">
            <w:pPr>
              <w:widowControl/>
              <w:spacing w:before="120" w:after="120" w:line="378" w:lineRule="atLeast"/>
              <w:ind w:firstLine="438" w:firstLineChars="150"/>
              <w:jc w:val="center"/>
              <w:rPr>
                <w:rFonts w:ascii="仿宋" w:hAnsi="仿宋" w:eastAsia="仿宋" w:cs="仿宋"/>
                <w:spacing w:val="6"/>
                <w:kern w:val="0"/>
                <w:sz w:val="28"/>
                <w:szCs w:val="28"/>
              </w:rPr>
            </w:pPr>
            <w:r>
              <w:rPr>
                <w:rFonts w:hint="eastAsia" w:ascii="仿宋" w:hAnsi="仿宋" w:eastAsia="仿宋" w:cs="仿宋"/>
                <w:spacing w:val="6"/>
                <w:kern w:val="0"/>
                <w:sz w:val="28"/>
                <w:szCs w:val="28"/>
              </w:rPr>
              <w:t>1小时</w:t>
            </w:r>
          </w:p>
        </w:tc>
      </w:tr>
      <w:tr w14:paraId="19C7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331D5846">
            <w:pPr>
              <w:widowControl/>
              <w:spacing w:before="120" w:after="120" w:line="378" w:lineRule="atLeast"/>
              <w:ind w:firstLine="438" w:firstLineChars="150"/>
              <w:jc w:val="center"/>
              <w:rPr>
                <w:rFonts w:ascii="仿宋" w:hAnsi="仿宋" w:eastAsia="仿宋" w:cs="仿宋"/>
                <w:spacing w:val="6"/>
                <w:kern w:val="0"/>
                <w:sz w:val="28"/>
                <w:szCs w:val="28"/>
              </w:rPr>
            </w:pPr>
            <w:r>
              <w:rPr>
                <w:rFonts w:hint="eastAsia" w:ascii="仿宋" w:hAnsi="仿宋" w:eastAsia="仿宋" w:cs="仿宋"/>
                <w:spacing w:val="6"/>
                <w:kern w:val="0"/>
                <w:sz w:val="28"/>
                <w:szCs w:val="28"/>
              </w:rPr>
              <w:t>三级故障事件</w:t>
            </w:r>
          </w:p>
        </w:tc>
        <w:tc>
          <w:tcPr>
            <w:tcW w:w="4536" w:type="dxa"/>
            <w:tcBorders>
              <w:top w:val="single" w:color="auto" w:sz="4" w:space="0"/>
              <w:left w:val="single" w:color="auto" w:sz="4" w:space="0"/>
              <w:bottom w:val="single" w:color="auto" w:sz="4" w:space="0"/>
              <w:right w:val="single" w:color="auto" w:sz="4" w:space="0"/>
            </w:tcBorders>
          </w:tcPr>
          <w:p w14:paraId="4EBA6D06">
            <w:pPr>
              <w:widowControl/>
              <w:spacing w:before="120" w:after="120" w:line="378" w:lineRule="atLeast"/>
              <w:ind w:firstLine="438" w:firstLineChars="150"/>
              <w:rPr>
                <w:rFonts w:ascii="仿宋" w:hAnsi="仿宋" w:eastAsia="仿宋" w:cs="仿宋"/>
                <w:spacing w:val="6"/>
                <w:kern w:val="0"/>
                <w:sz w:val="28"/>
                <w:szCs w:val="28"/>
              </w:rPr>
            </w:pPr>
            <w:r>
              <w:rPr>
                <w:rFonts w:hint="eastAsia" w:ascii="仿宋" w:hAnsi="仿宋" w:eastAsia="仿宋" w:cs="仿宋"/>
                <w:spacing w:val="6"/>
                <w:kern w:val="0"/>
                <w:sz w:val="28"/>
                <w:szCs w:val="28"/>
              </w:rPr>
              <w:t>性能下降，系统的操作性能受损，安全事件例如病毒小范围内发作对个别用户有影响，但大部份用户业务运作任可正常工作，持续小于24小时的事件。持续时间超过24小时则升级到二级事件。</w:t>
            </w:r>
          </w:p>
        </w:tc>
        <w:tc>
          <w:tcPr>
            <w:tcW w:w="1417" w:type="dxa"/>
            <w:tcBorders>
              <w:top w:val="single" w:color="auto" w:sz="4" w:space="0"/>
              <w:left w:val="single" w:color="auto" w:sz="4" w:space="0"/>
              <w:bottom w:val="single" w:color="auto" w:sz="4" w:space="0"/>
              <w:right w:val="single" w:color="auto" w:sz="4" w:space="0"/>
            </w:tcBorders>
            <w:vAlign w:val="center"/>
          </w:tcPr>
          <w:p w14:paraId="2691C03B">
            <w:pPr>
              <w:widowControl/>
              <w:spacing w:before="120" w:after="120" w:line="378" w:lineRule="atLeast"/>
              <w:ind w:firstLine="438" w:firstLineChars="150"/>
              <w:jc w:val="center"/>
              <w:rPr>
                <w:rFonts w:ascii="仿宋" w:hAnsi="仿宋" w:eastAsia="仿宋" w:cs="仿宋"/>
                <w:spacing w:val="6"/>
                <w:kern w:val="0"/>
                <w:sz w:val="28"/>
                <w:szCs w:val="28"/>
              </w:rPr>
            </w:pPr>
            <w:r>
              <w:rPr>
                <w:rFonts w:hint="eastAsia" w:ascii="仿宋" w:hAnsi="仿宋" w:eastAsia="仿宋" w:cs="仿宋"/>
                <w:spacing w:val="6"/>
                <w:kern w:val="0"/>
                <w:sz w:val="28"/>
                <w:szCs w:val="28"/>
              </w:rPr>
              <w:t>4小时</w:t>
            </w:r>
          </w:p>
        </w:tc>
      </w:tr>
    </w:tbl>
    <w:p w14:paraId="45868B01">
      <w:pPr>
        <w:pStyle w:val="25"/>
        <w:ind w:left="0" w:firstLine="420" w:firstLineChars="150"/>
        <w:rPr>
          <w:rFonts w:ascii="仿宋" w:hAnsi="仿宋" w:eastAsia="仿宋" w:cs="仿宋"/>
          <w:sz w:val="28"/>
          <w:szCs w:val="28"/>
        </w:rPr>
      </w:pPr>
    </w:p>
    <w:p w14:paraId="11686F98">
      <w:pPr>
        <w:pStyle w:val="25"/>
        <w:ind w:left="0" w:firstLine="420" w:firstLineChars="150"/>
        <w:rPr>
          <w:rFonts w:ascii="仿宋" w:hAnsi="仿宋" w:eastAsia="仿宋" w:cs="仿宋"/>
          <w:sz w:val="28"/>
          <w:szCs w:val="28"/>
        </w:rPr>
      </w:pPr>
      <w:r>
        <w:rPr>
          <w:rFonts w:hint="eastAsia" w:ascii="仿宋" w:hAnsi="仿宋" w:eastAsia="仿宋" w:cs="仿宋"/>
          <w:sz w:val="28"/>
          <w:szCs w:val="28"/>
        </w:rPr>
        <w:t>计划性运维服务，应提前3天通告。非计划性动力切断或关键设备发生故障，应在获得信息后5分之内告知当地业务部门，并进行平台服务告示，并定时反馈进展。</w:t>
      </w:r>
    </w:p>
    <w:p w14:paraId="75524C4C">
      <w:pPr>
        <w:pStyle w:val="25"/>
        <w:ind w:left="0" w:firstLine="420" w:firstLineChars="150"/>
        <w:rPr>
          <w:rFonts w:ascii="仿宋" w:hAnsi="仿宋" w:eastAsia="仿宋" w:cs="仿宋"/>
          <w:sz w:val="28"/>
          <w:szCs w:val="28"/>
        </w:rPr>
      </w:pPr>
      <w:r>
        <w:rPr>
          <w:rFonts w:hint="eastAsia" w:ascii="仿宋" w:hAnsi="仿宋" w:eastAsia="仿宋" w:cs="仿宋"/>
          <w:sz w:val="28"/>
          <w:szCs w:val="28"/>
        </w:rPr>
        <w:t>发生突发事件时，响应时间应≤5分钟，并按《数据中心设施突发事件应</w:t>
      </w:r>
      <w:r>
        <w:rPr>
          <w:rFonts w:hint="eastAsia" w:ascii="仿宋" w:hAnsi="仿宋" w:eastAsia="仿宋" w:cs="仿宋"/>
          <w:sz w:val="28"/>
          <w:szCs w:val="28"/>
          <w:lang w:val="en-US" w:eastAsia="zh-CN"/>
        </w:rPr>
        <w:t>急</w:t>
      </w:r>
      <w:bookmarkStart w:id="17" w:name="_GoBack"/>
      <w:bookmarkEnd w:id="17"/>
      <w:r>
        <w:rPr>
          <w:rFonts w:hint="eastAsia" w:ascii="仿宋" w:hAnsi="仿宋" w:eastAsia="仿宋" w:cs="仿宋"/>
          <w:sz w:val="28"/>
          <w:szCs w:val="28"/>
        </w:rPr>
        <w:t>处置操作指导》进行应急处置，关键设备一般事件1小时内采取临时、有效处理措施；重大事件立即启动应急方案，并持续跟踪故障处理状态，每24小时至少向当地IT业务部门通报一次故障处理进度，直到故障彻底消除。事件分级定义参照《数据中心设施突发事件应急处置操作指导》</w:t>
      </w:r>
    </w:p>
    <w:p w14:paraId="0621BD41">
      <w:pPr>
        <w:pStyle w:val="25"/>
        <w:ind w:left="0" w:firstLine="420" w:firstLineChars="150"/>
        <w:rPr>
          <w:rFonts w:ascii="仿宋" w:hAnsi="仿宋" w:eastAsia="仿宋" w:cs="仿宋"/>
          <w:sz w:val="28"/>
          <w:szCs w:val="28"/>
        </w:rPr>
      </w:pPr>
      <w:r>
        <w:rPr>
          <w:rFonts w:hint="eastAsia" w:ascii="仿宋" w:hAnsi="仿宋" w:eastAsia="仿宋" w:cs="仿宋"/>
          <w:sz w:val="28"/>
          <w:szCs w:val="28"/>
        </w:rPr>
        <w:t>关键设备发生重大事件，48小时内提交故障分析书面报告。（故障原因复杂、需多方举证的，与业务服务部门协商后确定提交报告时间）</w:t>
      </w:r>
    </w:p>
    <w:p w14:paraId="21C98091">
      <w:pPr>
        <w:pStyle w:val="25"/>
        <w:ind w:left="0" w:firstLine="420" w:firstLineChars="150"/>
        <w:rPr>
          <w:rFonts w:ascii="仿宋" w:hAnsi="仿宋" w:eastAsia="仿宋" w:cs="仿宋"/>
          <w:sz w:val="28"/>
          <w:szCs w:val="28"/>
        </w:rPr>
      </w:pPr>
      <w:r>
        <w:rPr>
          <w:rFonts w:hint="eastAsia" w:ascii="仿宋" w:hAnsi="仿宋" w:eastAsia="仿宋" w:cs="仿宋"/>
          <w:sz w:val="28"/>
          <w:szCs w:val="28"/>
        </w:rPr>
        <w:t>1.1.4风险与维护计划</w:t>
      </w:r>
    </w:p>
    <w:p w14:paraId="3D309667">
      <w:pPr>
        <w:pStyle w:val="25"/>
        <w:ind w:left="0" w:firstLine="420" w:firstLineChars="150"/>
        <w:rPr>
          <w:rFonts w:ascii="仿宋" w:hAnsi="仿宋" w:eastAsia="仿宋" w:cs="仿宋"/>
          <w:sz w:val="28"/>
          <w:szCs w:val="28"/>
        </w:rPr>
      </w:pPr>
      <w:r>
        <w:rPr>
          <w:rFonts w:hint="eastAsia" w:ascii="仿宋" w:hAnsi="仿宋" w:eastAsia="仿宋" w:cs="仿宋"/>
          <w:sz w:val="28"/>
          <w:szCs w:val="28"/>
        </w:rPr>
        <w:t>对支撑业务平台的设施拟定年度例行维护计划，并与当地业务主管部门沟通确认后遵照执行。若由于维护保养条件受到业务运行等因素影响而无法按期完成，经当地主管部门确认，按照重新约定的时间实施。</w:t>
      </w:r>
    </w:p>
    <w:p w14:paraId="03ABD975">
      <w:pPr>
        <w:pStyle w:val="25"/>
        <w:ind w:left="0" w:firstLine="420" w:firstLineChars="150"/>
        <w:rPr>
          <w:rFonts w:ascii="仿宋" w:hAnsi="仿宋" w:eastAsia="仿宋" w:cs="仿宋"/>
          <w:sz w:val="28"/>
          <w:szCs w:val="28"/>
        </w:rPr>
      </w:pPr>
      <w:r>
        <w:rPr>
          <w:rFonts w:hint="eastAsia" w:ascii="仿宋" w:hAnsi="仿宋" w:eastAsia="仿宋" w:cs="仿宋"/>
          <w:sz w:val="28"/>
          <w:szCs w:val="28"/>
        </w:rPr>
        <w:t>识别所在辖区的潜在风险因素并与业务主管部门、行政监管沟通确认整改。对于已经明确的风险，在整改期内及时完成整改，将机房运行风险降至最低：</w:t>
      </w:r>
    </w:p>
    <w:p w14:paraId="4134CFF4">
      <w:pPr>
        <w:pStyle w:val="25"/>
        <w:ind w:left="0" w:firstLine="420" w:firstLineChars="150"/>
        <w:rPr>
          <w:rFonts w:ascii="仿宋" w:hAnsi="仿宋" w:eastAsia="仿宋" w:cs="仿宋"/>
          <w:sz w:val="28"/>
          <w:szCs w:val="28"/>
        </w:rPr>
      </w:pPr>
      <w:r>
        <w:rPr>
          <w:rFonts w:hint="eastAsia" w:ascii="仿宋" w:hAnsi="仿宋" w:eastAsia="仿宋" w:cs="仿宋"/>
          <w:sz w:val="28"/>
          <w:szCs w:val="28"/>
        </w:rPr>
        <w:t>1.1.5档案、资料管理</w:t>
      </w:r>
    </w:p>
    <w:p w14:paraId="1438B729">
      <w:pPr>
        <w:pStyle w:val="25"/>
        <w:ind w:left="0" w:firstLine="420" w:firstLineChars="150"/>
        <w:rPr>
          <w:rFonts w:ascii="仿宋" w:hAnsi="仿宋" w:eastAsia="仿宋" w:cs="仿宋"/>
          <w:sz w:val="28"/>
          <w:szCs w:val="28"/>
        </w:rPr>
      </w:pPr>
      <w:r>
        <w:rPr>
          <w:rFonts w:hint="eastAsia" w:ascii="仿宋" w:hAnsi="仿宋" w:eastAsia="仿宋" w:cs="仿宋"/>
          <w:sz w:val="28"/>
          <w:szCs w:val="28"/>
        </w:rPr>
        <w:t>加强平台的档案和资料的管理。档案和资料的管理包括：安全管理记录档案，运行运维记录、现场巡检记录、现场运维记录、活动保障记录、活动方案、运维方案等。要求做到保存完整，管理完善，交接手续完备，检索方便准确。</w:t>
      </w:r>
    </w:p>
    <w:p w14:paraId="77FEE5C9">
      <w:pPr>
        <w:pStyle w:val="25"/>
        <w:ind w:left="0" w:firstLine="420" w:firstLineChars="150"/>
        <w:rPr>
          <w:rFonts w:ascii="仿宋" w:hAnsi="仿宋" w:eastAsia="仿宋" w:cs="仿宋"/>
          <w:sz w:val="28"/>
          <w:szCs w:val="28"/>
        </w:rPr>
      </w:pPr>
      <w:r>
        <w:rPr>
          <w:rFonts w:hint="eastAsia" w:ascii="仿宋" w:hAnsi="仿宋" w:eastAsia="仿宋" w:cs="仿宋"/>
          <w:sz w:val="28"/>
          <w:szCs w:val="28"/>
        </w:rPr>
        <w:t>1.1.6项目人员要求</w:t>
      </w:r>
    </w:p>
    <w:p w14:paraId="7C2CF340">
      <w:pPr>
        <w:pStyle w:val="25"/>
        <w:ind w:left="0" w:firstLine="420" w:firstLineChars="150"/>
        <w:rPr>
          <w:rFonts w:ascii="仿宋" w:hAnsi="仿宋" w:eastAsia="仿宋" w:cs="仿宋"/>
          <w:sz w:val="28"/>
          <w:szCs w:val="28"/>
        </w:rPr>
      </w:pPr>
      <w:r>
        <w:rPr>
          <w:rFonts w:hint="eastAsia" w:ascii="仿宋" w:hAnsi="仿宋" w:eastAsia="仿宋" w:cs="仿宋"/>
          <w:sz w:val="28"/>
          <w:szCs w:val="28"/>
        </w:rPr>
        <w:t>投标方需要为采购方提供专业的维保服务和技术支持，确保有专业团队负责平台维护，可快速地解决本次招标维护保修范围的各类故障，同时要尽量保证人员的稳定。合同期间内，招标方如认为投标方工程师人员能力不足，可要求投标方更换工程师人员，投标方需按招标方要求执行。</w:t>
      </w:r>
    </w:p>
    <w:p w14:paraId="38914072">
      <w:pPr>
        <w:pStyle w:val="3"/>
        <w:numPr>
          <w:ilvl w:val="0"/>
          <w:numId w:val="3"/>
        </w:numPr>
        <w:ind w:firstLine="422" w:firstLineChars="150"/>
        <w:rPr>
          <w:rFonts w:ascii="仿宋" w:hAnsi="仿宋" w:eastAsia="仿宋" w:cs="仿宋"/>
          <w:sz w:val="28"/>
          <w:szCs w:val="28"/>
        </w:rPr>
      </w:pPr>
      <w:r>
        <w:rPr>
          <w:rFonts w:hint="eastAsia" w:ascii="仿宋" w:hAnsi="仿宋" w:eastAsia="仿宋" w:cs="仿宋"/>
          <w:sz w:val="28"/>
          <w:szCs w:val="28"/>
        </w:rPr>
        <w:t>慧学南通平台云服务要求</w:t>
      </w:r>
    </w:p>
    <w:p w14:paraId="3F82F275">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慧学南通平台维保服务，支撑基础设备设施及其关联慧学南通业务系统、附属设备、本体设施的运行、保养、维修及各类紧急事件的应急响应、处理，责任区域内的各类小型物业工程方案拟定并参与评审、施工现场管理，负责慧学南通平台项目业务平台相关设备上下架工作。</w:t>
      </w:r>
    </w:p>
    <w:p w14:paraId="20C7BFBF">
      <w:pPr>
        <w:pStyle w:val="25"/>
        <w:ind w:left="0" w:firstLine="420" w:firstLineChars="150"/>
        <w:rPr>
          <w:rFonts w:ascii="仿宋" w:hAnsi="仿宋" w:eastAsia="仿宋" w:cs="仿宋"/>
          <w:sz w:val="28"/>
          <w:szCs w:val="28"/>
        </w:rPr>
      </w:pPr>
      <w:r>
        <w:rPr>
          <w:rFonts w:hint="eastAsia" w:ascii="仿宋" w:hAnsi="仿宋" w:eastAsia="仿宋" w:cs="仿宋"/>
          <w:sz w:val="28"/>
          <w:szCs w:val="28"/>
        </w:rPr>
        <w:t>2.1.1服务内容</w:t>
      </w:r>
    </w:p>
    <w:p w14:paraId="070FB5F3">
      <w:pPr>
        <w:pStyle w:val="25"/>
        <w:ind w:left="0" w:firstLine="420" w:firstLineChars="150"/>
        <w:rPr>
          <w:rFonts w:ascii="仿宋" w:hAnsi="仿宋" w:eastAsia="仿宋" w:cs="仿宋"/>
          <w:sz w:val="28"/>
          <w:szCs w:val="28"/>
        </w:rPr>
      </w:pPr>
      <w:r>
        <w:rPr>
          <w:rFonts w:hint="eastAsia" w:ascii="仿宋" w:hAnsi="仿宋" w:eastAsia="仿宋" w:cs="仿宋"/>
          <w:sz w:val="28"/>
          <w:szCs w:val="28"/>
        </w:rPr>
        <w:t>1)总体要求：</w:t>
      </w:r>
    </w:p>
    <w:p w14:paraId="2AE34B17">
      <w:pPr>
        <w:pStyle w:val="25"/>
        <w:ind w:left="0" w:firstLine="420" w:firstLineChars="150"/>
        <w:rPr>
          <w:rFonts w:ascii="仿宋" w:hAnsi="仿宋" w:eastAsia="仿宋" w:cs="仿宋"/>
          <w:sz w:val="28"/>
          <w:szCs w:val="28"/>
        </w:rPr>
      </w:pPr>
      <w:r>
        <w:rPr>
          <w:rFonts w:hint="eastAsia" w:ascii="仿宋" w:hAnsi="仿宋" w:eastAsia="仿宋" w:cs="仿宋"/>
          <w:sz w:val="28"/>
          <w:szCs w:val="28"/>
        </w:rPr>
        <w:t>运维服务单位应从本实际出发，根据合同约定的运维服务范围和标准，配备符合要求的管理人员、工程专业技术人员和各类服务人员，制定完整、有效的内部管理制度和日常服务运行管理制度等相关制度。</w:t>
      </w:r>
    </w:p>
    <w:p w14:paraId="4C319476">
      <w:pPr>
        <w:pStyle w:val="25"/>
        <w:ind w:left="0" w:firstLine="420" w:firstLineChars="150"/>
        <w:rPr>
          <w:rFonts w:ascii="仿宋" w:hAnsi="仿宋" w:eastAsia="仿宋" w:cs="仿宋"/>
          <w:sz w:val="28"/>
          <w:szCs w:val="28"/>
        </w:rPr>
      </w:pPr>
      <w:r>
        <w:rPr>
          <w:rFonts w:hint="eastAsia" w:ascii="仿宋" w:hAnsi="仿宋" w:eastAsia="仿宋" w:cs="仿宋"/>
          <w:sz w:val="28"/>
          <w:szCs w:val="28"/>
        </w:rPr>
        <w:t>2)主要服务内容：</w:t>
      </w:r>
    </w:p>
    <w:p w14:paraId="0C5BA743">
      <w:pPr>
        <w:pStyle w:val="25"/>
        <w:ind w:left="0" w:firstLine="420" w:firstLineChars="150"/>
        <w:rPr>
          <w:rFonts w:ascii="仿宋" w:hAnsi="仿宋" w:eastAsia="仿宋" w:cs="仿宋"/>
          <w:sz w:val="28"/>
          <w:szCs w:val="28"/>
        </w:rPr>
      </w:pPr>
      <w:r>
        <w:rPr>
          <w:rFonts w:hint="eastAsia" w:ascii="仿宋" w:hAnsi="仿宋" w:eastAsia="仿宋" w:cs="仿宋"/>
          <w:sz w:val="28"/>
          <w:szCs w:val="28"/>
        </w:rPr>
        <w:t>(1)项目接管</w:t>
      </w:r>
    </w:p>
    <w:p w14:paraId="532AEF73">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负责慧学南通平台运维项目接管验收确认，收集和发现项目运维过程中存在的问题事项，对遗留问题提供详细的清单，并拟定遗留问题消项、整改计划和详细的解决方案。</w:t>
      </w:r>
    </w:p>
    <w:p w14:paraId="28CF8573">
      <w:pPr>
        <w:pStyle w:val="25"/>
        <w:ind w:left="0" w:firstLine="420" w:firstLineChars="150"/>
        <w:rPr>
          <w:rFonts w:ascii="仿宋" w:hAnsi="仿宋" w:eastAsia="仿宋" w:cs="仿宋"/>
          <w:sz w:val="28"/>
          <w:szCs w:val="28"/>
        </w:rPr>
      </w:pPr>
      <w:r>
        <w:rPr>
          <w:rFonts w:hint="eastAsia" w:ascii="仿宋" w:hAnsi="仿宋" w:eastAsia="仿宋" w:cs="仿宋"/>
          <w:sz w:val="28"/>
          <w:szCs w:val="28"/>
        </w:rPr>
        <w:t>(2)遗留问题整改管理</w:t>
      </w:r>
    </w:p>
    <w:p w14:paraId="0D4F9659">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负责督促和跟进各责任单位完成慧学南通平台运维项目遗留问题事项整改，对遗留问题提供详细的清单并提出解决方案，跟进缺陷消项管理，保证遗留问题得以整改。</w:t>
      </w:r>
    </w:p>
    <w:p w14:paraId="41699B0D">
      <w:pPr>
        <w:pStyle w:val="25"/>
        <w:ind w:left="0" w:firstLine="420" w:firstLineChars="150"/>
        <w:rPr>
          <w:rFonts w:ascii="仿宋" w:hAnsi="仿宋" w:eastAsia="仿宋" w:cs="仿宋"/>
          <w:sz w:val="28"/>
          <w:szCs w:val="28"/>
        </w:rPr>
      </w:pPr>
      <w:r>
        <w:rPr>
          <w:rFonts w:hint="eastAsia" w:ascii="仿宋" w:hAnsi="仿宋" w:eastAsia="仿宋" w:cs="仿宋"/>
          <w:sz w:val="28"/>
          <w:szCs w:val="28"/>
        </w:rPr>
        <w:t>(3)设备运行环境</w:t>
      </w:r>
    </w:p>
    <w:p w14:paraId="34ADB8F8">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负责慧学南通平台运维项目服务器、存储、安全等基础设施的运行和维护，例行维保，确保基础平台设备正常运行。</w:t>
      </w:r>
    </w:p>
    <w:p w14:paraId="614B4C21">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负责慧学南通平台运维项目相关系统平台软件的日常维护、巡检、健康检查及软件迭代升级、生命周期管理等工作。</w:t>
      </w:r>
    </w:p>
    <w:p w14:paraId="6CEC4665">
      <w:pPr>
        <w:pStyle w:val="25"/>
        <w:ind w:left="0" w:firstLine="420" w:firstLineChars="150"/>
        <w:rPr>
          <w:rFonts w:ascii="仿宋" w:hAnsi="仿宋" w:eastAsia="仿宋" w:cs="仿宋"/>
          <w:sz w:val="28"/>
          <w:szCs w:val="28"/>
        </w:rPr>
      </w:pPr>
      <w:r>
        <w:rPr>
          <w:rFonts w:hint="eastAsia" w:ascii="仿宋" w:hAnsi="仿宋" w:eastAsia="仿宋" w:cs="仿宋"/>
          <w:sz w:val="28"/>
          <w:szCs w:val="28"/>
        </w:rPr>
        <w:t>提供日常运行、巡检、健康检查及例行维保、生命周期管理服务，并周期性提供巡检服务报告，承担及时发现、及时维修、及时解决问题等工作。</w:t>
      </w:r>
    </w:p>
    <w:p w14:paraId="71195DD3">
      <w:pPr>
        <w:pStyle w:val="25"/>
        <w:ind w:left="0" w:firstLine="420" w:firstLineChars="150"/>
        <w:rPr>
          <w:rFonts w:ascii="仿宋" w:hAnsi="仿宋" w:eastAsia="仿宋" w:cs="仿宋"/>
          <w:sz w:val="28"/>
          <w:szCs w:val="28"/>
        </w:rPr>
      </w:pPr>
      <w:r>
        <w:rPr>
          <w:rFonts w:hint="eastAsia" w:ascii="仿宋" w:hAnsi="仿宋" w:eastAsia="仿宋" w:cs="仿宋"/>
          <w:sz w:val="28"/>
          <w:szCs w:val="28"/>
        </w:rPr>
        <w:t>(4)风险识别与整改：</w:t>
      </w:r>
    </w:p>
    <w:p w14:paraId="2D092E99">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定期组织慧学南通平台运维项目相关设备设施运行状态评估（至少每年一次），识别设备缺陷和系统缺陷，及时发现较大的设备、系统问题或风险，提出专业分析报告和维修改造方案及计划经评估后组织实施。</w:t>
      </w:r>
    </w:p>
    <w:p w14:paraId="41DD248C">
      <w:pPr>
        <w:pStyle w:val="25"/>
        <w:ind w:left="0" w:firstLine="420" w:firstLineChars="150"/>
        <w:rPr>
          <w:rFonts w:ascii="仿宋" w:hAnsi="仿宋" w:eastAsia="仿宋" w:cs="仿宋"/>
          <w:sz w:val="28"/>
          <w:szCs w:val="28"/>
        </w:rPr>
      </w:pPr>
      <w:r>
        <w:rPr>
          <w:rFonts w:hint="eastAsia" w:ascii="仿宋" w:hAnsi="仿宋" w:eastAsia="仿宋" w:cs="仿宋"/>
          <w:sz w:val="28"/>
          <w:szCs w:val="28"/>
        </w:rPr>
        <w:t>(5)小型整改工程：</w:t>
      </w:r>
    </w:p>
    <w:p w14:paraId="779271EC">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管辖区域内的所有施工现场管理；参与制定、评审项目机房区域内相关的小型整改工程技术方案、施工图纸和施工方案，按照施工方案进行现场实施，以及现场管理协调工作，跟进施工进度，配合工程验收等工作：（包括IT设备上下架工作）。</w:t>
      </w:r>
    </w:p>
    <w:p w14:paraId="0D797033">
      <w:pPr>
        <w:pStyle w:val="25"/>
        <w:ind w:left="0" w:firstLine="420" w:firstLineChars="150"/>
        <w:rPr>
          <w:rFonts w:ascii="仿宋" w:hAnsi="仿宋" w:eastAsia="仿宋" w:cs="仿宋"/>
          <w:sz w:val="28"/>
          <w:szCs w:val="28"/>
        </w:rPr>
      </w:pPr>
      <w:r>
        <w:rPr>
          <w:rFonts w:hint="eastAsia" w:ascii="仿宋" w:hAnsi="仿宋" w:eastAsia="仿宋" w:cs="仿宋"/>
          <w:sz w:val="28"/>
          <w:szCs w:val="28"/>
        </w:rPr>
        <w:t>(6)IT设备上下架工作：</w:t>
      </w:r>
    </w:p>
    <w:p w14:paraId="4724A702">
      <w:pPr>
        <w:pStyle w:val="25"/>
        <w:ind w:left="0" w:firstLine="420" w:firstLineChars="150"/>
        <w:rPr>
          <w:rFonts w:ascii="仿宋" w:hAnsi="仿宋" w:eastAsia="仿宋" w:cs="仿宋"/>
          <w:sz w:val="28"/>
          <w:szCs w:val="28"/>
        </w:rPr>
      </w:pPr>
      <w:r>
        <w:rPr>
          <w:rFonts w:hint="eastAsia" w:ascii="仿宋" w:hAnsi="仿宋" w:eastAsia="仿宋" w:cs="仿宋"/>
          <w:sz w:val="28"/>
          <w:szCs w:val="28"/>
        </w:rPr>
        <w:t>负责组织实施项目机房内电源安装接线、设备上下架等工作。具体工作内容及要求如下：</w:t>
      </w:r>
    </w:p>
    <w:p w14:paraId="068C7690">
      <w:pPr>
        <w:pStyle w:val="25"/>
        <w:ind w:left="0" w:firstLine="420" w:firstLineChars="150"/>
        <w:rPr>
          <w:rFonts w:ascii="仿宋" w:hAnsi="仿宋" w:eastAsia="仿宋" w:cs="仿宋"/>
          <w:sz w:val="28"/>
          <w:szCs w:val="28"/>
        </w:rPr>
      </w:pPr>
      <w:r>
        <w:rPr>
          <w:rFonts w:hint="eastAsia" w:ascii="仿宋" w:hAnsi="仿宋" w:eastAsia="仿宋" w:cs="仿宋"/>
          <w:sz w:val="28"/>
          <w:szCs w:val="28"/>
        </w:rPr>
        <w:t>工作内容：</w:t>
      </w:r>
    </w:p>
    <w:p w14:paraId="157D0693">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对项目机房IT设备实施网络布线及跳线；</w:t>
      </w:r>
    </w:p>
    <w:p w14:paraId="1D918D6C">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对IT设备的上架安装固定，给设备跳线连接，线缆标签的粘贴，并测试网络链路的连通性能及衰减，按照机房布线规范进行走线绑扎。</w:t>
      </w:r>
    </w:p>
    <w:p w14:paraId="55D6AE43">
      <w:pPr>
        <w:pStyle w:val="25"/>
        <w:numPr>
          <w:ilvl w:val="0"/>
          <w:numId w:val="4"/>
        </w:numPr>
        <w:tabs>
          <w:tab w:val="clear" w:pos="709"/>
        </w:tabs>
        <w:adjustRightInd/>
        <w:snapToGrid w:val="0"/>
        <w:spacing w:line="300" w:lineRule="auto"/>
        <w:ind w:left="0" w:firstLine="420" w:firstLineChars="150"/>
        <w:contextualSpacing/>
        <w:textAlignment w:val="auto"/>
        <w:rPr>
          <w:rFonts w:ascii="仿宋" w:hAnsi="仿宋" w:eastAsia="仿宋" w:cs="仿宋"/>
          <w:sz w:val="28"/>
          <w:szCs w:val="28"/>
          <w:shd w:val="clear" w:color="auto" w:fill="FFFFFF"/>
        </w:rPr>
      </w:pPr>
      <w:r>
        <w:rPr>
          <w:rStyle w:val="27"/>
          <w:rFonts w:hint="eastAsia" w:ascii="仿宋" w:hAnsi="仿宋" w:eastAsia="仿宋" w:cs="仿宋"/>
          <w:sz w:val="28"/>
          <w:szCs w:val="28"/>
        </w:rPr>
        <w:t>配线架安装，在新启用机柜或有新的增改需求时需安装光纤和配线架，并做相应的专业打印标签，另外还必须保障所需材料的及时供货，具有专业的仪器设备。</w:t>
      </w:r>
    </w:p>
    <w:p w14:paraId="76FC5F53">
      <w:pPr>
        <w:pStyle w:val="25"/>
        <w:ind w:left="0" w:firstLine="420" w:firstLineChars="150"/>
        <w:rPr>
          <w:rFonts w:ascii="仿宋" w:hAnsi="仿宋" w:eastAsia="仿宋" w:cs="仿宋"/>
          <w:sz w:val="28"/>
          <w:szCs w:val="28"/>
        </w:rPr>
      </w:pPr>
      <w:r>
        <w:rPr>
          <w:rFonts w:hint="eastAsia" w:ascii="仿宋" w:hAnsi="仿宋" w:eastAsia="仿宋" w:cs="仿宋"/>
          <w:sz w:val="28"/>
          <w:szCs w:val="28"/>
        </w:rPr>
        <w:t>(7)应急响应：</w:t>
      </w:r>
    </w:p>
    <w:p w14:paraId="5B667331">
      <w:pPr>
        <w:pStyle w:val="25"/>
        <w:ind w:left="0" w:firstLine="420" w:firstLineChars="150"/>
        <w:rPr>
          <w:rFonts w:ascii="仿宋" w:hAnsi="仿宋" w:eastAsia="仿宋" w:cs="仿宋"/>
          <w:sz w:val="28"/>
          <w:szCs w:val="28"/>
        </w:rPr>
      </w:pPr>
      <w:r>
        <w:rPr>
          <w:rFonts w:hint="eastAsia" w:ascii="仿宋" w:hAnsi="仿宋" w:eastAsia="仿宋" w:cs="仿宋"/>
          <w:sz w:val="28"/>
          <w:szCs w:val="28"/>
        </w:rPr>
        <w:t>管辖范围内基础设施设备、系统等突发事件应急响应、处置，为确保突发事件快速响应并处置，数据中心现场应根据实际情况储备一定量的备件。</w:t>
      </w:r>
    </w:p>
    <w:p w14:paraId="3F7E9D74">
      <w:pPr>
        <w:pStyle w:val="25"/>
        <w:ind w:left="0" w:firstLine="420" w:firstLineChars="150"/>
        <w:rPr>
          <w:rFonts w:ascii="仿宋" w:hAnsi="仿宋" w:eastAsia="仿宋" w:cs="仿宋"/>
          <w:sz w:val="28"/>
          <w:szCs w:val="28"/>
        </w:rPr>
      </w:pPr>
      <w:r>
        <w:rPr>
          <w:rFonts w:hint="eastAsia" w:ascii="仿宋" w:hAnsi="仿宋" w:eastAsia="仿宋" w:cs="仿宋"/>
          <w:sz w:val="28"/>
          <w:szCs w:val="28"/>
        </w:rPr>
        <w:t>(8)运行维护记录管理：</w:t>
      </w:r>
    </w:p>
    <w:p w14:paraId="1630D58E">
      <w:pPr>
        <w:pStyle w:val="25"/>
        <w:ind w:left="0" w:firstLine="420" w:firstLineChars="150"/>
        <w:rPr>
          <w:rFonts w:ascii="仿宋" w:hAnsi="仿宋" w:eastAsia="仿宋" w:cs="仿宋"/>
          <w:sz w:val="28"/>
          <w:szCs w:val="28"/>
        </w:rPr>
      </w:pPr>
      <w:r>
        <w:rPr>
          <w:rFonts w:hint="eastAsia" w:ascii="仿宋" w:hAnsi="仿宋" w:eastAsia="仿宋" w:cs="仿宋"/>
          <w:sz w:val="28"/>
          <w:szCs w:val="28"/>
        </w:rPr>
        <w:t>平台及相关基础设施运行维护相关记录完整并能提供2年内的审计和追溯。</w:t>
      </w:r>
    </w:p>
    <w:p w14:paraId="0BEB81A2">
      <w:pPr>
        <w:pStyle w:val="25"/>
        <w:ind w:left="0" w:firstLine="420" w:firstLineChars="150"/>
        <w:rPr>
          <w:rFonts w:ascii="仿宋" w:hAnsi="仿宋" w:eastAsia="仿宋" w:cs="仿宋"/>
          <w:sz w:val="28"/>
          <w:szCs w:val="28"/>
        </w:rPr>
      </w:pPr>
      <w:r>
        <w:rPr>
          <w:rFonts w:hint="eastAsia" w:ascii="仿宋" w:hAnsi="仿宋" w:eastAsia="仿宋" w:cs="仿宋"/>
          <w:sz w:val="28"/>
          <w:szCs w:val="28"/>
        </w:rPr>
        <w:t>(9)应用软件服务</w:t>
      </w:r>
    </w:p>
    <w:p w14:paraId="47EB2BFA">
      <w:pPr>
        <w:pStyle w:val="25"/>
        <w:ind w:left="0" w:firstLine="420" w:firstLineChars="150"/>
        <w:rPr>
          <w:rFonts w:ascii="仿宋" w:hAnsi="仿宋" w:eastAsia="仿宋" w:cs="仿宋"/>
          <w:sz w:val="28"/>
          <w:szCs w:val="28"/>
        </w:rPr>
      </w:pPr>
      <w:r>
        <w:rPr>
          <w:rFonts w:hint="eastAsia" w:ascii="仿宋" w:hAnsi="仿宋" w:eastAsia="仿宋" w:cs="仿宋"/>
          <w:sz w:val="28"/>
          <w:szCs w:val="28"/>
        </w:rPr>
        <w:t>通过主动式管理对业务系统的日常运行状态进行监管，识别业务系统的性能问题发生在什么地方，有针对性地进行性能优化，主要包括：</w:t>
      </w:r>
    </w:p>
    <w:p w14:paraId="23F015AA">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应用系统软件平台各进程模块工作状态、服务日常巡检；</w:t>
      </w:r>
    </w:p>
    <w:p w14:paraId="5BDC5B48">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应用软件版本优化迭代升级的维护服务；</w:t>
      </w:r>
    </w:p>
    <w:p w14:paraId="38CD857C">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应用服务日志采集服务；</w:t>
      </w:r>
    </w:p>
    <w:p w14:paraId="71FD5D85">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应用系统业务性能监控及优化服务；</w:t>
      </w:r>
    </w:p>
    <w:p w14:paraId="072145E8">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应用软件备份、个性化资源备份服务；</w:t>
      </w:r>
    </w:p>
    <w:p w14:paraId="6D26C9B2">
      <w:pPr>
        <w:pStyle w:val="25"/>
        <w:ind w:left="0" w:firstLine="420" w:firstLineChars="150"/>
        <w:rPr>
          <w:rFonts w:ascii="仿宋" w:hAnsi="仿宋" w:eastAsia="仿宋" w:cs="仿宋"/>
          <w:sz w:val="28"/>
          <w:szCs w:val="28"/>
        </w:rPr>
      </w:pPr>
      <w:r>
        <w:rPr>
          <w:rFonts w:hint="eastAsia" w:ascii="仿宋" w:hAnsi="仿宋" w:eastAsia="仿宋" w:cs="仿宋"/>
          <w:sz w:val="28"/>
          <w:szCs w:val="28"/>
        </w:rPr>
        <w:t>(10)应用安全服务</w:t>
      </w:r>
    </w:p>
    <w:p w14:paraId="72D6B598">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各子系统应用安全服务及优化整改服务；</w:t>
      </w:r>
    </w:p>
    <w:p w14:paraId="2F37987F">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操作系统安全漏洞评估服务与加固服务；</w:t>
      </w:r>
    </w:p>
    <w:p w14:paraId="50CA57FD">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u w:val="single"/>
        </w:rPr>
      </w:pPr>
      <w:r>
        <w:rPr>
          <w:rStyle w:val="27"/>
          <w:rFonts w:hint="eastAsia" w:ascii="仿宋" w:hAnsi="仿宋" w:eastAsia="仿宋" w:cs="仿宋"/>
          <w:sz w:val="28"/>
          <w:szCs w:val="28"/>
          <w:u w:val="single"/>
        </w:rPr>
        <w:t>提供平台等保咨询及配合认证服务，达到等保三级测评和密评要求；</w:t>
      </w:r>
    </w:p>
    <w:p w14:paraId="174008CE">
      <w:pPr>
        <w:pStyle w:val="25"/>
        <w:ind w:left="0" w:firstLine="420" w:firstLineChars="150"/>
        <w:rPr>
          <w:rFonts w:ascii="仿宋" w:hAnsi="仿宋" w:eastAsia="仿宋" w:cs="仿宋"/>
          <w:sz w:val="28"/>
          <w:szCs w:val="28"/>
        </w:rPr>
      </w:pPr>
      <w:r>
        <w:rPr>
          <w:rFonts w:hint="eastAsia" w:ascii="仿宋" w:hAnsi="仿宋" w:eastAsia="仿宋" w:cs="仿宋"/>
          <w:sz w:val="28"/>
          <w:szCs w:val="28"/>
        </w:rPr>
        <w:t>(11)中间件软件服务</w:t>
      </w:r>
    </w:p>
    <w:p w14:paraId="39EF8C6A">
      <w:pPr>
        <w:pStyle w:val="25"/>
        <w:ind w:left="0" w:firstLine="420" w:firstLineChars="150"/>
        <w:rPr>
          <w:rFonts w:ascii="仿宋" w:hAnsi="仿宋" w:eastAsia="仿宋" w:cs="仿宋"/>
          <w:sz w:val="28"/>
          <w:szCs w:val="28"/>
        </w:rPr>
      </w:pPr>
      <w:r>
        <w:rPr>
          <w:rFonts w:hint="eastAsia" w:ascii="仿宋" w:hAnsi="仿宋" w:eastAsia="仿宋" w:cs="仿宋"/>
          <w:sz w:val="28"/>
          <w:szCs w:val="28"/>
        </w:rPr>
        <w:t>中间件管理是指对Jboss、Tomcat、Nginx、MongoDB、Redis、LVS、HAproxy等中间件或应用组件的日常维护管理和监控工作，提高对中间件平台事件的分析解决能力，确保中间件平台持续稳定运行。中间件监控指标包括配置信息管理、故障监控、性能监控。</w:t>
      </w:r>
    </w:p>
    <w:p w14:paraId="72C44583">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执行线程：监控中间件配置执行线程的空闲数量。</w:t>
      </w:r>
    </w:p>
    <w:p w14:paraId="0233866B">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JVM内存：JVM内存曲线正常，能够及时的进行内存空间回收。</w:t>
      </w:r>
    </w:p>
    <w:p w14:paraId="725F9A38">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JDBC连接池：连接池的初始容量和最大容量应该设置为相等，并且至少等于执行线程的数量，以避免在运行过程中创建数据库连接所带来的性能消耗。</w:t>
      </w:r>
    </w:p>
    <w:p w14:paraId="456C779D">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检查中间件日志文件是否有异常报错；</w:t>
      </w:r>
    </w:p>
    <w:p w14:paraId="1A998532">
      <w:pPr>
        <w:pStyle w:val="25"/>
        <w:ind w:left="0" w:firstLine="420" w:firstLineChars="150"/>
        <w:rPr>
          <w:rFonts w:ascii="仿宋" w:hAnsi="仿宋" w:eastAsia="仿宋" w:cs="仿宋"/>
          <w:sz w:val="28"/>
          <w:szCs w:val="28"/>
        </w:rPr>
      </w:pPr>
      <w:bookmarkStart w:id="8" w:name="_Hlk21705075"/>
      <w:r>
        <w:rPr>
          <w:rFonts w:hint="eastAsia" w:ascii="仿宋" w:hAnsi="仿宋" w:eastAsia="仿宋" w:cs="仿宋"/>
          <w:sz w:val="28"/>
          <w:szCs w:val="28"/>
        </w:rPr>
        <w:t>(12)运营活动支撑服务</w:t>
      </w:r>
    </w:p>
    <w:bookmarkEnd w:id="8"/>
    <w:p w14:paraId="09082475">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提供教学活动实施现场培训支撑服务；</w:t>
      </w:r>
    </w:p>
    <w:p w14:paraId="0C5538DB">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提供支撑南通区县教育组织课外活动策划及实施服务（如慧学南通公益课堂、南通微课大赛）；</w:t>
      </w:r>
    </w:p>
    <w:p w14:paraId="66500459">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提供教学活动实施咨询服务；</w:t>
      </w:r>
    </w:p>
    <w:p w14:paraId="66A43419">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提供支撑慧学南通开展业务所需的CDN加速服务。</w:t>
      </w:r>
    </w:p>
    <w:p w14:paraId="75D17A85">
      <w:pPr>
        <w:pStyle w:val="25"/>
        <w:ind w:left="0" w:firstLine="420" w:firstLineChars="150"/>
        <w:rPr>
          <w:rFonts w:ascii="仿宋" w:hAnsi="仿宋" w:eastAsia="仿宋" w:cs="仿宋"/>
          <w:sz w:val="28"/>
          <w:szCs w:val="28"/>
          <w:lang w:bidi="en-US"/>
        </w:rPr>
      </w:pPr>
      <w:r>
        <w:rPr>
          <w:rFonts w:hint="eastAsia" w:ascii="仿宋" w:hAnsi="仿宋" w:eastAsia="仿宋" w:cs="仿宋"/>
          <w:sz w:val="28"/>
          <w:szCs w:val="28"/>
        </w:rPr>
        <w:t>(13)慧学南通网站页面开发</w:t>
      </w:r>
    </w:p>
    <w:p w14:paraId="529D7F43">
      <w:pPr>
        <w:pStyle w:val="25"/>
        <w:ind w:left="0" w:firstLine="420" w:firstLineChars="150"/>
        <w:rPr>
          <w:rFonts w:ascii="仿宋" w:hAnsi="仿宋" w:eastAsia="仿宋" w:cs="仿宋"/>
          <w:sz w:val="28"/>
          <w:szCs w:val="28"/>
        </w:rPr>
      </w:pPr>
      <w:r>
        <w:rPr>
          <w:rFonts w:hint="eastAsia" w:ascii="仿宋" w:hAnsi="仿宋" w:eastAsia="仿宋" w:cs="仿宋"/>
          <w:sz w:val="28"/>
          <w:szCs w:val="28"/>
        </w:rPr>
        <w:t>根据教育需求对慧学南通网站页面进行定制化开发。</w:t>
      </w:r>
    </w:p>
    <w:p w14:paraId="1C8A2CFB">
      <w:pPr>
        <w:pStyle w:val="25"/>
        <w:ind w:left="0" w:firstLine="420" w:firstLineChars="150"/>
        <w:rPr>
          <w:rFonts w:ascii="仿宋" w:hAnsi="仿宋" w:eastAsia="仿宋" w:cs="仿宋"/>
          <w:sz w:val="28"/>
          <w:szCs w:val="28"/>
          <w:lang w:bidi="en-US"/>
        </w:rPr>
      </w:pPr>
      <w:r>
        <w:rPr>
          <w:rFonts w:hint="eastAsia" w:ascii="仿宋" w:hAnsi="仿宋" w:eastAsia="仿宋" w:cs="仿宋"/>
          <w:sz w:val="28"/>
          <w:szCs w:val="28"/>
        </w:rPr>
        <w:t>(14)慧学南通培训</w:t>
      </w:r>
    </w:p>
    <w:p w14:paraId="59D44975">
      <w:pPr>
        <w:pStyle w:val="25"/>
        <w:ind w:left="0" w:firstLine="420" w:firstLineChars="150"/>
        <w:rPr>
          <w:rFonts w:ascii="仿宋" w:hAnsi="仿宋" w:eastAsia="仿宋" w:cs="仿宋"/>
          <w:sz w:val="28"/>
          <w:szCs w:val="28"/>
        </w:rPr>
      </w:pPr>
      <w:r>
        <w:rPr>
          <w:rFonts w:hint="eastAsia" w:ascii="仿宋" w:hAnsi="仿宋" w:eastAsia="仿宋" w:cs="仿宋"/>
          <w:sz w:val="28"/>
          <w:szCs w:val="28"/>
        </w:rPr>
        <w:t>提供慧学南通指导、操作、维护培训服务，并且提供包括但不限于现场操作、运行、维护的培训方案及必须的培训材料。</w:t>
      </w:r>
    </w:p>
    <w:p w14:paraId="0B96345E">
      <w:pPr>
        <w:pStyle w:val="25"/>
        <w:ind w:left="0" w:firstLine="420" w:firstLineChars="150"/>
        <w:rPr>
          <w:rFonts w:ascii="仿宋" w:hAnsi="仿宋" w:eastAsia="仿宋" w:cs="仿宋"/>
          <w:sz w:val="28"/>
          <w:szCs w:val="28"/>
        </w:rPr>
      </w:pPr>
      <w:r>
        <w:rPr>
          <w:rFonts w:hint="eastAsia" w:ascii="仿宋" w:hAnsi="仿宋" w:eastAsia="仿宋" w:cs="仿宋"/>
          <w:sz w:val="28"/>
          <w:szCs w:val="28"/>
        </w:rPr>
        <w:t>(15)序时课堂维护</w:t>
      </w:r>
    </w:p>
    <w:p w14:paraId="2B48AF79">
      <w:pPr>
        <w:pStyle w:val="25"/>
        <w:ind w:left="0" w:firstLine="420" w:firstLineChars="150"/>
        <w:rPr>
          <w:rFonts w:ascii="仿宋" w:hAnsi="仿宋" w:eastAsia="仿宋" w:cs="仿宋"/>
          <w:sz w:val="28"/>
          <w:szCs w:val="28"/>
        </w:rPr>
      </w:pPr>
      <w:r>
        <w:rPr>
          <w:rFonts w:hint="eastAsia" w:ascii="仿宋" w:hAnsi="仿宋" w:eastAsia="仿宋" w:cs="仿宋"/>
          <w:sz w:val="28"/>
          <w:szCs w:val="28"/>
        </w:rPr>
        <w:t>提供慧学南通“序时课堂”管理维护，提供包括但不限于技术支持，课表维护、课程维护等服务。</w:t>
      </w:r>
    </w:p>
    <w:p w14:paraId="679A4F9A">
      <w:pPr>
        <w:pStyle w:val="25"/>
        <w:ind w:left="0" w:firstLine="420" w:firstLineChars="150"/>
        <w:rPr>
          <w:rFonts w:ascii="仿宋" w:hAnsi="仿宋" w:eastAsia="仿宋" w:cs="仿宋"/>
          <w:sz w:val="28"/>
          <w:szCs w:val="28"/>
        </w:rPr>
      </w:pPr>
      <w:r>
        <w:rPr>
          <w:rFonts w:hint="eastAsia" w:ascii="仿宋" w:hAnsi="仿宋" w:eastAsia="仿宋" w:cs="仿宋"/>
          <w:sz w:val="28"/>
          <w:szCs w:val="28"/>
        </w:rPr>
        <w:t>（16）“双减”课堂</w:t>
      </w:r>
    </w:p>
    <w:p w14:paraId="1B1BC3E1">
      <w:pPr>
        <w:pStyle w:val="25"/>
        <w:ind w:left="0" w:firstLine="420" w:firstLineChars="150"/>
        <w:rPr>
          <w:rFonts w:ascii="仿宋" w:hAnsi="仿宋" w:eastAsia="仿宋" w:cs="仿宋"/>
          <w:sz w:val="28"/>
          <w:szCs w:val="28"/>
        </w:rPr>
      </w:pPr>
      <w:r>
        <w:rPr>
          <w:rFonts w:hint="eastAsia" w:ascii="仿宋" w:hAnsi="仿宋" w:eastAsia="仿宋" w:cs="仿宋"/>
          <w:sz w:val="28"/>
          <w:szCs w:val="28"/>
        </w:rPr>
        <w:t>提供慧学南通学校个性化定制“双减”课堂选课服务及校本资源管理维护。</w:t>
      </w:r>
    </w:p>
    <w:p w14:paraId="5403CFCB">
      <w:pPr>
        <w:ind w:firstLine="315" w:firstLineChars="150"/>
        <w:rPr>
          <w:rFonts w:ascii="仿宋" w:hAnsi="仿宋" w:eastAsia="仿宋" w:cs="仿宋"/>
          <w:highlight w:val="yellow"/>
        </w:rPr>
      </w:pPr>
    </w:p>
    <w:p w14:paraId="6B0FFC3B">
      <w:pPr>
        <w:pStyle w:val="3"/>
        <w:numPr>
          <w:ilvl w:val="0"/>
          <w:numId w:val="3"/>
        </w:numPr>
        <w:ind w:firstLine="422" w:firstLineChars="150"/>
        <w:rPr>
          <w:rFonts w:ascii="仿宋" w:hAnsi="仿宋" w:eastAsia="仿宋" w:cs="仿宋"/>
          <w:sz w:val="28"/>
          <w:szCs w:val="28"/>
        </w:rPr>
      </w:pPr>
      <w:r>
        <w:rPr>
          <w:rFonts w:hint="eastAsia" w:ascii="仿宋" w:hAnsi="仿宋" w:eastAsia="仿宋" w:cs="仿宋"/>
          <w:sz w:val="28"/>
          <w:szCs w:val="28"/>
        </w:rPr>
        <w:t>慧学南通平台资源更新要求</w:t>
      </w:r>
    </w:p>
    <w:p w14:paraId="021A676E">
      <w:pPr>
        <w:pStyle w:val="25"/>
        <w:ind w:left="0" w:firstLine="420" w:firstLineChars="150"/>
        <w:rPr>
          <w:rFonts w:ascii="仿宋" w:hAnsi="仿宋" w:eastAsia="仿宋" w:cs="仿宋"/>
          <w:sz w:val="28"/>
          <w:szCs w:val="28"/>
          <w:lang w:val="zh-CN"/>
        </w:rPr>
      </w:pPr>
      <w:r>
        <w:rPr>
          <w:rFonts w:hint="eastAsia" w:ascii="仿宋" w:hAnsi="仿宋" w:eastAsia="仿宋" w:cs="仿宋"/>
          <w:sz w:val="28"/>
          <w:szCs w:val="28"/>
        </w:rPr>
        <w:t>3</w:t>
      </w:r>
      <w:r>
        <w:rPr>
          <w:rFonts w:hint="eastAsia" w:ascii="仿宋" w:hAnsi="仿宋" w:eastAsia="仿宋" w:cs="仿宋"/>
          <w:sz w:val="28"/>
          <w:szCs w:val="28"/>
          <w:lang w:val="zh-CN"/>
        </w:rPr>
        <w:t>.1.1更新内容</w:t>
      </w:r>
    </w:p>
    <w:p w14:paraId="6CF72AF5">
      <w:pPr>
        <w:pStyle w:val="25"/>
        <w:ind w:left="0" w:firstLine="280" w:firstLineChars="100"/>
        <w:rPr>
          <w:rFonts w:ascii="仿宋" w:hAnsi="仿宋" w:eastAsia="仿宋" w:cs="仿宋"/>
          <w:sz w:val="28"/>
          <w:szCs w:val="28"/>
        </w:rPr>
      </w:pPr>
      <w:r>
        <w:rPr>
          <w:rFonts w:hint="eastAsia" w:ascii="仿宋" w:hAnsi="仿宋" w:eastAsia="仿宋" w:cs="仿宋"/>
          <w:sz w:val="28"/>
          <w:szCs w:val="28"/>
        </w:rPr>
        <w:t>新教材：基于新课改和新教材改革，重新制定资源开发标准和更新计划，保障资源体系与现行教材同步且一致。以最快速度响应新教材资源更新，承诺开学1个月内提前教学进度完成新教材资源更新上线，保障资源体系新。</w:t>
      </w:r>
    </w:p>
    <w:p w14:paraId="1A161CA2">
      <w:pPr>
        <w:pStyle w:val="25"/>
        <w:ind w:left="0" w:firstLine="420" w:firstLineChars="150"/>
        <w:rPr>
          <w:rFonts w:ascii="仿宋" w:hAnsi="仿宋" w:eastAsia="仿宋" w:cs="仿宋"/>
          <w:sz w:val="28"/>
          <w:szCs w:val="28"/>
        </w:rPr>
      </w:pPr>
      <w:r>
        <w:rPr>
          <w:rFonts w:hint="eastAsia" w:ascii="仿宋" w:hAnsi="仿宋" w:eastAsia="仿宋" w:cs="仿宋"/>
          <w:sz w:val="28"/>
          <w:szCs w:val="28"/>
        </w:rPr>
        <w:t xml:space="preserve">新教法：基础教育资源更新依据新课程标准改革理念，围绕学科教学标准和最新教学模式，优化资源体系和核心资源内容标准结构，保障资源应用方式新。 </w:t>
      </w:r>
    </w:p>
    <w:p w14:paraId="0AD20960">
      <w:pPr>
        <w:pStyle w:val="25"/>
        <w:ind w:left="0" w:firstLine="420" w:firstLineChars="150"/>
        <w:rPr>
          <w:rFonts w:ascii="仿宋" w:hAnsi="仿宋" w:eastAsia="仿宋" w:cs="仿宋"/>
          <w:sz w:val="28"/>
          <w:szCs w:val="28"/>
        </w:rPr>
      </w:pPr>
      <w:r>
        <w:rPr>
          <w:rFonts w:hint="eastAsia" w:ascii="仿宋" w:hAnsi="仿宋" w:eastAsia="仿宋" w:cs="仿宋"/>
          <w:sz w:val="28"/>
          <w:szCs w:val="28"/>
        </w:rPr>
        <w:t>新资源：结合资源统计数据分析和资源应用周期，重点优化应用率较低、资源内容陈旧类资源，保障资源知识内容新。</w:t>
      </w:r>
    </w:p>
    <w:p w14:paraId="508BD177">
      <w:pPr>
        <w:pStyle w:val="25"/>
        <w:ind w:left="0" w:firstLine="420" w:firstLineChars="150"/>
        <w:rPr>
          <w:rFonts w:ascii="仿宋" w:hAnsi="仿宋" w:eastAsia="仿宋" w:cs="仿宋"/>
          <w:sz w:val="28"/>
          <w:szCs w:val="28"/>
        </w:rPr>
      </w:pPr>
      <w:r>
        <w:rPr>
          <w:rFonts w:hint="eastAsia" w:ascii="仿宋" w:hAnsi="仿宋" w:eastAsia="仿宋" w:cs="仿宋"/>
          <w:sz w:val="28"/>
          <w:szCs w:val="28"/>
        </w:rPr>
        <w:t>3.1.2更新计划</w:t>
      </w:r>
    </w:p>
    <w:p w14:paraId="63028EA2">
      <w:pPr>
        <w:spacing w:line="360" w:lineRule="auto"/>
        <w:ind w:firstLine="420" w:firstLineChars="150"/>
        <w:rPr>
          <w:rFonts w:ascii="仿宋" w:hAnsi="仿宋" w:eastAsia="仿宋" w:cs="仿宋"/>
          <w:sz w:val="28"/>
          <w:szCs w:val="28"/>
        </w:rPr>
      </w:pPr>
      <w:r>
        <w:rPr>
          <w:rFonts w:hint="eastAsia" w:ascii="仿宋" w:hAnsi="仿宋" w:eastAsia="仿宋" w:cs="仿宋"/>
          <w:sz w:val="28"/>
          <w:szCs w:val="28"/>
        </w:rPr>
        <w:t>以用户核心需求为更新依据，以学期、周为周期，进行资源更新。</w:t>
      </w:r>
    </w:p>
    <w:p w14:paraId="1A919C38">
      <w:pPr>
        <w:spacing w:line="360" w:lineRule="auto"/>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资源内容更新规划表</w:t>
      </w:r>
    </w:p>
    <w:tbl>
      <w:tblPr>
        <w:tblStyle w:val="16"/>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35"/>
        <w:gridCol w:w="4012"/>
        <w:gridCol w:w="2275"/>
      </w:tblGrid>
      <w:tr w14:paraId="2FBB1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235" w:type="dxa"/>
          </w:tcPr>
          <w:p w14:paraId="02870D99">
            <w:pPr>
              <w:spacing w:line="360" w:lineRule="auto"/>
              <w:rPr>
                <w:rFonts w:ascii="仿宋" w:hAnsi="仿宋" w:eastAsia="仿宋" w:cs="仿宋"/>
                <w:b/>
                <w:bCs/>
                <w:color w:val="000000"/>
                <w:sz w:val="28"/>
                <w:szCs w:val="28"/>
              </w:rPr>
            </w:pPr>
            <w:r>
              <w:rPr>
                <w:rFonts w:hint="eastAsia" w:ascii="仿宋" w:hAnsi="仿宋" w:eastAsia="仿宋" w:cs="仿宋"/>
                <w:b/>
                <w:bCs/>
                <w:color w:val="000000"/>
                <w:sz w:val="28"/>
                <w:szCs w:val="28"/>
              </w:rPr>
              <w:t>更新资源类型</w:t>
            </w:r>
          </w:p>
        </w:tc>
        <w:tc>
          <w:tcPr>
            <w:tcW w:w="4012" w:type="dxa"/>
            <w:vAlign w:val="center"/>
          </w:tcPr>
          <w:p w14:paraId="34C3AEE4">
            <w:pPr>
              <w:spacing w:line="360" w:lineRule="auto"/>
              <w:ind w:firstLine="422" w:firstLineChars="15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更新资源内容</w:t>
            </w:r>
          </w:p>
        </w:tc>
        <w:tc>
          <w:tcPr>
            <w:tcW w:w="2275" w:type="dxa"/>
            <w:vAlign w:val="center"/>
          </w:tcPr>
          <w:p w14:paraId="7F9D2FBA">
            <w:pPr>
              <w:spacing w:line="360" w:lineRule="auto"/>
              <w:ind w:firstLine="422" w:firstLineChars="150"/>
              <w:jc w:val="center"/>
              <w:rPr>
                <w:rFonts w:ascii="仿宋" w:hAnsi="仿宋" w:eastAsia="仿宋" w:cs="仿宋"/>
                <w:b/>
                <w:bCs/>
                <w:color w:val="000000"/>
                <w:sz w:val="28"/>
                <w:szCs w:val="28"/>
              </w:rPr>
            </w:pPr>
            <w:r>
              <w:rPr>
                <w:rFonts w:hint="eastAsia" w:ascii="仿宋" w:hAnsi="仿宋" w:eastAsia="仿宋" w:cs="仿宋"/>
                <w:b/>
                <w:bCs/>
                <w:color w:val="000000"/>
                <w:sz w:val="28"/>
                <w:szCs w:val="28"/>
              </w:rPr>
              <w:t>更新规划</w:t>
            </w:r>
          </w:p>
        </w:tc>
      </w:tr>
      <w:tr w14:paraId="258438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1" w:hRule="atLeast"/>
          <w:jc w:val="center"/>
        </w:trPr>
        <w:tc>
          <w:tcPr>
            <w:tcW w:w="2235" w:type="dxa"/>
            <w:vMerge w:val="restart"/>
            <w:vAlign w:val="center"/>
          </w:tcPr>
          <w:p w14:paraId="4412AD36">
            <w:pPr>
              <w:spacing w:line="360" w:lineRule="auto"/>
              <w:ind w:firstLine="420" w:firstLineChars="150"/>
              <w:jc w:val="center"/>
              <w:rPr>
                <w:rFonts w:ascii="仿宋" w:hAnsi="仿宋" w:eastAsia="仿宋" w:cs="仿宋"/>
                <w:color w:val="000000"/>
                <w:sz w:val="28"/>
                <w:szCs w:val="28"/>
              </w:rPr>
            </w:pPr>
          </w:p>
          <w:p w14:paraId="654C43CC">
            <w:pPr>
              <w:spacing w:line="360" w:lineRule="auto"/>
              <w:ind w:firstLine="420" w:firstLineChars="150"/>
              <w:jc w:val="center"/>
              <w:rPr>
                <w:rFonts w:ascii="仿宋" w:hAnsi="仿宋" w:eastAsia="仿宋" w:cs="仿宋"/>
                <w:color w:val="000000"/>
                <w:sz w:val="28"/>
                <w:szCs w:val="28"/>
              </w:rPr>
            </w:pPr>
          </w:p>
          <w:p w14:paraId="0E10CBB1">
            <w:pPr>
              <w:spacing w:line="360" w:lineRule="auto"/>
              <w:ind w:firstLine="420" w:firstLineChars="150"/>
              <w:jc w:val="center"/>
              <w:rPr>
                <w:rFonts w:ascii="仿宋" w:hAnsi="仿宋" w:eastAsia="仿宋" w:cs="仿宋"/>
                <w:color w:val="000000"/>
                <w:sz w:val="28"/>
                <w:szCs w:val="28"/>
              </w:rPr>
            </w:pPr>
          </w:p>
          <w:p w14:paraId="0D6CA54E">
            <w:pPr>
              <w:spacing w:line="360" w:lineRule="auto"/>
              <w:ind w:firstLine="420" w:firstLineChars="150"/>
              <w:jc w:val="center"/>
              <w:rPr>
                <w:rFonts w:ascii="仿宋" w:hAnsi="仿宋" w:eastAsia="仿宋" w:cs="仿宋"/>
                <w:color w:val="000000"/>
                <w:sz w:val="28"/>
                <w:szCs w:val="28"/>
              </w:rPr>
            </w:pPr>
          </w:p>
          <w:p w14:paraId="054480FB">
            <w:pPr>
              <w:spacing w:line="360" w:lineRule="auto"/>
              <w:ind w:firstLine="420" w:firstLineChars="150"/>
              <w:jc w:val="center"/>
              <w:rPr>
                <w:rFonts w:ascii="仿宋" w:hAnsi="仿宋" w:eastAsia="仿宋" w:cs="仿宋"/>
                <w:color w:val="000000"/>
                <w:sz w:val="28"/>
                <w:szCs w:val="28"/>
              </w:rPr>
            </w:pPr>
          </w:p>
          <w:p w14:paraId="2954BCEA">
            <w:pPr>
              <w:spacing w:line="360" w:lineRule="auto"/>
              <w:ind w:firstLine="420" w:firstLineChars="150"/>
              <w:jc w:val="center"/>
              <w:rPr>
                <w:rFonts w:ascii="仿宋" w:hAnsi="仿宋" w:eastAsia="仿宋" w:cs="仿宋"/>
                <w:color w:val="000000"/>
                <w:sz w:val="28"/>
                <w:szCs w:val="28"/>
              </w:rPr>
            </w:pPr>
          </w:p>
          <w:p w14:paraId="57363EDE">
            <w:pPr>
              <w:spacing w:line="360" w:lineRule="auto"/>
              <w:ind w:firstLine="420" w:firstLineChars="150"/>
              <w:jc w:val="center"/>
              <w:rPr>
                <w:rFonts w:ascii="仿宋" w:hAnsi="仿宋" w:eastAsia="仿宋" w:cs="仿宋"/>
                <w:color w:val="000000"/>
                <w:sz w:val="28"/>
                <w:szCs w:val="28"/>
              </w:rPr>
            </w:pPr>
          </w:p>
          <w:p w14:paraId="1DB26B1B">
            <w:pPr>
              <w:spacing w:line="360" w:lineRule="auto"/>
              <w:ind w:firstLine="420" w:firstLineChars="150"/>
              <w:jc w:val="center"/>
              <w:rPr>
                <w:rFonts w:ascii="仿宋" w:hAnsi="仿宋" w:eastAsia="仿宋" w:cs="仿宋"/>
                <w:color w:val="000000"/>
                <w:sz w:val="28"/>
                <w:szCs w:val="28"/>
              </w:rPr>
            </w:pPr>
          </w:p>
          <w:p w14:paraId="7479CE88">
            <w:pPr>
              <w:spacing w:line="360" w:lineRule="auto"/>
              <w:ind w:firstLine="420" w:firstLineChars="150"/>
              <w:jc w:val="center"/>
              <w:rPr>
                <w:rFonts w:ascii="仿宋" w:hAnsi="仿宋" w:eastAsia="仿宋" w:cs="仿宋"/>
                <w:color w:val="000000"/>
                <w:sz w:val="28"/>
                <w:szCs w:val="28"/>
              </w:rPr>
            </w:pPr>
          </w:p>
          <w:p w14:paraId="45EF3EFA">
            <w:pPr>
              <w:spacing w:line="360" w:lineRule="auto"/>
              <w:ind w:firstLine="420" w:firstLineChars="150"/>
              <w:jc w:val="center"/>
              <w:rPr>
                <w:rFonts w:ascii="仿宋" w:hAnsi="仿宋" w:eastAsia="仿宋" w:cs="仿宋"/>
                <w:color w:val="000000"/>
                <w:sz w:val="28"/>
                <w:szCs w:val="28"/>
              </w:rPr>
            </w:pPr>
            <w:r>
              <w:rPr>
                <w:rFonts w:hint="eastAsia" w:ascii="仿宋" w:hAnsi="仿宋" w:eastAsia="仿宋" w:cs="仿宋"/>
                <w:color w:val="000000"/>
                <w:sz w:val="28"/>
                <w:szCs w:val="28"/>
              </w:rPr>
              <w:t>基础教材资源更新</w:t>
            </w:r>
          </w:p>
        </w:tc>
        <w:tc>
          <w:tcPr>
            <w:tcW w:w="4012" w:type="dxa"/>
            <w:vAlign w:val="center"/>
          </w:tcPr>
          <w:p w14:paraId="10D8AFBA">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依据最新义务教育新课标修订教材内容和用户应用需求，更新小初高各学科各版本各类资源，满足教师日常教学备课、授课、学生自主学习需求。</w:t>
            </w:r>
          </w:p>
          <w:p w14:paraId="15F00393">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新换教材资源：按照新教材，补充调整课程目录、补充完善各类资源；</w:t>
            </w:r>
          </w:p>
          <w:p w14:paraId="2428DBDD">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新增版本资源：开展地方版本课程资源开发建设，提前教学进度进行更新；</w:t>
            </w:r>
          </w:p>
        </w:tc>
        <w:tc>
          <w:tcPr>
            <w:tcW w:w="2275" w:type="dxa"/>
            <w:vAlign w:val="center"/>
          </w:tcPr>
          <w:p w14:paraId="5E264DC0">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上学期资源更新周期：当年6月—11月</w:t>
            </w:r>
          </w:p>
          <w:p w14:paraId="3FA2D724">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下学期资源更新周期：当12月—次年5月</w:t>
            </w:r>
          </w:p>
        </w:tc>
      </w:tr>
      <w:tr w14:paraId="79A45F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2235" w:type="dxa"/>
            <w:vMerge w:val="continue"/>
          </w:tcPr>
          <w:p w14:paraId="51F1DF3D">
            <w:pPr>
              <w:spacing w:line="360" w:lineRule="auto"/>
              <w:ind w:firstLine="420" w:firstLineChars="150"/>
              <w:rPr>
                <w:rFonts w:ascii="仿宋" w:hAnsi="仿宋" w:eastAsia="仿宋" w:cs="仿宋"/>
                <w:color w:val="000000"/>
                <w:sz w:val="28"/>
                <w:szCs w:val="28"/>
              </w:rPr>
            </w:pPr>
          </w:p>
        </w:tc>
        <w:tc>
          <w:tcPr>
            <w:tcW w:w="4012" w:type="dxa"/>
            <w:vAlign w:val="center"/>
          </w:tcPr>
          <w:p w14:paraId="00D21554">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依据每年地区考试大纲要求，定期更新小升初、中招、高考全国及地方备考资源。</w:t>
            </w:r>
          </w:p>
          <w:p w14:paraId="392BF7A9">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优化专题结构：优化考试专题栏目知识点结构，完善资源体系；</w:t>
            </w:r>
          </w:p>
          <w:p w14:paraId="7DEDFE7B">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 xml:space="preserve">优化更新资源：补充最新考试真题、段考模拟、模拟冲刺、应试指导资源； </w:t>
            </w:r>
          </w:p>
        </w:tc>
        <w:tc>
          <w:tcPr>
            <w:tcW w:w="2275" w:type="dxa"/>
            <w:vAlign w:val="center"/>
          </w:tcPr>
          <w:p w14:paraId="57F6FB7F">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依据各学段升学考试复习规律及时更新</w:t>
            </w:r>
          </w:p>
        </w:tc>
      </w:tr>
      <w:tr w14:paraId="352D74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1" w:hRule="atLeast"/>
          <w:jc w:val="center"/>
        </w:trPr>
        <w:tc>
          <w:tcPr>
            <w:tcW w:w="2235" w:type="dxa"/>
            <w:vMerge w:val="continue"/>
          </w:tcPr>
          <w:p w14:paraId="17D4DD5A">
            <w:pPr>
              <w:spacing w:line="360" w:lineRule="auto"/>
              <w:ind w:firstLine="420" w:firstLineChars="150"/>
              <w:rPr>
                <w:rFonts w:ascii="仿宋" w:hAnsi="仿宋" w:eastAsia="仿宋" w:cs="仿宋"/>
                <w:color w:val="000000"/>
                <w:sz w:val="28"/>
                <w:szCs w:val="28"/>
              </w:rPr>
            </w:pPr>
          </w:p>
        </w:tc>
        <w:tc>
          <w:tcPr>
            <w:tcW w:w="4012" w:type="dxa"/>
            <w:tcBorders>
              <w:top w:val="single" w:color="auto" w:sz="4" w:space="0"/>
            </w:tcBorders>
            <w:vAlign w:val="center"/>
          </w:tcPr>
          <w:p w14:paraId="6BCC7F65">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结合学生年龄特点、依据学校和学生日常的素质教育活动开展需求，定期更新国学教育、科普教育、探究与实践、主题教育、课外知识、学习策略、团队活动等带有地区特色的专题资源。</w:t>
            </w:r>
          </w:p>
          <w:p w14:paraId="24D659C9">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优化已建资源：补充区域性学校特色活动资源、替换具备时效性资源、完善各主题教育资源；</w:t>
            </w:r>
          </w:p>
          <w:p w14:paraId="599402B5">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分学段开展相关主题资源更新、优化。</w:t>
            </w:r>
          </w:p>
        </w:tc>
        <w:tc>
          <w:tcPr>
            <w:tcW w:w="2275" w:type="dxa"/>
            <w:vAlign w:val="center"/>
          </w:tcPr>
          <w:p w14:paraId="014EDEB4">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2期/月依据校活动开展及时更新</w:t>
            </w:r>
          </w:p>
        </w:tc>
      </w:tr>
      <w:tr w14:paraId="0D7700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jc w:val="center"/>
        </w:trPr>
        <w:tc>
          <w:tcPr>
            <w:tcW w:w="2235" w:type="dxa"/>
            <w:vMerge w:val="continue"/>
          </w:tcPr>
          <w:p w14:paraId="561841C3">
            <w:pPr>
              <w:spacing w:line="360" w:lineRule="auto"/>
              <w:ind w:firstLine="420" w:firstLineChars="150"/>
              <w:rPr>
                <w:rFonts w:ascii="仿宋" w:hAnsi="仿宋" w:eastAsia="仿宋" w:cs="仿宋"/>
                <w:color w:val="000000"/>
                <w:sz w:val="28"/>
                <w:szCs w:val="28"/>
              </w:rPr>
            </w:pPr>
          </w:p>
        </w:tc>
        <w:tc>
          <w:tcPr>
            <w:tcW w:w="4012" w:type="dxa"/>
            <w:tcBorders>
              <w:top w:val="single" w:color="auto" w:sz="4" w:space="0"/>
            </w:tcBorders>
            <w:vAlign w:val="center"/>
          </w:tcPr>
          <w:p w14:paraId="43F525FE">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依据用户对习题的需求，定期更新覆盖小初高各学科的基础巩固、能力提升、拓展延伸等习题试题资源。</w:t>
            </w:r>
          </w:p>
        </w:tc>
        <w:tc>
          <w:tcPr>
            <w:tcW w:w="2275" w:type="dxa"/>
            <w:vAlign w:val="center"/>
          </w:tcPr>
          <w:p w14:paraId="7FC8E45A">
            <w:pPr>
              <w:spacing w:line="360" w:lineRule="auto"/>
              <w:ind w:firstLine="420" w:firstLineChars="150"/>
              <w:rPr>
                <w:rFonts w:ascii="仿宋" w:hAnsi="仿宋" w:eastAsia="仿宋" w:cs="仿宋"/>
                <w:color w:val="000000"/>
                <w:sz w:val="28"/>
                <w:szCs w:val="28"/>
              </w:rPr>
            </w:pPr>
            <w:r>
              <w:rPr>
                <w:rFonts w:hint="eastAsia" w:ascii="仿宋" w:hAnsi="仿宋" w:eastAsia="仿宋" w:cs="仿宋"/>
                <w:color w:val="000000"/>
                <w:sz w:val="28"/>
                <w:szCs w:val="28"/>
              </w:rPr>
              <w:t>每周定期更新</w:t>
            </w:r>
          </w:p>
        </w:tc>
      </w:tr>
    </w:tbl>
    <w:p w14:paraId="189C1801">
      <w:pPr>
        <w:pStyle w:val="25"/>
        <w:ind w:left="0" w:firstLine="420" w:firstLineChars="150"/>
        <w:rPr>
          <w:rFonts w:ascii="仿宋" w:hAnsi="仿宋" w:eastAsia="仿宋" w:cs="仿宋"/>
          <w:sz w:val="28"/>
          <w:szCs w:val="28"/>
        </w:rPr>
      </w:pPr>
      <w:r>
        <w:rPr>
          <w:rFonts w:hint="eastAsia" w:ascii="仿宋" w:hAnsi="仿宋" w:eastAsia="仿宋" w:cs="仿宋"/>
          <w:sz w:val="28"/>
          <w:szCs w:val="28"/>
        </w:rPr>
        <w:t>3.1.3更新数量</w:t>
      </w:r>
    </w:p>
    <w:p w14:paraId="468FD57B">
      <w:pPr>
        <w:pStyle w:val="25"/>
        <w:ind w:left="0" w:firstLine="420" w:firstLineChars="150"/>
        <w:rPr>
          <w:rFonts w:ascii="仿宋" w:hAnsi="仿宋" w:eastAsia="仿宋" w:cs="仿宋"/>
          <w:sz w:val="28"/>
          <w:szCs w:val="28"/>
        </w:rPr>
      </w:pPr>
      <w:r>
        <w:rPr>
          <w:rFonts w:hint="eastAsia" w:ascii="仿宋" w:hAnsi="仿宋" w:eastAsia="仿宋" w:cs="仿宋"/>
          <w:sz w:val="28"/>
          <w:szCs w:val="28"/>
        </w:rPr>
        <w:t>资源更新内容覆盖小、初、高语文、数学、英语、地理、历史、政治、物理、化学、生物、音乐、美术、科学、品德、信息技术等34个学科，283个版本，资源更新类型包括教案、导学案、课件、素材、习题等，涵盖课前、课中、课后资源。教育资源中心资源播控团队依据学科编辑每周资源更新策划单，远程维护，通过资源管理系统，制定资源调度计划，实施资源数据更新同步（可提供每周更新内容清单），年度更新量视频资料不低于5%，文本资料不低于20%。定期巡检服务器的正常运行，确保教师开展日常教学和学生自主学习活动时正常使用。</w:t>
      </w:r>
    </w:p>
    <w:p w14:paraId="218C1E4A">
      <w:pPr>
        <w:pStyle w:val="3"/>
        <w:numPr>
          <w:ilvl w:val="0"/>
          <w:numId w:val="3"/>
        </w:numPr>
        <w:ind w:firstLine="422" w:firstLineChars="150"/>
        <w:rPr>
          <w:rFonts w:ascii="仿宋" w:hAnsi="仿宋" w:eastAsia="仿宋" w:cs="仿宋"/>
          <w:sz w:val="28"/>
          <w:szCs w:val="28"/>
        </w:rPr>
      </w:pPr>
      <w:r>
        <w:rPr>
          <w:rFonts w:hint="eastAsia" w:ascii="仿宋" w:hAnsi="仿宋" w:eastAsia="仿宋" w:cs="仿宋"/>
          <w:sz w:val="28"/>
          <w:szCs w:val="28"/>
        </w:rPr>
        <w:t>数据管理服务要求</w:t>
      </w:r>
    </w:p>
    <w:p w14:paraId="74574B77">
      <w:pPr>
        <w:pStyle w:val="25"/>
        <w:ind w:left="0" w:firstLine="420" w:firstLineChars="150"/>
        <w:rPr>
          <w:rFonts w:ascii="仿宋" w:hAnsi="仿宋" w:eastAsia="仿宋" w:cs="仿宋"/>
          <w:sz w:val="28"/>
          <w:szCs w:val="28"/>
        </w:rPr>
      </w:pPr>
      <w:r>
        <w:rPr>
          <w:rFonts w:hint="eastAsia" w:ascii="仿宋" w:hAnsi="仿宋" w:eastAsia="仿宋" w:cs="仿宋"/>
          <w:sz w:val="28"/>
          <w:szCs w:val="28"/>
        </w:rPr>
        <w:t>4.1数据库系统运维服务</w:t>
      </w:r>
    </w:p>
    <w:p w14:paraId="7402E424">
      <w:pPr>
        <w:pStyle w:val="25"/>
        <w:ind w:left="0" w:firstLine="420" w:firstLineChars="150"/>
        <w:rPr>
          <w:rFonts w:ascii="仿宋" w:hAnsi="仿宋" w:eastAsia="仿宋" w:cs="仿宋"/>
          <w:sz w:val="28"/>
          <w:szCs w:val="28"/>
        </w:rPr>
      </w:pPr>
      <w:r>
        <w:rPr>
          <w:rFonts w:hint="eastAsia" w:ascii="仿宋" w:hAnsi="仿宋" w:eastAsia="仿宋" w:cs="仿宋"/>
          <w:sz w:val="28"/>
          <w:szCs w:val="28"/>
        </w:rPr>
        <w:t>通过主动式性能管理可了解数据库的日常运行状态，识别数据库的性能问题发生在什么地方，有针对性地进行性能优化。同时，密切注意数据库系统的变化，主动地预防可能发生的问题。进行监控管理的内容包括：</w:t>
      </w:r>
    </w:p>
    <w:p w14:paraId="6D7A80BD">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数据库基本信息：文件系统、碎片、死锁、CPU占用率较大或时间较长的SQL语句。</w:t>
      </w:r>
    </w:p>
    <w:p w14:paraId="2679A953">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表空间使用信息监测；</w:t>
      </w:r>
    </w:p>
    <w:p w14:paraId="520DD856">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数据库文件I/0读写情况；</w:t>
      </w:r>
    </w:p>
    <w:p w14:paraId="2F1CD612">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Session连接数量监控；</w:t>
      </w:r>
    </w:p>
    <w:p w14:paraId="5F5558EE">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数据库监听运行状态监测；</w:t>
      </w:r>
    </w:p>
    <w:p w14:paraId="486266B2">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用户数据备份服务</w:t>
      </w:r>
    </w:p>
    <w:p w14:paraId="5F64DD04">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查看每日数据备份、数据同步是否正常；</w:t>
      </w:r>
    </w:p>
    <w:p w14:paraId="07214BB6">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报警日志监测；</w:t>
      </w:r>
    </w:p>
    <w:p w14:paraId="2A656486">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对表和索引进行优化,检查表空间碎片；</w:t>
      </w:r>
    </w:p>
    <w:p w14:paraId="59BD0C9A">
      <w:pPr>
        <w:pStyle w:val="25"/>
        <w:numPr>
          <w:ilvl w:val="0"/>
          <w:numId w:val="4"/>
        </w:numPr>
        <w:tabs>
          <w:tab w:val="clear" w:pos="709"/>
        </w:tabs>
        <w:adjustRightInd/>
        <w:snapToGrid w:val="0"/>
        <w:spacing w:line="300" w:lineRule="auto"/>
        <w:ind w:left="0" w:firstLine="420" w:firstLineChars="150"/>
        <w:contextualSpacing/>
        <w:textAlignment w:val="auto"/>
        <w:rPr>
          <w:rStyle w:val="27"/>
          <w:rFonts w:ascii="仿宋" w:hAnsi="仿宋" w:eastAsia="仿宋" w:cs="仿宋"/>
          <w:sz w:val="28"/>
          <w:szCs w:val="28"/>
        </w:rPr>
      </w:pPr>
      <w:r>
        <w:rPr>
          <w:rStyle w:val="27"/>
          <w:rFonts w:hint="eastAsia" w:ascii="仿宋" w:hAnsi="仿宋" w:eastAsia="仿宋" w:cs="仿宋"/>
          <w:sz w:val="28"/>
          <w:szCs w:val="28"/>
        </w:rPr>
        <w:t>监测数据库后台进程；</w:t>
      </w:r>
    </w:p>
    <w:p w14:paraId="2E5E6E93">
      <w:pPr>
        <w:pStyle w:val="25"/>
        <w:ind w:left="0" w:firstLine="420" w:firstLineChars="150"/>
        <w:rPr>
          <w:rFonts w:ascii="仿宋" w:hAnsi="仿宋" w:eastAsia="仿宋" w:cs="仿宋"/>
          <w:sz w:val="28"/>
          <w:szCs w:val="28"/>
        </w:rPr>
      </w:pPr>
      <w:r>
        <w:rPr>
          <w:rFonts w:hint="eastAsia" w:ascii="仿宋" w:hAnsi="仿宋" w:eastAsia="仿宋" w:cs="仿宋"/>
          <w:sz w:val="28"/>
          <w:szCs w:val="28"/>
        </w:rPr>
        <w:t>4.2数据管理运维服务</w:t>
      </w:r>
    </w:p>
    <w:p w14:paraId="58A64144">
      <w:pPr>
        <w:pStyle w:val="25"/>
        <w:ind w:left="0" w:firstLine="420" w:firstLineChars="150"/>
        <w:rPr>
          <w:rFonts w:ascii="仿宋" w:hAnsi="仿宋" w:eastAsia="仿宋" w:cs="仿宋"/>
          <w:sz w:val="28"/>
          <w:szCs w:val="28"/>
        </w:rPr>
      </w:pPr>
      <w:r>
        <w:rPr>
          <w:rFonts w:hint="eastAsia" w:ascii="仿宋" w:hAnsi="仿宋" w:eastAsia="仿宋" w:cs="仿宋"/>
          <w:sz w:val="28"/>
          <w:szCs w:val="28"/>
        </w:rPr>
        <w:t>按需提供平台后台数据，包括但不限于学生、教师、学校、班级、点击率、时长、单个模块具体数据等。</w:t>
      </w:r>
    </w:p>
    <w:p w14:paraId="74782DF2">
      <w:pPr>
        <w:pStyle w:val="25"/>
        <w:ind w:left="0" w:firstLine="420" w:firstLineChars="150"/>
        <w:rPr>
          <w:rFonts w:ascii="仿宋" w:hAnsi="仿宋" w:eastAsia="仿宋" w:cs="仿宋"/>
          <w:highlight w:val="yellow"/>
        </w:rPr>
      </w:pPr>
      <w:r>
        <w:rPr>
          <w:rFonts w:hint="eastAsia" w:ascii="仿宋" w:hAnsi="仿宋" w:eastAsia="仿宋" w:cs="仿宋"/>
          <w:sz w:val="28"/>
          <w:szCs w:val="28"/>
        </w:rPr>
        <w:t>提供月报、年报数据，包含但不限于单天数据、单周数据、单月数据、全年数据等。</w:t>
      </w:r>
    </w:p>
    <w:p w14:paraId="3F23AC89">
      <w:pPr>
        <w:pStyle w:val="3"/>
        <w:numPr>
          <w:ilvl w:val="0"/>
          <w:numId w:val="3"/>
        </w:numPr>
        <w:ind w:firstLine="422" w:firstLineChars="150"/>
        <w:rPr>
          <w:rFonts w:ascii="仿宋" w:hAnsi="仿宋" w:eastAsia="仿宋" w:cs="仿宋"/>
          <w:sz w:val="28"/>
          <w:szCs w:val="28"/>
        </w:rPr>
      </w:pPr>
      <w:r>
        <w:rPr>
          <w:rFonts w:hint="eastAsia" w:ascii="仿宋" w:hAnsi="仿宋" w:eastAsia="仿宋" w:cs="仿宋"/>
          <w:sz w:val="28"/>
          <w:szCs w:val="28"/>
        </w:rPr>
        <w:t>教学大数据全过程分析服务要求</w:t>
      </w:r>
    </w:p>
    <w:p w14:paraId="1B421CC0">
      <w:pPr>
        <w:ind w:firstLine="420" w:firstLineChars="150"/>
        <w:rPr>
          <w:rFonts w:ascii="仿宋" w:hAnsi="仿宋" w:eastAsia="仿宋" w:cs="仿宋"/>
          <w:kern w:val="0"/>
          <w:sz w:val="28"/>
          <w:szCs w:val="28"/>
        </w:rPr>
      </w:pPr>
      <w:r>
        <w:rPr>
          <w:rFonts w:hint="eastAsia" w:ascii="仿宋" w:hAnsi="仿宋" w:eastAsia="仿宋" w:cs="仿宋"/>
          <w:kern w:val="0"/>
          <w:sz w:val="28"/>
          <w:szCs w:val="28"/>
        </w:rPr>
        <w:t>根据每个学生常态化教学课堂联系、教室布置的在线作业、周知识点、章节知识点、中高考专题/真题/模拟题等活动的进行教与学的智能分析，为每个学生智能的生成知识图谱，方便教师精准教学、学生精准提分。</w:t>
      </w:r>
    </w:p>
    <w:p w14:paraId="59147CF9">
      <w:pPr>
        <w:ind w:firstLine="420" w:firstLineChars="150"/>
        <w:rPr>
          <w:rFonts w:ascii="仿宋" w:hAnsi="仿宋" w:eastAsia="仿宋" w:cs="仿宋"/>
          <w:kern w:val="0"/>
          <w:sz w:val="28"/>
          <w:szCs w:val="28"/>
        </w:rPr>
      </w:pPr>
      <w:r>
        <w:rPr>
          <w:rFonts w:hint="eastAsia" w:ascii="仿宋" w:hAnsi="仿宋" w:eastAsia="仿宋" w:cs="仿宋"/>
          <w:kern w:val="0"/>
          <w:sz w:val="28"/>
          <w:szCs w:val="28"/>
        </w:rPr>
        <w:t>提供大数据分析数据，包括但不限于单个学生、单个班级、单个学校、单个区域、全市的学情分析。</w:t>
      </w:r>
    </w:p>
    <w:p w14:paraId="11E21FE5">
      <w:pPr>
        <w:ind w:firstLine="315" w:firstLineChars="150"/>
        <w:rPr>
          <w:rFonts w:ascii="仿宋" w:hAnsi="仿宋" w:eastAsia="仿宋" w:cs="仿宋"/>
          <w:kern w:val="0"/>
        </w:rPr>
      </w:pPr>
    </w:p>
    <w:p w14:paraId="4908519F">
      <w:pPr>
        <w:widowControl/>
        <w:shd w:val="clear" w:color="auto" w:fill="FFFFFF"/>
        <w:ind w:firstLine="56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三、供应商要求</w:t>
      </w:r>
    </w:p>
    <w:p w14:paraId="04FA1EA0">
      <w:pPr>
        <w:widowControl/>
        <w:shd w:val="clear" w:color="auto" w:fill="FFFFFF"/>
        <w:ind w:firstLine="56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1.供应商必须具备硬件维护资质、团队。（提供承诺书并加盖公章）</w:t>
      </w:r>
    </w:p>
    <w:p w14:paraId="2652BEBB">
      <w:pPr>
        <w:widowControl/>
        <w:shd w:val="clear" w:color="auto" w:fill="FFFFFF"/>
        <w:ind w:firstLine="56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2.供应商必须具备专业教育团队完成慧学南通资源内容更新能力。（提供承诺书并加盖公章）</w:t>
      </w:r>
    </w:p>
    <w:p w14:paraId="0BD88D32">
      <w:pPr>
        <w:widowControl/>
        <w:shd w:val="clear" w:color="auto" w:fill="FFFFFF"/>
        <w:ind w:firstLine="56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3.供应商必须具备维护更新等保三级和密评二级系统的能力。（提供承诺书并加盖公章）</w:t>
      </w:r>
    </w:p>
    <w:p w14:paraId="3C2B3E4D">
      <w:pPr>
        <w:widowControl/>
        <w:shd w:val="clear" w:color="auto" w:fill="FFFFFF"/>
        <w:ind w:firstLine="560"/>
        <w:jc w:val="left"/>
        <w:rPr>
          <w:rFonts w:ascii="仿宋" w:hAnsi="仿宋" w:eastAsia="仿宋" w:cs="宋体"/>
          <w:color w:val="000000"/>
          <w:kern w:val="0"/>
          <w:sz w:val="28"/>
          <w:szCs w:val="28"/>
        </w:rPr>
      </w:pPr>
      <w:r>
        <w:rPr>
          <w:rFonts w:hint="eastAsia" w:ascii="仿宋" w:hAnsi="仿宋" w:eastAsia="仿宋" w:cs="宋体"/>
          <w:color w:val="000000"/>
          <w:kern w:val="0"/>
          <w:sz w:val="28"/>
          <w:szCs w:val="28"/>
        </w:rPr>
        <w:t>4.提供自2021年以来2个系统平台建设或服务案例。（提供合同复印件加盖投标单位公章）</w:t>
      </w:r>
    </w:p>
    <w:p w14:paraId="7D327DB3">
      <w:pPr>
        <w:widowControl/>
        <w:shd w:val="clear" w:color="auto" w:fill="FFFFFF"/>
        <w:ind w:firstLine="560"/>
        <w:jc w:val="left"/>
      </w:pPr>
      <w:r>
        <w:rPr>
          <w:rFonts w:hint="eastAsia" w:ascii="仿宋" w:hAnsi="仿宋" w:eastAsia="仿宋" w:cs="宋体"/>
          <w:color w:val="000000"/>
          <w:kern w:val="0"/>
          <w:sz w:val="28"/>
          <w:szCs w:val="28"/>
        </w:rPr>
        <w:t>5.中标供应商承诺本项目维护费用中包括当前所有服务器托管服务费及2G互联网出口费用。（提供承诺函加盖投标单位公章）</w:t>
      </w:r>
    </w:p>
    <w:p w14:paraId="77C33CB5">
      <w:pPr>
        <w:widowControl/>
        <w:shd w:val="clear" w:color="auto" w:fill="FFFFFF"/>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四、验收标准</w:t>
      </w:r>
    </w:p>
    <w:p w14:paraId="4E0B1E30">
      <w:pPr>
        <w:widowControl/>
        <w:shd w:val="clear" w:color="auto" w:fill="FFFFFF"/>
        <w:ind w:firstLine="56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供应商履约到位、以书面形式向采购人提出验收申请后组织进行验收，并出具验收报告，作为支付货款的依据。</w:t>
      </w:r>
    </w:p>
    <w:p w14:paraId="20600E8D">
      <w:pPr>
        <w:snapToGrid w:val="0"/>
        <w:spacing w:line="460" w:lineRule="exact"/>
        <w:ind w:firstLine="560" w:firstLineChars="200"/>
        <w:outlineLvl w:val="1"/>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五、合同签订及付款方式</w:t>
      </w:r>
    </w:p>
    <w:p w14:paraId="1F597324">
      <w:pPr>
        <w:pStyle w:val="2"/>
        <w:ind w:firstLine="560" w:firstLineChars="200"/>
        <w:rPr>
          <w:rFonts w:ascii="仿宋" w:hAnsi="仿宋" w:eastAsia="仿宋" w:cs="仿宋"/>
          <w:color w:val="000000" w:themeColor="text1"/>
          <w:kern w:val="2"/>
          <w:sz w:val="28"/>
          <w:szCs w:val="28"/>
          <w14:textFill>
            <w14:solidFill>
              <w14:schemeClr w14:val="tx1"/>
            </w14:solidFill>
          </w14:textFill>
        </w:rPr>
      </w:pPr>
      <w:r>
        <w:rPr>
          <w:rFonts w:hint="eastAsia" w:ascii="仿宋" w:hAnsi="仿宋" w:eastAsia="仿宋" w:cs="仿宋"/>
          <w:color w:val="000000" w:themeColor="text1"/>
          <w:kern w:val="2"/>
          <w:sz w:val="28"/>
          <w:szCs w:val="28"/>
          <w14:textFill>
            <w14:solidFill>
              <w14:schemeClr w14:val="tx1"/>
            </w14:solidFill>
          </w14:textFill>
        </w:rPr>
        <w:t>1.本项目按照“一次采购服务期限不超过三年、采购合同一年一签”的方式执行，采购人确定合同是否续签。</w:t>
      </w:r>
    </w:p>
    <w:p w14:paraId="58669398">
      <w:pPr>
        <w:pStyle w:val="11"/>
        <w:ind w:firstLine="515"/>
        <w:rPr>
          <w:rFonts w:ascii="仿宋" w:hAnsi="仿宋" w:eastAsia="仿宋" w:cs="仿宋"/>
          <w:b w:val="0"/>
          <w:color w:val="000000" w:themeColor="text1"/>
          <w:spacing w:val="0"/>
          <w:szCs w:val="28"/>
          <w14:textFill>
            <w14:solidFill>
              <w14:schemeClr w14:val="tx1"/>
            </w14:solidFill>
          </w14:textFill>
        </w:rPr>
      </w:pPr>
      <w:r>
        <w:rPr>
          <w:rFonts w:hint="eastAsia" w:ascii="仿宋" w:hAnsi="仿宋" w:eastAsia="仿宋" w:cs="仿宋"/>
          <w:b w:val="0"/>
          <w:color w:val="000000" w:themeColor="text1"/>
          <w:spacing w:val="0"/>
          <w:szCs w:val="28"/>
          <w14:textFill>
            <w14:solidFill>
              <w14:schemeClr w14:val="tx1"/>
            </w14:solidFill>
          </w14:textFill>
        </w:rPr>
        <w:t>2.签订合同后一个月内支付合同金额的50%，年终支付合同金额的50%。</w:t>
      </w:r>
    </w:p>
    <w:p w14:paraId="023CA1F4">
      <w:pPr>
        <w:pStyle w:val="2"/>
      </w:pPr>
    </w:p>
    <w:p w14:paraId="7733F699">
      <w:pPr>
        <w:pStyle w:val="2"/>
      </w:pPr>
    </w:p>
    <w:p w14:paraId="7121F721">
      <w:pPr>
        <w:pStyle w:val="2"/>
      </w:pPr>
    </w:p>
    <w:p w14:paraId="0DB10976">
      <w:pPr>
        <w:pStyle w:val="2"/>
      </w:pPr>
    </w:p>
    <w:p w14:paraId="09A91FC4">
      <w:pPr>
        <w:pStyle w:val="2"/>
      </w:pPr>
    </w:p>
    <w:p w14:paraId="43BE976E">
      <w:pPr>
        <w:pStyle w:val="2"/>
      </w:pPr>
    </w:p>
    <w:p w14:paraId="403F0563">
      <w:pPr>
        <w:pStyle w:val="2"/>
      </w:pPr>
    </w:p>
    <w:p w14:paraId="79E4283E">
      <w:pPr>
        <w:pStyle w:val="2"/>
      </w:pPr>
    </w:p>
    <w:p w14:paraId="3AE9CD6B">
      <w:pPr>
        <w:pStyle w:val="2"/>
      </w:pPr>
    </w:p>
    <w:p w14:paraId="505E8059">
      <w:pPr>
        <w:pStyle w:val="2"/>
      </w:pPr>
    </w:p>
    <w:p w14:paraId="48048D9C">
      <w:pPr>
        <w:pStyle w:val="2"/>
      </w:pPr>
    </w:p>
    <w:p w14:paraId="21E13EBC">
      <w:pPr>
        <w:pStyle w:val="2"/>
      </w:pPr>
    </w:p>
    <w:p w14:paraId="30E38732">
      <w:pPr>
        <w:pStyle w:val="2"/>
      </w:pPr>
    </w:p>
    <w:p w14:paraId="0EBBF588">
      <w:pPr>
        <w:pStyle w:val="2"/>
      </w:pPr>
    </w:p>
    <w:p w14:paraId="506D21C0">
      <w:pPr>
        <w:pStyle w:val="2"/>
      </w:pPr>
    </w:p>
    <w:p w14:paraId="5088435A">
      <w:pPr>
        <w:pStyle w:val="2"/>
      </w:pPr>
    </w:p>
    <w:p w14:paraId="6ED436D9">
      <w:pPr>
        <w:pStyle w:val="2"/>
      </w:pPr>
    </w:p>
    <w:p w14:paraId="136035CF">
      <w:pPr>
        <w:pStyle w:val="2"/>
      </w:pPr>
    </w:p>
    <w:p w14:paraId="7FDBDBE0">
      <w:pPr>
        <w:pStyle w:val="2"/>
      </w:pPr>
    </w:p>
    <w:p w14:paraId="560C3FCF">
      <w:pPr>
        <w:pStyle w:val="2"/>
      </w:pPr>
    </w:p>
    <w:p w14:paraId="53EBDF4F">
      <w:pPr>
        <w:pStyle w:val="2"/>
      </w:pPr>
    </w:p>
    <w:p w14:paraId="3DA77D34">
      <w:pPr>
        <w:pStyle w:val="2"/>
      </w:pPr>
    </w:p>
    <w:p w14:paraId="13193D1C">
      <w:pPr>
        <w:pStyle w:val="2"/>
      </w:pPr>
    </w:p>
    <w:p w14:paraId="21A125F8">
      <w:pPr>
        <w:pStyle w:val="2"/>
      </w:pPr>
    </w:p>
    <w:p w14:paraId="48FC4BB9">
      <w:pPr>
        <w:pStyle w:val="2"/>
      </w:pPr>
    </w:p>
    <w:p w14:paraId="715069DC">
      <w:pPr>
        <w:pStyle w:val="2"/>
      </w:pPr>
    </w:p>
    <w:p w14:paraId="062A9FBF">
      <w:pPr>
        <w:pStyle w:val="2"/>
      </w:pPr>
    </w:p>
    <w:p w14:paraId="591F87E1">
      <w:pPr>
        <w:pStyle w:val="15"/>
        <w:ind w:left="0" w:leftChars="0" w:firstLine="0" w:firstLineChars="0"/>
        <w:rPr>
          <w:color w:val="000000" w:themeColor="text1"/>
          <w14:textFill>
            <w14:solidFill>
              <w14:schemeClr w14:val="tx1"/>
            </w14:solidFill>
          </w14:textFill>
        </w:rPr>
      </w:pPr>
    </w:p>
    <w:p w14:paraId="7802633C">
      <w:pPr>
        <w:snapToGrid w:val="0"/>
        <w:spacing w:line="520" w:lineRule="exact"/>
        <w:jc w:val="center"/>
        <w:outlineLvl w:val="0"/>
        <w:rPr>
          <w:rFonts w:ascii="宋体" w:hAnsi="宋体" w:cs="宋体"/>
          <w:b/>
          <w:color w:val="000000" w:themeColor="text1"/>
          <w:sz w:val="36"/>
          <w:szCs w:val="36"/>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第四章  开标和评标</w:t>
      </w:r>
      <w:bookmarkEnd w:id="7"/>
    </w:p>
    <w:p w14:paraId="7CB19BF0">
      <w:pPr>
        <w:tabs>
          <w:tab w:val="left" w:pos="3585"/>
        </w:tabs>
        <w:snapToGrid w:val="0"/>
        <w:spacing w:line="460" w:lineRule="exact"/>
        <w:ind w:firstLine="540" w:firstLineChars="192"/>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bCs/>
          <w:color w:val="000000" w:themeColor="text1"/>
          <w:sz w:val="28"/>
          <w:szCs w:val="28"/>
          <w14:textFill>
            <w14:solidFill>
              <w14:schemeClr w14:val="tx1"/>
            </w14:solidFill>
          </w14:textFill>
        </w:rPr>
        <w:t>一、</w:t>
      </w:r>
      <w:r>
        <w:rPr>
          <w:rFonts w:hint="eastAsia" w:ascii="方正仿宋_GBK" w:hAnsi="方正仿宋_GBK" w:eastAsia="方正仿宋_GBK" w:cs="方正仿宋_GBK"/>
          <w:b/>
          <w:color w:val="000000" w:themeColor="text1"/>
          <w:sz w:val="28"/>
          <w:szCs w:val="28"/>
          <w14:textFill>
            <w14:solidFill>
              <w14:schemeClr w14:val="tx1"/>
            </w14:solidFill>
          </w14:textFill>
        </w:rPr>
        <w:t>采购人组织开标。</w:t>
      </w:r>
    </w:p>
    <w:p w14:paraId="7FCC0BB2">
      <w:pPr>
        <w:tabs>
          <w:tab w:val="left" w:pos="3585"/>
        </w:tabs>
        <w:snapToGrid w:val="0"/>
        <w:spacing w:line="460" w:lineRule="exact"/>
        <w:ind w:firstLine="537" w:firstLineChars="192"/>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议价人的法定代表人或授权委托人须持有效身份证参加开标会。</w:t>
      </w:r>
    </w:p>
    <w:p w14:paraId="1B38043C">
      <w:pPr>
        <w:snapToGrid w:val="0"/>
        <w:spacing w:line="460" w:lineRule="exact"/>
        <w:ind w:firstLine="570"/>
        <w:rPr>
          <w:rFonts w:ascii="方正仿宋_GBK" w:hAnsi="方正仿宋_GBK" w:eastAsia="方正仿宋_GBK" w:cs="方正仿宋_GBK"/>
          <w:bCs/>
          <w:color w:val="000000" w:themeColor="text1"/>
          <w:sz w:val="28"/>
          <w:szCs w:val="28"/>
          <w14:textFill>
            <w14:solidFill>
              <w14:schemeClr w14:val="tx1"/>
            </w14:solidFill>
          </w14:textFill>
        </w:rPr>
      </w:pPr>
      <w:r>
        <w:rPr>
          <w:rFonts w:hint="eastAsia" w:ascii="方正仿宋_GBK" w:hAnsi="方正仿宋_GBK" w:eastAsia="方正仿宋_GBK" w:cs="方正仿宋_GBK"/>
          <w:b/>
          <w:bCs/>
          <w:color w:val="000000" w:themeColor="text1"/>
          <w:sz w:val="28"/>
          <w:szCs w:val="28"/>
          <w14:textFill>
            <w14:solidFill>
              <w14:schemeClr w14:val="tx1"/>
            </w14:solidFill>
          </w14:textFill>
        </w:rPr>
        <w:t>二、</w:t>
      </w:r>
      <w:r>
        <w:rPr>
          <w:rFonts w:hint="eastAsia" w:ascii="方正仿宋_GBK" w:hAnsi="方正仿宋_GBK" w:eastAsia="方正仿宋_GBK" w:cs="方正仿宋_GBK"/>
          <w:b/>
          <w:color w:val="000000" w:themeColor="text1"/>
          <w:sz w:val="28"/>
          <w:szCs w:val="28"/>
          <w14:textFill>
            <w14:solidFill>
              <w14:schemeClr w14:val="tx1"/>
            </w14:solidFill>
          </w14:textFill>
        </w:rPr>
        <w:t>评委会由</w:t>
      </w:r>
      <w:r>
        <w:rPr>
          <w:rFonts w:hint="eastAsia" w:ascii="方正仿宋_GBK" w:hAnsi="方正仿宋_GBK" w:eastAsia="方正仿宋_GBK" w:cs="方正仿宋_GBK"/>
          <w:b/>
          <w:bCs/>
          <w:color w:val="000000" w:themeColor="text1"/>
          <w:sz w:val="28"/>
          <w:szCs w:val="28"/>
          <w14:textFill>
            <w14:solidFill>
              <w14:schemeClr w14:val="tx1"/>
            </w14:solidFill>
          </w14:textFill>
        </w:rPr>
        <w:t>有关专家和</w:t>
      </w:r>
      <w:r>
        <w:rPr>
          <w:rFonts w:hint="eastAsia" w:ascii="方正仿宋_GBK" w:hAnsi="方正仿宋_GBK" w:eastAsia="方正仿宋_GBK" w:cs="方正仿宋_GBK"/>
          <w:b/>
          <w:color w:val="000000" w:themeColor="text1"/>
          <w:sz w:val="28"/>
          <w:szCs w:val="28"/>
          <w14:textFill>
            <w14:solidFill>
              <w14:schemeClr w14:val="tx1"/>
            </w14:solidFill>
          </w14:textFill>
        </w:rPr>
        <w:t>采购人代表</w:t>
      </w:r>
      <w:r>
        <w:rPr>
          <w:rFonts w:hint="eastAsia" w:ascii="方正仿宋_GBK" w:hAnsi="方正仿宋_GBK" w:eastAsia="方正仿宋_GBK" w:cs="方正仿宋_GBK"/>
          <w:b/>
          <w:bCs/>
          <w:color w:val="000000" w:themeColor="text1"/>
          <w:sz w:val="28"/>
          <w:szCs w:val="28"/>
          <w14:textFill>
            <w14:solidFill>
              <w14:schemeClr w14:val="tx1"/>
            </w14:solidFill>
          </w14:textFill>
        </w:rPr>
        <w:t>组成</w:t>
      </w:r>
      <w:r>
        <w:rPr>
          <w:rFonts w:hint="eastAsia" w:ascii="方正仿宋_GBK" w:hAnsi="方正仿宋_GBK" w:eastAsia="方正仿宋_GBK" w:cs="方正仿宋_GBK"/>
          <w:color w:val="000000" w:themeColor="text1"/>
          <w:sz w:val="28"/>
          <w:szCs w:val="28"/>
          <w14:textFill>
            <w14:solidFill>
              <w14:schemeClr w14:val="tx1"/>
            </w14:solidFill>
          </w14:textFill>
        </w:rPr>
        <w:t>，按照</w:t>
      </w:r>
      <w:r>
        <w:rPr>
          <w:rFonts w:hint="eastAsia" w:ascii="方正仿宋_GBK" w:hAnsi="方正仿宋_GBK" w:eastAsia="方正仿宋_GBK" w:cs="方正仿宋_GBK"/>
          <w:bCs/>
          <w:color w:val="000000" w:themeColor="text1"/>
          <w:sz w:val="28"/>
          <w:szCs w:val="28"/>
          <w14:textFill>
            <w14:solidFill>
              <w14:schemeClr w14:val="tx1"/>
            </w14:solidFill>
          </w14:textFill>
        </w:rPr>
        <w:t>公平、公正、择优的原则进行</w:t>
      </w:r>
      <w:r>
        <w:rPr>
          <w:rFonts w:hint="eastAsia" w:ascii="方正仿宋_GBK" w:hAnsi="方正仿宋_GBK" w:eastAsia="方正仿宋_GBK" w:cs="方正仿宋_GBK"/>
          <w:color w:val="000000" w:themeColor="text1"/>
          <w:sz w:val="28"/>
          <w:szCs w:val="28"/>
          <w14:textFill>
            <w14:solidFill>
              <w14:schemeClr w14:val="tx1"/>
            </w14:solidFill>
          </w14:textFill>
        </w:rPr>
        <w:t>独立</w:t>
      </w:r>
      <w:r>
        <w:rPr>
          <w:rFonts w:hint="eastAsia" w:ascii="方正仿宋_GBK" w:hAnsi="方正仿宋_GBK" w:eastAsia="方正仿宋_GBK" w:cs="方正仿宋_GBK"/>
          <w:bCs/>
          <w:color w:val="000000" w:themeColor="text1"/>
          <w:sz w:val="28"/>
          <w:szCs w:val="28"/>
          <w14:textFill>
            <w14:solidFill>
              <w14:schemeClr w14:val="tx1"/>
            </w14:solidFill>
          </w14:textFill>
        </w:rPr>
        <w:t>评标。</w:t>
      </w:r>
    </w:p>
    <w:p w14:paraId="39C30D17">
      <w:pPr>
        <w:tabs>
          <w:tab w:val="left" w:pos="3585"/>
        </w:tabs>
        <w:snapToGrid w:val="0"/>
        <w:spacing w:line="460" w:lineRule="exact"/>
        <w:ind w:firstLine="537" w:firstLineChars="192"/>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由采购人代表对议价人资格性、符合性审查，对未通过审查的供应商，应现场告知原因。评委会对合格供应商的比价响应文件进行评审。</w:t>
      </w:r>
    </w:p>
    <w:p w14:paraId="7D80B431">
      <w:pPr>
        <w:snapToGrid w:val="0"/>
        <w:spacing w:line="460" w:lineRule="exact"/>
        <w:ind w:firstLine="562" w:firstLineChars="20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（一）评审内容</w:t>
      </w:r>
    </w:p>
    <w:p w14:paraId="64562AE2">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1.比价资格是否符合</w:t>
      </w:r>
    </w:p>
    <w:p w14:paraId="49AEC591">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2.比价响应文件是否完整；</w:t>
      </w:r>
    </w:p>
    <w:p w14:paraId="75D6ED96">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3.比价响应文件是否恰当地签署；</w:t>
      </w:r>
    </w:p>
    <w:p w14:paraId="3D728726">
      <w:pPr>
        <w:snapToGrid w:val="0"/>
        <w:spacing w:line="460" w:lineRule="exact"/>
        <w:ind w:firstLine="54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4.是否作出实质性响应（</w:t>
      </w:r>
      <w:r>
        <w:rPr>
          <w:rFonts w:hint="eastAsia" w:ascii="方正仿宋_GBK" w:hAnsi="方正仿宋_GBK" w:eastAsia="方正仿宋_GBK" w:cs="方正仿宋_GBK"/>
          <w:b/>
          <w:color w:val="000000" w:themeColor="text1"/>
          <w:sz w:val="28"/>
          <w:szCs w:val="28"/>
          <w14:textFill>
            <w14:solidFill>
              <w14:schemeClr w14:val="tx1"/>
            </w14:solidFill>
          </w14:textFill>
        </w:rPr>
        <w:t>是否有实质性响应，只根据比价响应文件本身，而不寻求外部证据）；</w:t>
      </w:r>
    </w:p>
    <w:p w14:paraId="6CBE0E2E">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5.是否有计算错误。</w:t>
      </w:r>
    </w:p>
    <w:p w14:paraId="227ADD62">
      <w:pPr>
        <w:snapToGrid w:val="0"/>
        <w:spacing w:line="460" w:lineRule="exact"/>
        <w:ind w:firstLine="562" w:firstLineChars="200"/>
        <w:rPr>
          <w:rFonts w:ascii="方正仿宋_GBK" w:hAnsi="方正仿宋_GBK" w:eastAsia="方正仿宋_GBK" w:cs="方正仿宋_GBK"/>
          <w:b/>
          <w:bCs/>
          <w:color w:val="000000" w:themeColor="text1"/>
          <w:sz w:val="28"/>
          <w:szCs w:val="28"/>
          <w14:textFill>
            <w14:solidFill>
              <w14:schemeClr w14:val="tx1"/>
            </w14:solidFill>
          </w14:textFill>
        </w:rPr>
      </w:pPr>
      <w:r>
        <w:rPr>
          <w:rFonts w:hint="eastAsia" w:ascii="方正仿宋_GBK" w:hAnsi="方正仿宋_GBK" w:eastAsia="方正仿宋_GBK" w:cs="方正仿宋_GBK"/>
          <w:b/>
          <w:bCs/>
          <w:color w:val="000000" w:themeColor="text1"/>
          <w:sz w:val="28"/>
          <w:szCs w:val="28"/>
          <w14:textFill>
            <w14:solidFill>
              <w14:schemeClr w14:val="tx1"/>
            </w14:solidFill>
          </w14:textFill>
        </w:rPr>
        <w:t>（二）相应的规定</w:t>
      </w:r>
    </w:p>
    <w:p w14:paraId="292F4FF1">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Cs/>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如果单价汇总金额与总价金额有出入，以单价金额计算结果为准；</w:t>
      </w:r>
    </w:p>
    <w:p w14:paraId="001BD331">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2.单价金额小数点有明显错位的，应以总价为准；</w:t>
      </w:r>
    </w:p>
    <w:p w14:paraId="505A56C2">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3.正本与副本有矛盾的，以正本为准；</w:t>
      </w:r>
    </w:p>
    <w:p w14:paraId="7D55171D">
      <w:pPr>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4.若文件大写表示的数据与数字表示的有差别，以大写表示的数据为准。</w:t>
      </w:r>
    </w:p>
    <w:p w14:paraId="35BC5C0B">
      <w:pPr>
        <w:tabs>
          <w:tab w:val="left" w:pos="3585"/>
        </w:tabs>
        <w:snapToGrid w:val="0"/>
        <w:spacing w:line="460" w:lineRule="exact"/>
        <w:ind w:firstLine="562" w:firstLineChars="200"/>
        <w:rPr>
          <w:rFonts w:ascii="方正仿宋_GBK" w:hAnsi="方正仿宋_GBK" w:eastAsia="方正仿宋_GBK" w:cs="方正仿宋_GBK"/>
          <w:b/>
          <w:bCs/>
          <w:color w:val="000000" w:themeColor="text1"/>
          <w:sz w:val="28"/>
          <w:szCs w:val="28"/>
          <w14:textFill>
            <w14:solidFill>
              <w14:schemeClr w14:val="tx1"/>
            </w14:solidFill>
          </w14:textFill>
        </w:rPr>
      </w:pPr>
      <w:r>
        <w:rPr>
          <w:rFonts w:hint="eastAsia" w:ascii="方正仿宋_GBK" w:hAnsi="方正仿宋_GBK" w:eastAsia="方正仿宋_GBK" w:cs="方正仿宋_GBK"/>
          <w:b/>
          <w:bCs/>
          <w:color w:val="000000" w:themeColor="text1"/>
          <w:sz w:val="28"/>
          <w:szCs w:val="28"/>
          <w14:textFill>
            <w14:solidFill>
              <w14:schemeClr w14:val="tx1"/>
            </w14:solidFill>
          </w14:textFill>
        </w:rPr>
        <w:t>三、</w:t>
      </w:r>
      <w:r>
        <w:rPr>
          <w:rFonts w:hint="eastAsia" w:ascii="方正仿宋_GBK" w:hAnsi="方正仿宋_GBK" w:eastAsia="方正仿宋_GBK" w:cs="方正仿宋_GBK"/>
          <w:b/>
          <w:color w:val="000000" w:themeColor="text1"/>
          <w:sz w:val="28"/>
          <w:szCs w:val="28"/>
          <w14:textFill>
            <w14:solidFill>
              <w14:schemeClr w14:val="tx1"/>
            </w14:solidFill>
          </w14:textFill>
        </w:rPr>
        <w:t>陈述、演示、</w:t>
      </w:r>
      <w:r>
        <w:rPr>
          <w:rFonts w:hint="eastAsia" w:ascii="方正仿宋_GBK" w:hAnsi="方正仿宋_GBK" w:eastAsia="方正仿宋_GBK" w:cs="方正仿宋_GBK"/>
          <w:b/>
          <w:bCs/>
          <w:color w:val="000000" w:themeColor="text1"/>
          <w:sz w:val="28"/>
          <w:szCs w:val="28"/>
          <w14:textFill>
            <w14:solidFill>
              <w14:schemeClr w14:val="tx1"/>
            </w14:solidFill>
          </w14:textFill>
        </w:rPr>
        <w:t>答疑、澄清</w:t>
      </w:r>
    </w:p>
    <w:p w14:paraId="287FCD58">
      <w:pPr>
        <w:snapToGrid w:val="0"/>
        <w:spacing w:line="460" w:lineRule="exact"/>
        <w:ind w:firstLine="57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shd w:val="clear" w:color="auto" w:fill="FFFFFF"/>
          <w14:textFill>
            <w14:solidFill>
              <w14:schemeClr w14:val="tx1"/>
            </w14:solidFill>
          </w14:textFill>
        </w:rPr>
        <w:t>如评委会认为有必要，议价人按评委会的要求作陈述、演示、</w:t>
      </w:r>
      <w:r>
        <w:rPr>
          <w:rFonts w:hint="eastAsia" w:ascii="方正仿宋_GBK" w:hAnsi="方正仿宋_GBK" w:eastAsia="方正仿宋_GBK" w:cs="方正仿宋_GBK"/>
          <w:color w:val="000000" w:themeColor="text1"/>
          <w:sz w:val="28"/>
          <w:szCs w:val="28"/>
          <w14:textFill>
            <w14:solidFill>
              <w14:schemeClr w14:val="tx1"/>
            </w14:solidFill>
          </w14:textFill>
        </w:rPr>
        <w:t>答疑及澄清其比价内容。时间由评委会掌握。</w:t>
      </w:r>
    </w:p>
    <w:p w14:paraId="09025964">
      <w:pPr>
        <w:snapToGrid w:val="0"/>
        <w:spacing w:line="460" w:lineRule="exact"/>
        <w:ind w:firstLine="57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重要澄清答复应是书面的，但不得对比价内容进行实质性修改。</w:t>
      </w:r>
    </w:p>
    <w:p w14:paraId="0858C606">
      <w:pPr>
        <w:tabs>
          <w:tab w:val="left" w:pos="6555"/>
          <w:tab w:val="right" w:pos="8306"/>
        </w:tabs>
        <w:snapToGrid w:val="0"/>
        <w:spacing w:line="460" w:lineRule="exact"/>
        <w:ind w:firstLine="562" w:firstLineChars="20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四、出现下列情形之一的，作无效比价处理;</w:t>
      </w:r>
    </w:p>
    <w:p w14:paraId="2FBF66E5">
      <w:pPr>
        <w:tabs>
          <w:tab w:val="left" w:pos="6555"/>
        </w:tabs>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1.未按照采购文件规定要求签署、盖章的；</w:t>
      </w:r>
    </w:p>
    <w:p w14:paraId="5E168403">
      <w:pPr>
        <w:tabs>
          <w:tab w:val="left" w:pos="6555"/>
        </w:tabs>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2.不具备采购文件中规定的资格要求的；</w:t>
      </w:r>
    </w:p>
    <w:p w14:paraId="22050B10">
      <w:pPr>
        <w:tabs>
          <w:tab w:val="left" w:pos="6555"/>
        </w:tabs>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3.报价超过采购文件中规定的预算金额或者最高限价的；</w:t>
      </w:r>
    </w:p>
    <w:p w14:paraId="63CEE8EF">
      <w:pPr>
        <w:tabs>
          <w:tab w:val="left" w:pos="6555"/>
        </w:tabs>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4.比价响应文件含有采购人不能接受的附加条件的；</w:t>
      </w:r>
    </w:p>
    <w:p w14:paraId="12645861">
      <w:pPr>
        <w:snapToGrid w:val="0"/>
        <w:spacing w:line="460" w:lineRule="exact"/>
        <w:ind w:firstLine="57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5.不符合采购文件中规定的其他实质性要求的。</w:t>
      </w:r>
    </w:p>
    <w:p w14:paraId="3075951B">
      <w:pPr>
        <w:snapToGrid w:val="0"/>
        <w:spacing w:line="460" w:lineRule="exact"/>
        <w:ind w:firstLine="57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五、出现下列情形之一的，作废标处理</w:t>
      </w:r>
    </w:p>
    <w:p w14:paraId="312AF3FE">
      <w:pPr>
        <w:snapToGrid w:val="0"/>
        <w:spacing w:line="460" w:lineRule="exact"/>
        <w:ind w:firstLine="560" w:firstLineChars="20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1.符合条件的供应商或者对比价文件作实质响应的供应商不足3家的；</w:t>
      </w:r>
    </w:p>
    <w:p w14:paraId="5F70FF0B">
      <w:pPr>
        <w:snapToGrid w:val="0"/>
        <w:spacing w:line="460" w:lineRule="exact"/>
        <w:ind w:firstLine="57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Cs/>
          <w:color w:val="000000" w:themeColor="text1"/>
          <w:sz w:val="28"/>
          <w:szCs w:val="28"/>
          <w14:textFill>
            <w14:solidFill>
              <w14:schemeClr w14:val="tx1"/>
            </w14:solidFill>
          </w14:textFill>
        </w:rPr>
        <w:t>2</w:t>
      </w:r>
      <w:r>
        <w:rPr>
          <w:rFonts w:hint="eastAsia" w:ascii="方正仿宋_GBK" w:hAnsi="方正仿宋_GBK" w:eastAsia="方正仿宋_GBK" w:cs="方正仿宋_GBK"/>
          <w:b/>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出现影响采购公正的违法违规行为的；</w:t>
      </w:r>
    </w:p>
    <w:p w14:paraId="474DBA55">
      <w:pPr>
        <w:snapToGrid w:val="0"/>
        <w:spacing w:line="460" w:lineRule="exact"/>
        <w:ind w:firstLine="555"/>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3.议价人的报价均超过了采购预算，采购人不能支付的；</w:t>
      </w:r>
    </w:p>
    <w:p w14:paraId="736E943E">
      <w:pPr>
        <w:snapToGrid w:val="0"/>
        <w:spacing w:line="460" w:lineRule="exact"/>
        <w:ind w:firstLine="555"/>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4.因重大变故，采购任务取消的。</w:t>
      </w:r>
    </w:p>
    <w:p w14:paraId="1B80A5B2">
      <w:pPr>
        <w:snapToGrid w:val="0"/>
        <w:spacing w:line="460" w:lineRule="exact"/>
        <w:ind w:firstLine="555"/>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上述均保留评委会认定可以确定为无效比价或废标的其他情况。</w:t>
      </w:r>
    </w:p>
    <w:p w14:paraId="79317C4D">
      <w:pPr>
        <w:snapToGrid w:val="0"/>
        <w:spacing w:line="460" w:lineRule="exact"/>
        <w:ind w:firstLine="57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六、评标流程：采用最低评标价法。</w:t>
      </w:r>
      <w:r>
        <w:rPr>
          <w:rFonts w:hint="eastAsia" w:ascii="方正仿宋_GBK" w:hAnsi="方正仿宋_GBK" w:eastAsia="方正仿宋_GBK" w:cs="方正仿宋_GBK"/>
          <w:b/>
          <w:color w:val="000000" w:themeColor="text1"/>
          <w:sz w:val="28"/>
          <w:szCs w:val="28"/>
          <w:lang w:val="zh-CN"/>
          <w14:textFill>
            <w14:solidFill>
              <w14:schemeClr w14:val="tx1"/>
            </w14:solidFill>
          </w14:textFill>
        </w:rPr>
        <w:t>评标委员会将根据</w:t>
      </w:r>
      <w:r>
        <w:rPr>
          <w:rFonts w:hint="eastAsia" w:ascii="方正仿宋_GBK" w:hAnsi="方正仿宋_GBK" w:eastAsia="方正仿宋_GBK" w:cs="方正仿宋_GBK"/>
          <w:b/>
          <w:color w:val="000000" w:themeColor="text1"/>
          <w:sz w:val="28"/>
          <w:szCs w:val="28"/>
          <w14:textFill>
            <w14:solidFill>
              <w14:schemeClr w14:val="tx1"/>
            </w14:solidFill>
          </w14:textFill>
        </w:rPr>
        <w:t>比价</w:t>
      </w:r>
      <w:r>
        <w:rPr>
          <w:rFonts w:hint="eastAsia" w:ascii="方正仿宋_GBK" w:hAnsi="方正仿宋_GBK" w:eastAsia="方正仿宋_GBK" w:cs="方正仿宋_GBK"/>
          <w:b/>
          <w:color w:val="000000" w:themeColor="text1"/>
          <w:sz w:val="28"/>
          <w:szCs w:val="28"/>
          <w:lang w:val="zh-CN"/>
          <w14:textFill>
            <w14:solidFill>
              <w14:schemeClr w14:val="tx1"/>
            </w14:solidFill>
          </w14:textFill>
        </w:rPr>
        <w:t>文件相关标准对供应商的资格进行审查，审查通过方可参与项目的价格评标。</w:t>
      </w:r>
      <w:r>
        <w:rPr>
          <w:rFonts w:hint="eastAsia" w:ascii="方正仿宋_GBK" w:hAnsi="方正仿宋_GBK" w:eastAsia="方正仿宋_GBK" w:cs="方正仿宋_GBK"/>
          <w:b/>
          <w:color w:val="000000" w:themeColor="text1"/>
          <w:sz w:val="28"/>
          <w:szCs w:val="28"/>
          <w14:textFill>
            <w14:solidFill>
              <w14:schemeClr w14:val="tx1"/>
            </w14:solidFill>
          </w14:textFill>
        </w:rPr>
        <w:t>符合要求的前提下，报价最低者成交,报价如有相同者，抽签确定成交供应商。</w:t>
      </w:r>
    </w:p>
    <w:p w14:paraId="7357F2C2">
      <w:pPr>
        <w:snapToGrid w:val="0"/>
        <w:spacing w:line="460" w:lineRule="exact"/>
        <w:ind w:firstLine="557" w:firstLineChars="198"/>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七、推荐中选服务单位</w:t>
      </w:r>
    </w:p>
    <w:p w14:paraId="650ED9DB">
      <w:pPr>
        <w:spacing w:line="460" w:lineRule="exact"/>
        <w:ind w:firstLine="560" w:firstLineChars="200"/>
        <w:rPr>
          <w:rFonts w:ascii="方正仿宋_GBK" w:hAnsi="方正仿宋_GBK" w:eastAsia="方正仿宋_GBK" w:cs="方正仿宋_GBK"/>
          <w:b/>
          <w:bCs/>
          <w:color w:val="000000" w:themeColor="text1"/>
          <w:sz w:val="28"/>
          <w:szCs w:val="28"/>
          <w:lang w:val="zh-CN"/>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采用最低评标价法的，评标结果按评审后报价由低到高顺序排列。符合要求的前提下，</w:t>
      </w:r>
      <w:r>
        <w:rPr>
          <w:rFonts w:hint="eastAsia" w:ascii="方正仿宋_GBK" w:hAnsi="方正仿宋_GBK" w:eastAsia="方正仿宋_GBK" w:cs="方正仿宋_GBK"/>
          <w:color w:val="000000" w:themeColor="text1"/>
          <w:sz w:val="28"/>
          <w:szCs w:val="28"/>
          <w:lang w:val="zh-CN"/>
          <w14:textFill>
            <w14:solidFill>
              <w14:schemeClr w14:val="tx1"/>
            </w14:solidFill>
          </w14:textFill>
        </w:rPr>
        <w:t>报价最低者成交,报价如有相同者，抽签确定成交供应商。</w:t>
      </w:r>
    </w:p>
    <w:p w14:paraId="43CD1929">
      <w:pPr>
        <w:snapToGrid w:val="0"/>
        <w:spacing w:line="460" w:lineRule="exact"/>
        <w:ind w:firstLine="562" w:firstLineChars="200"/>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八、中标通知</w:t>
      </w:r>
    </w:p>
    <w:p w14:paraId="00E95928">
      <w:pPr>
        <w:snapToGrid w:val="0"/>
        <w:spacing w:line="460" w:lineRule="exact"/>
        <w:ind w:firstLine="57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中标结果在南通市教育局</w:t>
      </w:r>
      <w:r>
        <w:rPr>
          <w:rFonts w:hint="eastAsia" w:ascii="宋体" w:hAnsi="宋体" w:cs="宋体"/>
          <w:color w:val="000000" w:themeColor="text1"/>
          <w:sz w:val="28"/>
          <w:szCs w:val="28"/>
          <w14:textFill>
            <w14:solidFill>
              <w14:schemeClr w14:val="tx1"/>
            </w14:solidFill>
          </w14:textFill>
        </w:rPr>
        <w:t>官网</w:t>
      </w:r>
      <w:r>
        <w:rPr>
          <w:rFonts w:hint="eastAsia" w:ascii="方正仿宋_GBK" w:hAnsi="方正仿宋_GBK" w:eastAsia="方正仿宋_GBK" w:cs="方正仿宋_GBK"/>
          <w:color w:val="000000" w:themeColor="text1"/>
          <w:sz w:val="28"/>
          <w:szCs w:val="28"/>
          <w14:textFill>
            <w14:solidFill>
              <w14:schemeClr w14:val="tx1"/>
            </w14:solidFill>
          </w14:textFill>
        </w:rPr>
        <w:t>公示，公告期限为1个工作日。《中标通知书》一经发出，如采购单位改变中标结果，或者中标供应商放弃中标的，各自承担相应的法律责任。《中标通知书》是采购合同的组成部分。</w:t>
      </w:r>
    </w:p>
    <w:p w14:paraId="22B882BD">
      <w:pPr>
        <w:snapToGrid w:val="0"/>
        <w:spacing w:line="520" w:lineRule="exact"/>
        <w:jc w:val="center"/>
        <w:outlineLvl w:val="0"/>
        <w:rPr>
          <w:rFonts w:ascii="宋体" w:hAnsi="宋体" w:cs="宋体"/>
          <w:color w:val="000000" w:themeColor="text1"/>
          <w:sz w:val="40"/>
          <w:szCs w:val="40"/>
          <w14:textFill>
            <w14:solidFill>
              <w14:schemeClr w14:val="tx1"/>
            </w14:solidFill>
          </w14:textFill>
        </w:rPr>
      </w:pPr>
      <w:bookmarkStart w:id="9" w:name="_Toc13768"/>
      <w:r>
        <w:rPr>
          <w:rFonts w:hint="eastAsia" w:ascii="宋体" w:hAnsi="宋体" w:cs="宋体"/>
          <w:b/>
          <w:color w:val="000000" w:themeColor="text1"/>
          <w:sz w:val="40"/>
          <w:szCs w:val="40"/>
          <w14:textFill>
            <w14:solidFill>
              <w14:schemeClr w14:val="tx1"/>
            </w14:solidFill>
          </w14:textFill>
        </w:rPr>
        <w:br w:type="page"/>
      </w:r>
      <w:r>
        <w:rPr>
          <w:rFonts w:hint="eastAsia" w:ascii="宋体" w:hAnsi="宋体" w:cs="宋体"/>
          <w:b/>
          <w:color w:val="000000" w:themeColor="text1"/>
          <w:sz w:val="36"/>
          <w:szCs w:val="36"/>
          <w14:textFill>
            <w14:solidFill>
              <w14:schemeClr w14:val="tx1"/>
            </w14:solidFill>
          </w14:textFill>
        </w:rPr>
        <w:t>第五章  合同签订与验收付款</w:t>
      </w:r>
      <w:bookmarkEnd w:id="9"/>
    </w:p>
    <w:p w14:paraId="18505DF5">
      <w:pPr>
        <w:pStyle w:val="20"/>
        <w:tabs>
          <w:tab w:val="right" w:leader="dot" w:pos="9214"/>
        </w:tabs>
        <w:snapToGrid w:val="0"/>
        <w:spacing w:line="460" w:lineRule="exact"/>
        <w:ind w:right="443" w:rightChars="211" w:firstLine="560" w:firstLineChars="200"/>
        <w:contextualSpacing/>
        <w:rPr>
          <w:rFonts w:ascii="方正仿宋_GBK" w:hAnsi="方正仿宋_GBK" w:eastAsia="方正仿宋_GBK" w:cs="方正仿宋_GBK"/>
          <w:color w:val="000000" w:themeColor="text1"/>
          <w:sz w:val="28"/>
          <w14:textFill>
            <w14:solidFill>
              <w14:schemeClr w14:val="tx1"/>
            </w14:solidFill>
          </w14:textFill>
        </w:rPr>
      </w:pPr>
    </w:p>
    <w:p w14:paraId="195FB500">
      <w:pPr>
        <w:pStyle w:val="20"/>
        <w:tabs>
          <w:tab w:val="right" w:leader="dot" w:pos="9214"/>
        </w:tabs>
        <w:snapToGrid w:val="0"/>
        <w:spacing w:line="460" w:lineRule="exact"/>
        <w:ind w:right="443" w:rightChars="211" w:firstLine="560" w:firstLineChars="200"/>
        <w:contextualSpacing/>
        <w:rPr>
          <w:rFonts w:ascii="方正仿宋_GBK" w:hAnsi="方正仿宋_GBK" w:eastAsia="方正仿宋_GBK" w:cs="方正仿宋_GBK"/>
          <w:color w:val="000000" w:themeColor="text1"/>
          <w:sz w:val="28"/>
          <w14:textFill>
            <w14:solidFill>
              <w14:schemeClr w14:val="tx1"/>
            </w14:solidFill>
          </w14:textFill>
        </w:rPr>
      </w:pPr>
      <w:r>
        <w:rPr>
          <w:rFonts w:hint="eastAsia" w:ascii="方正仿宋_GBK" w:hAnsi="方正仿宋_GBK" w:eastAsia="方正仿宋_GBK" w:cs="方正仿宋_GBK"/>
          <w:color w:val="000000" w:themeColor="text1"/>
          <w:sz w:val="28"/>
          <w14:textFill>
            <w14:solidFill>
              <w14:schemeClr w14:val="tx1"/>
            </w14:solidFill>
          </w14:textFill>
        </w:rPr>
        <w:t>一、成交供应商和采购人在接到《成交通知书》后15日内按照采购文件确定的事项签订采购合同。</w:t>
      </w:r>
      <w:r>
        <w:rPr>
          <w:rFonts w:hint="eastAsia" w:ascii="方正仿宋_GBK" w:hAnsi="方正仿宋_GBK" w:eastAsia="方正仿宋_GBK" w:cs="方正仿宋_GBK"/>
          <w:color w:val="000000" w:themeColor="text1"/>
          <w:sz w:val="28"/>
          <w:lang w:val="zh-CN"/>
          <w14:textFill>
            <w14:solidFill>
              <w14:schemeClr w14:val="tx1"/>
            </w14:solidFill>
          </w14:textFill>
        </w:rPr>
        <w:t>所签合同不得对采购文件作实质性修改</w:t>
      </w:r>
      <w:r>
        <w:rPr>
          <w:rFonts w:hint="eastAsia" w:ascii="方正仿宋_GBK" w:hAnsi="方正仿宋_GBK" w:eastAsia="方正仿宋_GBK" w:cs="方正仿宋_GBK"/>
          <w:color w:val="000000" w:themeColor="text1"/>
          <w:sz w:val="28"/>
          <w14:textFill>
            <w14:solidFill>
              <w14:schemeClr w14:val="tx1"/>
            </w14:solidFill>
          </w14:textFill>
        </w:rPr>
        <w:t>。采购人不得向成交供应商提出不合理的要求作为签订合同的条件，不得与成交供应商私下订立背离采购文件实质性内容的协议。</w:t>
      </w:r>
      <w:bookmarkStart w:id="10" w:name="_Toc363573858"/>
      <w:bookmarkStart w:id="11" w:name="_Toc94585343"/>
    </w:p>
    <w:p w14:paraId="0FDB66D0">
      <w:pPr>
        <w:tabs>
          <w:tab w:val="right" w:leader="dot" w:pos="9214"/>
        </w:tabs>
        <w:spacing w:line="460" w:lineRule="exact"/>
        <w:ind w:right="443" w:rightChars="211"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二、采购文件、成交人的响应文件及评审过程中有关书面澄清、承诺等均应作为合同附件，具有同等的法律效力。</w:t>
      </w:r>
    </w:p>
    <w:p w14:paraId="3F692633">
      <w:pPr>
        <w:tabs>
          <w:tab w:val="right" w:leader="dot" w:pos="9214"/>
        </w:tabs>
        <w:spacing w:line="460" w:lineRule="exact"/>
        <w:ind w:right="443" w:rightChars="211"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三、成交人不得采用转包、分包的形式履行合同，否则，采购人有权终止合同，造成采购人损失的，成交人应承担相应赔偿责任。</w:t>
      </w:r>
    </w:p>
    <w:bookmarkEnd w:id="10"/>
    <w:bookmarkEnd w:id="11"/>
    <w:p w14:paraId="6686333C">
      <w:pPr>
        <w:tabs>
          <w:tab w:val="right" w:leader="dot" w:pos="9214"/>
        </w:tabs>
        <w:spacing w:line="460" w:lineRule="exact"/>
        <w:ind w:right="443" w:rightChars="211"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四、采购人和成交人应相互配合，按采购合同约定积极组织本项目的实施，确保项目按时完成。</w:t>
      </w:r>
    </w:p>
    <w:p w14:paraId="07964001">
      <w:pPr>
        <w:tabs>
          <w:tab w:val="right" w:leader="dot" w:pos="9214"/>
        </w:tabs>
        <w:spacing w:line="460" w:lineRule="exact"/>
        <w:ind w:right="443" w:rightChars="211"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五、成交人履约到位后，应以书面形式向采购人提出验收申请。采购人接到申请后应及时组织验收。</w:t>
      </w:r>
    </w:p>
    <w:p w14:paraId="151849EA">
      <w:pPr>
        <w:tabs>
          <w:tab w:val="right" w:leader="dot" w:pos="9214"/>
        </w:tabs>
        <w:spacing w:line="460" w:lineRule="exact"/>
        <w:ind w:right="443" w:rightChars="211"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六、</w:t>
      </w:r>
      <w:r>
        <w:rPr>
          <w:rFonts w:hint="eastAsia" w:ascii="方正仿宋_GBK" w:hAnsi="方正仿宋_GBK" w:eastAsia="方正仿宋_GBK" w:cs="方正仿宋_GBK"/>
          <w:color w:val="000000" w:themeColor="text1"/>
          <w:sz w:val="30"/>
          <w:szCs w:val="30"/>
          <w14:textFill>
            <w14:solidFill>
              <w14:schemeClr w14:val="tx1"/>
            </w14:solidFill>
          </w14:textFill>
        </w:rPr>
        <w:t>采购人、成交人不按采购合同规定履约，</w:t>
      </w:r>
      <w:r>
        <w:rPr>
          <w:rFonts w:hint="eastAsia" w:ascii="方正仿宋_GBK" w:hAnsi="方正仿宋_GBK" w:eastAsia="方正仿宋_GBK" w:cs="方正仿宋_GBK"/>
          <w:color w:val="000000" w:themeColor="text1"/>
          <w:sz w:val="28"/>
          <w:szCs w:val="28"/>
          <w14:textFill>
            <w14:solidFill>
              <w14:schemeClr w14:val="tx1"/>
            </w14:solidFill>
          </w14:textFill>
        </w:rPr>
        <w:t>出现违约情形，应当及时纠正或补偿，造成损失的，按合同约定追究违约责任；履约中发现有假冒、伪劣、走私产品、商业贿赂等违法情形的，应由采购人移交工商、质监、公安等行政执法部门依法查处。</w:t>
      </w:r>
    </w:p>
    <w:p w14:paraId="043582CD">
      <w:pPr>
        <w:pStyle w:val="2"/>
        <w:tabs>
          <w:tab w:val="right" w:leader="dot" w:pos="9214"/>
        </w:tabs>
        <w:spacing w:line="460" w:lineRule="exact"/>
        <w:ind w:right="443" w:rightChars="211" w:firstLine="560" w:firstLineChars="200"/>
        <w:rPr>
          <w:rFonts w:ascii="方正仿宋_GBK" w:hAnsi="方正仿宋_GBK" w:eastAsia="方正仿宋_GBK" w:cs="方正仿宋_GBK"/>
          <w:color w:val="000000" w:themeColor="text1"/>
          <w:kern w:val="2"/>
          <w:sz w:val="28"/>
          <w:szCs w:val="28"/>
          <w14:textFill>
            <w14:solidFill>
              <w14:schemeClr w14:val="tx1"/>
            </w14:solidFill>
          </w14:textFill>
        </w:rPr>
      </w:pPr>
      <w:r>
        <w:rPr>
          <w:rFonts w:hint="eastAsia" w:ascii="方正仿宋_GBK" w:hAnsi="方正仿宋_GBK" w:eastAsia="方正仿宋_GBK" w:cs="方正仿宋_GBK"/>
          <w:color w:val="000000" w:themeColor="text1"/>
          <w:kern w:val="2"/>
          <w:sz w:val="28"/>
          <w:szCs w:val="28"/>
          <w14:textFill>
            <w14:solidFill>
              <w14:schemeClr w14:val="tx1"/>
            </w14:solidFill>
          </w14:textFill>
        </w:rPr>
        <w:t>七、按采购合同约定支付的项目合同价款。</w:t>
      </w:r>
    </w:p>
    <w:p w14:paraId="1CF294AC">
      <w:pPr>
        <w:autoSpaceDE w:val="0"/>
        <w:autoSpaceDN w:val="0"/>
        <w:adjustRightInd w:val="0"/>
        <w:spacing w:line="520" w:lineRule="exact"/>
        <w:rPr>
          <w:rFonts w:ascii="仿宋" w:hAnsi="仿宋" w:eastAsia="仿宋" w:cs="仿宋"/>
          <w:color w:val="000000" w:themeColor="text1"/>
          <w:kern w:val="0"/>
          <w:sz w:val="28"/>
          <w:szCs w:val="28"/>
          <w14:textFill>
            <w14:solidFill>
              <w14:schemeClr w14:val="tx1"/>
            </w14:solidFill>
          </w14:textFill>
        </w:rPr>
      </w:pPr>
    </w:p>
    <w:p w14:paraId="6029F47D">
      <w:pPr>
        <w:autoSpaceDE w:val="0"/>
        <w:autoSpaceDN w:val="0"/>
        <w:adjustRightInd w:val="0"/>
        <w:spacing w:line="520" w:lineRule="exact"/>
        <w:rPr>
          <w:rFonts w:ascii="仿宋" w:hAnsi="仿宋" w:eastAsia="仿宋" w:cs="仿宋"/>
          <w:color w:val="000000" w:themeColor="text1"/>
          <w:kern w:val="0"/>
          <w:sz w:val="28"/>
          <w:szCs w:val="28"/>
          <w14:textFill>
            <w14:solidFill>
              <w14:schemeClr w14:val="tx1"/>
            </w14:solidFill>
          </w14:textFill>
        </w:rPr>
      </w:pPr>
    </w:p>
    <w:p w14:paraId="17C55B29">
      <w:pPr>
        <w:autoSpaceDE w:val="0"/>
        <w:autoSpaceDN w:val="0"/>
        <w:adjustRightInd w:val="0"/>
        <w:spacing w:line="520" w:lineRule="exact"/>
        <w:rPr>
          <w:rFonts w:ascii="仿宋" w:hAnsi="仿宋" w:eastAsia="仿宋" w:cs="仿宋"/>
          <w:color w:val="000000" w:themeColor="text1"/>
          <w:kern w:val="0"/>
          <w:sz w:val="28"/>
          <w:szCs w:val="28"/>
          <w14:textFill>
            <w14:solidFill>
              <w14:schemeClr w14:val="tx1"/>
            </w14:solidFill>
          </w14:textFill>
        </w:rPr>
      </w:pPr>
    </w:p>
    <w:p w14:paraId="326571A8">
      <w:pPr>
        <w:autoSpaceDE w:val="0"/>
        <w:autoSpaceDN w:val="0"/>
        <w:adjustRightInd w:val="0"/>
        <w:spacing w:line="520" w:lineRule="exact"/>
        <w:rPr>
          <w:rFonts w:ascii="仿宋" w:hAnsi="仿宋" w:eastAsia="仿宋" w:cs="仿宋"/>
          <w:color w:val="000000" w:themeColor="text1"/>
          <w:kern w:val="0"/>
          <w:sz w:val="28"/>
          <w:szCs w:val="28"/>
          <w14:textFill>
            <w14:solidFill>
              <w14:schemeClr w14:val="tx1"/>
            </w14:solidFill>
          </w14:textFill>
        </w:rPr>
      </w:pPr>
    </w:p>
    <w:p w14:paraId="0308E570">
      <w:pPr>
        <w:autoSpaceDE w:val="0"/>
        <w:autoSpaceDN w:val="0"/>
        <w:adjustRightInd w:val="0"/>
        <w:spacing w:line="520" w:lineRule="exact"/>
        <w:rPr>
          <w:rFonts w:ascii="仿宋" w:hAnsi="仿宋" w:eastAsia="仿宋" w:cs="仿宋"/>
          <w:color w:val="000000" w:themeColor="text1"/>
          <w:kern w:val="0"/>
          <w:sz w:val="28"/>
          <w:szCs w:val="28"/>
          <w14:textFill>
            <w14:solidFill>
              <w14:schemeClr w14:val="tx1"/>
            </w14:solidFill>
          </w14:textFill>
        </w:rPr>
      </w:pPr>
    </w:p>
    <w:p w14:paraId="4DDE85CA">
      <w:pPr>
        <w:autoSpaceDE w:val="0"/>
        <w:autoSpaceDN w:val="0"/>
        <w:adjustRightInd w:val="0"/>
        <w:spacing w:line="520" w:lineRule="exact"/>
        <w:rPr>
          <w:rFonts w:ascii="仿宋" w:hAnsi="仿宋" w:eastAsia="仿宋" w:cs="仿宋"/>
          <w:color w:val="000000" w:themeColor="text1"/>
          <w:kern w:val="0"/>
          <w:sz w:val="28"/>
          <w:szCs w:val="28"/>
          <w14:textFill>
            <w14:solidFill>
              <w14:schemeClr w14:val="tx1"/>
            </w14:solidFill>
          </w14:textFill>
        </w:rPr>
      </w:pPr>
    </w:p>
    <w:p w14:paraId="69871627">
      <w:pPr>
        <w:tabs>
          <w:tab w:val="left" w:pos="8820"/>
        </w:tabs>
        <w:snapToGrid w:val="0"/>
        <w:spacing w:line="360" w:lineRule="auto"/>
        <w:ind w:firstLine="848" w:firstLineChars="192"/>
        <w:contextualSpacing/>
        <w:rPr>
          <w:rFonts w:ascii="仿宋" w:hAnsi="仿宋" w:eastAsia="仿宋" w:cs="宋体"/>
          <w:color w:val="000000" w:themeColor="text1"/>
          <w:kern w:val="0"/>
          <w:sz w:val="28"/>
          <w:szCs w:val="28"/>
          <w:lang w:val="zh-CN"/>
          <w14:textFill>
            <w14:solidFill>
              <w14:schemeClr w14:val="tx1"/>
            </w14:solidFill>
          </w14:textFill>
        </w:rPr>
      </w:pPr>
      <w:bookmarkStart w:id="12" w:name="_Toc14026"/>
      <w:r>
        <w:rPr>
          <w:rFonts w:hint="eastAsia" w:ascii="宋体" w:hAnsi="宋体" w:cs="宋体"/>
          <w:b/>
          <w:color w:val="000000" w:themeColor="text1"/>
          <w:sz w:val="44"/>
          <w:szCs w:val="44"/>
          <w14:textFill>
            <w14:solidFill>
              <w14:schemeClr w14:val="tx1"/>
            </w14:solidFill>
          </w14:textFill>
        </w:rPr>
        <w:br w:type="page"/>
      </w:r>
    </w:p>
    <w:p w14:paraId="6A5D72A9">
      <w:pPr>
        <w:snapToGrid w:val="0"/>
        <w:spacing w:line="520" w:lineRule="exact"/>
        <w:jc w:val="center"/>
        <w:outlineLvl w:val="0"/>
        <w:rPr>
          <w:rFonts w:ascii="宋体" w:hAnsi="宋体" w:cs="宋体"/>
          <w:b/>
          <w:color w:val="000000" w:themeColor="text1"/>
          <w:sz w:val="44"/>
          <w:szCs w:val="44"/>
          <w14:textFill>
            <w14:solidFill>
              <w14:schemeClr w14:val="tx1"/>
            </w14:solidFill>
          </w14:textFill>
        </w:rPr>
      </w:pPr>
      <w:r>
        <w:rPr>
          <w:rFonts w:hint="eastAsia" w:ascii="宋体" w:hAnsi="宋体" w:cs="宋体"/>
          <w:b/>
          <w:color w:val="000000" w:themeColor="text1"/>
          <w:sz w:val="36"/>
          <w:szCs w:val="36"/>
          <w14:textFill>
            <w14:solidFill>
              <w14:schemeClr w14:val="tx1"/>
            </w14:solidFill>
          </w14:textFill>
        </w:rPr>
        <w:t>第六章</w:t>
      </w:r>
      <w:bookmarkEnd w:id="12"/>
      <w:bookmarkStart w:id="13" w:name="_Toc21870"/>
      <w:r>
        <w:rPr>
          <w:rFonts w:hint="eastAsia" w:ascii="宋体" w:hAnsi="宋体" w:cs="宋体"/>
          <w:b/>
          <w:color w:val="000000" w:themeColor="text1"/>
          <w:sz w:val="36"/>
          <w:szCs w:val="36"/>
          <w14:textFill>
            <w14:solidFill>
              <w14:schemeClr w14:val="tx1"/>
            </w14:solidFill>
          </w14:textFill>
        </w:rPr>
        <w:t xml:space="preserve">   比价响应文件组成</w:t>
      </w:r>
      <w:bookmarkEnd w:id="13"/>
    </w:p>
    <w:p w14:paraId="725A20EB">
      <w:pPr>
        <w:snapToGrid w:val="0"/>
        <w:spacing w:before="120" w:beforeLines="50" w:line="460" w:lineRule="exact"/>
        <w:ind w:firstLine="556"/>
        <w:jc w:val="left"/>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比价响应文件由资格审查证明材料、价格标两部分组成。</w:t>
      </w:r>
    </w:p>
    <w:p w14:paraId="391AEFF0">
      <w:pPr>
        <w:pStyle w:val="21"/>
        <w:snapToGrid w:val="0"/>
        <w:spacing w:before="0" w:beforeAutospacing="0" w:after="0" w:afterAutospacing="0" w:line="460" w:lineRule="exact"/>
        <w:ind w:firstLine="562" w:firstLineChars="200"/>
        <w:contextualSpacing/>
        <w:rPr>
          <w:rFonts w:ascii="方正仿宋_GBK" w:hAnsi="方正仿宋_GBK" w:eastAsia="方正仿宋_GBK" w:cs="方正仿宋_GBK"/>
          <w:b/>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一、资格审查证明材料（不能出现报价，一正两副，单独密封并牢固装订）：</w:t>
      </w:r>
    </w:p>
    <w:p w14:paraId="73F7CDE8">
      <w:pPr>
        <w:pStyle w:val="21"/>
        <w:snapToGrid w:val="0"/>
        <w:spacing w:before="0" w:beforeAutospacing="0" w:after="0" w:afterAutospacing="0" w:line="460" w:lineRule="exact"/>
        <w:ind w:firstLine="560" w:firstLineChars="200"/>
        <w:contextualSpacing/>
        <w:rPr>
          <w:rFonts w:ascii="方正仿宋_GBK" w:hAnsi="方正仿宋_GBK" w:eastAsia="方正仿宋_GBK" w:cs="方正仿宋_GBK"/>
          <w:bCs/>
          <w:color w:val="000000" w:themeColor="text1"/>
          <w:sz w:val="28"/>
          <w:szCs w:val="28"/>
          <w14:textFill>
            <w14:solidFill>
              <w14:schemeClr w14:val="tx1"/>
            </w14:solidFill>
          </w14:textFill>
        </w:rPr>
      </w:pPr>
      <w:r>
        <w:rPr>
          <w:rFonts w:hint="eastAsia" w:ascii="方正仿宋_GBK" w:hAnsi="方正仿宋_GBK" w:eastAsia="方正仿宋_GBK" w:cs="方正仿宋_GBK"/>
          <w:bCs/>
          <w:color w:val="000000" w:themeColor="text1"/>
          <w:sz w:val="28"/>
          <w:szCs w:val="28"/>
          <w14:textFill>
            <w14:solidFill>
              <w14:schemeClr w14:val="tx1"/>
            </w14:solidFill>
          </w14:textFill>
        </w:rPr>
        <w:t>1.关于资格的响应函（提供有效的营业执照副本复印件并盖公章）；</w:t>
      </w:r>
    </w:p>
    <w:p w14:paraId="1E471C3D">
      <w:pPr>
        <w:pStyle w:val="21"/>
        <w:snapToGrid w:val="0"/>
        <w:spacing w:before="0" w:beforeAutospacing="0" w:after="0" w:afterAutospacing="0" w:line="460" w:lineRule="exact"/>
        <w:ind w:firstLine="560" w:firstLineChars="200"/>
        <w:contextualSpacing/>
        <w:rPr>
          <w:rFonts w:ascii="方正仿宋_GBK" w:hAnsi="方正仿宋_GBK" w:eastAsia="方正仿宋_GBK" w:cs="方正仿宋_GBK"/>
          <w:bCs/>
          <w:color w:val="000000" w:themeColor="text1"/>
          <w:sz w:val="28"/>
          <w:szCs w:val="28"/>
          <w14:textFill>
            <w14:solidFill>
              <w14:schemeClr w14:val="tx1"/>
            </w14:solidFill>
          </w14:textFill>
        </w:rPr>
      </w:pPr>
      <w:r>
        <w:rPr>
          <w:rFonts w:hint="eastAsia" w:ascii="方正仿宋_GBK" w:hAnsi="方正仿宋_GBK" w:eastAsia="方正仿宋_GBK" w:cs="方正仿宋_GBK"/>
          <w:bCs/>
          <w:color w:val="000000" w:themeColor="text1"/>
          <w:sz w:val="28"/>
          <w:szCs w:val="28"/>
          <w14:textFill>
            <w14:solidFill>
              <w14:schemeClr w14:val="tx1"/>
            </w14:solidFill>
          </w14:textFill>
        </w:rPr>
        <w:t>2.提供法定代表人身份证明及本人身份证复印件；非法定代表人参加投标的，还必须提供法定代表人签字或盖章的授权委托书及被授权人本人的身份证复印件（格式参见附件）；</w:t>
      </w:r>
    </w:p>
    <w:p w14:paraId="154710FD">
      <w:pPr>
        <w:pStyle w:val="21"/>
        <w:snapToGrid w:val="0"/>
        <w:spacing w:before="0" w:beforeAutospacing="0" w:after="0" w:afterAutospacing="0" w:line="460" w:lineRule="exact"/>
        <w:ind w:firstLine="560" w:firstLineChars="200"/>
        <w:contextualSpacing/>
        <w:rPr>
          <w:rFonts w:ascii="方正仿宋_GBK" w:hAnsi="方正仿宋_GBK" w:eastAsia="方正仿宋_GBK" w:cs="方正仿宋_GBK"/>
          <w:bCs/>
          <w:color w:val="000000" w:themeColor="text1"/>
          <w:sz w:val="28"/>
          <w:szCs w:val="28"/>
          <w14:textFill>
            <w14:solidFill>
              <w14:schemeClr w14:val="tx1"/>
            </w14:solidFill>
          </w14:textFill>
        </w:rPr>
      </w:pPr>
      <w:r>
        <w:rPr>
          <w:rFonts w:hint="eastAsia" w:ascii="方正仿宋_GBK" w:hAnsi="方正仿宋_GBK" w:eastAsia="方正仿宋_GBK" w:cs="方正仿宋_GBK"/>
          <w:bCs/>
          <w:color w:val="000000" w:themeColor="text1"/>
          <w:sz w:val="28"/>
          <w:szCs w:val="28"/>
          <w14:textFill>
            <w14:solidFill>
              <w14:schemeClr w14:val="tx1"/>
            </w14:solidFill>
          </w14:textFill>
        </w:rPr>
        <w:t>3.参加本次采购活动前三年内，在经营活动中没有重大违法记录（格式参见附件）；</w:t>
      </w:r>
    </w:p>
    <w:p w14:paraId="76459B06">
      <w:pPr>
        <w:pStyle w:val="21"/>
        <w:snapToGrid w:val="0"/>
        <w:spacing w:before="0" w:beforeAutospacing="0" w:after="0" w:afterAutospacing="0" w:line="460" w:lineRule="exact"/>
        <w:ind w:firstLine="560" w:firstLineChars="200"/>
        <w:contextualSpacing/>
        <w:rPr>
          <w:rFonts w:ascii="方正仿宋_GBK" w:hAnsi="方正仿宋_GBK" w:eastAsia="方正仿宋_GBK" w:cs="方正仿宋_GBK"/>
          <w:bCs/>
          <w:color w:val="000000" w:themeColor="text1"/>
          <w:sz w:val="28"/>
          <w:szCs w:val="28"/>
          <w14:textFill>
            <w14:solidFill>
              <w14:schemeClr w14:val="tx1"/>
            </w14:solidFill>
          </w14:textFill>
        </w:rPr>
      </w:pPr>
      <w:r>
        <w:rPr>
          <w:rFonts w:hint="eastAsia" w:ascii="方正仿宋_GBK" w:hAnsi="方正仿宋_GBK" w:eastAsia="方正仿宋_GBK" w:cs="方正仿宋_GBK"/>
          <w:bCs/>
          <w:color w:val="000000" w:themeColor="text1"/>
          <w:sz w:val="28"/>
          <w:szCs w:val="28"/>
          <w14:textFill>
            <w14:solidFill>
              <w14:schemeClr w14:val="tx1"/>
            </w14:solidFill>
          </w14:textFill>
        </w:rPr>
        <w:t>4.未被“信用中国”网站列入失信被执行人、重大税收违法案件当事人名单、采购严重违法失信行为记录名单，并提供截图证明；</w:t>
      </w:r>
    </w:p>
    <w:p w14:paraId="56C52404">
      <w:pPr>
        <w:pStyle w:val="21"/>
        <w:snapToGrid w:val="0"/>
        <w:spacing w:before="0" w:beforeAutospacing="0" w:after="0" w:afterAutospacing="0" w:line="460" w:lineRule="exact"/>
        <w:ind w:firstLine="560" w:firstLineChars="200"/>
        <w:contextualSpacing/>
        <w:rPr>
          <w:rFonts w:ascii="方正仿宋_GBK" w:hAnsi="方正仿宋_GBK" w:eastAsia="方正仿宋_GBK" w:cs="方正仿宋_GBK"/>
          <w:bCs/>
          <w:color w:val="000000" w:themeColor="text1"/>
          <w:sz w:val="28"/>
          <w:szCs w:val="28"/>
          <w14:textFill>
            <w14:solidFill>
              <w14:schemeClr w14:val="tx1"/>
            </w14:solidFill>
          </w14:textFill>
        </w:rPr>
      </w:pPr>
      <w:r>
        <w:rPr>
          <w:rFonts w:hint="eastAsia" w:ascii="方正仿宋_GBK" w:hAnsi="方正仿宋_GBK" w:eastAsia="方正仿宋_GBK" w:cs="方正仿宋_GBK"/>
          <w:bCs/>
          <w:color w:val="000000" w:themeColor="text1"/>
          <w:sz w:val="28"/>
          <w:szCs w:val="28"/>
          <w14:textFill>
            <w14:solidFill>
              <w14:schemeClr w14:val="tx1"/>
            </w14:solidFill>
          </w14:textFill>
        </w:rPr>
        <w:t>5.本项目采购文件要求投标人提供的和投标人认为与本项目有关的并可以提供的证明材料（</w:t>
      </w:r>
      <w:r>
        <w:rPr>
          <w:rFonts w:hint="eastAsia" w:ascii="仿宋" w:hAnsi="仿宋" w:eastAsia="仿宋" w:cs="仿宋"/>
          <w:color w:val="000000" w:themeColor="text1"/>
          <w:sz w:val="28"/>
          <w:szCs w:val="28"/>
          <w14:textFill>
            <w14:solidFill>
              <w14:schemeClr w14:val="tx1"/>
            </w14:solidFill>
          </w14:textFill>
        </w:rPr>
        <w:t>具体要求见第三章项目需求</w:t>
      </w:r>
      <w:r>
        <w:rPr>
          <w:rFonts w:hint="eastAsia" w:ascii="方正仿宋_GBK" w:hAnsi="方正仿宋_GBK" w:eastAsia="方正仿宋_GBK" w:cs="方正仿宋_GBK"/>
          <w:bCs/>
          <w:color w:val="000000" w:themeColor="text1"/>
          <w:sz w:val="28"/>
          <w:szCs w:val="28"/>
          <w14:textFill>
            <w14:solidFill>
              <w14:schemeClr w14:val="tx1"/>
            </w14:solidFill>
          </w14:textFill>
        </w:rPr>
        <w:t>）。</w:t>
      </w:r>
    </w:p>
    <w:p w14:paraId="46508FE3">
      <w:pPr>
        <w:pStyle w:val="21"/>
        <w:snapToGrid w:val="0"/>
        <w:spacing w:before="0" w:beforeAutospacing="0" w:after="0" w:afterAutospacing="0" w:line="460" w:lineRule="exact"/>
        <w:ind w:firstLine="562" w:firstLineChars="200"/>
        <w:contextualSpacing/>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14:textFill>
            <w14:solidFill>
              <w14:schemeClr w14:val="tx1"/>
            </w14:solidFill>
          </w14:textFill>
        </w:rPr>
        <w:t>二、价格响应文件，一正两副（单独密封并牢固装订），不得出现在资格审查部分：</w:t>
      </w:r>
    </w:p>
    <w:p w14:paraId="461D3DAB">
      <w:pPr>
        <w:tabs>
          <w:tab w:val="left" w:pos="1260"/>
        </w:tabs>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1.报价总表；</w:t>
      </w:r>
    </w:p>
    <w:p w14:paraId="0FFF8B6E">
      <w:pPr>
        <w:tabs>
          <w:tab w:val="left" w:pos="1260"/>
        </w:tabs>
        <w:snapToGrid w:val="0"/>
        <w:spacing w:line="460" w:lineRule="exact"/>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2.分项报价明细表</w:t>
      </w:r>
    </w:p>
    <w:p w14:paraId="63F22510">
      <w:pPr>
        <w:tabs>
          <w:tab w:val="left" w:pos="1260"/>
        </w:tabs>
        <w:snapToGrid w:val="0"/>
        <w:spacing w:line="520" w:lineRule="exact"/>
        <w:ind w:firstLine="562" w:firstLineChars="200"/>
        <w:rPr>
          <w:rFonts w:ascii="仿宋" w:hAnsi="仿宋" w:eastAsia="仿宋" w:cs="仿宋"/>
          <w:b/>
          <w:color w:val="000000" w:themeColor="text1"/>
          <w:sz w:val="28"/>
          <w:szCs w:val="28"/>
          <w14:textFill>
            <w14:solidFill>
              <w14:schemeClr w14:val="tx1"/>
            </w14:solidFill>
          </w14:textFill>
        </w:rPr>
      </w:pPr>
    </w:p>
    <w:p w14:paraId="07D8E944">
      <w:pPr>
        <w:tabs>
          <w:tab w:val="left" w:pos="1260"/>
        </w:tabs>
        <w:snapToGrid w:val="0"/>
        <w:spacing w:line="520" w:lineRule="exact"/>
        <w:ind w:firstLine="562" w:firstLineChars="200"/>
        <w:rPr>
          <w:rFonts w:ascii="仿宋" w:hAnsi="仿宋" w:eastAsia="仿宋" w:cs="仿宋"/>
          <w:b/>
          <w:color w:val="000000" w:themeColor="text1"/>
          <w:sz w:val="28"/>
          <w:szCs w:val="28"/>
          <w14:textFill>
            <w14:solidFill>
              <w14:schemeClr w14:val="tx1"/>
            </w14:solidFill>
          </w14:textFill>
        </w:rPr>
      </w:pPr>
    </w:p>
    <w:p w14:paraId="5595790E">
      <w:pPr>
        <w:tabs>
          <w:tab w:val="left" w:pos="1260"/>
        </w:tabs>
        <w:snapToGrid w:val="0"/>
        <w:spacing w:line="520" w:lineRule="exact"/>
        <w:ind w:firstLine="562" w:firstLineChars="200"/>
        <w:rPr>
          <w:rFonts w:ascii="仿宋" w:hAnsi="仿宋" w:eastAsia="仿宋" w:cs="仿宋"/>
          <w:b/>
          <w:color w:val="000000" w:themeColor="text1"/>
          <w:sz w:val="28"/>
          <w:szCs w:val="28"/>
          <w14:textFill>
            <w14:solidFill>
              <w14:schemeClr w14:val="tx1"/>
            </w14:solidFill>
          </w14:textFill>
        </w:rPr>
      </w:pPr>
    </w:p>
    <w:p w14:paraId="395093F9">
      <w:pPr>
        <w:tabs>
          <w:tab w:val="left" w:pos="1260"/>
        </w:tabs>
        <w:snapToGrid w:val="0"/>
        <w:spacing w:line="520" w:lineRule="exact"/>
        <w:ind w:firstLine="562" w:firstLineChars="200"/>
        <w:rPr>
          <w:rFonts w:ascii="仿宋" w:hAnsi="仿宋" w:eastAsia="仿宋" w:cs="仿宋"/>
          <w:b/>
          <w:color w:val="000000" w:themeColor="text1"/>
          <w:sz w:val="28"/>
          <w:szCs w:val="28"/>
          <w14:textFill>
            <w14:solidFill>
              <w14:schemeClr w14:val="tx1"/>
            </w14:solidFill>
          </w14:textFill>
        </w:rPr>
      </w:pPr>
    </w:p>
    <w:p w14:paraId="04350759">
      <w:pPr>
        <w:rPr>
          <w:rFonts w:ascii="仿宋" w:hAnsi="仿宋" w:eastAsia="仿宋" w:cs="仿宋"/>
          <w:b/>
          <w:color w:val="000000" w:themeColor="text1"/>
          <w:sz w:val="28"/>
          <w:szCs w:val="28"/>
          <w14:textFill>
            <w14:solidFill>
              <w14:schemeClr w14:val="tx1"/>
            </w14:solidFill>
          </w14:textFill>
        </w:rPr>
      </w:pPr>
      <w:r>
        <w:rPr>
          <w:rFonts w:ascii="仿宋" w:hAnsi="仿宋" w:eastAsia="仿宋" w:cs="仿宋"/>
          <w:b/>
          <w:color w:val="000000" w:themeColor="text1"/>
          <w:sz w:val="28"/>
          <w:szCs w:val="28"/>
          <w14:textFill>
            <w14:solidFill>
              <w14:schemeClr w14:val="tx1"/>
            </w14:solidFill>
          </w14:textFill>
        </w:rPr>
        <w:br w:type="page"/>
      </w:r>
    </w:p>
    <w:p w14:paraId="1D9AFBC5">
      <w:pPr>
        <w:pStyle w:val="2"/>
        <w:rPr>
          <w:color w:val="000000" w:themeColor="text1"/>
          <w14:textFill>
            <w14:solidFill>
              <w14:schemeClr w14:val="tx1"/>
            </w14:solidFill>
          </w14:textFill>
        </w:rPr>
      </w:pPr>
    </w:p>
    <w:p w14:paraId="2FBEDECD">
      <w:pPr>
        <w:tabs>
          <w:tab w:val="left" w:pos="1260"/>
        </w:tabs>
        <w:snapToGrid w:val="0"/>
        <w:spacing w:line="520" w:lineRule="exact"/>
        <w:ind w:firstLine="562" w:firstLineChars="20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资格审查证明材料相关格式</w:t>
      </w:r>
    </w:p>
    <w:p w14:paraId="334782FB">
      <w:pPr>
        <w:spacing w:line="520" w:lineRule="exact"/>
        <w:rPr>
          <w:rFonts w:ascii="仿宋" w:hAnsi="仿宋" w:eastAsia="仿宋" w:cs="仿宋"/>
          <w:b/>
          <w:bCs/>
          <w:color w:val="000000" w:themeColor="text1"/>
          <w:sz w:val="28"/>
          <w:szCs w:val="28"/>
          <w14:textFill>
            <w14:solidFill>
              <w14:schemeClr w14:val="tx1"/>
            </w14:solidFill>
          </w14:textFill>
        </w:rPr>
      </w:pPr>
    </w:p>
    <w:p w14:paraId="799589C7">
      <w:pPr>
        <w:spacing w:line="360" w:lineRule="auto"/>
        <w:jc w:val="center"/>
        <w:outlineLvl w:val="2"/>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1.响  应  函</w:t>
      </w:r>
    </w:p>
    <w:p w14:paraId="056E2EE1">
      <w:pPr>
        <w:snapToGrid w:val="0"/>
        <w:spacing w:line="360" w:lineRule="auto"/>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南通市教育技术中心：</w:t>
      </w:r>
    </w:p>
    <w:p w14:paraId="5DE64580">
      <w:pPr>
        <w:spacing w:line="520" w:lineRule="exact"/>
        <w:ind w:firstLine="560"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我单位参加</w:t>
      </w:r>
      <w:r>
        <w:rPr>
          <w:rFonts w:hint="eastAsia" w:ascii="仿宋" w:hAnsi="仿宋" w:eastAsia="仿宋" w:cs="仿宋"/>
          <w:color w:val="000000" w:themeColor="text1"/>
          <w:sz w:val="28"/>
          <w:szCs w:val="28"/>
          <w14:textFill>
            <w14:solidFill>
              <w14:schemeClr w14:val="tx1"/>
            </w14:solidFill>
          </w14:textFill>
        </w:rPr>
        <w:t>贵单位组织的</w:t>
      </w:r>
      <w:r>
        <w:rPr>
          <w:rFonts w:hint="eastAsia" w:ascii="仿宋" w:hAnsi="仿宋" w:eastAsia="仿宋" w:cs="仿宋"/>
          <w:color w:val="000000" w:themeColor="text1"/>
          <w:sz w:val="28"/>
          <w:szCs w:val="28"/>
          <w:u w:val="single"/>
          <w14:textFill>
            <w14:solidFill>
              <w14:schemeClr w14:val="tx1"/>
            </w14:solidFill>
          </w14:textFill>
        </w:rPr>
        <w:t>（采购项目名称)</w:t>
      </w:r>
      <w:r>
        <w:rPr>
          <w:rFonts w:hint="eastAsia" w:ascii="仿宋" w:hAnsi="仿宋" w:eastAsia="仿宋" w:cs="仿宋"/>
          <w:bCs/>
          <w:color w:val="000000" w:themeColor="text1"/>
          <w:sz w:val="28"/>
          <w:szCs w:val="28"/>
          <w14:textFill>
            <w14:solidFill>
              <w14:schemeClr w14:val="tx1"/>
            </w14:solidFill>
          </w14:textFill>
        </w:rPr>
        <w:t>（项目编号:_______)投标活动。针对规定做出如下声明：</w:t>
      </w:r>
    </w:p>
    <w:p w14:paraId="7F9CA05A">
      <w:pPr>
        <w:spacing w:line="520" w:lineRule="exact"/>
        <w:ind w:firstLine="48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1.我单位具有独立承担民事责任的能力；</w:t>
      </w:r>
    </w:p>
    <w:p w14:paraId="240D0C18">
      <w:pPr>
        <w:spacing w:line="520" w:lineRule="exact"/>
        <w:ind w:firstLine="48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2.我单位具有良好的商业信誉和健全的财务会计制度；</w:t>
      </w:r>
    </w:p>
    <w:p w14:paraId="5B6B0011">
      <w:pPr>
        <w:spacing w:line="520" w:lineRule="exact"/>
        <w:ind w:firstLine="48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3.我单位具有履行合同所必需的设备和专业技术能力；</w:t>
      </w:r>
    </w:p>
    <w:p w14:paraId="08D7B64E">
      <w:pPr>
        <w:spacing w:line="520" w:lineRule="exact"/>
        <w:ind w:firstLine="48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4.我单位有依法缴纳税收和社会保障资金的良好记录。</w:t>
      </w:r>
    </w:p>
    <w:p w14:paraId="5EF660B5">
      <w:pPr>
        <w:spacing w:line="520" w:lineRule="exact"/>
        <w:ind w:firstLine="482"/>
        <w:rPr>
          <w:rFonts w:ascii="仿宋" w:hAnsi="仿宋" w:eastAsia="仿宋" w:cs="仿宋"/>
          <w:bCs/>
          <w:color w:val="000000" w:themeColor="text1"/>
          <w:sz w:val="28"/>
          <w:szCs w:val="28"/>
          <w14:textFill>
            <w14:solidFill>
              <w14:schemeClr w14:val="tx1"/>
            </w14:solidFill>
          </w14:textFill>
        </w:rPr>
      </w:pPr>
    </w:p>
    <w:p w14:paraId="288326B5">
      <w:pPr>
        <w:spacing w:line="500" w:lineRule="exact"/>
        <w:ind w:firstLine="482"/>
        <w:rPr>
          <w:rFonts w:ascii="宋体" w:hAnsi="宋体" w:cs="宋体"/>
          <w:color w:val="000000" w:themeColor="text1"/>
          <w:sz w:val="24"/>
          <w14:textFill>
            <w14:solidFill>
              <w14:schemeClr w14:val="tx1"/>
            </w14:solidFill>
          </w14:textFill>
        </w:rPr>
      </w:pPr>
    </w:p>
    <w:p w14:paraId="6FFF279C">
      <w:pPr>
        <w:spacing w:line="500" w:lineRule="exact"/>
        <w:rPr>
          <w:rFonts w:ascii="宋体" w:hAnsi="宋体" w:cs="宋体"/>
          <w:bCs/>
          <w:color w:val="000000" w:themeColor="text1"/>
          <w:sz w:val="24"/>
          <w14:textFill>
            <w14:solidFill>
              <w14:schemeClr w14:val="tx1"/>
            </w14:solidFill>
          </w14:textFill>
        </w:rPr>
      </w:pPr>
    </w:p>
    <w:p w14:paraId="39E7BC7A">
      <w:pPr>
        <w:spacing w:line="4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ab/>
      </w:r>
      <w:r>
        <w:rPr>
          <w:rFonts w:hint="eastAsia" w:ascii="宋体" w:hAnsi="宋体" w:cs="宋体"/>
          <w:bCs/>
          <w:color w:val="000000" w:themeColor="text1"/>
          <w:sz w:val="24"/>
          <w14:textFill>
            <w14:solidFill>
              <w14:schemeClr w14:val="tx1"/>
            </w14:solidFill>
          </w14:textFill>
        </w:rPr>
        <w:t>承诺人名称（公章）：</w:t>
      </w:r>
    </w:p>
    <w:p w14:paraId="0936EEBC">
      <w:pPr>
        <w:spacing w:line="460" w:lineRule="exact"/>
        <w:jc w:val="righ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w:t>
      </w:r>
    </w:p>
    <w:p w14:paraId="75882C93">
      <w:pPr>
        <w:spacing w:line="460" w:lineRule="exact"/>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ab/>
      </w:r>
      <w:r>
        <w:rPr>
          <w:rFonts w:hint="eastAsia" w:ascii="宋体" w:hAnsi="宋体" w:cs="宋体"/>
          <w:bCs/>
          <w:color w:val="000000" w:themeColor="text1"/>
          <w:sz w:val="24"/>
          <w14:textFill>
            <w14:solidFill>
              <w14:schemeClr w14:val="tx1"/>
            </w14:solidFill>
          </w14:textFill>
        </w:rPr>
        <w:tab/>
      </w:r>
      <w:r>
        <w:rPr>
          <w:rFonts w:hint="eastAsia" w:ascii="宋体" w:hAnsi="宋体" w:cs="宋体"/>
          <w:bCs/>
          <w:color w:val="000000" w:themeColor="text1"/>
          <w:sz w:val="24"/>
          <w14:textFill>
            <w14:solidFill>
              <w14:schemeClr w14:val="tx1"/>
            </w14:solidFill>
          </w14:textFill>
        </w:rPr>
        <w:tab/>
      </w:r>
      <w:r>
        <w:rPr>
          <w:rFonts w:hint="eastAsia" w:ascii="宋体" w:hAnsi="宋体" w:cs="宋体"/>
          <w:bCs/>
          <w:color w:val="000000" w:themeColor="text1"/>
          <w:sz w:val="24"/>
          <w14:textFill>
            <w14:solidFill>
              <w14:schemeClr w14:val="tx1"/>
            </w14:solidFill>
          </w14:textFill>
        </w:rPr>
        <w:tab/>
      </w:r>
      <w:r>
        <w:rPr>
          <w:rFonts w:hint="eastAsia" w:ascii="宋体" w:hAnsi="宋体" w:cs="宋体"/>
          <w:bCs/>
          <w:color w:val="000000" w:themeColor="text1"/>
          <w:sz w:val="24"/>
          <w14:textFill>
            <w14:solidFill>
              <w14:schemeClr w14:val="tx1"/>
            </w14:solidFill>
          </w14:textFill>
        </w:rPr>
        <w:t>日期：</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年</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月</w:t>
      </w:r>
      <w:r>
        <w:rPr>
          <w:rFonts w:hint="eastAsia" w:ascii="宋体" w:hAnsi="宋体" w:cs="宋体"/>
          <w:bCs/>
          <w:color w:val="000000" w:themeColor="text1"/>
          <w:sz w:val="24"/>
          <w:u w:val="single"/>
          <w14:textFill>
            <w14:solidFill>
              <w14:schemeClr w14:val="tx1"/>
            </w14:solidFill>
          </w14:textFill>
        </w:rPr>
        <w:t xml:space="preserve">    </w:t>
      </w:r>
      <w:r>
        <w:rPr>
          <w:rFonts w:hint="eastAsia" w:ascii="宋体" w:hAnsi="宋体" w:cs="宋体"/>
          <w:bCs/>
          <w:color w:val="000000" w:themeColor="text1"/>
          <w:sz w:val="24"/>
          <w14:textFill>
            <w14:solidFill>
              <w14:schemeClr w14:val="tx1"/>
            </w14:solidFill>
          </w14:textFill>
        </w:rPr>
        <w:t>日</w:t>
      </w:r>
    </w:p>
    <w:p w14:paraId="5D1D2F97">
      <w:pPr>
        <w:spacing w:line="520" w:lineRule="exact"/>
        <w:ind w:firstLine="435"/>
        <w:rPr>
          <w:rFonts w:ascii="仿宋" w:hAnsi="仿宋" w:eastAsia="仿宋" w:cs="仿宋"/>
          <w:color w:val="000000" w:themeColor="text1"/>
          <w:sz w:val="28"/>
          <w:szCs w:val="28"/>
          <w14:textFill>
            <w14:solidFill>
              <w14:schemeClr w14:val="tx1"/>
            </w14:solidFill>
          </w14:textFill>
        </w:rPr>
      </w:pPr>
    </w:p>
    <w:p w14:paraId="260D0A0D">
      <w:pPr>
        <w:spacing w:line="520" w:lineRule="exact"/>
        <w:ind w:firstLine="435"/>
        <w:rPr>
          <w:rFonts w:ascii="仿宋" w:hAnsi="仿宋" w:eastAsia="仿宋" w:cs="仿宋"/>
          <w:color w:val="000000" w:themeColor="text1"/>
          <w:sz w:val="28"/>
          <w:szCs w:val="28"/>
          <w14:textFill>
            <w14:solidFill>
              <w14:schemeClr w14:val="tx1"/>
            </w14:solidFill>
          </w14:textFill>
        </w:rPr>
      </w:pPr>
    </w:p>
    <w:p w14:paraId="32E2F813">
      <w:pPr>
        <w:spacing w:line="520" w:lineRule="exact"/>
        <w:ind w:firstLine="435"/>
        <w:rPr>
          <w:rFonts w:ascii="仿宋" w:hAnsi="仿宋" w:eastAsia="仿宋" w:cs="仿宋"/>
          <w:color w:val="000000" w:themeColor="text1"/>
          <w:sz w:val="28"/>
          <w:szCs w:val="28"/>
          <w14:textFill>
            <w14:solidFill>
              <w14:schemeClr w14:val="tx1"/>
            </w14:solidFill>
          </w14:textFill>
        </w:rPr>
      </w:pPr>
    </w:p>
    <w:p w14:paraId="18B291A8">
      <w:pPr>
        <w:spacing w:line="520" w:lineRule="exact"/>
        <w:ind w:firstLine="435"/>
        <w:rPr>
          <w:rFonts w:ascii="仿宋" w:hAnsi="仿宋" w:eastAsia="仿宋" w:cs="仿宋"/>
          <w:color w:val="000000" w:themeColor="text1"/>
          <w:sz w:val="28"/>
          <w:szCs w:val="28"/>
          <w14:textFill>
            <w14:solidFill>
              <w14:schemeClr w14:val="tx1"/>
            </w14:solidFill>
          </w14:textFill>
        </w:rPr>
      </w:pPr>
    </w:p>
    <w:p w14:paraId="12392475">
      <w:pPr>
        <w:spacing w:line="520" w:lineRule="exact"/>
        <w:ind w:firstLine="435"/>
        <w:rPr>
          <w:rFonts w:ascii="仿宋" w:hAnsi="仿宋" w:eastAsia="仿宋" w:cs="仿宋"/>
          <w:color w:val="000000" w:themeColor="text1"/>
          <w:sz w:val="28"/>
          <w:szCs w:val="28"/>
          <w14:textFill>
            <w14:solidFill>
              <w14:schemeClr w14:val="tx1"/>
            </w14:solidFill>
          </w14:textFill>
        </w:rPr>
      </w:pPr>
    </w:p>
    <w:p w14:paraId="6A341F07">
      <w:pPr>
        <w:spacing w:line="520" w:lineRule="exact"/>
        <w:ind w:firstLine="435"/>
        <w:rPr>
          <w:rFonts w:ascii="仿宋" w:hAnsi="仿宋" w:eastAsia="仿宋" w:cs="仿宋"/>
          <w:b/>
          <w:color w:val="000000" w:themeColor="text1"/>
          <w:sz w:val="28"/>
          <w:szCs w:val="28"/>
          <w14:textFill>
            <w14:solidFill>
              <w14:schemeClr w14:val="tx1"/>
            </w14:solidFill>
          </w14:textFill>
        </w:rPr>
      </w:pPr>
    </w:p>
    <w:p w14:paraId="5416DFA0">
      <w:pPr>
        <w:spacing w:line="520" w:lineRule="exact"/>
        <w:jc w:val="center"/>
        <w:outlineLvl w:val="2"/>
        <w:rPr>
          <w:rFonts w:ascii="仿宋" w:hAnsi="仿宋" w:eastAsia="仿宋" w:cs="仿宋"/>
          <w:b/>
          <w:color w:val="000000" w:themeColor="text1"/>
          <w:sz w:val="28"/>
          <w:szCs w:val="28"/>
          <w14:textFill>
            <w14:solidFill>
              <w14:schemeClr w14:val="tx1"/>
            </w14:solidFill>
          </w14:textFill>
        </w:rPr>
      </w:pPr>
    </w:p>
    <w:p w14:paraId="46E7BFCE">
      <w:pPr>
        <w:spacing w:line="360" w:lineRule="auto"/>
        <w:jc w:val="center"/>
        <w:outlineLvl w:val="2"/>
        <w:rPr>
          <w:rFonts w:ascii="仿宋" w:hAnsi="仿宋" w:eastAsia="仿宋"/>
          <w:b/>
          <w:bCs/>
          <w:color w:val="000000" w:themeColor="text1"/>
          <w:sz w:val="32"/>
          <w:szCs w:val="32"/>
          <w14:textFill>
            <w14:solidFill>
              <w14:schemeClr w14:val="tx1"/>
            </w14:solidFill>
          </w14:textFill>
        </w:rPr>
      </w:pPr>
    </w:p>
    <w:p w14:paraId="15F03B49">
      <w:pPr>
        <w:spacing w:line="360" w:lineRule="auto"/>
        <w:jc w:val="center"/>
        <w:outlineLvl w:val="2"/>
        <w:rPr>
          <w:rFonts w:ascii="仿宋" w:hAnsi="仿宋" w:eastAsia="仿宋"/>
          <w:b/>
          <w:bCs/>
          <w:color w:val="000000" w:themeColor="text1"/>
          <w:sz w:val="32"/>
          <w:szCs w:val="32"/>
          <w14:textFill>
            <w14:solidFill>
              <w14:schemeClr w14:val="tx1"/>
            </w14:solidFill>
          </w14:textFill>
        </w:rPr>
      </w:pPr>
      <w:r>
        <w:rPr>
          <w:rFonts w:hint="eastAsia" w:ascii="仿宋" w:hAnsi="仿宋" w:eastAsia="仿宋"/>
          <w:b/>
          <w:bCs/>
          <w:color w:val="000000" w:themeColor="text1"/>
          <w:sz w:val="32"/>
          <w:szCs w:val="32"/>
          <w14:textFill>
            <w14:solidFill>
              <w14:schemeClr w14:val="tx1"/>
            </w14:solidFill>
          </w14:textFill>
        </w:rPr>
        <w:t>附有效的营业执照副本复印件并加盖公章</w:t>
      </w:r>
    </w:p>
    <w:p w14:paraId="511FCB27">
      <w:pPr>
        <w:spacing w:line="520" w:lineRule="exact"/>
        <w:jc w:val="center"/>
        <w:outlineLvl w:val="2"/>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36"/>
          <w14:textFill>
            <w14:solidFill>
              <w14:schemeClr w14:val="tx1"/>
            </w14:solidFill>
          </w14:textFill>
        </w:rPr>
        <w:t>（未加盖公章的营业执照副本复印件无效）</w:t>
      </w:r>
    </w:p>
    <w:p w14:paraId="71AC1254">
      <w:pPr>
        <w:spacing w:line="520" w:lineRule="exact"/>
        <w:jc w:val="center"/>
        <w:outlineLvl w:val="2"/>
        <w:rPr>
          <w:rFonts w:ascii="仿宋" w:hAnsi="仿宋" w:eastAsia="仿宋" w:cs="仿宋"/>
          <w:b/>
          <w:color w:val="000000" w:themeColor="text1"/>
          <w:sz w:val="28"/>
          <w:szCs w:val="28"/>
          <w14:textFill>
            <w14:solidFill>
              <w14:schemeClr w14:val="tx1"/>
            </w14:solidFill>
          </w14:textFill>
        </w:rPr>
      </w:pPr>
    </w:p>
    <w:p w14:paraId="5FE84944">
      <w:pPr>
        <w:spacing w:line="520" w:lineRule="exact"/>
        <w:jc w:val="center"/>
        <w:outlineLvl w:val="2"/>
        <w:rPr>
          <w:rFonts w:ascii="仿宋" w:hAnsi="仿宋" w:eastAsia="仿宋" w:cs="仿宋"/>
          <w:b/>
          <w:color w:val="000000" w:themeColor="text1"/>
          <w:sz w:val="28"/>
          <w:szCs w:val="28"/>
          <w14:textFill>
            <w14:solidFill>
              <w14:schemeClr w14:val="tx1"/>
            </w14:solidFill>
          </w14:textFill>
        </w:rPr>
      </w:pPr>
    </w:p>
    <w:p w14:paraId="3E70415C">
      <w:pPr>
        <w:spacing w:line="360" w:lineRule="auto"/>
        <w:jc w:val="center"/>
        <w:outlineLvl w:val="2"/>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2.法定代表人身份证明</w:t>
      </w:r>
    </w:p>
    <w:p w14:paraId="1DB750FF">
      <w:pPr>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u w:val="single"/>
          <w14:textFill>
            <w14:solidFill>
              <w14:schemeClr w14:val="tx1"/>
            </w14:solidFill>
          </w14:textFill>
        </w:rPr>
        <w:t>（姓名）</w:t>
      </w:r>
      <w:r>
        <w:rPr>
          <w:rFonts w:hint="eastAsia" w:ascii="仿宋" w:hAnsi="仿宋" w:eastAsia="仿宋" w:cs="仿宋"/>
          <w:color w:val="000000" w:themeColor="text1"/>
          <w:sz w:val="28"/>
          <w:szCs w:val="28"/>
          <w14:textFill>
            <w14:solidFill>
              <w14:schemeClr w14:val="tx1"/>
            </w14:solidFill>
          </w14:textFill>
        </w:rPr>
        <w:t xml:space="preserve">  先生/女士（身份证号码：） 现任我单位</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职务，为我单位法定代表人，特此证明。</w:t>
      </w:r>
    </w:p>
    <w:p w14:paraId="50349870">
      <w:pPr>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w:t>
      </w:r>
    </w:p>
    <w:p w14:paraId="583C7C6D">
      <w:pPr>
        <w:snapToGrid w:val="0"/>
        <w:spacing w:line="360" w:lineRule="auto"/>
        <w:rPr>
          <w:rFonts w:ascii="仿宋" w:hAnsi="仿宋" w:eastAsia="仿宋" w:cs="仿宋"/>
          <w:color w:val="000000" w:themeColor="text1"/>
          <w:sz w:val="28"/>
          <w:szCs w:val="28"/>
          <w14:textFill>
            <w14:solidFill>
              <w14:schemeClr w14:val="tx1"/>
            </w14:solidFill>
          </w14:textFill>
        </w:rPr>
      </w:pPr>
    </w:p>
    <w:p w14:paraId="28E71D5B">
      <w:pPr>
        <w:snapToGrid w:val="0"/>
        <w:spacing w:line="360" w:lineRule="auto"/>
        <w:ind w:left="3780" w:firstLine="42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单位名称（公章）:                  </w:t>
      </w:r>
    </w:p>
    <w:p w14:paraId="0D1B64F7">
      <w:pPr>
        <w:snapToGrid w:val="0"/>
        <w:spacing w:line="360" w:lineRule="auto"/>
        <w:ind w:left="3780" w:firstLine="42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法定代表人（签字或盖章）:</w:t>
      </w:r>
    </w:p>
    <w:p w14:paraId="0052FEC6">
      <w:pPr>
        <w:snapToGrid w:val="0"/>
        <w:spacing w:line="360" w:lineRule="auto"/>
        <w:ind w:left="3780" w:firstLine="42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日期：</w:t>
      </w:r>
      <w:r>
        <w:rPr>
          <w:rFonts w:hint="eastAsia" w:ascii="仿宋" w:hAnsi="仿宋" w:eastAsia="仿宋" w:cs="仿宋"/>
          <w:bCs/>
          <w:color w:val="000000" w:themeColor="text1"/>
          <w:sz w:val="28"/>
          <w:szCs w:val="28"/>
          <w:u w:val="single"/>
          <w14:textFill>
            <w14:solidFill>
              <w14:schemeClr w14:val="tx1"/>
            </w14:solidFill>
          </w14:textFill>
        </w:rPr>
        <w:t xml:space="preserve">    </w:t>
      </w:r>
      <w:r>
        <w:rPr>
          <w:rFonts w:hint="eastAsia" w:ascii="仿宋" w:hAnsi="仿宋" w:eastAsia="仿宋" w:cs="仿宋"/>
          <w:bCs/>
          <w:color w:val="000000" w:themeColor="text1"/>
          <w:sz w:val="28"/>
          <w:szCs w:val="28"/>
          <w14:textFill>
            <w14:solidFill>
              <w14:schemeClr w14:val="tx1"/>
            </w14:solidFill>
          </w14:textFill>
        </w:rPr>
        <w:t>年</w:t>
      </w:r>
      <w:r>
        <w:rPr>
          <w:rFonts w:hint="eastAsia" w:ascii="仿宋" w:hAnsi="仿宋" w:eastAsia="仿宋" w:cs="仿宋"/>
          <w:bCs/>
          <w:color w:val="000000" w:themeColor="text1"/>
          <w:sz w:val="28"/>
          <w:szCs w:val="28"/>
          <w:u w:val="single"/>
          <w14:textFill>
            <w14:solidFill>
              <w14:schemeClr w14:val="tx1"/>
            </w14:solidFill>
          </w14:textFill>
        </w:rPr>
        <w:t xml:space="preserve">    </w:t>
      </w:r>
      <w:r>
        <w:rPr>
          <w:rFonts w:hint="eastAsia" w:ascii="仿宋" w:hAnsi="仿宋" w:eastAsia="仿宋" w:cs="仿宋"/>
          <w:bCs/>
          <w:color w:val="000000" w:themeColor="text1"/>
          <w:sz w:val="28"/>
          <w:szCs w:val="28"/>
          <w14:textFill>
            <w14:solidFill>
              <w14:schemeClr w14:val="tx1"/>
            </w14:solidFill>
          </w14:textFill>
        </w:rPr>
        <w:t>月</w:t>
      </w:r>
      <w:r>
        <w:rPr>
          <w:rFonts w:hint="eastAsia" w:ascii="仿宋" w:hAnsi="仿宋" w:eastAsia="仿宋" w:cs="仿宋"/>
          <w:bCs/>
          <w:color w:val="000000" w:themeColor="text1"/>
          <w:sz w:val="28"/>
          <w:szCs w:val="28"/>
          <w:u w:val="single"/>
          <w14:textFill>
            <w14:solidFill>
              <w14:schemeClr w14:val="tx1"/>
            </w14:solidFill>
          </w14:textFill>
        </w:rPr>
        <w:t xml:space="preserve">    </w:t>
      </w:r>
      <w:r>
        <w:rPr>
          <w:rFonts w:hint="eastAsia" w:ascii="仿宋" w:hAnsi="仿宋" w:eastAsia="仿宋" w:cs="仿宋"/>
          <w:bCs/>
          <w:color w:val="000000" w:themeColor="text1"/>
          <w:sz w:val="28"/>
          <w:szCs w:val="28"/>
          <w14:textFill>
            <w14:solidFill>
              <w14:schemeClr w14:val="tx1"/>
            </w14:solidFill>
          </w14:textFill>
        </w:rPr>
        <w:t>日</w:t>
      </w:r>
    </w:p>
    <w:p w14:paraId="3E5FFE55">
      <w:pPr>
        <w:snapToGrid w:val="0"/>
        <w:spacing w:line="360" w:lineRule="auto"/>
        <w:ind w:firstLine="1200" w:firstLineChars="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w:t>
      </w:r>
    </w:p>
    <w:p w14:paraId="6295C514">
      <w:pPr>
        <w:spacing w:line="480" w:lineRule="exact"/>
        <w:ind w:firstLine="480"/>
        <w:rPr>
          <w:rFonts w:ascii="宋体" w:hAnsi="宋体"/>
          <w:color w:val="000000" w:themeColor="text1"/>
          <w:sz w:val="24"/>
          <w14:textFill>
            <w14:solidFill>
              <w14:schemeClr w14:val="tx1"/>
            </w14:solidFill>
          </w14:textFill>
        </w:rPr>
      </w:pPr>
    </w:p>
    <w:p w14:paraId="1AE1BCCF">
      <w:pPr>
        <w:snapToGrid w:val="0"/>
        <w:spacing w:line="360" w:lineRule="auto"/>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注:如为法定代表人参加投标时，须将身份证原件带至开标现场备查。</w:t>
      </w:r>
    </w:p>
    <w:p w14:paraId="710EB137">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602BF2EC">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tbl>
      <w:tblPr>
        <w:tblStyle w:val="16"/>
        <w:tblpPr w:leftFromText="180" w:rightFromText="180" w:vertAnchor="text" w:horzAnchor="page" w:tblpX="2024" w:tblpY="74"/>
        <w:tblOverlap w:val="never"/>
        <w:tblW w:w="78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0"/>
      </w:tblGrid>
      <w:tr w14:paraId="2E688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5" w:hRule="atLeast"/>
        </w:trPr>
        <w:tc>
          <w:tcPr>
            <w:tcW w:w="7840" w:type="dxa"/>
          </w:tcPr>
          <w:p w14:paraId="710E5FDC">
            <w:pPr>
              <w:snapToGrid w:val="0"/>
              <w:spacing w:line="420" w:lineRule="exact"/>
              <w:ind w:left="193" w:firstLine="424" w:firstLineChars="202"/>
              <w:jc w:val="left"/>
              <w:rPr>
                <w:rFonts w:ascii="仿宋" w:hAnsi="仿宋" w:eastAsia="仿宋" w:cs="仿宋"/>
                <w:color w:val="000000" w:themeColor="text1"/>
                <w14:textFill>
                  <w14:solidFill>
                    <w14:schemeClr w14:val="tx1"/>
                  </w14:solidFill>
                </w14:textFill>
              </w:rPr>
            </w:pPr>
          </w:p>
          <w:p w14:paraId="5E8DF9C3">
            <w:pPr>
              <w:snapToGrid w:val="0"/>
              <w:spacing w:line="420" w:lineRule="exact"/>
              <w:jc w:val="center"/>
              <w:rPr>
                <w:rFonts w:ascii="仿宋" w:hAnsi="仿宋" w:eastAsia="仿宋" w:cs="仿宋"/>
                <w:b/>
                <w:bCs/>
                <w:color w:val="000000" w:themeColor="text1"/>
                <w:sz w:val="28"/>
                <w:szCs w:val="36"/>
                <w14:textFill>
                  <w14:solidFill>
                    <w14:schemeClr w14:val="tx1"/>
                  </w14:solidFill>
                </w14:textFill>
              </w:rPr>
            </w:pPr>
            <w:r>
              <w:rPr>
                <w:rFonts w:hint="eastAsia" w:ascii="仿宋" w:hAnsi="仿宋" w:eastAsia="仿宋" w:cs="仿宋"/>
                <w:b/>
                <w:bCs/>
                <w:color w:val="000000" w:themeColor="text1"/>
                <w:sz w:val="28"/>
                <w:szCs w:val="36"/>
                <w14:textFill>
                  <w14:solidFill>
                    <w14:schemeClr w14:val="tx1"/>
                  </w14:solidFill>
                </w14:textFill>
              </w:rPr>
              <w:t>法定代表人身份证（正、反面）复印件并加盖公章</w:t>
            </w:r>
            <w:r>
              <w:rPr>
                <w:rFonts w:hint="eastAsia" w:ascii="仿宋" w:hAnsi="仿宋" w:eastAsia="仿宋" w:cs="仿宋"/>
                <w:b/>
                <w:bCs/>
                <w:color w:val="000000" w:themeColor="text1"/>
                <w:sz w:val="28"/>
                <w:szCs w:val="36"/>
                <w:u w:val="single"/>
                <w14:textFill>
                  <w14:solidFill>
                    <w14:schemeClr w14:val="tx1"/>
                  </w14:solidFill>
                </w14:textFill>
              </w:rPr>
              <w:t>（黏贴此处）</w:t>
            </w:r>
          </w:p>
          <w:p w14:paraId="714E2736">
            <w:pPr>
              <w:snapToGrid w:val="0"/>
              <w:spacing w:line="420" w:lineRule="exact"/>
              <w:ind w:left="193"/>
              <w:jc w:val="left"/>
              <w:rPr>
                <w:rFonts w:ascii="仿宋" w:hAnsi="仿宋" w:eastAsia="仿宋" w:cs="仿宋"/>
                <w:b/>
                <w:bCs/>
                <w:color w:val="000000" w:themeColor="text1"/>
                <w14:textFill>
                  <w14:solidFill>
                    <w14:schemeClr w14:val="tx1"/>
                  </w14:solidFill>
                </w14:textFill>
              </w:rPr>
            </w:pPr>
          </w:p>
          <w:p w14:paraId="77911FAB">
            <w:pPr>
              <w:snapToGrid w:val="0"/>
              <w:spacing w:line="420" w:lineRule="exact"/>
              <w:ind w:left="193"/>
              <w:jc w:val="left"/>
              <w:rPr>
                <w:rFonts w:ascii="仿宋" w:hAnsi="仿宋" w:eastAsia="仿宋" w:cs="仿宋"/>
                <w:b/>
                <w:bCs/>
                <w:color w:val="000000" w:themeColor="text1"/>
                <w14:textFill>
                  <w14:solidFill>
                    <w14:schemeClr w14:val="tx1"/>
                  </w14:solidFill>
                </w14:textFill>
              </w:rPr>
            </w:pPr>
          </w:p>
          <w:p w14:paraId="6B3D0A66">
            <w:pPr>
              <w:snapToGrid w:val="0"/>
              <w:spacing w:line="420" w:lineRule="exact"/>
              <w:ind w:left="193"/>
              <w:jc w:val="left"/>
              <w:rPr>
                <w:rFonts w:ascii="仿宋" w:hAnsi="仿宋" w:eastAsia="仿宋" w:cs="仿宋"/>
                <w:b/>
                <w:bCs/>
                <w:color w:val="000000" w:themeColor="text1"/>
                <w14:textFill>
                  <w14:solidFill>
                    <w14:schemeClr w14:val="tx1"/>
                  </w14:solidFill>
                </w14:textFill>
              </w:rPr>
            </w:pPr>
          </w:p>
          <w:p w14:paraId="0933CFA4">
            <w:pPr>
              <w:snapToGrid w:val="0"/>
              <w:spacing w:line="420" w:lineRule="exact"/>
              <w:ind w:left="193" w:firstLine="568" w:firstLineChars="202"/>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sz w:val="28"/>
                <w:szCs w:val="36"/>
                <w14:textFill>
                  <w14:solidFill>
                    <w14:schemeClr w14:val="tx1"/>
                  </w14:solidFill>
                </w14:textFill>
              </w:rPr>
              <w:t>（未盖加公章的身份证复印件无效）</w:t>
            </w:r>
          </w:p>
        </w:tc>
      </w:tr>
    </w:tbl>
    <w:p w14:paraId="6C3FD857">
      <w:pPr>
        <w:spacing w:line="360" w:lineRule="auto"/>
        <w:jc w:val="center"/>
        <w:outlineLvl w:val="2"/>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br w:type="page"/>
      </w:r>
      <w:r>
        <w:rPr>
          <w:rFonts w:hint="eastAsia" w:ascii="仿宋" w:hAnsi="仿宋" w:eastAsia="仿宋" w:cs="仿宋"/>
          <w:b/>
          <w:bCs/>
          <w:color w:val="000000" w:themeColor="text1"/>
          <w:sz w:val="28"/>
          <w:szCs w:val="28"/>
          <w14:textFill>
            <w14:solidFill>
              <w14:schemeClr w14:val="tx1"/>
            </w14:solidFill>
          </w14:textFill>
        </w:rPr>
        <w:t>3.授权委托书（如需）</w:t>
      </w:r>
    </w:p>
    <w:p w14:paraId="0EC78032">
      <w:pPr>
        <w:snapToGrid w:val="0"/>
        <w:spacing w:line="360" w:lineRule="auto"/>
        <w:rPr>
          <w:rFonts w:ascii="仿宋" w:hAnsi="仿宋" w:eastAsia="仿宋" w:cs="仿宋"/>
          <w:bCs/>
          <w:color w:val="000000" w:themeColor="text1"/>
          <w:sz w:val="28"/>
          <w:szCs w:val="28"/>
          <w14:textFill>
            <w14:solidFill>
              <w14:schemeClr w14:val="tx1"/>
            </w14:solidFill>
          </w14:textFill>
        </w:rPr>
      </w:pPr>
    </w:p>
    <w:p w14:paraId="247E4ED5">
      <w:pPr>
        <w:snapToGrid w:val="0"/>
        <w:spacing w:line="360" w:lineRule="auto"/>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南通市教育技术中心：</w:t>
      </w:r>
    </w:p>
    <w:p w14:paraId="76227F3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本人</w:t>
      </w:r>
      <w:r>
        <w:rPr>
          <w:rFonts w:hint="eastAsia" w:ascii="仿宋" w:hAnsi="仿宋" w:eastAsia="仿宋" w:cs="仿宋"/>
          <w:color w:val="000000" w:themeColor="text1"/>
          <w:sz w:val="28"/>
          <w:szCs w:val="28"/>
          <w:u w:val="single"/>
          <w14:textFill>
            <w14:solidFill>
              <w14:schemeClr w14:val="tx1"/>
            </w14:solidFill>
          </w14:textFill>
        </w:rPr>
        <w:t xml:space="preserve">    （姓名）系    </w:t>
      </w:r>
      <w:r>
        <w:rPr>
          <w:rFonts w:hint="eastAsia" w:ascii="仿宋" w:hAnsi="仿宋" w:eastAsia="仿宋" w:cs="仿宋"/>
          <w:color w:val="000000" w:themeColor="text1"/>
          <w:sz w:val="28"/>
          <w:szCs w:val="28"/>
          <w14:textFill>
            <w14:solidFill>
              <w14:schemeClr w14:val="tx1"/>
            </w14:solidFill>
          </w14:textFill>
        </w:rPr>
        <w:t>（授权单位名称）的法定代表人，现委托</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（姓名）（身份证号</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）为我方代理人，以我方名义全权处理与</w:t>
      </w:r>
      <w:r>
        <w:rPr>
          <w:rFonts w:hint="eastAsia" w:ascii="仿宋" w:hAnsi="仿宋" w:eastAsia="仿宋" w:cs="仿宋"/>
          <w:color w:val="000000" w:themeColor="text1"/>
          <w:sz w:val="28"/>
          <w:szCs w:val="28"/>
          <w:u w:val="single"/>
          <w14:textFill>
            <w14:solidFill>
              <w14:schemeClr w14:val="tx1"/>
            </w14:solidFill>
          </w14:textFill>
        </w:rPr>
        <w:t>（采购项目名称)</w:t>
      </w:r>
      <w:r>
        <w:rPr>
          <w:rFonts w:hint="eastAsia" w:ascii="仿宋" w:hAnsi="仿宋" w:eastAsia="仿宋" w:cs="仿宋"/>
          <w:bCs/>
          <w:color w:val="000000" w:themeColor="text1"/>
          <w:sz w:val="28"/>
          <w:szCs w:val="28"/>
          <w14:textFill>
            <w14:solidFill>
              <w14:schemeClr w14:val="tx1"/>
            </w14:solidFill>
          </w14:textFill>
        </w:rPr>
        <w:t>（项目编号:_______)</w:t>
      </w:r>
      <w:r>
        <w:rPr>
          <w:rFonts w:hint="eastAsia" w:ascii="仿宋" w:hAnsi="仿宋" w:eastAsia="仿宋" w:cs="仿宋"/>
          <w:color w:val="000000" w:themeColor="text1"/>
          <w:sz w:val="28"/>
          <w:szCs w:val="28"/>
          <w14:textFill>
            <w14:solidFill>
              <w14:schemeClr w14:val="tx1"/>
            </w14:solidFill>
          </w14:textFill>
        </w:rPr>
        <w:t>有关的一切事务，其法律后果由我方承担。</w:t>
      </w:r>
    </w:p>
    <w:p w14:paraId="5043AEC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本委托书限期自</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日起至</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日止。</w:t>
      </w:r>
    </w:p>
    <w:p w14:paraId="234EA0B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授权代表无权转让委托权，特此委托。</w:t>
      </w:r>
    </w:p>
    <w:p w14:paraId="6B2E75D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p>
    <w:p w14:paraId="5C739C24">
      <w:pPr>
        <w:spacing w:line="560" w:lineRule="exact"/>
        <w:ind w:left="2100" w:firstLine="42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授权单位名称（盖章）：</w:t>
      </w:r>
    </w:p>
    <w:p w14:paraId="2734D241">
      <w:pPr>
        <w:spacing w:line="560" w:lineRule="exact"/>
        <w:ind w:left="2100" w:firstLine="42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授权单位法定代表人（签字或盖章）：</w:t>
      </w:r>
    </w:p>
    <w:p w14:paraId="78662C29">
      <w:pPr>
        <w:snapToGrid w:val="0"/>
        <w:spacing w:line="360" w:lineRule="auto"/>
        <w:ind w:left="2100" w:firstLine="420"/>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日期： </w:t>
      </w:r>
      <w:r>
        <w:rPr>
          <w:rFonts w:hint="eastAsia" w:ascii="仿宋" w:hAnsi="仿宋" w:eastAsia="仿宋" w:cs="仿宋"/>
          <w:bCs/>
          <w:color w:val="000000" w:themeColor="text1"/>
          <w:sz w:val="28"/>
          <w:szCs w:val="28"/>
          <w:u w:val="single"/>
          <w14:textFill>
            <w14:solidFill>
              <w14:schemeClr w14:val="tx1"/>
            </w14:solidFill>
          </w14:textFill>
        </w:rPr>
        <w:t xml:space="preserve">    </w:t>
      </w:r>
      <w:r>
        <w:rPr>
          <w:rFonts w:hint="eastAsia" w:ascii="仿宋" w:hAnsi="仿宋" w:eastAsia="仿宋" w:cs="仿宋"/>
          <w:bCs/>
          <w:color w:val="000000" w:themeColor="text1"/>
          <w:sz w:val="28"/>
          <w:szCs w:val="28"/>
          <w14:textFill>
            <w14:solidFill>
              <w14:schemeClr w14:val="tx1"/>
            </w14:solidFill>
          </w14:textFill>
        </w:rPr>
        <w:t>年</w:t>
      </w:r>
      <w:r>
        <w:rPr>
          <w:rFonts w:hint="eastAsia" w:ascii="仿宋" w:hAnsi="仿宋" w:eastAsia="仿宋" w:cs="仿宋"/>
          <w:bCs/>
          <w:color w:val="000000" w:themeColor="text1"/>
          <w:sz w:val="28"/>
          <w:szCs w:val="28"/>
          <w:u w:val="single"/>
          <w14:textFill>
            <w14:solidFill>
              <w14:schemeClr w14:val="tx1"/>
            </w14:solidFill>
          </w14:textFill>
        </w:rPr>
        <w:t xml:space="preserve">    </w:t>
      </w:r>
      <w:r>
        <w:rPr>
          <w:rFonts w:hint="eastAsia" w:ascii="仿宋" w:hAnsi="仿宋" w:eastAsia="仿宋" w:cs="仿宋"/>
          <w:bCs/>
          <w:color w:val="000000" w:themeColor="text1"/>
          <w:sz w:val="28"/>
          <w:szCs w:val="28"/>
          <w14:textFill>
            <w14:solidFill>
              <w14:schemeClr w14:val="tx1"/>
            </w14:solidFill>
          </w14:textFill>
        </w:rPr>
        <w:t>月</w:t>
      </w:r>
      <w:r>
        <w:rPr>
          <w:rFonts w:hint="eastAsia" w:ascii="仿宋" w:hAnsi="仿宋" w:eastAsia="仿宋" w:cs="仿宋"/>
          <w:bCs/>
          <w:color w:val="000000" w:themeColor="text1"/>
          <w:sz w:val="28"/>
          <w:szCs w:val="28"/>
          <w:u w:val="single"/>
          <w14:textFill>
            <w14:solidFill>
              <w14:schemeClr w14:val="tx1"/>
            </w14:solidFill>
          </w14:textFill>
        </w:rPr>
        <w:t xml:space="preserve">    </w:t>
      </w:r>
      <w:r>
        <w:rPr>
          <w:rFonts w:hint="eastAsia" w:ascii="仿宋" w:hAnsi="仿宋" w:eastAsia="仿宋" w:cs="仿宋"/>
          <w:bCs/>
          <w:color w:val="000000" w:themeColor="text1"/>
          <w:sz w:val="28"/>
          <w:szCs w:val="28"/>
          <w14:textFill>
            <w14:solidFill>
              <w14:schemeClr w14:val="tx1"/>
            </w14:solidFill>
          </w14:textFill>
        </w:rPr>
        <w:t>日</w:t>
      </w:r>
    </w:p>
    <w:p w14:paraId="4FF74DC8">
      <w:pPr>
        <w:spacing w:line="460" w:lineRule="exact"/>
        <w:jc w:val="left"/>
        <w:rPr>
          <w:rFonts w:ascii="仿宋" w:hAnsi="仿宋" w:eastAsia="仿宋" w:cs="仿宋"/>
          <w:color w:val="000000" w:themeColor="text1"/>
          <w:sz w:val="28"/>
          <w:szCs w:val="28"/>
          <w14:textFill>
            <w14:solidFill>
              <w14:schemeClr w14:val="tx1"/>
            </w14:solidFill>
          </w14:textFill>
        </w:rPr>
      </w:pPr>
    </w:p>
    <w:p w14:paraId="4296622D">
      <w:pPr>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w:t>
      </w:r>
    </w:p>
    <w:p w14:paraId="56BACC8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p>
    <w:p w14:paraId="17BA8AD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注:如为被授权人参加投标时，须将身份证原件带至开标现场备查。</w:t>
      </w:r>
    </w:p>
    <w:tbl>
      <w:tblPr>
        <w:tblStyle w:val="16"/>
        <w:tblpPr w:leftFromText="180" w:rightFromText="180" w:vertAnchor="text" w:horzAnchor="page" w:tblpX="2219" w:tblpY="3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7"/>
      </w:tblGrid>
      <w:tr w14:paraId="54BE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6" w:hRule="atLeast"/>
        </w:trPr>
        <w:tc>
          <w:tcPr>
            <w:tcW w:w="7847" w:type="dxa"/>
          </w:tcPr>
          <w:p w14:paraId="5D4A0A6E">
            <w:pPr>
              <w:snapToGrid w:val="0"/>
              <w:spacing w:line="420" w:lineRule="exact"/>
              <w:ind w:firstLine="424" w:firstLineChars="202"/>
              <w:jc w:val="left"/>
              <w:rPr>
                <w:rFonts w:ascii="仿宋" w:hAnsi="仿宋" w:eastAsia="仿宋" w:cs="仿宋"/>
                <w:color w:val="000000" w:themeColor="text1"/>
                <w14:textFill>
                  <w14:solidFill>
                    <w14:schemeClr w14:val="tx1"/>
                  </w14:solidFill>
                </w14:textFill>
              </w:rPr>
            </w:pPr>
          </w:p>
          <w:p w14:paraId="5BA82E0F">
            <w:pPr>
              <w:snapToGrid w:val="0"/>
              <w:spacing w:line="420" w:lineRule="exact"/>
              <w:jc w:val="center"/>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sz w:val="28"/>
                <w:szCs w:val="36"/>
                <w14:textFill>
                  <w14:solidFill>
                    <w14:schemeClr w14:val="tx1"/>
                  </w14:solidFill>
                </w14:textFill>
              </w:rPr>
              <w:t>被授权人身份证（正、反面）复印件并加盖公章</w:t>
            </w:r>
            <w:r>
              <w:rPr>
                <w:rFonts w:hint="eastAsia" w:ascii="仿宋" w:hAnsi="仿宋" w:eastAsia="仿宋" w:cs="仿宋"/>
                <w:b/>
                <w:bCs/>
                <w:color w:val="000000" w:themeColor="text1"/>
                <w:sz w:val="28"/>
                <w:szCs w:val="36"/>
                <w:u w:val="single"/>
                <w14:textFill>
                  <w14:solidFill>
                    <w14:schemeClr w14:val="tx1"/>
                  </w14:solidFill>
                </w14:textFill>
              </w:rPr>
              <w:t>（黏贴此处）</w:t>
            </w:r>
          </w:p>
          <w:p w14:paraId="4CB876DA">
            <w:pPr>
              <w:snapToGrid w:val="0"/>
              <w:spacing w:line="420" w:lineRule="exact"/>
              <w:jc w:val="center"/>
              <w:rPr>
                <w:rFonts w:ascii="仿宋" w:hAnsi="仿宋" w:eastAsia="仿宋" w:cs="仿宋"/>
                <w:b/>
                <w:bCs/>
                <w:color w:val="000000" w:themeColor="text1"/>
                <w14:textFill>
                  <w14:solidFill>
                    <w14:schemeClr w14:val="tx1"/>
                  </w14:solidFill>
                </w14:textFill>
              </w:rPr>
            </w:pPr>
          </w:p>
          <w:p w14:paraId="37B2519B">
            <w:pPr>
              <w:snapToGrid w:val="0"/>
              <w:spacing w:line="420" w:lineRule="exact"/>
              <w:jc w:val="center"/>
              <w:rPr>
                <w:rFonts w:ascii="仿宋" w:hAnsi="仿宋" w:eastAsia="仿宋" w:cs="仿宋"/>
                <w:b/>
                <w:bCs/>
                <w:color w:val="000000" w:themeColor="text1"/>
                <w14:textFill>
                  <w14:solidFill>
                    <w14:schemeClr w14:val="tx1"/>
                  </w14:solidFill>
                </w14:textFill>
              </w:rPr>
            </w:pPr>
          </w:p>
          <w:p w14:paraId="292CEA4E">
            <w:pPr>
              <w:snapToGrid w:val="0"/>
              <w:spacing w:line="420" w:lineRule="exact"/>
              <w:jc w:val="center"/>
              <w:rPr>
                <w:rFonts w:ascii="仿宋" w:hAnsi="仿宋" w:eastAsia="仿宋" w:cs="仿宋"/>
                <w:color w:val="000000" w:themeColor="text1"/>
                <w14:textFill>
                  <w14:solidFill>
                    <w14:schemeClr w14:val="tx1"/>
                  </w14:solidFill>
                </w14:textFill>
              </w:rPr>
            </w:pPr>
          </w:p>
          <w:p w14:paraId="41416905">
            <w:pPr>
              <w:snapToGrid w:val="0"/>
              <w:spacing w:line="42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b/>
                <w:bCs/>
                <w:color w:val="000000" w:themeColor="text1"/>
                <w:sz w:val="28"/>
                <w:szCs w:val="36"/>
                <w14:textFill>
                  <w14:solidFill>
                    <w14:schemeClr w14:val="tx1"/>
                  </w14:solidFill>
                </w14:textFill>
              </w:rPr>
              <w:t>（未加盖公章的身份证复印件无效）</w:t>
            </w:r>
          </w:p>
        </w:tc>
      </w:tr>
    </w:tbl>
    <w:p w14:paraId="3189ED9F">
      <w:pPr>
        <w:kinsoku w:val="0"/>
        <w:topLinePunct/>
        <w:autoSpaceDE w:val="0"/>
        <w:autoSpaceDN w:val="0"/>
        <w:spacing w:line="520" w:lineRule="exact"/>
        <w:ind w:right="210"/>
        <w:jc w:val="center"/>
        <w:textAlignment w:val="baseline"/>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4.</w:t>
      </w:r>
      <w:r>
        <w:rPr>
          <w:rFonts w:hint="eastAsia" w:ascii="仿宋" w:hAnsi="仿宋" w:eastAsia="仿宋" w:cs="仿宋"/>
          <w:b/>
          <w:color w:val="000000" w:themeColor="text1"/>
          <w:sz w:val="28"/>
          <w:szCs w:val="28"/>
          <w14:textFill>
            <w14:solidFill>
              <w14:schemeClr w14:val="tx1"/>
            </w14:solidFill>
          </w14:textFill>
        </w:rPr>
        <w:t>无重大违法记录声明</w:t>
      </w:r>
    </w:p>
    <w:p w14:paraId="5A7EFD8C">
      <w:pPr>
        <w:snapToGrid w:val="0"/>
        <w:spacing w:line="360" w:lineRule="auto"/>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南通市教育技术中心：</w:t>
      </w:r>
    </w:p>
    <w:p w14:paraId="420304C6">
      <w:pPr>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我公司郑重声明：参加本次采购活动前</w:t>
      </w:r>
      <w:r>
        <w:rPr>
          <w:rFonts w:hint="eastAsia" w:ascii="仿宋" w:hAnsi="仿宋" w:eastAsia="仿宋" w:cs="仿宋"/>
          <w:color w:val="000000" w:themeColor="text1"/>
          <w:sz w:val="28"/>
          <w:szCs w:val="28"/>
          <w:u w:val="single"/>
          <w14:textFill>
            <w14:solidFill>
              <w14:schemeClr w14:val="tx1"/>
            </w14:solidFill>
          </w14:textFill>
        </w:rPr>
        <w:t xml:space="preserve"> 3 </w:t>
      </w:r>
      <w:r>
        <w:rPr>
          <w:rFonts w:hint="eastAsia" w:ascii="仿宋" w:hAnsi="仿宋" w:eastAsia="仿宋" w:cs="仿宋"/>
          <w:color w:val="000000" w:themeColor="text1"/>
          <w:sz w:val="28"/>
          <w:szCs w:val="28"/>
          <w14:textFill>
            <w14:solidFill>
              <w14:schemeClr w14:val="tx1"/>
            </w14:solidFill>
          </w14:textFill>
        </w:rPr>
        <w:t>年内，我公司在经营活动中</w:t>
      </w:r>
      <w:r>
        <w:rPr>
          <w:rFonts w:hint="eastAsia" w:ascii="仿宋" w:hAnsi="仿宋" w:eastAsia="仿宋" w:cs="仿宋"/>
          <w:b/>
          <w:bCs/>
          <w:color w:val="000000" w:themeColor="text1"/>
          <w:sz w:val="28"/>
          <w:szCs w:val="28"/>
          <w:u w:val="single"/>
          <w14:textFill>
            <w14:solidFill>
              <w14:schemeClr w14:val="tx1"/>
            </w14:solidFill>
          </w14:textFill>
        </w:rPr>
        <w:t>有/没有</w:t>
      </w:r>
      <w:r>
        <w:rPr>
          <w:rFonts w:hint="eastAsia" w:ascii="仿宋" w:hAnsi="仿宋" w:eastAsia="仿宋" w:cs="仿宋"/>
          <w:color w:val="000000" w:themeColor="text1"/>
          <w:sz w:val="28"/>
          <w:szCs w:val="28"/>
          <w14:textFill>
            <w14:solidFill>
              <w14:schemeClr w14:val="tx1"/>
            </w14:solidFill>
          </w14:textFill>
        </w:rPr>
        <w:t>因违法经营受到刑事处罚或者责令停产停业、吊销许可证或者执照、较大数额罚款等行政处罚。</w:t>
      </w:r>
    </w:p>
    <w:p w14:paraId="083A4675">
      <w:pPr>
        <w:snapToGrid w:val="0"/>
        <w:spacing w:line="360" w:lineRule="auto"/>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在投标截止时间节点，没有被</w:t>
      </w:r>
      <w:r>
        <w:rPr>
          <w:rFonts w:hint="eastAsia" w:ascii="仿宋" w:hAnsi="仿宋" w:eastAsia="仿宋" w:cs="仿宋"/>
          <w:color w:val="000000" w:themeColor="text1"/>
          <w:sz w:val="28"/>
          <w:szCs w:val="32"/>
          <w14:textFill>
            <w14:solidFill>
              <w14:schemeClr w14:val="tx1"/>
            </w14:solidFill>
          </w14:textFill>
        </w:rPr>
        <w:t>“信用中国”</w:t>
      </w:r>
      <w:r>
        <w:rPr>
          <w:rFonts w:hint="eastAsia" w:ascii="仿宋" w:hAnsi="仿宋" w:eastAsia="仿宋" w:cs="仿宋"/>
          <w:color w:val="000000" w:themeColor="text1"/>
          <w:sz w:val="28"/>
          <w:szCs w:val="28"/>
          <w14:textFill>
            <w14:solidFill>
              <w14:schemeClr w14:val="tx1"/>
            </w14:solidFill>
          </w14:textFill>
        </w:rPr>
        <w:t>网站列入失信被执行人、重大税收违法案件当事人名单、采购严重违法失信行为记录名单。</w:t>
      </w:r>
    </w:p>
    <w:p w14:paraId="2FBB7F5F">
      <w:pPr>
        <w:snapToGrid w:val="0"/>
        <w:spacing w:line="360" w:lineRule="auto"/>
        <w:ind w:firstLine="200"/>
        <w:rPr>
          <w:rFonts w:ascii="仿宋" w:hAnsi="仿宋" w:eastAsia="仿宋" w:cs="仿宋"/>
          <w:color w:val="000000" w:themeColor="text1"/>
          <w:sz w:val="28"/>
          <w:szCs w:val="28"/>
          <w14:textFill>
            <w14:solidFill>
              <w14:schemeClr w14:val="tx1"/>
            </w14:solidFill>
          </w14:textFill>
        </w:rPr>
      </w:pPr>
    </w:p>
    <w:p w14:paraId="775E57AB">
      <w:pPr>
        <w:snapToGrid w:val="0"/>
        <w:spacing w:line="480" w:lineRule="auto"/>
        <w:ind w:right="72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供应商名称（盖章）：</w:t>
      </w:r>
    </w:p>
    <w:p w14:paraId="2F8BEA69">
      <w:pPr>
        <w:snapToGrid w:val="0"/>
        <w:spacing w:line="480" w:lineRule="auto"/>
        <w:ind w:right="72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法定代表人或授权委托人（签字或盖章）：</w:t>
      </w:r>
    </w:p>
    <w:p w14:paraId="5EC044E4">
      <w:pPr>
        <w:snapToGrid w:val="0"/>
        <w:spacing w:line="480" w:lineRule="auto"/>
        <w:ind w:right="720"/>
        <w:contextualSpacing/>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日期：</w:t>
      </w:r>
    </w:p>
    <w:p w14:paraId="2311B66B">
      <w:pPr>
        <w:spacing w:line="360" w:lineRule="auto"/>
        <w:jc w:val="center"/>
        <w:outlineLvl w:val="2"/>
        <w:rPr>
          <w:rFonts w:ascii="仿宋" w:hAnsi="仿宋" w:eastAsia="仿宋" w:cs="仿宋"/>
          <w:b/>
          <w:color w:val="000000" w:themeColor="text1"/>
          <w:sz w:val="28"/>
          <w:szCs w:val="32"/>
          <w14:textFill>
            <w14:solidFill>
              <w14:schemeClr w14:val="tx1"/>
            </w14:solidFill>
          </w14:textFill>
        </w:rPr>
      </w:pPr>
    </w:p>
    <w:p w14:paraId="33FED56F">
      <w:pPr>
        <w:spacing w:line="360" w:lineRule="auto"/>
        <w:jc w:val="center"/>
        <w:outlineLvl w:val="2"/>
        <w:rPr>
          <w:rFonts w:ascii="仿宋" w:hAnsi="仿宋" w:eastAsia="仿宋" w:cs="仿宋"/>
          <w:b/>
          <w:color w:val="000000" w:themeColor="text1"/>
          <w:sz w:val="28"/>
          <w:szCs w:val="32"/>
          <w14:textFill>
            <w14:solidFill>
              <w14:schemeClr w14:val="tx1"/>
            </w14:solidFill>
          </w14:textFill>
        </w:rPr>
      </w:pPr>
    </w:p>
    <w:p w14:paraId="41199D58">
      <w:pPr>
        <w:spacing w:line="360" w:lineRule="auto"/>
        <w:jc w:val="center"/>
        <w:outlineLvl w:val="2"/>
        <w:rPr>
          <w:rFonts w:ascii="仿宋" w:hAnsi="仿宋" w:eastAsia="仿宋" w:cs="仿宋"/>
          <w:b/>
          <w:color w:val="000000" w:themeColor="text1"/>
          <w:sz w:val="28"/>
          <w:szCs w:val="32"/>
          <w14:textFill>
            <w14:solidFill>
              <w14:schemeClr w14:val="tx1"/>
            </w14:solidFill>
          </w14:textFill>
        </w:rPr>
      </w:pPr>
    </w:p>
    <w:p w14:paraId="206DBF2C">
      <w:pPr>
        <w:spacing w:line="360" w:lineRule="auto"/>
        <w:jc w:val="center"/>
        <w:outlineLvl w:val="2"/>
        <w:rPr>
          <w:rFonts w:ascii="仿宋" w:hAnsi="仿宋" w:eastAsia="仿宋" w:cs="仿宋"/>
          <w:b/>
          <w:color w:val="000000" w:themeColor="text1"/>
          <w:sz w:val="28"/>
          <w:szCs w:val="32"/>
          <w14:textFill>
            <w14:solidFill>
              <w14:schemeClr w14:val="tx1"/>
            </w14:solidFill>
          </w14:textFill>
        </w:rPr>
      </w:pPr>
    </w:p>
    <w:p w14:paraId="5E43518B">
      <w:pPr>
        <w:spacing w:line="360" w:lineRule="auto"/>
        <w:jc w:val="center"/>
        <w:outlineLvl w:val="2"/>
        <w:rPr>
          <w:rFonts w:ascii="仿宋" w:hAnsi="仿宋" w:eastAsia="仿宋" w:cs="仿宋"/>
          <w:b/>
          <w:color w:val="000000" w:themeColor="text1"/>
          <w:sz w:val="28"/>
          <w:szCs w:val="32"/>
          <w14:textFill>
            <w14:solidFill>
              <w14:schemeClr w14:val="tx1"/>
            </w14:solidFill>
          </w14:textFill>
        </w:rPr>
      </w:pPr>
    </w:p>
    <w:p w14:paraId="081FC904">
      <w:pPr>
        <w:spacing w:line="360" w:lineRule="auto"/>
        <w:ind w:firstLine="3092" w:firstLineChars="1100"/>
        <w:outlineLvl w:val="2"/>
        <w:rPr>
          <w:rFonts w:ascii="仿宋" w:hAnsi="仿宋" w:eastAsia="仿宋" w:cs="仿宋"/>
          <w:b/>
          <w:color w:val="000000" w:themeColor="text1"/>
          <w:sz w:val="28"/>
          <w:szCs w:val="32"/>
          <w14:textFill>
            <w14:solidFill>
              <w14:schemeClr w14:val="tx1"/>
            </w14:solidFill>
          </w14:textFill>
        </w:rPr>
      </w:pPr>
    </w:p>
    <w:p w14:paraId="5C4341FD">
      <w:pPr>
        <w:spacing w:line="360" w:lineRule="auto"/>
        <w:jc w:val="center"/>
        <w:outlineLvl w:val="2"/>
        <w:rPr>
          <w:rFonts w:ascii="仿宋" w:hAnsi="仿宋" w:eastAsia="仿宋" w:cs="仿宋"/>
          <w:b/>
          <w:bCs/>
          <w:color w:val="000000" w:themeColor="text1"/>
          <w:sz w:val="28"/>
          <w:szCs w:val="36"/>
          <w14:textFill>
            <w14:solidFill>
              <w14:schemeClr w14:val="tx1"/>
            </w14:solidFill>
          </w14:textFill>
        </w:rPr>
      </w:pPr>
      <w:r>
        <w:rPr>
          <w:rFonts w:hint="eastAsia" w:ascii="仿宋" w:hAnsi="仿宋" w:eastAsia="仿宋" w:cs="仿宋"/>
          <w:b/>
          <w:color w:val="000000" w:themeColor="text1"/>
          <w:sz w:val="28"/>
          <w:szCs w:val="32"/>
          <w14:textFill>
            <w14:solidFill>
              <w14:schemeClr w14:val="tx1"/>
            </w14:solidFill>
          </w14:textFill>
        </w:rPr>
        <w:t>附网站截图打印件</w:t>
      </w:r>
      <w:r>
        <w:rPr>
          <w:rFonts w:hint="eastAsia" w:ascii="仿宋" w:hAnsi="仿宋" w:eastAsia="仿宋" w:cs="仿宋"/>
          <w:b/>
          <w:bCs/>
          <w:color w:val="000000" w:themeColor="text1"/>
          <w:sz w:val="28"/>
          <w:szCs w:val="36"/>
          <w14:textFill>
            <w14:solidFill>
              <w14:schemeClr w14:val="tx1"/>
            </w14:solidFill>
          </w14:textFill>
        </w:rPr>
        <w:t>并加盖公章</w:t>
      </w:r>
    </w:p>
    <w:p w14:paraId="1C7936EA">
      <w:pPr>
        <w:spacing w:line="52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36"/>
          <w14:textFill>
            <w14:solidFill>
              <w14:schemeClr w14:val="tx1"/>
            </w14:solidFill>
          </w14:textFill>
        </w:rPr>
        <w:t>（未加盖公章的</w:t>
      </w:r>
      <w:r>
        <w:rPr>
          <w:rFonts w:hint="eastAsia" w:ascii="仿宋" w:hAnsi="仿宋" w:eastAsia="仿宋" w:cs="仿宋"/>
          <w:b/>
          <w:color w:val="000000" w:themeColor="text1"/>
          <w:sz w:val="28"/>
          <w:szCs w:val="32"/>
          <w14:textFill>
            <w14:solidFill>
              <w14:schemeClr w14:val="tx1"/>
            </w14:solidFill>
          </w14:textFill>
        </w:rPr>
        <w:t>网站截图打印件</w:t>
      </w:r>
      <w:r>
        <w:rPr>
          <w:rFonts w:hint="eastAsia" w:ascii="仿宋" w:hAnsi="仿宋" w:eastAsia="仿宋" w:cs="仿宋"/>
          <w:b/>
          <w:bCs/>
          <w:color w:val="000000" w:themeColor="text1"/>
          <w:sz w:val="28"/>
          <w:szCs w:val="36"/>
          <w14:textFill>
            <w14:solidFill>
              <w14:schemeClr w14:val="tx1"/>
            </w14:solidFill>
          </w14:textFill>
        </w:rPr>
        <w:t>无效）</w:t>
      </w:r>
      <w:r>
        <w:rPr>
          <w:rFonts w:hint="eastAsia" w:ascii="仿宋" w:hAnsi="仿宋" w:eastAsia="仿宋" w:cs="仿宋"/>
          <w:b/>
          <w:color w:val="000000" w:themeColor="text1"/>
          <w:sz w:val="28"/>
          <w:szCs w:val="32"/>
          <w14:textFill>
            <w14:solidFill>
              <w14:schemeClr w14:val="tx1"/>
            </w14:solidFill>
          </w14:textFill>
        </w:rPr>
        <w:br w:type="page"/>
      </w:r>
    </w:p>
    <w:p w14:paraId="439A0BF7">
      <w:pPr>
        <w:spacing w:line="520" w:lineRule="exact"/>
        <w:rPr>
          <w:rFonts w:ascii="仿宋" w:hAnsi="仿宋" w:eastAsia="仿宋" w:cs="仿宋"/>
          <w:b/>
          <w:color w:val="000000" w:themeColor="text1"/>
          <w:sz w:val="28"/>
          <w:szCs w:val="28"/>
          <w14:textFill>
            <w14:solidFill>
              <w14:schemeClr w14:val="tx1"/>
            </w14:solidFill>
          </w14:textFill>
        </w:rPr>
      </w:pPr>
    </w:p>
    <w:p w14:paraId="00171A11">
      <w:pPr>
        <w:spacing w:line="520" w:lineRule="exact"/>
        <w:rPr>
          <w:rFonts w:ascii="仿宋" w:hAnsi="仿宋" w:eastAsia="仿宋" w:cs="仿宋"/>
          <w:b/>
          <w:color w:val="000000" w:themeColor="text1"/>
          <w:sz w:val="28"/>
          <w:szCs w:val="28"/>
          <w14:textFill>
            <w14:solidFill>
              <w14:schemeClr w14:val="tx1"/>
            </w14:solidFill>
          </w14:textFill>
        </w:rPr>
      </w:pPr>
    </w:p>
    <w:p w14:paraId="6EBBB459">
      <w:pPr>
        <w:pStyle w:val="5"/>
        <w:rPr>
          <w:color w:val="000000" w:themeColor="text1"/>
          <w14:textFill>
            <w14:solidFill>
              <w14:schemeClr w14:val="tx1"/>
            </w14:solidFill>
          </w14:textFill>
        </w:rPr>
      </w:pPr>
    </w:p>
    <w:p w14:paraId="6B6A5CB3">
      <w:pPr>
        <w:spacing w:line="520" w:lineRule="exact"/>
        <w:jc w:val="left"/>
        <w:outlineLvl w:val="2"/>
        <w:rPr>
          <w:rFonts w:ascii="仿宋" w:hAnsi="仿宋" w:eastAsia="仿宋" w:cs="仿宋"/>
          <w:b/>
          <w:color w:val="000000" w:themeColor="text1"/>
          <w:sz w:val="28"/>
          <w:szCs w:val="28"/>
          <w14:textFill>
            <w14:solidFill>
              <w14:schemeClr w14:val="tx1"/>
            </w14:solidFill>
          </w14:textFill>
        </w:rPr>
      </w:pPr>
      <w:bookmarkStart w:id="14" w:name="_Hlk89675716"/>
      <w:r>
        <w:rPr>
          <w:rFonts w:hint="eastAsia" w:ascii="仿宋" w:hAnsi="仿宋" w:eastAsia="仿宋" w:cs="仿宋"/>
          <w:b/>
          <w:color w:val="000000" w:themeColor="text1"/>
          <w:sz w:val="28"/>
          <w:szCs w:val="28"/>
          <w14:textFill>
            <w14:solidFill>
              <w14:schemeClr w14:val="tx1"/>
            </w14:solidFill>
          </w14:textFill>
        </w:rPr>
        <w:t>价格标响应文件相关格式</w:t>
      </w:r>
    </w:p>
    <w:p w14:paraId="5AACA63A">
      <w:pPr>
        <w:pStyle w:val="20"/>
        <w:snapToGrid w:val="0"/>
        <w:spacing w:line="520" w:lineRule="exact"/>
        <w:ind w:firstLine="0" w:firstLineChars="0"/>
        <w:jc w:val="center"/>
        <w:outlineLvl w:val="0"/>
        <w:rPr>
          <w:rFonts w:ascii="仿宋" w:hAnsi="仿宋" w:eastAsia="仿宋" w:cs="仿宋"/>
          <w:b/>
          <w:color w:val="000000" w:themeColor="text1"/>
          <w:sz w:val="28"/>
          <w14:textFill>
            <w14:solidFill>
              <w14:schemeClr w14:val="tx1"/>
            </w14:solidFill>
          </w14:textFill>
        </w:rPr>
      </w:pPr>
      <w:bookmarkStart w:id="15" w:name="_Toc23203"/>
      <w:r>
        <w:rPr>
          <w:rFonts w:hint="eastAsia" w:ascii="仿宋" w:hAnsi="仿宋" w:eastAsia="仿宋" w:cs="仿宋"/>
          <w:b/>
          <w:color w:val="000000" w:themeColor="text1"/>
          <w:sz w:val="28"/>
          <w14:textFill>
            <w14:solidFill>
              <w14:schemeClr w14:val="tx1"/>
            </w14:solidFill>
          </w14:textFill>
        </w:rPr>
        <w:t>价格标响应文件</w:t>
      </w:r>
      <w:bookmarkEnd w:id="15"/>
    </w:p>
    <w:p w14:paraId="67435C50">
      <w:pPr>
        <w:snapToGrid w:val="0"/>
        <w:spacing w:line="520" w:lineRule="exact"/>
        <w:jc w:val="center"/>
        <w:rPr>
          <w:rFonts w:ascii="仿宋" w:hAnsi="仿宋" w:eastAsia="仿宋" w:cs="仿宋"/>
          <w:b/>
          <w:color w:val="000000" w:themeColor="text1"/>
          <w:sz w:val="28"/>
          <w:szCs w:val="28"/>
          <w14:textFill>
            <w14:solidFill>
              <w14:schemeClr w14:val="tx1"/>
            </w14:solidFill>
          </w14:textFill>
        </w:rPr>
      </w:pPr>
    </w:p>
    <w:p w14:paraId="6A2A617F">
      <w:pPr>
        <w:snapToGrid w:val="0"/>
        <w:spacing w:line="520" w:lineRule="exact"/>
        <w:jc w:val="center"/>
        <w:rPr>
          <w:rFonts w:ascii="仿宋" w:hAnsi="仿宋" w:eastAsia="仿宋" w:cs="仿宋"/>
          <w:b/>
          <w:color w:val="000000" w:themeColor="text1"/>
          <w:sz w:val="28"/>
          <w:szCs w:val="28"/>
          <w14:textFill>
            <w14:solidFill>
              <w14:schemeClr w14:val="tx1"/>
            </w14:solidFill>
          </w14:textFill>
        </w:rPr>
      </w:pPr>
    </w:p>
    <w:tbl>
      <w:tblPr>
        <w:tblStyle w:val="16"/>
        <w:tblpPr w:leftFromText="180" w:rightFromText="180" w:vertAnchor="text" w:horzAnchor="page" w:tblpX="1312" w:tblpY="414"/>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3229"/>
        <w:gridCol w:w="2400"/>
        <w:gridCol w:w="1990"/>
        <w:gridCol w:w="1850"/>
      </w:tblGrid>
      <w:tr w14:paraId="4DC458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2" w:hRule="atLeast"/>
        </w:trPr>
        <w:tc>
          <w:tcPr>
            <w:tcW w:w="3229" w:type="dxa"/>
            <w:tcBorders>
              <w:top w:val="single" w:color="auto" w:sz="4" w:space="0"/>
              <w:left w:val="single" w:color="auto" w:sz="4" w:space="0"/>
              <w:bottom w:val="single" w:color="auto" w:sz="4" w:space="0"/>
              <w:right w:val="single" w:color="auto" w:sz="4" w:space="0"/>
            </w:tcBorders>
            <w:vAlign w:val="center"/>
          </w:tcPr>
          <w:p w14:paraId="193CE7A3">
            <w:pPr>
              <w:kinsoku w:val="0"/>
              <w:topLinePunct/>
              <w:spacing w:line="52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项目名称</w:t>
            </w:r>
          </w:p>
        </w:tc>
        <w:tc>
          <w:tcPr>
            <w:tcW w:w="2400" w:type="dxa"/>
            <w:tcBorders>
              <w:top w:val="single" w:color="auto" w:sz="4" w:space="0"/>
              <w:left w:val="single" w:color="auto" w:sz="4" w:space="0"/>
              <w:bottom w:val="single" w:color="auto" w:sz="4" w:space="0"/>
              <w:right w:val="single" w:color="auto" w:sz="4" w:space="0"/>
            </w:tcBorders>
            <w:vAlign w:val="center"/>
          </w:tcPr>
          <w:p w14:paraId="75452B3D">
            <w:pPr>
              <w:kinsoku w:val="0"/>
              <w:topLinePunct/>
              <w:spacing w:line="52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总报价（元）</w:t>
            </w:r>
          </w:p>
        </w:tc>
        <w:tc>
          <w:tcPr>
            <w:tcW w:w="1990" w:type="dxa"/>
            <w:tcBorders>
              <w:top w:val="single" w:color="auto" w:sz="4" w:space="0"/>
              <w:left w:val="single" w:color="auto" w:sz="4" w:space="0"/>
              <w:bottom w:val="single" w:color="auto" w:sz="4" w:space="0"/>
              <w:right w:val="single" w:color="auto" w:sz="4" w:space="0"/>
            </w:tcBorders>
            <w:vAlign w:val="center"/>
          </w:tcPr>
          <w:p w14:paraId="66937781">
            <w:pPr>
              <w:kinsoku w:val="0"/>
              <w:topLinePunct/>
              <w:spacing w:line="52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项目完成时间</w:t>
            </w:r>
          </w:p>
        </w:tc>
        <w:tc>
          <w:tcPr>
            <w:tcW w:w="1850" w:type="dxa"/>
            <w:tcBorders>
              <w:top w:val="single" w:color="auto" w:sz="4" w:space="0"/>
              <w:left w:val="single" w:color="auto" w:sz="4" w:space="0"/>
              <w:bottom w:val="single" w:color="auto" w:sz="4" w:space="0"/>
              <w:right w:val="single" w:color="auto" w:sz="4" w:space="0"/>
            </w:tcBorders>
            <w:vAlign w:val="center"/>
          </w:tcPr>
          <w:p w14:paraId="376E8330">
            <w:pPr>
              <w:kinsoku w:val="0"/>
              <w:topLinePunct/>
              <w:spacing w:line="52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付款方式</w:t>
            </w:r>
          </w:p>
        </w:tc>
      </w:tr>
      <w:tr w14:paraId="32BBD6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1" w:hRule="atLeast"/>
        </w:trPr>
        <w:tc>
          <w:tcPr>
            <w:tcW w:w="3229" w:type="dxa"/>
            <w:tcBorders>
              <w:top w:val="single" w:color="auto" w:sz="4" w:space="0"/>
              <w:left w:val="single" w:color="auto" w:sz="4" w:space="0"/>
              <w:bottom w:val="single" w:color="auto" w:sz="4" w:space="0"/>
              <w:right w:val="single" w:color="auto" w:sz="4" w:space="0"/>
            </w:tcBorders>
            <w:vAlign w:val="center"/>
          </w:tcPr>
          <w:p w14:paraId="4B5A4EC3">
            <w:pPr>
              <w:kinsoku w:val="0"/>
              <w:topLinePunct/>
              <w:spacing w:line="520" w:lineRule="exac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XXX项目</w:t>
            </w:r>
          </w:p>
        </w:tc>
        <w:tc>
          <w:tcPr>
            <w:tcW w:w="2400" w:type="dxa"/>
            <w:tcBorders>
              <w:top w:val="single" w:color="auto" w:sz="4" w:space="0"/>
              <w:left w:val="single" w:color="auto" w:sz="4" w:space="0"/>
              <w:bottom w:val="single" w:color="auto" w:sz="4" w:space="0"/>
              <w:right w:val="single" w:color="auto" w:sz="4" w:space="0"/>
            </w:tcBorders>
            <w:vAlign w:val="center"/>
          </w:tcPr>
          <w:p w14:paraId="7598CC9B">
            <w:pPr>
              <w:kinsoku w:val="0"/>
              <w:topLinePunct/>
              <w:spacing w:line="520" w:lineRule="exac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大写：</w:t>
            </w:r>
          </w:p>
          <w:p w14:paraId="3F04C50B">
            <w:pPr>
              <w:kinsoku w:val="0"/>
              <w:topLinePunct/>
              <w:spacing w:line="52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小写：</w:t>
            </w:r>
          </w:p>
        </w:tc>
        <w:tc>
          <w:tcPr>
            <w:tcW w:w="1990" w:type="dxa"/>
            <w:tcBorders>
              <w:top w:val="single" w:color="auto" w:sz="4" w:space="0"/>
              <w:left w:val="single" w:color="auto" w:sz="4" w:space="0"/>
              <w:bottom w:val="single" w:color="auto" w:sz="4" w:space="0"/>
              <w:right w:val="single" w:color="auto" w:sz="4" w:space="0"/>
            </w:tcBorders>
            <w:vAlign w:val="center"/>
          </w:tcPr>
          <w:p w14:paraId="3B36F5CC">
            <w:pPr>
              <w:kinsoku w:val="0"/>
              <w:topLinePunct/>
              <w:spacing w:line="52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完全响应比价文件要求</w:t>
            </w:r>
          </w:p>
        </w:tc>
        <w:tc>
          <w:tcPr>
            <w:tcW w:w="1850" w:type="dxa"/>
            <w:tcBorders>
              <w:top w:val="single" w:color="auto" w:sz="4" w:space="0"/>
              <w:left w:val="single" w:color="auto" w:sz="4" w:space="0"/>
              <w:bottom w:val="single" w:color="auto" w:sz="4" w:space="0"/>
              <w:right w:val="single" w:color="auto" w:sz="4" w:space="0"/>
            </w:tcBorders>
          </w:tcPr>
          <w:p w14:paraId="67777CB8">
            <w:pPr>
              <w:kinsoku w:val="0"/>
              <w:topLinePunct/>
              <w:spacing w:line="52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完全响应比价文件要求的付款方式</w:t>
            </w:r>
          </w:p>
        </w:tc>
      </w:tr>
    </w:tbl>
    <w:p w14:paraId="46C050AD">
      <w:pPr>
        <w:widowControl/>
        <w:spacing w:line="520" w:lineRule="exact"/>
        <w:ind w:firstLine="280" w:firstLineChars="100"/>
        <w:jc w:val="left"/>
        <w:rPr>
          <w:rFonts w:ascii="仿宋" w:hAnsi="仿宋" w:eastAsia="仿宋" w:cs="仿宋"/>
          <w:color w:val="000000" w:themeColor="text1"/>
          <w:kern w:val="0"/>
          <w:sz w:val="28"/>
          <w:szCs w:val="28"/>
          <w14:textFill>
            <w14:solidFill>
              <w14:schemeClr w14:val="tx1"/>
            </w14:solidFill>
          </w14:textFill>
        </w:rPr>
      </w:pPr>
      <w:r>
        <w:rPr>
          <w:rFonts w:hint="eastAsia" w:ascii="仿宋" w:hAnsi="仿宋" w:eastAsia="仿宋" w:cs="仿宋"/>
          <w:color w:val="000000" w:themeColor="text1"/>
          <w:kern w:val="0"/>
          <w:sz w:val="28"/>
          <w:szCs w:val="28"/>
          <w14:textFill>
            <w14:solidFill>
              <w14:schemeClr w14:val="tx1"/>
            </w14:solidFill>
          </w14:textFill>
        </w:rPr>
        <w:t>注：本表为格式表，不得自行改动，必须提供，否则视为未实质性响应比价采购文件。</w:t>
      </w:r>
    </w:p>
    <w:p w14:paraId="4C8E9E44">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p>
    <w:p w14:paraId="15CE69A2">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p>
    <w:p w14:paraId="2E27C284">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p>
    <w:p w14:paraId="26C1519D">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p>
    <w:p w14:paraId="510063DF">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p>
    <w:p w14:paraId="04F12C8A">
      <w:pPr>
        <w:snapToGrid w:val="0"/>
        <w:spacing w:line="520" w:lineRule="exact"/>
        <w:rPr>
          <w:rFonts w:ascii="仿宋" w:hAnsi="仿宋" w:eastAsia="仿宋" w:cs="仿宋"/>
          <w:color w:val="000000" w:themeColor="text1"/>
          <w:sz w:val="28"/>
          <w:szCs w:val="28"/>
          <w14:textFill>
            <w14:solidFill>
              <w14:schemeClr w14:val="tx1"/>
            </w14:solidFill>
          </w14:textFill>
        </w:rPr>
      </w:pPr>
    </w:p>
    <w:p w14:paraId="00DA9C5C">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供应商名称：（盖章）             </w:t>
      </w:r>
    </w:p>
    <w:p w14:paraId="5A7A5F61">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法定代表人或授权委托人（签字）：</w:t>
      </w:r>
    </w:p>
    <w:p w14:paraId="0702DE8D">
      <w:pPr>
        <w:snapToGrid w:val="0"/>
        <w:spacing w:line="520" w:lineRule="exact"/>
        <w:ind w:left="1322" w:hanging="1321" w:hangingChars="472"/>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日期：</w:t>
      </w:r>
    </w:p>
    <w:p w14:paraId="3B36755D">
      <w:pPr>
        <w:pStyle w:val="14"/>
        <w:spacing w:line="520" w:lineRule="exact"/>
        <w:ind w:firstLine="0" w:firstLineChars="0"/>
        <w:rPr>
          <w:rFonts w:ascii="仿宋" w:hAnsi="仿宋" w:eastAsia="仿宋" w:cs="仿宋"/>
          <w:b/>
          <w:color w:val="000000" w:themeColor="text1"/>
          <w:sz w:val="28"/>
          <w:szCs w:val="28"/>
          <w14:textFill>
            <w14:solidFill>
              <w14:schemeClr w14:val="tx1"/>
            </w14:solidFill>
          </w14:textFill>
        </w:rPr>
      </w:pPr>
    </w:p>
    <w:p w14:paraId="1BB6EE66">
      <w:pPr>
        <w:tabs>
          <w:tab w:val="left" w:pos="5227"/>
        </w:tabs>
        <w:spacing w:line="520" w:lineRule="exact"/>
        <w:jc w:val="left"/>
        <w:outlineLvl w:val="0"/>
        <w:rPr>
          <w:rFonts w:ascii="仿宋" w:hAnsi="仿宋" w:eastAsia="仿宋" w:cs="仿宋"/>
          <w:b/>
          <w:bCs/>
          <w:color w:val="000000" w:themeColor="text1"/>
          <w:sz w:val="28"/>
          <w:szCs w:val="28"/>
          <w14:textFill>
            <w14:solidFill>
              <w14:schemeClr w14:val="tx1"/>
            </w14:solidFill>
          </w14:textFill>
        </w:rPr>
      </w:pPr>
      <w:bookmarkStart w:id="16" w:name="_Toc11949"/>
    </w:p>
    <w:bookmarkEnd w:id="14"/>
    <w:bookmarkEnd w:id="16"/>
    <w:p w14:paraId="0B994219">
      <w:pPr>
        <w:pStyle w:val="22"/>
        <w:spacing w:line="520" w:lineRule="exact"/>
        <w:rPr>
          <w:rFonts w:ascii="仿宋" w:hAnsi="仿宋" w:eastAsia="仿宋" w:cs="仿宋"/>
          <w:color w:val="000000" w:themeColor="text1"/>
          <w:sz w:val="28"/>
          <w:szCs w:val="28"/>
          <w14:textFill>
            <w14:solidFill>
              <w14:schemeClr w14:val="tx1"/>
            </w14:solidFill>
          </w14:textFill>
        </w:rPr>
      </w:pPr>
    </w:p>
    <w:p w14:paraId="51E68DCC">
      <w:pPr>
        <w:pStyle w:val="23"/>
        <w:rPr>
          <w:rFonts w:ascii="仿宋" w:hAnsi="仿宋" w:eastAsia="仿宋" w:cs="仿宋"/>
          <w:color w:val="000000" w:themeColor="text1"/>
          <w:sz w:val="28"/>
          <w:szCs w:val="28"/>
          <w14:textFill>
            <w14:solidFill>
              <w14:schemeClr w14:val="tx1"/>
            </w14:solidFill>
          </w14:textFill>
        </w:rPr>
      </w:pPr>
    </w:p>
    <w:p w14:paraId="3A427104">
      <w:pPr>
        <w:spacing w:line="360" w:lineRule="auto"/>
        <w:jc w:val="center"/>
        <w:outlineLvl w:val="2"/>
        <w:rPr>
          <w:rFonts w:ascii="仿宋" w:hAnsi="仿宋" w:eastAsia="仿宋" w:cs="仿宋"/>
          <w:b/>
          <w:sz w:val="28"/>
          <w:szCs w:val="28"/>
        </w:rPr>
      </w:pPr>
      <w:r>
        <w:rPr>
          <w:rFonts w:hint="eastAsia" w:ascii="仿宋" w:hAnsi="仿宋" w:eastAsia="仿宋" w:cs="仿宋"/>
          <w:b/>
          <w:sz w:val="28"/>
          <w:szCs w:val="28"/>
        </w:rPr>
        <w:t>报价明细表</w:t>
      </w:r>
    </w:p>
    <w:p w14:paraId="6D936128">
      <w:pPr>
        <w:spacing w:line="400" w:lineRule="exact"/>
        <w:jc w:val="center"/>
        <w:rPr>
          <w:rFonts w:ascii="Calibri" w:hAnsi="Calibri"/>
          <w:sz w:val="32"/>
          <w:szCs w:val="32"/>
        </w:rPr>
      </w:pPr>
      <w:r>
        <w:rPr>
          <w:rFonts w:hint="eastAsia" w:ascii="Calibri" w:hAnsi="Calibri"/>
          <w:b/>
          <w:bCs/>
          <w:sz w:val="32"/>
          <w:szCs w:val="32"/>
        </w:rPr>
        <w:t>分项报价明细表（货物类）</w:t>
      </w:r>
    </w:p>
    <w:p w14:paraId="52229F35">
      <w:pPr>
        <w:snapToGrid w:val="0"/>
        <w:spacing w:line="400" w:lineRule="exact"/>
        <w:rPr>
          <w:rFonts w:ascii="仿宋_GB2312" w:hAnsi="宋体" w:eastAsia="仿宋_GB2312"/>
          <w:sz w:val="28"/>
          <w:szCs w:val="28"/>
        </w:rPr>
      </w:pPr>
      <w:r>
        <w:rPr>
          <w:rFonts w:hint="eastAsia" w:ascii="仿宋_GB2312" w:hAnsi="宋体" w:eastAsia="仿宋_GB2312"/>
          <w:sz w:val="28"/>
          <w:szCs w:val="28"/>
        </w:rPr>
        <w:t>供应商（盖章）：</w:t>
      </w:r>
    </w:p>
    <w:tbl>
      <w:tblPr>
        <w:tblStyle w:val="16"/>
        <w:tblW w:w="98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340"/>
        <w:gridCol w:w="1211"/>
        <w:gridCol w:w="1276"/>
        <w:gridCol w:w="992"/>
        <w:gridCol w:w="851"/>
        <w:gridCol w:w="850"/>
        <w:gridCol w:w="851"/>
        <w:gridCol w:w="1403"/>
      </w:tblGrid>
      <w:tr w14:paraId="27648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1037" w:type="dxa"/>
            <w:vAlign w:val="center"/>
          </w:tcPr>
          <w:p w14:paraId="277EFDFE">
            <w:pPr>
              <w:snapToGrid w:val="0"/>
              <w:spacing w:line="360" w:lineRule="auto"/>
              <w:jc w:val="center"/>
              <w:rPr>
                <w:rFonts w:ascii="宋体" w:hAnsi="宋体"/>
                <w:b/>
              </w:rPr>
            </w:pPr>
            <w:r>
              <w:rPr>
                <w:rFonts w:hint="eastAsia" w:ascii="宋体" w:hAnsi="宋体"/>
                <w:b/>
              </w:rPr>
              <w:t>序号</w:t>
            </w:r>
          </w:p>
        </w:tc>
        <w:tc>
          <w:tcPr>
            <w:tcW w:w="1340" w:type="dxa"/>
            <w:vAlign w:val="center"/>
          </w:tcPr>
          <w:p w14:paraId="3E5119AD">
            <w:pPr>
              <w:snapToGrid w:val="0"/>
              <w:spacing w:line="360" w:lineRule="auto"/>
              <w:jc w:val="center"/>
              <w:rPr>
                <w:rFonts w:ascii="宋体" w:hAnsi="宋体"/>
                <w:b/>
              </w:rPr>
            </w:pPr>
            <w:r>
              <w:rPr>
                <w:rFonts w:hint="eastAsia" w:ascii="宋体" w:hAnsi="宋体"/>
                <w:b/>
              </w:rPr>
              <w:t>名称</w:t>
            </w:r>
          </w:p>
        </w:tc>
        <w:tc>
          <w:tcPr>
            <w:tcW w:w="1211" w:type="dxa"/>
            <w:vAlign w:val="center"/>
          </w:tcPr>
          <w:p w14:paraId="4C3F137C">
            <w:pPr>
              <w:snapToGrid w:val="0"/>
              <w:spacing w:line="360" w:lineRule="auto"/>
              <w:jc w:val="center"/>
              <w:rPr>
                <w:rFonts w:ascii="宋体" w:hAnsi="宋体"/>
                <w:b/>
              </w:rPr>
            </w:pPr>
            <w:r>
              <w:rPr>
                <w:rFonts w:hint="eastAsia" w:ascii="宋体" w:hAnsi="宋体"/>
                <w:b/>
              </w:rPr>
              <w:t>规格型号</w:t>
            </w:r>
          </w:p>
        </w:tc>
        <w:tc>
          <w:tcPr>
            <w:tcW w:w="1276" w:type="dxa"/>
            <w:vAlign w:val="center"/>
          </w:tcPr>
          <w:p w14:paraId="2BBF15EF">
            <w:pPr>
              <w:snapToGrid w:val="0"/>
              <w:spacing w:line="360" w:lineRule="auto"/>
              <w:jc w:val="center"/>
              <w:rPr>
                <w:rFonts w:ascii="宋体" w:hAnsi="宋体"/>
                <w:b/>
              </w:rPr>
            </w:pPr>
            <w:r>
              <w:rPr>
                <w:rFonts w:hint="eastAsia" w:ascii="宋体" w:hAnsi="宋体"/>
                <w:b/>
              </w:rPr>
              <w:t>品牌</w:t>
            </w:r>
          </w:p>
        </w:tc>
        <w:tc>
          <w:tcPr>
            <w:tcW w:w="992" w:type="dxa"/>
            <w:vAlign w:val="center"/>
          </w:tcPr>
          <w:p w14:paraId="51E89C13">
            <w:pPr>
              <w:snapToGrid w:val="0"/>
              <w:spacing w:line="360" w:lineRule="auto"/>
              <w:jc w:val="center"/>
              <w:rPr>
                <w:rFonts w:ascii="宋体" w:hAnsi="宋体"/>
                <w:b/>
              </w:rPr>
            </w:pPr>
            <w:r>
              <w:rPr>
                <w:rFonts w:hint="eastAsia" w:ascii="宋体" w:hAnsi="宋体"/>
                <w:b/>
              </w:rPr>
              <w:t>单位</w:t>
            </w:r>
          </w:p>
        </w:tc>
        <w:tc>
          <w:tcPr>
            <w:tcW w:w="851" w:type="dxa"/>
            <w:vAlign w:val="center"/>
          </w:tcPr>
          <w:p w14:paraId="6E7C3D16">
            <w:pPr>
              <w:snapToGrid w:val="0"/>
              <w:spacing w:line="360" w:lineRule="auto"/>
              <w:jc w:val="center"/>
              <w:rPr>
                <w:rFonts w:ascii="宋体" w:hAnsi="宋体"/>
                <w:b/>
              </w:rPr>
            </w:pPr>
            <w:r>
              <w:rPr>
                <w:rFonts w:hint="eastAsia" w:ascii="宋体" w:hAnsi="宋体"/>
                <w:b/>
              </w:rPr>
              <w:t>数量</w:t>
            </w:r>
          </w:p>
        </w:tc>
        <w:tc>
          <w:tcPr>
            <w:tcW w:w="850" w:type="dxa"/>
            <w:vAlign w:val="center"/>
          </w:tcPr>
          <w:p w14:paraId="01CFB917">
            <w:pPr>
              <w:snapToGrid w:val="0"/>
              <w:spacing w:line="360" w:lineRule="auto"/>
              <w:jc w:val="center"/>
              <w:rPr>
                <w:rFonts w:ascii="宋体" w:hAnsi="宋体"/>
                <w:b/>
              </w:rPr>
            </w:pPr>
            <w:r>
              <w:rPr>
                <w:rFonts w:hint="eastAsia" w:ascii="宋体" w:hAnsi="宋体"/>
                <w:b/>
              </w:rPr>
              <w:t>单价</w:t>
            </w:r>
          </w:p>
        </w:tc>
        <w:tc>
          <w:tcPr>
            <w:tcW w:w="851" w:type="dxa"/>
            <w:vAlign w:val="center"/>
          </w:tcPr>
          <w:p w14:paraId="462914A6">
            <w:pPr>
              <w:snapToGrid w:val="0"/>
              <w:spacing w:line="360" w:lineRule="auto"/>
              <w:jc w:val="center"/>
              <w:rPr>
                <w:rFonts w:ascii="宋体" w:hAnsi="宋体"/>
                <w:b/>
              </w:rPr>
            </w:pPr>
            <w:r>
              <w:rPr>
                <w:rFonts w:hint="eastAsia" w:ascii="宋体" w:hAnsi="宋体"/>
                <w:b/>
              </w:rPr>
              <w:t>金额</w:t>
            </w:r>
          </w:p>
        </w:tc>
        <w:tc>
          <w:tcPr>
            <w:tcW w:w="1403" w:type="dxa"/>
            <w:vAlign w:val="center"/>
          </w:tcPr>
          <w:p w14:paraId="47D5BFA3">
            <w:pPr>
              <w:snapToGrid w:val="0"/>
              <w:spacing w:line="360" w:lineRule="auto"/>
              <w:ind w:firstLine="105" w:firstLineChars="50"/>
              <w:jc w:val="center"/>
              <w:rPr>
                <w:rFonts w:ascii="宋体" w:hAnsi="宋体"/>
                <w:b/>
              </w:rPr>
            </w:pPr>
            <w:r>
              <w:rPr>
                <w:rFonts w:hint="eastAsia" w:ascii="宋体" w:hAnsi="宋体"/>
                <w:b/>
              </w:rPr>
              <w:t>备注</w:t>
            </w:r>
          </w:p>
        </w:tc>
      </w:tr>
      <w:tr w14:paraId="5A577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1037" w:type="dxa"/>
            <w:vAlign w:val="center"/>
          </w:tcPr>
          <w:p w14:paraId="4D7A5050">
            <w:pPr>
              <w:snapToGrid w:val="0"/>
              <w:spacing w:line="360" w:lineRule="auto"/>
              <w:jc w:val="center"/>
              <w:rPr>
                <w:rFonts w:ascii="仿宋_GB2312" w:hAnsi="宋体" w:eastAsia="仿宋_GB2312"/>
                <w:sz w:val="24"/>
              </w:rPr>
            </w:pPr>
            <w:r>
              <w:rPr>
                <w:rFonts w:hint="eastAsia" w:ascii="仿宋_GB2312" w:hAnsi="宋体" w:eastAsia="仿宋_GB2312"/>
                <w:sz w:val="24"/>
              </w:rPr>
              <w:t>1</w:t>
            </w:r>
          </w:p>
        </w:tc>
        <w:tc>
          <w:tcPr>
            <w:tcW w:w="1340" w:type="dxa"/>
            <w:vAlign w:val="center"/>
          </w:tcPr>
          <w:p w14:paraId="0C64519A">
            <w:pPr>
              <w:snapToGrid w:val="0"/>
              <w:spacing w:line="360" w:lineRule="auto"/>
              <w:jc w:val="center"/>
              <w:rPr>
                <w:rFonts w:ascii="仿宋_GB2312" w:hAnsi="宋体" w:eastAsia="仿宋_GB2312"/>
                <w:sz w:val="24"/>
              </w:rPr>
            </w:pPr>
          </w:p>
        </w:tc>
        <w:tc>
          <w:tcPr>
            <w:tcW w:w="1211" w:type="dxa"/>
            <w:vAlign w:val="center"/>
          </w:tcPr>
          <w:p w14:paraId="13576A37">
            <w:pPr>
              <w:snapToGrid w:val="0"/>
              <w:spacing w:line="360" w:lineRule="auto"/>
              <w:jc w:val="center"/>
              <w:rPr>
                <w:rFonts w:ascii="仿宋_GB2312" w:hAnsi="宋体" w:eastAsia="仿宋_GB2312"/>
                <w:sz w:val="24"/>
              </w:rPr>
            </w:pPr>
          </w:p>
        </w:tc>
        <w:tc>
          <w:tcPr>
            <w:tcW w:w="1276" w:type="dxa"/>
            <w:vAlign w:val="center"/>
          </w:tcPr>
          <w:p w14:paraId="39106D4D">
            <w:pPr>
              <w:snapToGrid w:val="0"/>
              <w:spacing w:line="360" w:lineRule="auto"/>
              <w:jc w:val="center"/>
              <w:rPr>
                <w:rFonts w:ascii="仿宋_GB2312" w:hAnsi="宋体" w:eastAsia="仿宋_GB2312"/>
                <w:sz w:val="24"/>
              </w:rPr>
            </w:pPr>
          </w:p>
        </w:tc>
        <w:tc>
          <w:tcPr>
            <w:tcW w:w="992" w:type="dxa"/>
            <w:vAlign w:val="center"/>
          </w:tcPr>
          <w:p w14:paraId="106F8632">
            <w:pPr>
              <w:snapToGrid w:val="0"/>
              <w:spacing w:line="360" w:lineRule="auto"/>
              <w:jc w:val="center"/>
              <w:rPr>
                <w:rFonts w:ascii="仿宋_GB2312" w:hAnsi="宋体" w:eastAsia="仿宋_GB2312"/>
                <w:sz w:val="24"/>
              </w:rPr>
            </w:pPr>
          </w:p>
        </w:tc>
        <w:tc>
          <w:tcPr>
            <w:tcW w:w="851" w:type="dxa"/>
            <w:vAlign w:val="center"/>
          </w:tcPr>
          <w:p w14:paraId="5EF48FC6">
            <w:pPr>
              <w:snapToGrid w:val="0"/>
              <w:spacing w:line="360" w:lineRule="auto"/>
              <w:jc w:val="center"/>
              <w:rPr>
                <w:rFonts w:ascii="仿宋_GB2312" w:hAnsi="宋体" w:eastAsia="仿宋_GB2312"/>
                <w:sz w:val="24"/>
              </w:rPr>
            </w:pPr>
          </w:p>
        </w:tc>
        <w:tc>
          <w:tcPr>
            <w:tcW w:w="850" w:type="dxa"/>
            <w:vAlign w:val="center"/>
          </w:tcPr>
          <w:p w14:paraId="2700C44E">
            <w:pPr>
              <w:snapToGrid w:val="0"/>
              <w:spacing w:line="360" w:lineRule="auto"/>
              <w:jc w:val="center"/>
              <w:rPr>
                <w:rFonts w:ascii="仿宋_GB2312" w:hAnsi="宋体" w:eastAsia="仿宋_GB2312"/>
                <w:sz w:val="24"/>
              </w:rPr>
            </w:pPr>
          </w:p>
        </w:tc>
        <w:tc>
          <w:tcPr>
            <w:tcW w:w="851" w:type="dxa"/>
            <w:vAlign w:val="center"/>
          </w:tcPr>
          <w:p w14:paraId="3221A6C0">
            <w:pPr>
              <w:snapToGrid w:val="0"/>
              <w:spacing w:line="360" w:lineRule="auto"/>
              <w:jc w:val="center"/>
              <w:rPr>
                <w:rFonts w:ascii="仿宋_GB2312" w:hAnsi="宋体" w:eastAsia="仿宋_GB2312"/>
                <w:sz w:val="24"/>
              </w:rPr>
            </w:pPr>
          </w:p>
        </w:tc>
        <w:tc>
          <w:tcPr>
            <w:tcW w:w="1403" w:type="dxa"/>
            <w:vAlign w:val="center"/>
          </w:tcPr>
          <w:p w14:paraId="39E3B8AB">
            <w:pPr>
              <w:snapToGrid w:val="0"/>
              <w:spacing w:line="360" w:lineRule="auto"/>
              <w:jc w:val="center"/>
              <w:rPr>
                <w:rFonts w:ascii="仿宋_GB2312" w:hAnsi="宋体" w:eastAsia="仿宋_GB2312"/>
                <w:sz w:val="24"/>
              </w:rPr>
            </w:pPr>
          </w:p>
        </w:tc>
      </w:tr>
      <w:tr w14:paraId="2466D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1037" w:type="dxa"/>
            <w:vAlign w:val="center"/>
          </w:tcPr>
          <w:p w14:paraId="0E13A52F">
            <w:pPr>
              <w:snapToGrid w:val="0"/>
              <w:spacing w:line="360" w:lineRule="auto"/>
              <w:jc w:val="center"/>
              <w:rPr>
                <w:rFonts w:ascii="仿宋_GB2312" w:hAnsi="宋体" w:eastAsia="仿宋_GB2312"/>
                <w:sz w:val="24"/>
              </w:rPr>
            </w:pPr>
            <w:r>
              <w:rPr>
                <w:rFonts w:hint="eastAsia" w:ascii="仿宋_GB2312" w:hAnsi="宋体" w:eastAsia="仿宋_GB2312"/>
                <w:sz w:val="24"/>
              </w:rPr>
              <w:t>2</w:t>
            </w:r>
          </w:p>
        </w:tc>
        <w:tc>
          <w:tcPr>
            <w:tcW w:w="1340" w:type="dxa"/>
            <w:vAlign w:val="center"/>
          </w:tcPr>
          <w:p w14:paraId="4489C54A">
            <w:pPr>
              <w:snapToGrid w:val="0"/>
              <w:spacing w:line="360" w:lineRule="auto"/>
              <w:jc w:val="center"/>
              <w:rPr>
                <w:rFonts w:ascii="仿宋_GB2312" w:hAnsi="宋体" w:eastAsia="仿宋_GB2312"/>
                <w:sz w:val="24"/>
              </w:rPr>
            </w:pPr>
          </w:p>
        </w:tc>
        <w:tc>
          <w:tcPr>
            <w:tcW w:w="1211" w:type="dxa"/>
            <w:vAlign w:val="center"/>
          </w:tcPr>
          <w:p w14:paraId="6742DE65">
            <w:pPr>
              <w:snapToGrid w:val="0"/>
              <w:spacing w:line="360" w:lineRule="auto"/>
              <w:jc w:val="center"/>
              <w:rPr>
                <w:rFonts w:ascii="仿宋_GB2312" w:hAnsi="宋体" w:eastAsia="仿宋_GB2312"/>
                <w:sz w:val="24"/>
              </w:rPr>
            </w:pPr>
          </w:p>
        </w:tc>
        <w:tc>
          <w:tcPr>
            <w:tcW w:w="1276" w:type="dxa"/>
            <w:vAlign w:val="center"/>
          </w:tcPr>
          <w:p w14:paraId="3E3EADCC">
            <w:pPr>
              <w:snapToGrid w:val="0"/>
              <w:spacing w:line="360" w:lineRule="auto"/>
              <w:jc w:val="center"/>
              <w:rPr>
                <w:rFonts w:ascii="仿宋_GB2312" w:hAnsi="宋体" w:eastAsia="仿宋_GB2312"/>
                <w:sz w:val="24"/>
              </w:rPr>
            </w:pPr>
          </w:p>
        </w:tc>
        <w:tc>
          <w:tcPr>
            <w:tcW w:w="992" w:type="dxa"/>
            <w:vAlign w:val="center"/>
          </w:tcPr>
          <w:p w14:paraId="4D35544F">
            <w:pPr>
              <w:snapToGrid w:val="0"/>
              <w:spacing w:line="360" w:lineRule="auto"/>
              <w:jc w:val="center"/>
              <w:rPr>
                <w:rFonts w:ascii="仿宋_GB2312" w:hAnsi="宋体" w:eastAsia="仿宋_GB2312"/>
                <w:sz w:val="24"/>
              </w:rPr>
            </w:pPr>
          </w:p>
        </w:tc>
        <w:tc>
          <w:tcPr>
            <w:tcW w:w="851" w:type="dxa"/>
            <w:vAlign w:val="center"/>
          </w:tcPr>
          <w:p w14:paraId="76FCBBFB">
            <w:pPr>
              <w:snapToGrid w:val="0"/>
              <w:spacing w:line="360" w:lineRule="auto"/>
              <w:jc w:val="center"/>
              <w:rPr>
                <w:rFonts w:ascii="仿宋_GB2312" w:hAnsi="宋体" w:eastAsia="仿宋_GB2312"/>
                <w:sz w:val="24"/>
              </w:rPr>
            </w:pPr>
          </w:p>
        </w:tc>
        <w:tc>
          <w:tcPr>
            <w:tcW w:w="850" w:type="dxa"/>
            <w:vAlign w:val="center"/>
          </w:tcPr>
          <w:p w14:paraId="714B05F3">
            <w:pPr>
              <w:snapToGrid w:val="0"/>
              <w:spacing w:line="360" w:lineRule="auto"/>
              <w:jc w:val="center"/>
              <w:rPr>
                <w:rFonts w:ascii="仿宋_GB2312" w:hAnsi="宋体" w:eastAsia="仿宋_GB2312"/>
                <w:sz w:val="24"/>
              </w:rPr>
            </w:pPr>
          </w:p>
        </w:tc>
        <w:tc>
          <w:tcPr>
            <w:tcW w:w="851" w:type="dxa"/>
            <w:vAlign w:val="center"/>
          </w:tcPr>
          <w:p w14:paraId="15A5337E">
            <w:pPr>
              <w:snapToGrid w:val="0"/>
              <w:spacing w:line="360" w:lineRule="auto"/>
              <w:jc w:val="center"/>
              <w:rPr>
                <w:rFonts w:ascii="仿宋_GB2312" w:hAnsi="宋体" w:eastAsia="仿宋_GB2312"/>
                <w:sz w:val="24"/>
              </w:rPr>
            </w:pPr>
          </w:p>
        </w:tc>
        <w:tc>
          <w:tcPr>
            <w:tcW w:w="1403" w:type="dxa"/>
            <w:vAlign w:val="center"/>
          </w:tcPr>
          <w:p w14:paraId="04F0789B">
            <w:pPr>
              <w:snapToGrid w:val="0"/>
              <w:spacing w:line="360" w:lineRule="auto"/>
              <w:jc w:val="center"/>
              <w:rPr>
                <w:rFonts w:ascii="仿宋_GB2312" w:hAnsi="宋体" w:eastAsia="仿宋_GB2312"/>
                <w:sz w:val="24"/>
              </w:rPr>
            </w:pPr>
          </w:p>
        </w:tc>
      </w:tr>
      <w:tr w14:paraId="27E2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037" w:type="dxa"/>
            <w:vAlign w:val="center"/>
          </w:tcPr>
          <w:p w14:paraId="79E96458">
            <w:pPr>
              <w:snapToGrid w:val="0"/>
              <w:spacing w:line="360" w:lineRule="auto"/>
              <w:jc w:val="center"/>
              <w:rPr>
                <w:rFonts w:ascii="仿宋_GB2312" w:hAnsi="宋体" w:eastAsia="仿宋_GB2312"/>
                <w:sz w:val="24"/>
              </w:rPr>
            </w:pPr>
            <w:r>
              <w:rPr>
                <w:rFonts w:hint="eastAsia" w:ascii="仿宋_GB2312" w:hAnsi="宋体" w:eastAsia="仿宋_GB2312"/>
                <w:sz w:val="24"/>
              </w:rPr>
              <w:t>3</w:t>
            </w:r>
          </w:p>
        </w:tc>
        <w:tc>
          <w:tcPr>
            <w:tcW w:w="1340" w:type="dxa"/>
            <w:vAlign w:val="center"/>
          </w:tcPr>
          <w:p w14:paraId="6E1B03F8">
            <w:pPr>
              <w:snapToGrid w:val="0"/>
              <w:spacing w:line="360" w:lineRule="auto"/>
              <w:jc w:val="center"/>
              <w:rPr>
                <w:rFonts w:ascii="仿宋_GB2312" w:hAnsi="宋体" w:eastAsia="仿宋_GB2312"/>
                <w:sz w:val="24"/>
              </w:rPr>
            </w:pPr>
          </w:p>
        </w:tc>
        <w:tc>
          <w:tcPr>
            <w:tcW w:w="1211" w:type="dxa"/>
            <w:vAlign w:val="center"/>
          </w:tcPr>
          <w:p w14:paraId="756DCA3E">
            <w:pPr>
              <w:snapToGrid w:val="0"/>
              <w:spacing w:line="360" w:lineRule="auto"/>
              <w:jc w:val="center"/>
              <w:rPr>
                <w:rFonts w:ascii="仿宋_GB2312" w:hAnsi="宋体" w:eastAsia="仿宋_GB2312"/>
                <w:sz w:val="24"/>
              </w:rPr>
            </w:pPr>
          </w:p>
        </w:tc>
        <w:tc>
          <w:tcPr>
            <w:tcW w:w="1276" w:type="dxa"/>
            <w:vAlign w:val="center"/>
          </w:tcPr>
          <w:p w14:paraId="56674F98">
            <w:pPr>
              <w:snapToGrid w:val="0"/>
              <w:spacing w:line="360" w:lineRule="auto"/>
              <w:jc w:val="center"/>
              <w:rPr>
                <w:rFonts w:ascii="仿宋_GB2312" w:hAnsi="宋体" w:eastAsia="仿宋_GB2312"/>
                <w:sz w:val="24"/>
              </w:rPr>
            </w:pPr>
          </w:p>
        </w:tc>
        <w:tc>
          <w:tcPr>
            <w:tcW w:w="992" w:type="dxa"/>
            <w:vAlign w:val="center"/>
          </w:tcPr>
          <w:p w14:paraId="3B65B2D3">
            <w:pPr>
              <w:snapToGrid w:val="0"/>
              <w:spacing w:line="360" w:lineRule="auto"/>
              <w:jc w:val="center"/>
              <w:rPr>
                <w:rFonts w:ascii="仿宋_GB2312" w:hAnsi="宋体" w:eastAsia="仿宋_GB2312"/>
                <w:sz w:val="24"/>
              </w:rPr>
            </w:pPr>
          </w:p>
        </w:tc>
        <w:tc>
          <w:tcPr>
            <w:tcW w:w="851" w:type="dxa"/>
            <w:vAlign w:val="center"/>
          </w:tcPr>
          <w:p w14:paraId="3681E369">
            <w:pPr>
              <w:snapToGrid w:val="0"/>
              <w:spacing w:line="360" w:lineRule="auto"/>
              <w:jc w:val="center"/>
              <w:rPr>
                <w:rFonts w:ascii="仿宋_GB2312" w:hAnsi="宋体" w:eastAsia="仿宋_GB2312"/>
                <w:sz w:val="24"/>
              </w:rPr>
            </w:pPr>
          </w:p>
        </w:tc>
        <w:tc>
          <w:tcPr>
            <w:tcW w:w="850" w:type="dxa"/>
            <w:vAlign w:val="center"/>
          </w:tcPr>
          <w:p w14:paraId="39448CC4">
            <w:pPr>
              <w:snapToGrid w:val="0"/>
              <w:spacing w:line="360" w:lineRule="auto"/>
              <w:jc w:val="center"/>
              <w:rPr>
                <w:rFonts w:ascii="仿宋_GB2312" w:hAnsi="宋体" w:eastAsia="仿宋_GB2312"/>
                <w:sz w:val="24"/>
              </w:rPr>
            </w:pPr>
          </w:p>
        </w:tc>
        <w:tc>
          <w:tcPr>
            <w:tcW w:w="851" w:type="dxa"/>
            <w:vAlign w:val="center"/>
          </w:tcPr>
          <w:p w14:paraId="3AB8B776">
            <w:pPr>
              <w:snapToGrid w:val="0"/>
              <w:spacing w:line="360" w:lineRule="auto"/>
              <w:jc w:val="center"/>
              <w:rPr>
                <w:rFonts w:ascii="仿宋_GB2312" w:hAnsi="宋体" w:eastAsia="仿宋_GB2312"/>
                <w:sz w:val="24"/>
              </w:rPr>
            </w:pPr>
          </w:p>
        </w:tc>
        <w:tc>
          <w:tcPr>
            <w:tcW w:w="1403" w:type="dxa"/>
            <w:vAlign w:val="center"/>
          </w:tcPr>
          <w:p w14:paraId="3E15B892">
            <w:pPr>
              <w:snapToGrid w:val="0"/>
              <w:spacing w:line="360" w:lineRule="auto"/>
              <w:jc w:val="center"/>
              <w:rPr>
                <w:rFonts w:ascii="仿宋_GB2312" w:hAnsi="宋体" w:eastAsia="仿宋_GB2312"/>
                <w:sz w:val="24"/>
              </w:rPr>
            </w:pPr>
          </w:p>
        </w:tc>
      </w:tr>
      <w:tr w14:paraId="313D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037" w:type="dxa"/>
            <w:vAlign w:val="center"/>
          </w:tcPr>
          <w:p w14:paraId="4CCFF1C3">
            <w:pPr>
              <w:snapToGrid w:val="0"/>
              <w:spacing w:line="360" w:lineRule="auto"/>
              <w:jc w:val="center"/>
              <w:rPr>
                <w:rFonts w:ascii="仿宋_GB2312" w:hAnsi="宋体" w:eastAsia="仿宋_GB2312"/>
                <w:sz w:val="24"/>
              </w:rPr>
            </w:pPr>
            <w:r>
              <w:rPr>
                <w:rFonts w:hint="eastAsia" w:ascii="仿宋_GB2312" w:hAnsi="宋体" w:eastAsia="仿宋_GB2312"/>
                <w:sz w:val="24"/>
              </w:rPr>
              <w:t>4</w:t>
            </w:r>
          </w:p>
        </w:tc>
        <w:tc>
          <w:tcPr>
            <w:tcW w:w="1340" w:type="dxa"/>
            <w:vAlign w:val="center"/>
          </w:tcPr>
          <w:p w14:paraId="694A4444">
            <w:pPr>
              <w:snapToGrid w:val="0"/>
              <w:spacing w:line="360" w:lineRule="auto"/>
              <w:jc w:val="center"/>
              <w:rPr>
                <w:rFonts w:ascii="仿宋_GB2312" w:hAnsi="宋体" w:eastAsia="仿宋_GB2312"/>
                <w:sz w:val="24"/>
              </w:rPr>
            </w:pPr>
          </w:p>
        </w:tc>
        <w:tc>
          <w:tcPr>
            <w:tcW w:w="1211" w:type="dxa"/>
            <w:vAlign w:val="center"/>
          </w:tcPr>
          <w:p w14:paraId="35D7B0CA">
            <w:pPr>
              <w:snapToGrid w:val="0"/>
              <w:spacing w:line="360" w:lineRule="auto"/>
              <w:jc w:val="center"/>
              <w:rPr>
                <w:rFonts w:ascii="仿宋_GB2312" w:hAnsi="宋体" w:eastAsia="仿宋_GB2312"/>
                <w:sz w:val="24"/>
              </w:rPr>
            </w:pPr>
          </w:p>
        </w:tc>
        <w:tc>
          <w:tcPr>
            <w:tcW w:w="1276" w:type="dxa"/>
            <w:vAlign w:val="center"/>
          </w:tcPr>
          <w:p w14:paraId="54FFA252">
            <w:pPr>
              <w:snapToGrid w:val="0"/>
              <w:spacing w:line="360" w:lineRule="auto"/>
              <w:jc w:val="center"/>
              <w:rPr>
                <w:rFonts w:ascii="仿宋_GB2312" w:hAnsi="宋体" w:eastAsia="仿宋_GB2312"/>
                <w:sz w:val="24"/>
              </w:rPr>
            </w:pPr>
          </w:p>
        </w:tc>
        <w:tc>
          <w:tcPr>
            <w:tcW w:w="992" w:type="dxa"/>
            <w:vAlign w:val="center"/>
          </w:tcPr>
          <w:p w14:paraId="78C4F5FD">
            <w:pPr>
              <w:snapToGrid w:val="0"/>
              <w:spacing w:line="360" w:lineRule="auto"/>
              <w:jc w:val="center"/>
              <w:rPr>
                <w:rFonts w:ascii="仿宋_GB2312" w:hAnsi="宋体" w:eastAsia="仿宋_GB2312"/>
                <w:sz w:val="24"/>
              </w:rPr>
            </w:pPr>
          </w:p>
        </w:tc>
        <w:tc>
          <w:tcPr>
            <w:tcW w:w="851" w:type="dxa"/>
            <w:vAlign w:val="center"/>
          </w:tcPr>
          <w:p w14:paraId="3C511FA0">
            <w:pPr>
              <w:snapToGrid w:val="0"/>
              <w:spacing w:line="360" w:lineRule="auto"/>
              <w:jc w:val="center"/>
              <w:rPr>
                <w:rFonts w:ascii="仿宋_GB2312" w:hAnsi="宋体" w:eastAsia="仿宋_GB2312"/>
                <w:sz w:val="24"/>
              </w:rPr>
            </w:pPr>
          </w:p>
        </w:tc>
        <w:tc>
          <w:tcPr>
            <w:tcW w:w="850" w:type="dxa"/>
            <w:vAlign w:val="center"/>
          </w:tcPr>
          <w:p w14:paraId="40E430CA">
            <w:pPr>
              <w:snapToGrid w:val="0"/>
              <w:spacing w:line="360" w:lineRule="auto"/>
              <w:jc w:val="center"/>
              <w:rPr>
                <w:rFonts w:ascii="仿宋_GB2312" w:hAnsi="宋体" w:eastAsia="仿宋_GB2312"/>
                <w:sz w:val="24"/>
              </w:rPr>
            </w:pPr>
          </w:p>
        </w:tc>
        <w:tc>
          <w:tcPr>
            <w:tcW w:w="851" w:type="dxa"/>
            <w:vAlign w:val="center"/>
          </w:tcPr>
          <w:p w14:paraId="1DBE8615">
            <w:pPr>
              <w:snapToGrid w:val="0"/>
              <w:spacing w:line="360" w:lineRule="auto"/>
              <w:jc w:val="center"/>
              <w:rPr>
                <w:rFonts w:ascii="仿宋_GB2312" w:hAnsi="宋体" w:eastAsia="仿宋_GB2312"/>
                <w:sz w:val="24"/>
              </w:rPr>
            </w:pPr>
          </w:p>
        </w:tc>
        <w:tc>
          <w:tcPr>
            <w:tcW w:w="1403" w:type="dxa"/>
            <w:vAlign w:val="center"/>
          </w:tcPr>
          <w:p w14:paraId="36D41752">
            <w:pPr>
              <w:snapToGrid w:val="0"/>
              <w:spacing w:line="360" w:lineRule="auto"/>
              <w:jc w:val="center"/>
              <w:rPr>
                <w:rFonts w:ascii="仿宋_GB2312" w:hAnsi="宋体" w:eastAsia="仿宋_GB2312"/>
                <w:sz w:val="24"/>
              </w:rPr>
            </w:pPr>
          </w:p>
        </w:tc>
      </w:tr>
      <w:tr w14:paraId="2985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037" w:type="dxa"/>
            <w:vAlign w:val="center"/>
          </w:tcPr>
          <w:p w14:paraId="0436F1AF">
            <w:pPr>
              <w:snapToGrid w:val="0"/>
              <w:spacing w:line="360" w:lineRule="auto"/>
              <w:jc w:val="center"/>
              <w:rPr>
                <w:rFonts w:ascii="仿宋_GB2312" w:hAnsi="宋体" w:eastAsia="仿宋_GB2312"/>
                <w:sz w:val="24"/>
              </w:rPr>
            </w:pPr>
          </w:p>
        </w:tc>
        <w:tc>
          <w:tcPr>
            <w:tcW w:w="1340" w:type="dxa"/>
            <w:vAlign w:val="center"/>
          </w:tcPr>
          <w:p w14:paraId="26CE0FA0">
            <w:pPr>
              <w:snapToGrid w:val="0"/>
              <w:spacing w:line="360" w:lineRule="auto"/>
              <w:jc w:val="center"/>
              <w:rPr>
                <w:rFonts w:ascii="仿宋_GB2312" w:hAnsi="宋体" w:eastAsia="仿宋_GB2312"/>
                <w:sz w:val="24"/>
              </w:rPr>
            </w:pPr>
          </w:p>
        </w:tc>
        <w:tc>
          <w:tcPr>
            <w:tcW w:w="1211" w:type="dxa"/>
            <w:vAlign w:val="center"/>
          </w:tcPr>
          <w:p w14:paraId="715B4592">
            <w:pPr>
              <w:snapToGrid w:val="0"/>
              <w:spacing w:line="360" w:lineRule="auto"/>
              <w:jc w:val="center"/>
              <w:rPr>
                <w:rFonts w:ascii="仿宋_GB2312" w:hAnsi="宋体" w:eastAsia="仿宋_GB2312"/>
                <w:sz w:val="24"/>
              </w:rPr>
            </w:pPr>
          </w:p>
        </w:tc>
        <w:tc>
          <w:tcPr>
            <w:tcW w:w="1276" w:type="dxa"/>
            <w:vAlign w:val="center"/>
          </w:tcPr>
          <w:p w14:paraId="69914982">
            <w:pPr>
              <w:snapToGrid w:val="0"/>
              <w:spacing w:line="360" w:lineRule="auto"/>
              <w:jc w:val="center"/>
              <w:rPr>
                <w:rFonts w:ascii="仿宋_GB2312" w:hAnsi="宋体" w:eastAsia="仿宋_GB2312"/>
                <w:sz w:val="24"/>
              </w:rPr>
            </w:pPr>
          </w:p>
        </w:tc>
        <w:tc>
          <w:tcPr>
            <w:tcW w:w="992" w:type="dxa"/>
            <w:vAlign w:val="center"/>
          </w:tcPr>
          <w:p w14:paraId="7CB1FD40">
            <w:pPr>
              <w:snapToGrid w:val="0"/>
              <w:spacing w:line="360" w:lineRule="auto"/>
              <w:jc w:val="center"/>
              <w:rPr>
                <w:rFonts w:ascii="仿宋_GB2312" w:hAnsi="宋体" w:eastAsia="仿宋_GB2312"/>
                <w:sz w:val="24"/>
              </w:rPr>
            </w:pPr>
          </w:p>
        </w:tc>
        <w:tc>
          <w:tcPr>
            <w:tcW w:w="851" w:type="dxa"/>
            <w:vAlign w:val="center"/>
          </w:tcPr>
          <w:p w14:paraId="15E57F16">
            <w:pPr>
              <w:snapToGrid w:val="0"/>
              <w:spacing w:line="360" w:lineRule="auto"/>
              <w:jc w:val="center"/>
              <w:rPr>
                <w:rFonts w:ascii="仿宋_GB2312" w:hAnsi="宋体" w:eastAsia="仿宋_GB2312"/>
                <w:sz w:val="24"/>
              </w:rPr>
            </w:pPr>
          </w:p>
        </w:tc>
        <w:tc>
          <w:tcPr>
            <w:tcW w:w="850" w:type="dxa"/>
            <w:vAlign w:val="center"/>
          </w:tcPr>
          <w:p w14:paraId="251D9580">
            <w:pPr>
              <w:snapToGrid w:val="0"/>
              <w:spacing w:line="360" w:lineRule="auto"/>
              <w:jc w:val="center"/>
              <w:rPr>
                <w:rFonts w:ascii="仿宋_GB2312" w:hAnsi="宋体" w:eastAsia="仿宋_GB2312"/>
                <w:sz w:val="24"/>
              </w:rPr>
            </w:pPr>
          </w:p>
        </w:tc>
        <w:tc>
          <w:tcPr>
            <w:tcW w:w="851" w:type="dxa"/>
            <w:vAlign w:val="center"/>
          </w:tcPr>
          <w:p w14:paraId="22D7A1E2">
            <w:pPr>
              <w:snapToGrid w:val="0"/>
              <w:spacing w:line="360" w:lineRule="auto"/>
              <w:jc w:val="center"/>
              <w:rPr>
                <w:rFonts w:ascii="仿宋_GB2312" w:hAnsi="宋体" w:eastAsia="仿宋_GB2312"/>
                <w:sz w:val="24"/>
              </w:rPr>
            </w:pPr>
          </w:p>
        </w:tc>
        <w:tc>
          <w:tcPr>
            <w:tcW w:w="1403" w:type="dxa"/>
            <w:vAlign w:val="center"/>
          </w:tcPr>
          <w:p w14:paraId="6AFB246D">
            <w:pPr>
              <w:snapToGrid w:val="0"/>
              <w:spacing w:line="360" w:lineRule="auto"/>
              <w:jc w:val="center"/>
              <w:rPr>
                <w:rFonts w:ascii="仿宋_GB2312" w:hAnsi="宋体" w:eastAsia="仿宋_GB2312"/>
                <w:sz w:val="24"/>
              </w:rPr>
            </w:pPr>
          </w:p>
        </w:tc>
      </w:tr>
      <w:tr w14:paraId="5D28F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037" w:type="dxa"/>
            <w:vAlign w:val="center"/>
          </w:tcPr>
          <w:p w14:paraId="75CA60C1">
            <w:pPr>
              <w:snapToGrid w:val="0"/>
              <w:spacing w:line="360" w:lineRule="auto"/>
              <w:jc w:val="center"/>
              <w:rPr>
                <w:rFonts w:ascii="仿宋_GB2312" w:hAnsi="宋体" w:eastAsia="仿宋_GB2312"/>
                <w:sz w:val="24"/>
              </w:rPr>
            </w:pPr>
            <w:r>
              <w:rPr>
                <w:rFonts w:hint="eastAsia" w:ascii="仿宋_GB2312" w:hAnsi="宋体" w:eastAsia="仿宋_GB2312"/>
                <w:sz w:val="24"/>
              </w:rPr>
              <w:t>合计</w:t>
            </w:r>
          </w:p>
        </w:tc>
        <w:tc>
          <w:tcPr>
            <w:tcW w:w="8774" w:type="dxa"/>
            <w:gridSpan w:val="8"/>
            <w:vAlign w:val="center"/>
          </w:tcPr>
          <w:p w14:paraId="71103267">
            <w:pPr>
              <w:snapToGrid w:val="0"/>
              <w:spacing w:line="360" w:lineRule="auto"/>
              <w:jc w:val="center"/>
              <w:rPr>
                <w:rFonts w:ascii="仿宋_GB2312" w:hAnsi="宋体" w:eastAsia="仿宋_GB2312"/>
                <w:sz w:val="24"/>
              </w:rPr>
            </w:pPr>
          </w:p>
        </w:tc>
      </w:tr>
    </w:tbl>
    <w:p w14:paraId="3C8EE112">
      <w:pPr>
        <w:snapToGrid w:val="0"/>
        <w:spacing w:line="400" w:lineRule="exact"/>
        <w:ind w:left="981" w:hanging="984" w:hangingChars="350"/>
        <w:rPr>
          <w:rFonts w:ascii="仿宋_GB2312" w:eastAsia="仿宋_GB2312"/>
          <w:b/>
          <w:bCs/>
          <w:sz w:val="28"/>
          <w:szCs w:val="28"/>
        </w:rPr>
      </w:pPr>
    </w:p>
    <w:p w14:paraId="6381A516">
      <w:pPr>
        <w:spacing w:line="360" w:lineRule="auto"/>
        <w:jc w:val="center"/>
        <w:outlineLvl w:val="2"/>
        <w:rPr>
          <w:rFonts w:ascii="仿宋" w:hAnsi="仿宋" w:eastAsia="仿宋" w:cs="仿宋"/>
          <w:b/>
          <w:sz w:val="28"/>
          <w:szCs w:val="28"/>
        </w:rPr>
      </w:pPr>
    </w:p>
    <w:p w14:paraId="26AEC5E7">
      <w:pPr>
        <w:snapToGrid w:val="0"/>
        <w:spacing w:line="400" w:lineRule="exact"/>
        <w:ind w:left="981" w:hanging="984" w:hangingChars="350"/>
        <w:rPr>
          <w:rFonts w:ascii="仿宋_GB2312" w:eastAsia="仿宋_GB2312"/>
          <w:b/>
          <w:bCs/>
          <w:sz w:val="28"/>
          <w:szCs w:val="28"/>
        </w:rPr>
      </w:pPr>
    </w:p>
    <w:p w14:paraId="3997D637">
      <w:pPr>
        <w:spacing w:line="400" w:lineRule="exact"/>
        <w:jc w:val="center"/>
        <w:rPr>
          <w:rFonts w:ascii="Calibri" w:hAnsi="Calibri"/>
          <w:b/>
          <w:bCs/>
          <w:sz w:val="32"/>
          <w:szCs w:val="32"/>
        </w:rPr>
      </w:pPr>
      <w:r>
        <w:rPr>
          <w:rFonts w:hint="eastAsia" w:ascii="Calibri" w:hAnsi="Calibri"/>
          <w:b/>
          <w:bCs/>
          <w:sz w:val="32"/>
          <w:szCs w:val="32"/>
        </w:rPr>
        <w:t>分项报价明细表（服务类）</w:t>
      </w:r>
    </w:p>
    <w:p w14:paraId="53685349">
      <w:pPr>
        <w:snapToGrid w:val="0"/>
        <w:spacing w:line="400" w:lineRule="exact"/>
        <w:rPr>
          <w:rFonts w:ascii="仿宋_GB2312" w:hAnsi="宋体" w:eastAsia="仿宋_GB2312"/>
          <w:sz w:val="28"/>
          <w:szCs w:val="28"/>
        </w:rPr>
      </w:pPr>
    </w:p>
    <w:tbl>
      <w:tblPr>
        <w:tblStyle w:val="1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321"/>
        <w:gridCol w:w="1417"/>
        <w:gridCol w:w="1418"/>
        <w:gridCol w:w="1275"/>
        <w:gridCol w:w="1276"/>
        <w:gridCol w:w="851"/>
        <w:gridCol w:w="1151"/>
      </w:tblGrid>
      <w:tr w14:paraId="0F6D7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971" w:type="dxa"/>
            <w:vAlign w:val="center"/>
          </w:tcPr>
          <w:p w14:paraId="4BD9E36F">
            <w:pPr>
              <w:snapToGrid w:val="0"/>
              <w:spacing w:line="360" w:lineRule="auto"/>
              <w:jc w:val="center"/>
              <w:rPr>
                <w:rFonts w:ascii="宋体" w:hAnsi="宋体"/>
                <w:b/>
              </w:rPr>
            </w:pPr>
            <w:r>
              <w:rPr>
                <w:rFonts w:hint="eastAsia" w:ascii="宋体" w:hAnsi="宋体"/>
                <w:b/>
              </w:rPr>
              <w:t>序号</w:t>
            </w:r>
          </w:p>
        </w:tc>
        <w:tc>
          <w:tcPr>
            <w:tcW w:w="1321" w:type="dxa"/>
            <w:vAlign w:val="center"/>
          </w:tcPr>
          <w:p w14:paraId="2EAAE749">
            <w:pPr>
              <w:snapToGrid w:val="0"/>
              <w:spacing w:line="360" w:lineRule="auto"/>
              <w:jc w:val="center"/>
              <w:rPr>
                <w:rFonts w:ascii="宋体" w:hAnsi="宋体"/>
                <w:b/>
              </w:rPr>
            </w:pPr>
            <w:r>
              <w:rPr>
                <w:rFonts w:hint="eastAsia" w:ascii="宋体" w:hAnsi="宋体"/>
                <w:b/>
              </w:rPr>
              <w:t>名称</w:t>
            </w:r>
          </w:p>
        </w:tc>
        <w:tc>
          <w:tcPr>
            <w:tcW w:w="1417" w:type="dxa"/>
            <w:vAlign w:val="center"/>
          </w:tcPr>
          <w:p w14:paraId="77F5DB98">
            <w:pPr>
              <w:snapToGrid w:val="0"/>
              <w:spacing w:line="360" w:lineRule="auto"/>
              <w:jc w:val="center"/>
              <w:rPr>
                <w:rFonts w:ascii="宋体" w:hAnsi="宋体"/>
                <w:b/>
              </w:rPr>
            </w:pPr>
            <w:r>
              <w:rPr>
                <w:rFonts w:hint="eastAsia" w:ascii="宋体" w:hAnsi="宋体"/>
                <w:b/>
              </w:rPr>
              <w:t>服务范围</w:t>
            </w:r>
          </w:p>
        </w:tc>
        <w:tc>
          <w:tcPr>
            <w:tcW w:w="1418" w:type="dxa"/>
            <w:vAlign w:val="center"/>
          </w:tcPr>
          <w:p w14:paraId="0C6BCCDB">
            <w:pPr>
              <w:snapToGrid w:val="0"/>
              <w:spacing w:line="360" w:lineRule="auto"/>
              <w:jc w:val="center"/>
              <w:rPr>
                <w:rFonts w:ascii="宋体" w:hAnsi="宋体"/>
                <w:b/>
              </w:rPr>
            </w:pPr>
            <w:r>
              <w:rPr>
                <w:rFonts w:hint="eastAsia" w:ascii="宋体" w:hAnsi="宋体"/>
                <w:b/>
              </w:rPr>
              <w:t>服务要求</w:t>
            </w:r>
          </w:p>
        </w:tc>
        <w:tc>
          <w:tcPr>
            <w:tcW w:w="1275" w:type="dxa"/>
            <w:vAlign w:val="center"/>
          </w:tcPr>
          <w:p w14:paraId="24DCEA0A">
            <w:pPr>
              <w:snapToGrid w:val="0"/>
              <w:spacing w:line="360" w:lineRule="auto"/>
              <w:jc w:val="center"/>
              <w:rPr>
                <w:rFonts w:ascii="宋体" w:hAnsi="宋体"/>
                <w:b/>
              </w:rPr>
            </w:pPr>
            <w:r>
              <w:rPr>
                <w:rFonts w:hint="eastAsia" w:ascii="宋体" w:hAnsi="宋体"/>
                <w:b/>
              </w:rPr>
              <w:t>服务时间</w:t>
            </w:r>
          </w:p>
        </w:tc>
        <w:tc>
          <w:tcPr>
            <w:tcW w:w="1276" w:type="dxa"/>
            <w:vAlign w:val="center"/>
          </w:tcPr>
          <w:p w14:paraId="0352873C">
            <w:pPr>
              <w:snapToGrid w:val="0"/>
              <w:spacing w:line="360" w:lineRule="auto"/>
              <w:jc w:val="center"/>
              <w:rPr>
                <w:rFonts w:ascii="宋体" w:hAnsi="宋体"/>
                <w:b/>
              </w:rPr>
            </w:pPr>
            <w:r>
              <w:rPr>
                <w:rFonts w:hint="eastAsia" w:ascii="宋体" w:hAnsi="宋体"/>
                <w:b/>
              </w:rPr>
              <w:t>服务标准</w:t>
            </w:r>
          </w:p>
        </w:tc>
        <w:tc>
          <w:tcPr>
            <w:tcW w:w="851" w:type="dxa"/>
            <w:vAlign w:val="center"/>
          </w:tcPr>
          <w:p w14:paraId="5F158900">
            <w:pPr>
              <w:snapToGrid w:val="0"/>
              <w:spacing w:line="360" w:lineRule="auto"/>
              <w:jc w:val="center"/>
              <w:rPr>
                <w:rFonts w:ascii="宋体" w:hAnsi="宋体"/>
                <w:b/>
              </w:rPr>
            </w:pPr>
            <w:r>
              <w:rPr>
                <w:rFonts w:hint="eastAsia" w:ascii="宋体" w:hAnsi="宋体"/>
                <w:b/>
              </w:rPr>
              <w:t>金额</w:t>
            </w:r>
          </w:p>
        </w:tc>
        <w:tc>
          <w:tcPr>
            <w:tcW w:w="1151" w:type="dxa"/>
            <w:vAlign w:val="center"/>
          </w:tcPr>
          <w:p w14:paraId="43718EDE">
            <w:pPr>
              <w:snapToGrid w:val="0"/>
              <w:spacing w:line="360" w:lineRule="auto"/>
              <w:ind w:firstLine="105" w:firstLineChars="50"/>
              <w:jc w:val="center"/>
              <w:rPr>
                <w:rFonts w:ascii="宋体" w:hAnsi="宋体"/>
                <w:b/>
              </w:rPr>
            </w:pPr>
            <w:r>
              <w:rPr>
                <w:rFonts w:hint="eastAsia" w:ascii="宋体" w:hAnsi="宋体"/>
                <w:b/>
              </w:rPr>
              <w:t>备注</w:t>
            </w:r>
          </w:p>
        </w:tc>
      </w:tr>
      <w:tr w14:paraId="1D2A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jc w:val="center"/>
        </w:trPr>
        <w:tc>
          <w:tcPr>
            <w:tcW w:w="971" w:type="dxa"/>
            <w:vAlign w:val="center"/>
          </w:tcPr>
          <w:p w14:paraId="44AEE06D">
            <w:pPr>
              <w:snapToGrid w:val="0"/>
              <w:spacing w:line="360" w:lineRule="auto"/>
              <w:jc w:val="center"/>
              <w:rPr>
                <w:rFonts w:ascii="仿宋_GB2312" w:hAnsi="宋体" w:eastAsia="仿宋_GB2312"/>
                <w:sz w:val="24"/>
              </w:rPr>
            </w:pPr>
            <w:r>
              <w:rPr>
                <w:rFonts w:hint="eastAsia" w:ascii="仿宋_GB2312" w:hAnsi="宋体" w:eastAsia="仿宋_GB2312"/>
                <w:sz w:val="24"/>
              </w:rPr>
              <w:t>1</w:t>
            </w:r>
          </w:p>
        </w:tc>
        <w:tc>
          <w:tcPr>
            <w:tcW w:w="1321" w:type="dxa"/>
            <w:vAlign w:val="center"/>
          </w:tcPr>
          <w:p w14:paraId="26E78975">
            <w:pPr>
              <w:snapToGrid w:val="0"/>
              <w:spacing w:line="360" w:lineRule="auto"/>
              <w:jc w:val="center"/>
              <w:rPr>
                <w:rFonts w:ascii="仿宋_GB2312" w:hAnsi="宋体" w:eastAsia="仿宋_GB2312"/>
                <w:sz w:val="24"/>
              </w:rPr>
            </w:pPr>
          </w:p>
        </w:tc>
        <w:tc>
          <w:tcPr>
            <w:tcW w:w="1417" w:type="dxa"/>
            <w:vAlign w:val="center"/>
          </w:tcPr>
          <w:p w14:paraId="38082894">
            <w:pPr>
              <w:snapToGrid w:val="0"/>
              <w:spacing w:line="360" w:lineRule="auto"/>
              <w:jc w:val="center"/>
              <w:rPr>
                <w:rFonts w:ascii="仿宋_GB2312" w:hAnsi="宋体" w:eastAsia="仿宋_GB2312"/>
                <w:sz w:val="24"/>
              </w:rPr>
            </w:pPr>
          </w:p>
        </w:tc>
        <w:tc>
          <w:tcPr>
            <w:tcW w:w="1418" w:type="dxa"/>
            <w:vAlign w:val="center"/>
          </w:tcPr>
          <w:p w14:paraId="728E8D02">
            <w:pPr>
              <w:snapToGrid w:val="0"/>
              <w:spacing w:line="360" w:lineRule="auto"/>
              <w:jc w:val="center"/>
              <w:rPr>
                <w:rFonts w:ascii="仿宋_GB2312" w:hAnsi="宋体" w:eastAsia="仿宋_GB2312"/>
                <w:sz w:val="24"/>
              </w:rPr>
            </w:pPr>
          </w:p>
        </w:tc>
        <w:tc>
          <w:tcPr>
            <w:tcW w:w="1275" w:type="dxa"/>
            <w:vAlign w:val="center"/>
          </w:tcPr>
          <w:p w14:paraId="6E07BA99">
            <w:pPr>
              <w:snapToGrid w:val="0"/>
              <w:spacing w:line="360" w:lineRule="auto"/>
              <w:jc w:val="center"/>
              <w:rPr>
                <w:rFonts w:ascii="仿宋_GB2312" w:hAnsi="宋体" w:eastAsia="仿宋_GB2312"/>
                <w:sz w:val="24"/>
              </w:rPr>
            </w:pPr>
          </w:p>
        </w:tc>
        <w:tc>
          <w:tcPr>
            <w:tcW w:w="1276" w:type="dxa"/>
            <w:vAlign w:val="center"/>
          </w:tcPr>
          <w:p w14:paraId="2E938A4C">
            <w:pPr>
              <w:snapToGrid w:val="0"/>
              <w:spacing w:line="360" w:lineRule="auto"/>
              <w:jc w:val="center"/>
              <w:rPr>
                <w:rFonts w:ascii="仿宋_GB2312" w:hAnsi="宋体" w:eastAsia="仿宋_GB2312"/>
                <w:sz w:val="24"/>
              </w:rPr>
            </w:pPr>
          </w:p>
        </w:tc>
        <w:tc>
          <w:tcPr>
            <w:tcW w:w="851" w:type="dxa"/>
            <w:vAlign w:val="center"/>
          </w:tcPr>
          <w:p w14:paraId="7C9E4FCC">
            <w:pPr>
              <w:snapToGrid w:val="0"/>
              <w:spacing w:line="360" w:lineRule="auto"/>
              <w:jc w:val="center"/>
              <w:rPr>
                <w:rFonts w:ascii="仿宋_GB2312" w:hAnsi="宋体" w:eastAsia="仿宋_GB2312"/>
                <w:sz w:val="24"/>
              </w:rPr>
            </w:pPr>
          </w:p>
        </w:tc>
        <w:tc>
          <w:tcPr>
            <w:tcW w:w="1151" w:type="dxa"/>
            <w:vAlign w:val="center"/>
          </w:tcPr>
          <w:p w14:paraId="5D789BBF">
            <w:pPr>
              <w:snapToGrid w:val="0"/>
              <w:spacing w:line="360" w:lineRule="auto"/>
              <w:jc w:val="center"/>
              <w:rPr>
                <w:rFonts w:ascii="仿宋_GB2312" w:hAnsi="宋体" w:eastAsia="仿宋_GB2312"/>
                <w:sz w:val="24"/>
              </w:rPr>
            </w:pPr>
          </w:p>
        </w:tc>
      </w:tr>
      <w:tr w14:paraId="7D1B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2" w:hRule="atLeast"/>
          <w:jc w:val="center"/>
        </w:trPr>
        <w:tc>
          <w:tcPr>
            <w:tcW w:w="971" w:type="dxa"/>
            <w:vAlign w:val="center"/>
          </w:tcPr>
          <w:p w14:paraId="44DBE6F4">
            <w:pPr>
              <w:snapToGrid w:val="0"/>
              <w:spacing w:line="360" w:lineRule="auto"/>
              <w:jc w:val="center"/>
              <w:rPr>
                <w:rFonts w:ascii="仿宋_GB2312" w:hAnsi="宋体" w:eastAsia="仿宋_GB2312"/>
                <w:sz w:val="24"/>
              </w:rPr>
            </w:pPr>
            <w:r>
              <w:rPr>
                <w:rFonts w:hint="eastAsia" w:ascii="仿宋_GB2312" w:hAnsi="宋体" w:eastAsia="仿宋_GB2312"/>
                <w:sz w:val="24"/>
              </w:rPr>
              <w:t>2</w:t>
            </w:r>
          </w:p>
        </w:tc>
        <w:tc>
          <w:tcPr>
            <w:tcW w:w="1321" w:type="dxa"/>
            <w:vAlign w:val="center"/>
          </w:tcPr>
          <w:p w14:paraId="7F6F5ADC">
            <w:pPr>
              <w:snapToGrid w:val="0"/>
              <w:spacing w:line="360" w:lineRule="auto"/>
              <w:jc w:val="center"/>
              <w:rPr>
                <w:rFonts w:ascii="仿宋_GB2312" w:hAnsi="宋体" w:eastAsia="仿宋_GB2312"/>
                <w:sz w:val="24"/>
              </w:rPr>
            </w:pPr>
          </w:p>
        </w:tc>
        <w:tc>
          <w:tcPr>
            <w:tcW w:w="1417" w:type="dxa"/>
            <w:vAlign w:val="center"/>
          </w:tcPr>
          <w:p w14:paraId="4E603927">
            <w:pPr>
              <w:snapToGrid w:val="0"/>
              <w:spacing w:line="360" w:lineRule="auto"/>
              <w:jc w:val="center"/>
              <w:rPr>
                <w:rFonts w:ascii="仿宋_GB2312" w:hAnsi="宋体" w:eastAsia="仿宋_GB2312"/>
                <w:sz w:val="24"/>
              </w:rPr>
            </w:pPr>
          </w:p>
        </w:tc>
        <w:tc>
          <w:tcPr>
            <w:tcW w:w="1418" w:type="dxa"/>
            <w:vAlign w:val="center"/>
          </w:tcPr>
          <w:p w14:paraId="46C9511D">
            <w:pPr>
              <w:snapToGrid w:val="0"/>
              <w:spacing w:line="360" w:lineRule="auto"/>
              <w:jc w:val="center"/>
              <w:rPr>
                <w:rFonts w:ascii="仿宋_GB2312" w:hAnsi="宋体" w:eastAsia="仿宋_GB2312"/>
                <w:sz w:val="24"/>
              </w:rPr>
            </w:pPr>
          </w:p>
        </w:tc>
        <w:tc>
          <w:tcPr>
            <w:tcW w:w="1275" w:type="dxa"/>
            <w:vAlign w:val="center"/>
          </w:tcPr>
          <w:p w14:paraId="2108DA8D">
            <w:pPr>
              <w:snapToGrid w:val="0"/>
              <w:spacing w:line="360" w:lineRule="auto"/>
              <w:jc w:val="center"/>
              <w:rPr>
                <w:rFonts w:ascii="仿宋_GB2312" w:hAnsi="宋体" w:eastAsia="仿宋_GB2312"/>
                <w:sz w:val="24"/>
              </w:rPr>
            </w:pPr>
          </w:p>
        </w:tc>
        <w:tc>
          <w:tcPr>
            <w:tcW w:w="1276" w:type="dxa"/>
            <w:vAlign w:val="center"/>
          </w:tcPr>
          <w:p w14:paraId="0C2932D7">
            <w:pPr>
              <w:snapToGrid w:val="0"/>
              <w:spacing w:line="360" w:lineRule="auto"/>
              <w:jc w:val="center"/>
              <w:rPr>
                <w:rFonts w:ascii="仿宋_GB2312" w:hAnsi="宋体" w:eastAsia="仿宋_GB2312"/>
                <w:sz w:val="24"/>
              </w:rPr>
            </w:pPr>
          </w:p>
        </w:tc>
        <w:tc>
          <w:tcPr>
            <w:tcW w:w="851" w:type="dxa"/>
            <w:vAlign w:val="center"/>
          </w:tcPr>
          <w:p w14:paraId="1CEB9D4E">
            <w:pPr>
              <w:snapToGrid w:val="0"/>
              <w:spacing w:line="360" w:lineRule="auto"/>
              <w:jc w:val="center"/>
              <w:rPr>
                <w:rFonts w:ascii="仿宋_GB2312" w:hAnsi="宋体" w:eastAsia="仿宋_GB2312"/>
                <w:sz w:val="24"/>
              </w:rPr>
            </w:pPr>
          </w:p>
        </w:tc>
        <w:tc>
          <w:tcPr>
            <w:tcW w:w="1151" w:type="dxa"/>
            <w:vAlign w:val="center"/>
          </w:tcPr>
          <w:p w14:paraId="5C619323">
            <w:pPr>
              <w:snapToGrid w:val="0"/>
              <w:spacing w:line="360" w:lineRule="auto"/>
              <w:jc w:val="center"/>
              <w:rPr>
                <w:rFonts w:ascii="仿宋_GB2312" w:hAnsi="宋体" w:eastAsia="仿宋_GB2312"/>
                <w:sz w:val="24"/>
              </w:rPr>
            </w:pPr>
          </w:p>
        </w:tc>
      </w:tr>
      <w:tr w14:paraId="10B5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971" w:type="dxa"/>
            <w:vAlign w:val="center"/>
          </w:tcPr>
          <w:p w14:paraId="09146053">
            <w:pPr>
              <w:snapToGrid w:val="0"/>
              <w:spacing w:line="360" w:lineRule="auto"/>
              <w:jc w:val="center"/>
              <w:rPr>
                <w:rFonts w:ascii="仿宋_GB2312" w:hAnsi="宋体" w:eastAsia="仿宋_GB2312"/>
                <w:sz w:val="24"/>
              </w:rPr>
            </w:pPr>
            <w:r>
              <w:rPr>
                <w:rFonts w:hint="eastAsia" w:ascii="仿宋_GB2312" w:hAnsi="宋体" w:eastAsia="仿宋_GB2312"/>
                <w:sz w:val="24"/>
              </w:rPr>
              <w:t>3</w:t>
            </w:r>
          </w:p>
        </w:tc>
        <w:tc>
          <w:tcPr>
            <w:tcW w:w="1321" w:type="dxa"/>
            <w:vAlign w:val="center"/>
          </w:tcPr>
          <w:p w14:paraId="42DDE647">
            <w:pPr>
              <w:snapToGrid w:val="0"/>
              <w:spacing w:line="360" w:lineRule="auto"/>
              <w:jc w:val="center"/>
              <w:rPr>
                <w:rFonts w:ascii="仿宋_GB2312" w:hAnsi="宋体" w:eastAsia="仿宋_GB2312"/>
                <w:sz w:val="24"/>
              </w:rPr>
            </w:pPr>
          </w:p>
        </w:tc>
        <w:tc>
          <w:tcPr>
            <w:tcW w:w="1417" w:type="dxa"/>
            <w:vAlign w:val="center"/>
          </w:tcPr>
          <w:p w14:paraId="5FDAC9AE">
            <w:pPr>
              <w:snapToGrid w:val="0"/>
              <w:spacing w:line="360" w:lineRule="auto"/>
              <w:jc w:val="center"/>
              <w:rPr>
                <w:rFonts w:ascii="仿宋_GB2312" w:hAnsi="宋体" w:eastAsia="仿宋_GB2312"/>
                <w:sz w:val="24"/>
              </w:rPr>
            </w:pPr>
          </w:p>
        </w:tc>
        <w:tc>
          <w:tcPr>
            <w:tcW w:w="1418" w:type="dxa"/>
            <w:vAlign w:val="center"/>
          </w:tcPr>
          <w:p w14:paraId="4FC9DE83">
            <w:pPr>
              <w:snapToGrid w:val="0"/>
              <w:spacing w:line="360" w:lineRule="auto"/>
              <w:jc w:val="center"/>
              <w:rPr>
                <w:rFonts w:ascii="仿宋_GB2312" w:hAnsi="宋体" w:eastAsia="仿宋_GB2312"/>
                <w:sz w:val="24"/>
              </w:rPr>
            </w:pPr>
          </w:p>
        </w:tc>
        <w:tc>
          <w:tcPr>
            <w:tcW w:w="1275" w:type="dxa"/>
            <w:vAlign w:val="center"/>
          </w:tcPr>
          <w:p w14:paraId="6072EDD7">
            <w:pPr>
              <w:snapToGrid w:val="0"/>
              <w:spacing w:line="360" w:lineRule="auto"/>
              <w:jc w:val="center"/>
              <w:rPr>
                <w:rFonts w:ascii="仿宋_GB2312" w:hAnsi="宋体" w:eastAsia="仿宋_GB2312"/>
                <w:sz w:val="24"/>
              </w:rPr>
            </w:pPr>
          </w:p>
        </w:tc>
        <w:tc>
          <w:tcPr>
            <w:tcW w:w="1276" w:type="dxa"/>
            <w:vAlign w:val="center"/>
          </w:tcPr>
          <w:p w14:paraId="5055ECAD">
            <w:pPr>
              <w:snapToGrid w:val="0"/>
              <w:spacing w:line="360" w:lineRule="auto"/>
              <w:jc w:val="center"/>
              <w:rPr>
                <w:rFonts w:ascii="仿宋_GB2312" w:hAnsi="宋体" w:eastAsia="仿宋_GB2312"/>
                <w:sz w:val="24"/>
              </w:rPr>
            </w:pPr>
          </w:p>
        </w:tc>
        <w:tc>
          <w:tcPr>
            <w:tcW w:w="851" w:type="dxa"/>
            <w:vAlign w:val="center"/>
          </w:tcPr>
          <w:p w14:paraId="2ED45BF1">
            <w:pPr>
              <w:snapToGrid w:val="0"/>
              <w:spacing w:line="360" w:lineRule="auto"/>
              <w:jc w:val="center"/>
              <w:rPr>
                <w:rFonts w:ascii="仿宋_GB2312" w:hAnsi="宋体" w:eastAsia="仿宋_GB2312"/>
                <w:sz w:val="24"/>
              </w:rPr>
            </w:pPr>
          </w:p>
        </w:tc>
        <w:tc>
          <w:tcPr>
            <w:tcW w:w="1151" w:type="dxa"/>
            <w:vAlign w:val="center"/>
          </w:tcPr>
          <w:p w14:paraId="09FF4049">
            <w:pPr>
              <w:snapToGrid w:val="0"/>
              <w:spacing w:line="360" w:lineRule="auto"/>
              <w:jc w:val="center"/>
              <w:rPr>
                <w:rFonts w:ascii="仿宋_GB2312" w:hAnsi="宋体" w:eastAsia="仿宋_GB2312"/>
                <w:sz w:val="24"/>
              </w:rPr>
            </w:pPr>
          </w:p>
        </w:tc>
      </w:tr>
      <w:tr w14:paraId="1D679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971" w:type="dxa"/>
            <w:vAlign w:val="center"/>
          </w:tcPr>
          <w:p w14:paraId="53AC8332">
            <w:pPr>
              <w:snapToGrid w:val="0"/>
              <w:spacing w:line="360" w:lineRule="auto"/>
              <w:jc w:val="center"/>
              <w:rPr>
                <w:rFonts w:ascii="仿宋_GB2312" w:hAnsi="宋体" w:eastAsia="仿宋_GB2312"/>
                <w:sz w:val="24"/>
              </w:rPr>
            </w:pPr>
            <w:r>
              <w:rPr>
                <w:rFonts w:hint="eastAsia" w:ascii="仿宋_GB2312" w:hAnsi="宋体" w:eastAsia="仿宋_GB2312"/>
                <w:sz w:val="24"/>
              </w:rPr>
              <w:t>4</w:t>
            </w:r>
          </w:p>
        </w:tc>
        <w:tc>
          <w:tcPr>
            <w:tcW w:w="1321" w:type="dxa"/>
            <w:vAlign w:val="center"/>
          </w:tcPr>
          <w:p w14:paraId="7DD040AD">
            <w:pPr>
              <w:snapToGrid w:val="0"/>
              <w:spacing w:line="360" w:lineRule="auto"/>
              <w:jc w:val="center"/>
              <w:rPr>
                <w:rFonts w:ascii="仿宋_GB2312" w:hAnsi="宋体" w:eastAsia="仿宋_GB2312"/>
                <w:sz w:val="24"/>
              </w:rPr>
            </w:pPr>
          </w:p>
        </w:tc>
        <w:tc>
          <w:tcPr>
            <w:tcW w:w="1417" w:type="dxa"/>
            <w:vAlign w:val="center"/>
          </w:tcPr>
          <w:p w14:paraId="0FA8366D">
            <w:pPr>
              <w:snapToGrid w:val="0"/>
              <w:spacing w:line="360" w:lineRule="auto"/>
              <w:jc w:val="center"/>
              <w:rPr>
                <w:rFonts w:ascii="仿宋_GB2312" w:hAnsi="宋体" w:eastAsia="仿宋_GB2312"/>
                <w:sz w:val="24"/>
              </w:rPr>
            </w:pPr>
          </w:p>
        </w:tc>
        <w:tc>
          <w:tcPr>
            <w:tcW w:w="1418" w:type="dxa"/>
            <w:vAlign w:val="center"/>
          </w:tcPr>
          <w:p w14:paraId="4DEF4A01">
            <w:pPr>
              <w:snapToGrid w:val="0"/>
              <w:spacing w:line="360" w:lineRule="auto"/>
              <w:jc w:val="center"/>
              <w:rPr>
                <w:rFonts w:ascii="仿宋_GB2312" w:hAnsi="宋体" w:eastAsia="仿宋_GB2312"/>
                <w:sz w:val="24"/>
              </w:rPr>
            </w:pPr>
          </w:p>
        </w:tc>
        <w:tc>
          <w:tcPr>
            <w:tcW w:w="1275" w:type="dxa"/>
            <w:vAlign w:val="center"/>
          </w:tcPr>
          <w:p w14:paraId="719235A1">
            <w:pPr>
              <w:snapToGrid w:val="0"/>
              <w:spacing w:line="360" w:lineRule="auto"/>
              <w:jc w:val="center"/>
              <w:rPr>
                <w:rFonts w:ascii="仿宋_GB2312" w:hAnsi="宋体" w:eastAsia="仿宋_GB2312"/>
                <w:sz w:val="24"/>
              </w:rPr>
            </w:pPr>
          </w:p>
        </w:tc>
        <w:tc>
          <w:tcPr>
            <w:tcW w:w="1276" w:type="dxa"/>
            <w:vAlign w:val="center"/>
          </w:tcPr>
          <w:p w14:paraId="0279E9F7">
            <w:pPr>
              <w:snapToGrid w:val="0"/>
              <w:spacing w:line="360" w:lineRule="auto"/>
              <w:jc w:val="center"/>
              <w:rPr>
                <w:rFonts w:ascii="仿宋_GB2312" w:hAnsi="宋体" w:eastAsia="仿宋_GB2312"/>
                <w:sz w:val="24"/>
              </w:rPr>
            </w:pPr>
          </w:p>
        </w:tc>
        <w:tc>
          <w:tcPr>
            <w:tcW w:w="851" w:type="dxa"/>
            <w:vAlign w:val="center"/>
          </w:tcPr>
          <w:p w14:paraId="58B7A85C">
            <w:pPr>
              <w:snapToGrid w:val="0"/>
              <w:spacing w:line="360" w:lineRule="auto"/>
              <w:jc w:val="center"/>
              <w:rPr>
                <w:rFonts w:ascii="仿宋_GB2312" w:hAnsi="宋体" w:eastAsia="仿宋_GB2312"/>
                <w:sz w:val="24"/>
              </w:rPr>
            </w:pPr>
          </w:p>
        </w:tc>
        <w:tc>
          <w:tcPr>
            <w:tcW w:w="1151" w:type="dxa"/>
            <w:vAlign w:val="center"/>
          </w:tcPr>
          <w:p w14:paraId="6D3DAB50">
            <w:pPr>
              <w:snapToGrid w:val="0"/>
              <w:spacing w:line="360" w:lineRule="auto"/>
              <w:jc w:val="center"/>
              <w:rPr>
                <w:rFonts w:ascii="仿宋_GB2312" w:hAnsi="宋体" w:eastAsia="仿宋_GB2312"/>
                <w:sz w:val="24"/>
              </w:rPr>
            </w:pPr>
          </w:p>
        </w:tc>
      </w:tr>
      <w:tr w14:paraId="45EA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971" w:type="dxa"/>
            <w:vAlign w:val="center"/>
          </w:tcPr>
          <w:p w14:paraId="60C4F7E2">
            <w:pPr>
              <w:snapToGrid w:val="0"/>
              <w:spacing w:line="360" w:lineRule="auto"/>
              <w:jc w:val="center"/>
              <w:rPr>
                <w:rFonts w:ascii="仿宋_GB2312" w:hAnsi="宋体" w:eastAsia="仿宋_GB2312"/>
                <w:sz w:val="24"/>
              </w:rPr>
            </w:pPr>
          </w:p>
        </w:tc>
        <w:tc>
          <w:tcPr>
            <w:tcW w:w="1321" w:type="dxa"/>
            <w:vAlign w:val="center"/>
          </w:tcPr>
          <w:p w14:paraId="5C727214">
            <w:pPr>
              <w:snapToGrid w:val="0"/>
              <w:spacing w:line="360" w:lineRule="auto"/>
              <w:jc w:val="center"/>
              <w:rPr>
                <w:rFonts w:ascii="仿宋_GB2312" w:hAnsi="宋体" w:eastAsia="仿宋_GB2312"/>
                <w:sz w:val="24"/>
              </w:rPr>
            </w:pPr>
          </w:p>
        </w:tc>
        <w:tc>
          <w:tcPr>
            <w:tcW w:w="1417" w:type="dxa"/>
            <w:vAlign w:val="center"/>
          </w:tcPr>
          <w:p w14:paraId="1006E8E4">
            <w:pPr>
              <w:snapToGrid w:val="0"/>
              <w:spacing w:line="360" w:lineRule="auto"/>
              <w:jc w:val="center"/>
              <w:rPr>
                <w:rFonts w:ascii="仿宋_GB2312" w:hAnsi="宋体" w:eastAsia="仿宋_GB2312"/>
                <w:sz w:val="24"/>
              </w:rPr>
            </w:pPr>
          </w:p>
        </w:tc>
        <w:tc>
          <w:tcPr>
            <w:tcW w:w="1418" w:type="dxa"/>
            <w:vAlign w:val="center"/>
          </w:tcPr>
          <w:p w14:paraId="2223840C">
            <w:pPr>
              <w:snapToGrid w:val="0"/>
              <w:spacing w:line="360" w:lineRule="auto"/>
              <w:jc w:val="center"/>
              <w:rPr>
                <w:rFonts w:ascii="仿宋_GB2312" w:hAnsi="宋体" w:eastAsia="仿宋_GB2312"/>
                <w:sz w:val="24"/>
              </w:rPr>
            </w:pPr>
          </w:p>
        </w:tc>
        <w:tc>
          <w:tcPr>
            <w:tcW w:w="1275" w:type="dxa"/>
            <w:vAlign w:val="center"/>
          </w:tcPr>
          <w:p w14:paraId="3735E59D">
            <w:pPr>
              <w:snapToGrid w:val="0"/>
              <w:spacing w:line="360" w:lineRule="auto"/>
              <w:jc w:val="center"/>
              <w:rPr>
                <w:rFonts w:ascii="仿宋_GB2312" w:hAnsi="宋体" w:eastAsia="仿宋_GB2312"/>
                <w:sz w:val="24"/>
              </w:rPr>
            </w:pPr>
          </w:p>
        </w:tc>
        <w:tc>
          <w:tcPr>
            <w:tcW w:w="1276" w:type="dxa"/>
            <w:vAlign w:val="center"/>
          </w:tcPr>
          <w:p w14:paraId="7B9B8BDE">
            <w:pPr>
              <w:snapToGrid w:val="0"/>
              <w:spacing w:line="360" w:lineRule="auto"/>
              <w:jc w:val="center"/>
              <w:rPr>
                <w:rFonts w:ascii="仿宋_GB2312" w:hAnsi="宋体" w:eastAsia="仿宋_GB2312"/>
                <w:sz w:val="24"/>
              </w:rPr>
            </w:pPr>
          </w:p>
        </w:tc>
        <w:tc>
          <w:tcPr>
            <w:tcW w:w="851" w:type="dxa"/>
            <w:vAlign w:val="center"/>
          </w:tcPr>
          <w:p w14:paraId="509711CC">
            <w:pPr>
              <w:snapToGrid w:val="0"/>
              <w:spacing w:line="360" w:lineRule="auto"/>
              <w:jc w:val="center"/>
              <w:rPr>
                <w:rFonts w:ascii="仿宋_GB2312" w:hAnsi="宋体" w:eastAsia="仿宋_GB2312"/>
                <w:sz w:val="24"/>
              </w:rPr>
            </w:pPr>
          </w:p>
        </w:tc>
        <w:tc>
          <w:tcPr>
            <w:tcW w:w="1151" w:type="dxa"/>
            <w:vAlign w:val="center"/>
          </w:tcPr>
          <w:p w14:paraId="06AFF8CB">
            <w:pPr>
              <w:snapToGrid w:val="0"/>
              <w:spacing w:line="360" w:lineRule="auto"/>
              <w:jc w:val="center"/>
              <w:rPr>
                <w:rFonts w:ascii="仿宋_GB2312" w:hAnsi="宋体" w:eastAsia="仿宋_GB2312"/>
                <w:sz w:val="24"/>
              </w:rPr>
            </w:pPr>
          </w:p>
        </w:tc>
      </w:tr>
      <w:tr w14:paraId="1892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jc w:val="center"/>
        </w:trPr>
        <w:tc>
          <w:tcPr>
            <w:tcW w:w="971" w:type="dxa"/>
            <w:vAlign w:val="center"/>
          </w:tcPr>
          <w:p w14:paraId="5590F1B4">
            <w:pPr>
              <w:snapToGrid w:val="0"/>
              <w:spacing w:line="360" w:lineRule="auto"/>
              <w:jc w:val="center"/>
              <w:rPr>
                <w:rFonts w:ascii="仿宋_GB2312" w:hAnsi="宋体" w:eastAsia="仿宋_GB2312"/>
                <w:sz w:val="24"/>
              </w:rPr>
            </w:pPr>
            <w:r>
              <w:rPr>
                <w:rFonts w:hint="eastAsia" w:ascii="仿宋_GB2312" w:hAnsi="宋体" w:eastAsia="仿宋_GB2312"/>
                <w:sz w:val="24"/>
              </w:rPr>
              <w:t>合计</w:t>
            </w:r>
          </w:p>
        </w:tc>
        <w:tc>
          <w:tcPr>
            <w:tcW w:w="8709" w:type="dxa"/>
            <w:gridSpan w:val="7"/>
            <w:vAlign w:val="center"/>
          </w:tcPr>
          <w:p w14:paraId="5D062964">
            <w:pPr>
              <w:snapToGrid w:val="0"/>
              <w:spacing w:line="360" w:lineRule="auto"/>
              <w:jc w:val="center"/>
              <w:rPr>
                <w:rFonts w:ascii="仿宋_GB2312" w:hAnsi="宋体" w:eastAsia="仿宋_GB2312"/>
                <w:sz w:val="24"/>
              </w:rPr>
            </w:pPr>
          </w:p>
        </w:tc>
      </w:tr>
    </w:tbl>
    <w:p w14:paraId="6DD68D20"/>
    <w:p w14:paraId="5A46E9BD">
      <w:pPr>
        <w:rPr>
          <w:b/>
          <w:sz w:val="28"/>
          <w:szCs w:val="28"/>
        </w:rPr>
      </w:pPr>
      <w:r>
        <w:rPr>
          <w:rFonts w:hint="eastAsia"/>
          <w:b/>
          <w:sz w:val="28"/>
          <w:szCs w:val="28"/>
        </w:rPr>
        <w:t>注：供应商必须详细报出采购清单中各个子项的内容。且本表各分项报价合计应当与报价总表报价合计相等。请各供应商务必按照以上要求填报，否则作为无效响应处理。</w:t>
      </w:r>
    </w:p>
    <w:p w14:paraId="478D7962">
      <w:pPr>
        <w:widowControl/>
        <w:jc w:val="left"/>
        <w:rPr>
          <w:rFonts w:ascii="仿宋" w:hAnsi="仿宋" w:eastAsia="仿宋" w:cs="仿宋"/>
          <w:kern w:val="0"/>
          <w:sz w:val="28"/>
          <w:szCs w:val="28"/>
        </w:rPr>
      </w:pPr>
      <w:r>
        <w:rPr>
          <w:rFonts w:hint="eastAsia" w:ascii="仿宋" w:hAnsi="仿宋" w:eastAsia="仿宋" w:cs="仿宋"/>
          <w:kern w:val="0"/>
          <w:sz w:val="28"/>
          <w:szCs w:val="28"/>
          <w:lang w:bidi="en-US"/>
        </w:rPr>
        <w:t>供应商名称：（盖章）</w:t>
      </w:r>
    </w:p>
    <w:p w14:paraId="076C4D47">
      <w:pPr>
        <w:snapToGrid w:val="0"/>
        <w:spacing w:line="500" w:lineRule="exact"/>
        <w:ind w:left="1322" w:hanging="1321" w:hangingChars="472"/>
        <w:rPr>
          <w:rFonts w:ascii="仿宋" w:hAnsi="仿宋" w:eastAsia="仿宋" w:cs="仿宋"/>
          <w:sz w:val="28"/>
          <w:szCs w:val="28"/>
        </w:rPr>
      </w:pPr>
      <w:r>
        <w:rPr>
          <w:rFonts w:hint="eastAsia" w:ascii="仿宋" w:hAnsi="仿宋" w:eastAsia="仿宋" w:cs="仿宋"/>
          <w:sz w:val="28"/>
          <w:szCs w:val="28"/>
        </w:rPr>
        <w:t>法定代表人或授权委托人（签字或盖章）：</w:t>
      </w:r>
    </w:p>
    <w:p w14:paraId="37FAC987">
      <w:pPr>
        <w:snapToGrid w:val="0"/>
        <w:spacing w:line="500" w:lineRule="exact"/>
        <w:ind w:left="1322" w:hanging="1321" w:hangingChars="472"/>
        <w:rPr>
          <w:rFonts w:ascii="宋体" w:hAnsi="宋体" w:cs="宋体"/>
          <w:b/>
          <w:kern w:val="0"/>
          <w:sz w:val="28"/>
          <w:szCs w:val="28"/>
          <w:lang w:val="zh-CN"/>
        </w:rPr>
        <w:sectPr>
          <w:headerReference r:id="rId3" w:type="default"/>
          <w:pgSz w:w="11907" w:h="16839"/>
          <w:pgMar w:top="1440" w:right="1800" w:bottom="1440" w:left="1800" w:header="720" w:footer="720" w:gutter="0"/>
          <w:cols w:space="720" w:num="1"/>
          <w:docGrid w:linePitch="286" w:charSpace="0"/>
        </w:sectPr>
      </w:pPr>
      <w:r>
        <w:rPr>
          <w:rFonts w:hint="eastAsia" w:ascii="仿宋" w:hAnsi="仿宋" w:eastAsia="仿宋" w:cs="仿宋"/>
          <w:sz w:val="28"/>
          <w:szCs w:val="28"/>
        </w:rPr>
        <w:t>日期：</w:t>
      </w:r>
    </w:p>
    <w:p w14:paraId="37FFFAAE">
      <w:pPr>
        <w:pStyle w:val="13"/>
        <w:rPr>
          <w:rFonts w:ascii="仿宋_GB2312" w:hAnsi="宋体" w:eastAsia="仿宋"/>
          <w:b/>
          <w:color w:val="000000"/>
          <w:szCs w:val="36"/>
        </w:rPr>
      </w:pPr>
      <w:r>
        <w:rPr>
          <w:rFonts w:hint="eastAsia" w:ascii="仿宋_GB2312" w:hAnsi="宋体" w:eastAsia="仿宋"/>
          <w:b/>
          <w:color w:val="000000"/>
          <w:szCs w:val="36"/>
        </w:rPr>
        <w:t>第七部分  质询提出和处理</w:t>
      </w:r>
    </w:p>
    <w:p w14:paraId="43191D88">
      <w:pPr>
        <w:autoSpaceDE w:val="0"/>
        <w:autoSpaceDN w:val="0"/>
        <w:adjustRightInd w:val="0"/>
        <w:snapToGrid w:val="0"/>
        <w:spacing w:line="360" w:lineRule="auto"/>
        <w:ind w:firstLine="562" w:firstLineChars="200"/>
        <w:contextualSpacing/>
        <w:rPr>
          <w:rFonts w:ascii="仿宋" w:hAnsi="仿宋" w:eastAsia="仿宋"/>
          <w:b/>
          <w:color w:val="000000"/>
          <w:sz w:val="28"/>
          <w:szCs w:val="28"/>
        </w:rPr>
      </w:pPr>
      <w:r>
        <w:rPr>
          <w:rFonts w:hint="eastAsia" w:ascii="仿宋" w:hAnsi="仿宋" w:eastAsia="仿宋"/>
          <w:b/>
          <w:color w:val="000000"/>
          <w:sz w:val="28"/>
          <w:szCs w:val="28"/>
        </w:rPr>
        <w:t>一、质询的提出</w:t>
      </w:r>
    </w:p>
    <w:p w14:paraId="0902476D">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lang w:val="zh-CN"/>
        </w:rPr>
      </w:pPr>
      <w:r>
        <w:rPr>
          <w:rFonts w:hint="eastAsia" w:ascii="仿宋" w:hAnsi="仿宋" w:eastAsia="仿宋" w:cs="宋体"/>
          <w:color w:val="000000"/>
          <w:kern w:val="0"/>
          <w:sz w:val="28"/>
          <w:szCs w:val="28"/>
          <w:lang w:val="zh-CN"/>
        </w:rPr>
        <w:t>1．质询人必须是直接参加本次采购活动的当事人。</w:t>
      </w:r>
    </w:p>
    <w:p w14:paraId="40AA3CE7">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lang w:val="zh-CN"/>
        </w:rPr>
      </w:pPr>
      <w:r>
        <w:rPr>
          <w:rFonts w:hint="eastAsia" w:ascii="仿宋" w:hAnsi="仿宋" w:eastAsia="仿宋" w:cs="宋体"/>
          <w:color w:val="000000"/>
          <w:kern w:val="0"/>
          <w:sz w:val="28"/>
          <w:szCs w:val="28"/>
          <w:lang w:val="zh-CN"/>
        </w:rPr>
        <w:t>2．领取采购文件的供应商应根据第二部分“投标须知”中“第一款”“第1项”的约定提出询问。</w:t>
      </w:r>
    </w:p>
    <w:p w14:paraId="438AE5DA">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lang w:val="zh-CN"/>
        </w:rPr>
      </w:pPr>
      <w:r>
        <w:rPr>
          <w:rFonts w:hint="eastAsia" w:ascii="仿宋" w:hAnsi="仿宋" w:eastAsia="仿宋" w:cs="宋体"/>
          <w:color w:val="000000"/>
          <w:kern w:val="0"/>
          <w:sz w:val="28"/>
          <w:szCs w:val="28"/>
          <w:lang w:val="zh-CN"/>
        </w:rPr>
        <w:t>3．提出质询时，必须坚持“谁主张，谁举证”、“实事求是”的原则，不能臆测。属于须由法定部门调查、侦查或先行作出相关认定的事项，质询人应当依法申请具有法定职权的部门查清、认定，并将相关结果提供给采购人。采购人不具有法定调查、认定权限。</w:t>
      </w:r>
    </w:p>
    <w:p w14:paraId="37774C65">
      <w:pPr>
        <w:snapToGrid w:val="0"/>
        <w:spacing w:line="360" w:lineRule="auto"/>
        <w:ind w:firstLine="560" w:firstLineChars="200"/>
        <w:contextualSpacing/>
        <w:rPr>
          <w:rFonts w:ascii="仿宋" w:hAnsi="仿宋" w:eastAsia="仿宋" w:cs="宋体"/>
          <w:color w:val="000000"/>
          <w:kern w:val="0"/>
          <w:sz w:val="28"/>
          <w:szCs w:val="28"/>
        </w:rPr>
      </w:pPr>
      <w:r>
        <w:rPr>
          <w:rFonts w:hint="eastAsia" w:ascii="仿宋" w:hAnsi="仿宋" w:eastAsia="仿宋"/>
          <w:color w:val="000000"/>
          <w:sz w:val="28"/>
          <w:szCs w:val="28"/>
        </w:rPr>
        <w:t>4、对本次采购有质询的，实行实名制，不得进行虚假、恶意质询。质询人应在质询有效期内以书面形式</w:t>
      </w:r>
      <w:r>
        <w:rPr>
          <w:rFonts w:hint="eastAsia" w:ascii="仿宋" w:hAnsi="仿宋" w:eastAsia="仿宋" w:cs="宋体"/>
          <w:color w:val="000000"/>
          <w:kern w:val="0"/>
          <w:sz w:val="28"/>
          <w:szCs w:val="28"/>
          <w:lang w:val="zh-CN"/>
        </w:rPr>
        <w:t>提出《质询函》</w:t>
      </w:r>
      <w:r>
        <w:rPr>
          <w:rFonts w:hint="eastAsia" w:ascii="仿宋" w:hAnsi="仿宋" w:eastAsia="仿宋"/>
          <w:color w:val="000000"/>
          <w:sz w:val="28"/>
          <w:szCs w:val="28"/>
        </w:rPr>
        <w:t>，《质询函》内容应</w:t>
      </w:r>
      <w:r>
        <w:rPr>
          <w:rFonts w:hint="eastAsia" w:ascii="仿宋" w:hAnsi="仿宋" w:eastAsia="仿宋" w:cs="宋体"/>
          <w:color w:val="000000"/>
          <w:kern w:val="0"/>
          <w:sz w:val="28"/>
          <w:szCs w:val="28"/>
          <w:lang w:val="zh-CN"/>
        </w:rPr>
        <w:t>包括</w:t>
      </w:r>
      <w:r>
        <w:rPr>
          <w:rFonts w:hint="eastAsia" w:ascii="仿宋" w:hAnsi="仿宋" w:eastAsia="仿宋"/>
          <w:color w:val="000000"/>
          <w:sz w:val="28"/>
          <w:szCs w:val="28"/>
        </w:rPr>
        <w:t>质询事项、主要内容、事实依据、适应法规条款、佐证材料等。同时，</w:t>
      </w:r>
      <w:r>
        <w:rPr>
          <w:rFonts w:hint="eastAsia" w:ascii="仿宋" w:hAnsi="仿宋" w:eastAsia="仿宋" w:cs="宋体"/>
          <w:color w:val="000000"/>
          <w:kern w:val="0"/>
          <w:sz w:val="28"/>
          <w:szCs w:val="28"/>
        </w:rPr>
        <w:t>质询人应保证其提出的质询内容及</w:t>
      </w:r>
      <w:r>
        <w:rPr>
          <w:rFonts w:hint="eastAsia" w:ascii="仿宋" w:hAnsi="仿宋" w:eastAsia="仿宋"/>
          <w:color w:val="000000"/>
          <w:sz w:val="28"/>
          <w:szCs w:val="28"/>
        </w:rPr>
        <w:t>相关佐证材料</w:t>
      </w:r>
      <w:r>
        <w:rPr>
          <w:rFonts w:hint="eastAsia" w:ascii="仿宋" w:hAnsi="仿宋" w:eastAsia="仿宋" w:cs="宋体"/>
          <w:color w:val="000000"/>
          <w:kern w:val="0"/>
          <w:sz w:val="28"/>
          <w:szCs w:val="28"/>
        </w:rPr>
        <w:t>的真实性及来源的合法性，并承担相应的法律责任。</w:t>
      </w:r>
    </w:p>
    <w:p w14:paraId="78700CFF">
      <w:pPr>
        <w:snapToGrid w:val="0"/>
        <w:spacing w:line="360" w:lineRule="auto"/>
        <w:ind w:firstLine="560" w:firstLineChars="200"/>
        <w:contextualSpacing/>
        <w:rPr>
          <w:rFonts w:ascii="仿宋" w:hAnsi="仿宋" w:eastAsia="仿宋"/>
          <w:color w:val="000000"/>
          <w:sz w:val="28"/>
          <w:szCs w:val="28"/>
        </w:rPr>
      </w:pPr>
      <w:r>
        <w:rPr>
          <w:rFonts w:hint="eastAsia" w:ascii="仿宋" w:hAnsi="仿宋" w:eastAsia="仿宋" w:cs="宋体"/>
          <w:color w:val="000000"/>
          <w:kern w:val="0"/>
          <w:sz w:val="28"/>
          <w:szCs w:val="28"/>
          <w:lang w:val="zh-CN"/>
        </w:rPr>
        <w:t>对不按《质询函》格式就提出质询的、不能提供</w:t>
      </w:r>
      <w:r>
        <w:rPr>
          <w:rFonts w:hint="eastAsia" w:ascii="仿宋" w:hAnsi="仿宋" w:eastAsia="仿宋"/>
          <w:color w:val="000000"/>
          <w:sz w:val="28"/>
          <w:szCs w:val="28"/>
        </w:rPr>
        <w:t>相关佐证材料的、涉及商业秘密的、非书面形式的、非送达的、匿名的《质询函》将不予受理。</w:t>
      </w:r>
    </w:p>
    <w:p w14:paraId="1D9A525B">
      <w:pPr>
        <w:snapToGrid w:val="0"/>
        <w:spacing w:line="360" w:lineRule="auto"/>
        <w:ind w:firstLine="560" w:firstLineChars="200"/>
        <w:contextualSpacing/>
        <w:rPr>
          <w:rFonts w:ascii="仿宋" w:hAnsi="仿宋" w:eastAsia="仿宋"/>
          <w:color w:val="000000"/>
          <w:sz w:val="28"/>
          <w:szCs w:val="28"/>
        </w:rPr>
      </w:pPr>
      <w:r>
        <w:rPr>
          <w:rFonts w:hint="eastAsia" w:ascii="仿宋" w:hAnsi="仿宋" w:eastAsia="仿宋"/>
          <w:color w:val="000000"/>
          <w:sz w:val="28"/>
          <w:szCs w:val="28"/>
        </w:rPr>
        <w:t>相关佐证材料要具备客观性、关联性、合法性，无法查实的（如宣传册、媒体报道、猜测、推理等）不能作为佐证材料。</w:t>
      </w:r>
    </w:p>
    <w:p w14:paraId="1E5D3D9A">
      <w:pPr>
        <w:snapToGrid w:val="0"/>
        <w:spacing w:line="360" w:lineRule="auto"/>
        <w:ind w:firstLine="562" w:firstLineChars="200"/>
        <w:contextualSpacing/>
        <w:rPr>
          <w:rFonts w:ascii="仿宋" w:hAnsi="仿宋" w:eastAsia="仿宋" w:cs="宋体"/>
          <w:b/>
          <w:color w:val="000000"/>
          <w:kern w:val="0"/>
          <w:sz w:val="28"/>
          <w:szCs w:val="28"/>
        </w:rPr>
      </w:pPr>
      <w:r>
        <w:rPr>
          <w:rFonts w:hint="eastAsia" w:ascii="仿宋" w:hAnsi="仿宋" w:eastAsia="仿宋"/>
          <w:b/>
          <w:color w:val="000000"/>
          <w:sz w:val="28"/>
          <w:szCs w:val="28"/>
        </w:rPr>
        <w:t>采购人、采购组织方</w:t>
      </w:r>
      <w:r>
        <w:rPr>
          <w:rFonts w:hint="eastAsia" w:ascii="仿宋" w:hAnsi="仿宋" w:eastAsia="仿宋" w:cs="宋体"/>
          <w:b/>
          <w:color w:val="000000"/>
          <w:kern w:val="0"/>
          <w:sz w:val="28"/>
          <w:szCs w:val="28"/>
        </w:rPr>
        <w:t>不负责搜集相关佐证材料等工作。</w:t>
      </w:r>
    </w:p>
    <w:p w14:paraId="77FAD19B">
      <w:pPr>
        <w:autoSpaceDE w:val="0"/>
        <w:autoSpaceDN w:val="0"/>
        <w:adjustRightInd w:val="0"/>
        <w:snapToGrid w:val="0"/>
        <w:spacing w:line="360" w:lineRule="auto"/>
        <w:ind w:firstLine="562" w:firstLineChars="200"/>
        <w:contextualSpacing/>
        <w:rPr>
          <w:rFonts w:ascii="仿宋" w:hAnsi="仿宋" w:eastAsia="仿宋"/>
          <w:b/>
          <w:color w:val="000000"/>
          <w:sz w:val="28"/>
          <w:szCs w:val="28"/>
        </w:rPr>
      </w:pPr>
      <w:r>
        <w:rPr>
          <w:rFonts w:hint="eastAsia" w:ascii="仿宋" w:hAnsi="仿宋" w:eastAsia="仿宋"/>
          <w:b/>
          <w:color w:val="000000"/>
          <w:sz w:val="28"/>
          <w:szCs w:val="28"/>
        </w:rPr>
        <w:t>二、质询的受理</w:t>
      </w:r>
    </w:p>
    <w:p w14:paraId="64B4E3CC">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lang w:val="zh-CN"/>
        </w:rPr>
      </w:pPr>
      <w:r>
        <w:rPr>
          <w:rFonts w:hint="eastAsia" w:ascii="仿宋" w:hAnsi="仿宋" w:eastAsia="仿宋"/>
          <w:color w:val="000000"/>
          <w:sz w:val="28"/>
          <w:szCs w:val="28"/>
        </w:rPr>
        <w:t>1、《质询函》须由质询人的法定代表人或参加本次采购授权人</w:t>
      </w:r>
      <w:r>
        <w:rPr>
          <w:rFonts w:hint="eastAsia" w:ascii="仿宋" w:hAnsi="仿宋" w:eastAsia="仿宋" w:cs="宋体"/>
          <w:color w:val="000000"/>
          <w:kern w:val="0"/>
          <w:sz w:val="28"/>
          <w:szCs w:val="28"/>
          <w:lang w:val="zh-CN"/>
        </w:rPr>
        <w:t>送达</w:t>
      </w:r>
      <w:r>
        <w:rPr>
          <w:rFonts w:hint="eastAsia" w:ascii="仿宋" w:hAnsi="仿宋" w:eastAsia="仿宋"/>
          <w:color w:val="000000"/>
          <w:sz w:val="28"/>
          <w:szCs w:val="28"/>
        </w:rPr>
        <w:t>采购人或采购组织方（联系方式见采购公告）</w:t>
      </w:r>
      <w:r>
        <w:rPr>
          <w:rFonts w:hint="eastAsia" w:ascii="仿宋" w:hAnsi="仿宋" w:eastAsia="仿宋" w:cs="宋体"/>
          <w:color w:val="000000"/>
          <w:kern w:val="0"/>
          <w:sz w:val="28"/>
          <w:szCs w:val="28"/>
          <w:lang w:val="zh-CN"/>
        </w:rPr>
        <w:t>。</w:t>
      </w:r>
    </w:p>
    <w:p w14:paraId="39026F53">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lang w:val="zh-CN"/>
        </w:rPr>
      </w:pPr>
      <w:r>
        <w:rPr>
          <w:rFonts w:hint="eastAsia" w:ascii="仿宋" w:hAnsi="仿宋" w:eastAsia="仿宋" w:cs="宋体"/>
          <w:color w:val="000000"/>
          <w:kern w:val="0"/>
          <w:sz w:val="28"/>
          <w:szCs w:val="28"/>
          <w:lang w:val="zh-CN"/>
        </w:rPr>
        <w:t>2、对符合要求的《</w:t>
      </w:r>
      <w:r>
        <w:rPr>
          <w:rFonts w:hint="eastAsia" w:ascii="仿宋" w:hAnsi="仿宋" w:eastAsia="仿宋"/>
          <w:color w:val="000000"/>
          <w:sz w:val="28"/>
          <w:szCs w:val="28"/>
        </w:rPr>
        <w:t>质询函</w:t>
      </w:r>
      <w:r>
        <w:rPr>
          <w:rFonts w:hint="eastAsia" w:ascii="仿宋" w:hAnsi="仿宋" w:eastAsia="仿宋" w:cs="宋体"/>
          <w:color w:val="000000"/>
          <w:kern w:val="0"/>
          <w:sz w:val="28"/>
          <w:szCs w:val="28"/>
          <w:lang w:val="zh-CN"/>
        </w:rPr>
        <w:t>》，</w:t>
      </w:r>
      <w:r>
        <w:rPr>
          <w:rFonts w:hint="eastAsia" w:ascii="仿宋" w:hAnsi="仿宋" w:eastAsia="仿宋"/>
          <w:color w:val="000000"/>
          <w:sz w:val="28"/>
          <w:szCs w:val="28"/>
        </w:rPr>
        <w:t>采购人或采购组织方</w:t>
      </w:r>
      <w:r>
        <w:rPr>
          <w:rFonts w:hint="eastAsia" w:ascii="仿宋" w:hAnsi="仿宋" w:eastAsia="仿宋" w:cs="宋体"/>
          <w:color w:val="000000"/>
          <w:kern w:val="0"/>
          <w:sz w:val="28"/>
          <w:szCs w:val="28"/>
          <w:lang w:val="zh-CN"/>
        </w:rPr>
        <w:t>签收并受理。在受理过程中，发现需要质询人进一步补充相关佐证材料的，请质询人在规定的时间内提供，质询回复时间相应顺延。质询人不能按时补充相关佐证材料的，自行承担不利后果。</w:t>
      </w:r>
    </w:p>
    <w:p w14:paraId="7490F959">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lang w:val="zh-CN"/>
        </w:rPr>
      </w:pPr>
      <w:r>
        <w:rPr>
          <w:rFonts w:hint="eastAsia" w:ascii="仿宋" w:hAnsi="仿宋" w:eastAsia="仿宋" w:cs="宋体"/>
          <w:color w:val="000000"/>
          <w:kern w:val="0"/>
          <w:sz w:val="28"/>
          <w:szCs w:val="28"/>
          <w:lang w:val="zh-CN"/>
        </w:rPr>
        <w:t>3、对不符合要求的《</w:t>
      </w:r>
      <w:r>
        <w:rPr>
          <w:rFonts w:hint="eastAsia" w:ascii="仿宋" w:hAnsi="仿宋" w:eastAsia="仿宋"/>
          <w:color w:val="000000"/>
          <w:sz w:val="28"/>
          <w:szCs w:val="28"/>
        </w:rPr>
        <w:t>质询函</w:t>
      </w:r>
      <w:r>
        <w:rPr>
          <w:rFonts w:hint="eastAsia" w:ascii="仿宋" w:hAnsi="仿宋" w:eastAsia="仿宋" w:cs="宋体"/>
          <w:color w:val="000000"/>
          <w:kern w:val="0"/>
          <w:sz w:val="28"/>
          <w:szCs w:val="28"/>
          <w:lang w:val="zh-CN"/>
        </w:rPr>
        <w:t>》，</w:t>
      </w:r>
      <w:r>
        <w:rPr>
          <w:rFonts w:hint="eastAsia" w:ascii="仿宋" w:hAnsi="仿宋" w:eastAsia="仿宋"/>
          <w:color w:val="000000"/>
          <w:sz w:val="28"/>
          <w:szCs w:val="28"/>
        </w:rPr>
        <w:t>采购人或采购组织方</w:t>
      </w:r>
      <w:r>
        <w:rPr>
          <w:rFonts w:hint="eastAsia" w:ascii="仿宋" w:hAnsi="仿宋" w:eastAsia="仿宋" w:cs="宋体"/>
          <w:color w:val="000000"/>
          <w:kern w:val="0"/>
          <w:sz w:val="28"/>
          <w:szCs w:val="28"/>
          <w:lang w:val="zh-CN"/>
        </w:rPr>
        <w:t>将不予受理。</w:t>
      </w:r>
    </w:p>
    <w:p w14:paraId="414799EC">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rPr>
      </w:pPr>
      <w:r>
        <w:rPr>
          <w:rFonts w:hint="eastAsia" w:ascii="仿宋" w:hAnsi="仿宋" w:eastAsia="仿宋" w:cs="宋体"/>
          <w:color w:val="000000"/>
          <w:kern w:val="0"/>
          <w:sz w:val="28"/>
          <w:szCs w:val="28"/>
          <w:lang w:val="zh-CN"/>
        </w:rPr>
        <w:t>4、</w:t>
      </w:r>
      <w:r>
        <w:rPr>
          <w:rFonts w:hint="eastAsia" w:ascii="仿宋" w:hAnsi="仿宋" w:eastAsia="仿宋"/>
          <w:color w:val="000000"/>
          <w:sz w:val="28"/>
          <w:szCs w:val="28"/>
        </w:rPr>
        <w:t>采购人或采购组织方</w:t>
      </w:r>
      <w:r>
        <w:rPr>
          <w:rFonts w:hint="eastAsia" w:ascii="仿宋" w:hAnsi="仿宋" w:eastAsia="仿宋" w:cs="宋体"/>
          <w:color w:val="000000"/>
          <w:kern w:val="0"/>
          <w:sz w:val="28"/>
          <w:szCs w:val="28"/>
        </w:rPr>
        <w:t>负责将质询人提出的质询材料提供给相关专家或评委审核，并将审核意见回复质询人。</w:t>
      </w:r>
    </w:p>
    <w:p w14:paraId="278A0D33">
      <w:pPr>
        <w:widowControl/>
        <w:tabs>
          <w:tab w:val="left" w:pos="0"/>
        </w:tabs>
        <w:snapToGrid w:val="0"/>
        <w:spacing w:line="360" w:lineRule="auto"/>
        <w:ind w:firstLine="560" w:firstLineChars="200"/>
        <w:contextualSpacing/>
        <w:rPr>
          <w:rFonts w:ascii="仿宋" w:hAnsi="仿宋" w:eastAsia="仿宋" w:cs="宋体"/>
          <w:color w:val="000000"/>
          <w:kern w:val="0"/>
          <w:sz w:val="28"/>
          <w:szCs w:val="28"/>
        </w:rPr>
      </w:pPr>
      <w:r>
        <w:rPr>
          <w:rFonts w:hint="eastAsia" w:ascii="仿宋" w:hAnsi="仿宋" w:eastAsia="仿宋"/>
          <w:color w:val="000000"/>
          <w:sz w:val="28"/>
          <w:szCs w:val="28"/>
        </w:rPr>
        <w:t>必要时，可向被质询人转发《质询函》及相关佐证材料。被质询人应当在要求的时间内，以书面形式作出说明，并提交相关证据。被质询人在规定时间内，无正当理由未提交相关证据的，视同放弃说明权利，</w:t>
      </w:r>
      <w:r>
        <w:rPr>
          <w:rFonts w:hint="eastAsia" w:ascii="仿宋" w:hAnsi="仿宋" w:eastAsia="仿宋" w:cs="宋体"/>
          <w:color w:val="000000"/>
          <w:kern w:val="0"/>
          <w:sz w:val="28"/>
          <w:szCs w:val="28"/>
          <w:lang w:val="zh-CN"/>
        </w:rPr>
        <w:t>自行承担不利后果</w:t>
      </w:r>
      <w:r>
        <w:rPr>
          <w:rFonts w:hint="eastAsia" w:ascii="仿宋" w:hAnsi="仿宋" w:eastAsia="仿宋"/>
          <w:color w:val="000000"/>
          <w:sz w:val="28"/>
          <w:szCs w:val="28"/>
        </w:rPr>
        <w:t>。</w:t>
      </w:r>
    </w:p>
    <w:p w14:paraId="37E48D34">
      <w:pPr>
        <w:autoSpaceDE w:val="0"/>
        <w:autoSpaceDN w:val="0"/>
        <w:adjustRightInd w:val="0"/>
        <w:snapToGrid w:val="0"/>
        <w:spacing w:line="360" w:lineRule="auto"/>
        <w:ind w:firstLine="560" w:firstLineChars="200"/>
        <w:contextualSpacing/>
        <w:rPr>
          <w:rFonts w:ascii="仿宋" w:hAnsi="仿宋" w:eastAsia="仿宋" w:cs="宋体"/>
          <w:color w:val="000000"/>
          <w:kern w:val="0"/>
          <w:sz w:val="28"/>
          <w:szCs w:val="28"/>
          <w:lang w:val="zh-CN"/>
        </w:rPr>
      </w:pPr>
      <w:r>
        <w:rPr>
          <w:rFonts w:hint="eastAsia" w:ascii="仿宋" w:hAnsi="仿宋" w:eastAsia="仿宋" w:cs="宋体"/>
          <w:color w:val="000000"/>
          <w:kern w:val="0"/>
          <w:sz w:val="28"/>
          <w:szCs w:val="28"/>
        </w:rPr>
        <w:t>5、</w:t>
      </w:r>
      <w:r>
        <w:rPr>
          <w:rFonts w:hint="eastAsia" w:ascii="仿宋" w:hAnsi="仿宋" w:eastAsia="仿宋" w:cs="宋体"/>
          <w:color w:val="000000"/>
          <w:kern w:val="0"/>
          <w:sz w:val="28"/>
          <w:szCs w:val="28"/>
          <w:lang w:val="zh-CN"/>
        </w:rPr>
        <w:t>因质询情况复杂，组织论证或审查时间较长的，</w:t>
      </w:r>
      <w:r>
        <w:rPr>
          <w:rFonts w:hint="eastAsia" w:ascii="仿宋" w:hAnsi="仿宋" w:eastAsia="仿宋"/>
          <w:color w:val="000000"/>
          <w:sz w:val="28"/>
          <w:szCs w:val="28"/>
        </w:rPr>
        <w:t>采购人或采购组织方</w:t>
      </w:r>
      <w:r>
        <w:rPr>
          <w:rFonts w:hint="eastAsia" w:ascii="仿宋" w:hAnsi="仿宋" w:eastAsia="仿宋" w:cs="宋体"/>
          <w:color w:val="000000"/>
          <w:kern w:val="0"/>
          <w:sz w:val="28"/>
          <w:szCs w:val="28"/>
          <w:lang w:val="zh-CN"/>
        </w:rPr>
        <w:t>可适当延长质询处理的时间，并以书面形式通知质询人。</w:t>
      </w:r>
    </w:p>
    <w:p w14:paraId="297BBF62">
      <w:pPr>
        <w:autoSpaceDE w:val="0"/>
        <w:autoSpaceDN w:val="0"/>
        <w:adjustRightInd w:val="0"/>
        <w:snapToGrid w:val="0"/>
        <w:spacing w:line="360" w:lineRule="auto"/>
        <w:ind w:firstLine="562" w:firstLineChars="200"/>
        <w:contextualSpacing/>
        <w:rPr>
          <w:rFonts w:ascii="仿宋" w:hAnsi="仿宋" w:eastAsia="仿宋"/>
          <w:b/>
          <w:color w:val="000000"/>
          <w:sz w:val="28"/>
          <w:szCs w:val="28"/>
          <w:lang w:val="zh-CN"/>
        </w:rPr>
      </w:pPr>
      <w:r>
        <w:rPr>
          <w:rFonts w:hint="eastAsia" w:ascii="仿宋" w:hAnsi="仿宋" w:eastAsia="仿宋"/>
          <w:b/>
          <w:color w:val="000000"/>
          <w:sz w:val="28"/>
          <w:szCs w:val="28"/>
          <w:lang w:val="zh-CN"/>
        </w:rPr>
        <w:t>三、质询处理结果</w:t>
      </w:r>
    </w:p>
    <w:p w14:paraId="2E3AF17C">
      <w:pPr>
        <w:tabs>
          <w:tab w:val="left" w:pos="8820"/>
        </w:tabs>
        <w:autoSpaceDE w:val="0"/>
        <w:autoSpaceDN w:val="0"/>
        <w:adjustRightInd w:val="0"/>
        <w:snapToGrid w:val="0"/>
        <w:spacing w:line="360" w:lineRule="auto"/>
        <w:ind w:firstLine="562" w:firstLineChars="200"/>
        <w:contextualSpacing/>
        <w:rPr>
          <w:rFonts w:ascii="仿宋" w:hAnsi="仿宋" w:eastAsia="仿宋" w:cs="宋体"/>
          <w:b/>
          <w:color w:val="000000"/>
          <w:kern w:val="0"/>
          <w:sz w:val="28"/>
          <w:szCs w:val="28"/>
          <w:lang w:val="zh-CN"/>
        </w:rPr>
      </w:pPr>
      <w:r>
        <w:rPr>
          <w:rFonts w:hint="eastAsia" w:ascii="仿宋" w:hAnsi="仿宋" w:eastAsia="仿宋" w:cs="宋体"/>
          <w:b/>
          <w:color w:val="000000"/>
          <w:kern w:val="0"/>
          <w:sz w:val="28"/>
          <w:szCs w:val="28"/>
          <w:lang w:val="zh-CN"/>
        </w:rPr>
        <w:t>1、质询成立的情形。</w:t>
      </w:r>
    </w:p>
    <w:p w14:paraId="73FD1AE7">
      <w:pPr>
        <w:tabs>
          <w:tab w:val="left" w:pos="8820"/>
        </w:tabs>
        <w:autoSpaceDE w:val="0"/>
        <w:autoSpaceDN w:val="0"/>
        <w:adjustRightInd w:val="0"/>
        <w:snapToGrid w:val="0"/>
        <w:spacing w:line="360" w:lineRule="auto"/>
        <w:ind w:firstLine="560" w:firstLineChars="200"/>
        <w:contextualSpacing/>
        <w:rPr>
          <w:rFonts w:ascii="仿宋" w:hAnsi="仿宋" w:eastAsia="仿宋"/>
          <w:color w:val="000000"/>
          <w:sz w:val="28"/>
          <w:szCs w:val="28"/>
        </w:rPr>
      </w:pPr>
      <w:r>
        <w:rPr>
          <w:rFonts w:hint="eastAsia" w:ascii="仿宋" w:hAnsi="仿宋" w:eastAsia="仿宋"/>
          <w:color w:val="000000"/>
          <w:sz w:val="28"/>
          <w:szCs w:val="28"/>
        </w:rPr>
        <w:t>（1）质询人提供了客观详实的佐证材料，经调查认定事实成立的。</w:t>
      </w:r>
    </w:p>
    <w:p w14:paraId="318D3723">
      <w:pPr>
        <w:tabs>
          <w:tab w:val="left" w:pos="8820"/>
        </w:tabs>
        <w:autoSpaceDE w:val="0"/>
        <w:autoSpaceDN w:val="0"/>
        <w:adjustRightInd w:val="0"/>
        <w:snapToGrid w:val="0"/>
        <w:spacing w:line="360" w:lineRule="auto"/>
        <w:ind w:firstLine="560" w:firstLineChars="200"/>
        <w:contextualSpacing/>
        <w:rPr>
          <w:rFonts w:ascii="仿宋" w:hAnsi="仿宋" w:eastAsia="仿宋"/>
          <w:color w:val="000000"/>
          <w:sz w:val="28"/>
          <w:szCs w:val="28"/>
        </w:rPr>
      </w:pPr>
      <w:r>
        <w:rPr>
          <w:rFonts w:hint="eastAsia" w:ascii="仿宋" w:hAnsi="仿宋" w:eastAsia="仿宋"/>
          <w:color w:val="000000"/>
          <w:sz w:val="28"/>
          <w:szCs w:val="28"/>
        </w:rPr>
        <w:t>（2）被质询人主动承认的。</w:t>
      </w:r>
    </w:p>
    <w:p w14:paraId="63FFB26F">
      <w:pPr>
        <w:tabs>
          <w:tab w:val="left" w:pos="8820"/>
        </w:tabs>
        <w:snapToGrid w:val="0"/>
        <w:spacing w:line="360" w:lineRule="auto"/>
        <w:ind w:firstLine="570"/>
        <w:contextualSpacing/>
        <w:rPr>
          <w:rFonts w:ascii="仿宋" w:hAnsi="仿宋" w:eastAsia="仿宋" w:cs="宋体"/>
          <w:b/>
          <w:color w:val="000000"/>
          <w:kern w:val="0"/>
          <w:sz w:val="28"/>
          <w:szCs w:val="28"/>
          <w:lang w:val="zh-CN"/>
        </w:rPr>
      </w:pPr>
      <w:r>
        <w:rPr>
          <w:rFonts w:hint="eastAsia" w:ascii="仿宋" w:hAnsi="仿宋" w:eastAsia="仿宋" w:cs="宋体"/>
          <w:b/>
          <w:color w:val="000000"/>
          <w:kern w:val="0"/>
          <w:sz w:val="28"/>
          <w:szCs w:val="28"/>
          <w:lang w:val="zh-CN"/>
        </w:rPr>
        <w:t>2、质询不成立的情形。</w:t>
      </w:r>
    </w:p>
    <w:p w14:paraId="44D072A6">
      <w:pPr>
        <w:tabs>
          <w:tab w:val="left" w:pos="8820"/>
        </w:tabs>
        <w:snapToGrid w:val="0"/>
        <w:spacing w:line="360" w:lineRule="auto"/>
        <w:ind w:firstLine="560" w:firstLineChars="200"/>
        <w:contextualSpacing/>
        <w:jc w:val="left"/>
        <w:rPr>
          <w:rFonts w:ascii="仿宋" w:hAnsi="仿宋" w:eastAsia="仿宋"/>
          <w:color w:val="000000"/>
          <w:sz w:val="28"/>
          <w:szCs w:val="28"/>
          <w:lang w:val="zh-CN"/>
        </w:rPr>
      </w:pPr>
      <w:r>
        <w:rPr>
          <w:rFonts w:hint="eastAsia" w:ascii="仿宋" w:hAnsi="仿宋" w:eastAsia="仿宋"/>
          <w:color w:val="000000"/>
          <w:sz w:val="28"/>
          <w:szCs w:val="28"/>
        </w:rPr>
        <w:t>（</w:t>
      </w:r>
      <w:r>
        <w:rPr>
          <w:rFonts w:ascii="仿宋" w:hAnsi="仿宋" w:eastAsia="仿宋"/>
          <w:color w:val="000000"/>
          <w:sz w:val="28"/>
          <w:szCs w:val="28"/>
        </w:rPr>
        <w:t>1</w:t>
      </w:r>
      <w:r>
        <w:rPr>
          <w:rFonts w:hint="eastAsia" w:ascii="仿宋" w:hAnsi="仿宋" w:eastAsia="仿宋"/>
          <w:color w:val="000000"/>
          <w:sz w:val="28"/>
          <w:szCs w:val="28"/>
        </w:rPr>
        <w:t>）</w:t>
      </w:r>
      <w:r>
        <w:rPr>
          <w:rFonts w:hint="eastAsia" w:ascii="仿宋" w:hAnsi="仿宋" w:eastAsia="仿宋"/>
          <w:color w:val="000000"/>
          <w:sz w:val="28"/>
          <w:szCs w:val="28"/>
          <w:lang w:val="zh-CN"/>
        </w:rPr>
        <w:t xml:space="preserve">质询人书面申请撤回的。 </w:t>
      </w:r>
    </w:p>
    <w:p w14:paraId="139AD9F1">
      <w:pPr>
        <w:tabs>
          <w:tab w:val="left" w:pos="8820"/>
        </w:tabs>
        <w:snapToGrid w:val="0"/>
        <w:spacing w:line="360" w:lineRule="auto"/>
        <w:ind w:firstLine="560" w:firstLineChars="200"/>
        <w:contextualSpacing/>
        <w:jc w:val="left"/>
        <w:rPr>
          <w:rFonts w:ascii="仿宋" w:hAnsi="仿宋" w:eastAsia="仿宋" w:cs="宋体"/>
          <w:color w:val="000000"/>
          <w:kern w:val="0"/>
          <w:sz w:val="28"/>
          <w:szCs w:val="28"/>
          <w:lang w:val="zh-CN"/>
        </w:rPr>
      </w:pPr>
      <w:r>
        <w:rPr>
          <w:rFonts w:hint="eastAsia" w:ascii="仿宋" w:hAnsi="仿宋" w:eastAsia="仿宋"/>
          <w:color w:val="000000"/>
          <w:sz w:val="28"/>
          <w:szCs w:val="28"/>
        </w:rPr>
        <w:t>（</w:t>
      </w:r>
      <w:r>
        <w:rPr>
          <w:rFonts w:ascii="仿宋" w:hAnsi="仿宋" w:eastAsia="仿宋"/>
          <w:color w:val="000000"/>
          <w:sz w:val="28"/>
          <w:szCs w:val="28"/>
        </w:rPr>
        <w:t>2</w:t>
      </w:r>
      <w:r>
        <w:rPr>
          <w:rFonts w:hint="eastAsia" w:ascii="仿宋" w:hAnsi="仿宋" w:eastAsia="仿宋"/>
          <w:color w:val="000000"/>
          <w:sz w:val="28"/>
          <w:szCs w:val="28"/>
        </w:rPr>
        <w:t>）</w:t>
      </w:r>
      <w:r>
        <w:rPr>
          <w:rFonts w:hint="eastAsia" w:ascii="仿宋" w:hAnsi="仿宋" w:eastAsia="仿宋" w:cs="宋体"/>
          <w:color w:val="000000"/>
          <w:kern w:val="0"/>
          <w:sz w:val="28"/>
          <w:szCs w:val="28"/>
          <w:lang w:val="zh-CN"/>
        </w:rPr>
        <w:t>质询人提供的</w:t>
      </w:r>
      <w:r>
        <w:rPr>
          <w:rFonts w:hint="eastAsia" w:ascii="仿宋" w:hAnsi="仿宋" w:eastAsia="仿宋"/>
          <w:color w:val="000000"/>
          <w:sz w:val="28"/>
          <w:szCs w:val="28"/>
        </w:rPr>
        <w:t>佐证材料</w:t>
      </w:r>
      <w:r>
        <w:rPr>
          <w:rFonts w:hint="eastAsia" w:ascii="仿宋" w:hAnsi="仿宋" w:eastAsia="仿宋" w:cs="宋体"/>
          <w:color w:val="000000"/>
          <w:kern w:val="0"/>
          <w:sz w:val="28"/>
          <w:szCs w:val="28"/>
          <w:lang w:val="zh-CN"/>
        </w:rPr>
        <w:t>不足以证明质询成立的，</w:t>
      </w:r>
      <w:r>
        <w:rPr>
          <w:rFonts w:hint="eastAsia" w:ascii="仿宋" w:hAnsi="仿宋" w:eastAsia="仿宋"/>
          <w:color w:val="000000"/>
          <w:sz w:val="28"/>
          <w:szCs w:val="28"/>
        </w:rPr>
        <w:t>采购人或采购组织方</w:t>
      </w:r>
      <w:r>
        <w:rPr>
          <w:rFonts w:hint="eastAsia" w:ascii="仿宋" w:hAnsi="仿宋" w:eastAsia="仿宋" w:cs="宋体"/>
          <w:color w:val="000000"/>
          <w:kern w:val="0"/>
          <w:sz w:val="28"/>
          <w:szCs w:val="28"/>
          <w:lang w:val="zh-CN"/>
        </w:rPr>
        <w:t>请质询人补充相关</w:t>
      </w:r>
      <w:r>
        <w:rPr>
          <w:rFonts w:hint="eastAsia" w:ascii="仿宋" w:hAnsi="仿宋" w:eastAsia="仿宋"/>
          <w:color w:val="000000"/>
          <w:sz w:val="28"/>
          <w:szCs w:val="28"/>
        </w:rPr>
        <w:t>佐证材料</w:t>
      </w:r>
      <w:r>
        <w:rPr>
          <w:rFonts w:hint="eastAsia" w:ascii="仿宋" w:hAnsi="仿宋" w:eastAsia="仿宋" w:cs="宋体"/>
          <w:color w:val="000000"/>
          <w:kern w:val="0"/>
          <w:sz w:val="28"/>
          <w:szCs w:val="28"/>
          <w:lang w:val="zh-CN"/>
        </w:rPr>
        <w:t>，</w:t>
      </w:r>
      <w:r>
        <w:rPr>
          <w:rFonts w:hint="eastAsia" w:ascii="仿宋" w:hAnsi="仿宋" w:eastAsia="仿宋"/>
          <w:color w:val="000000"/>
          <w:sz w:val="28"/>
          <w:szCs w:val="28"/>
        </w:rPr>
        <w:t>质询人在规定的时间内拒不配合的。</w:t>
      </w:r>
      <w:r>
        <w:rPr>
          <w:rFonts w:hint="eastAsia" w:ascii="仿宋" w:hAnsi="仿宋" w:eastAsia="仿宋" w:cs="宋体"/>
          <w:color w:val="000000"/>
          <w:kern w:val="0"/>
          <w:sz w:val="28"/>
          <w:szCs w:val="28"/>
          <w:lang w:val="zh-CN"/>
        </w:rPr>
        <w:t xml:space="preserve"> </w:t>
      </w:r>
    </w:p>
    <w:p w14:paraId="27BAA58D">
      <w:pPr>
        <w:tabs>
          <w:tab w:val="left" w:pos="8820"/>
        </w:tabs>
        <w:snapToGrid w:val="0"/>
        <w:spacing w:line="360" w:lineRule="auto"/>
        <w:ind w:firstLine="537" w:firstLineChars="192"/>
        <w:contextualSpacing/>
        <w:rPr>
          <w:rFonts w:ascii="仿宋" w:hAnsi="仿宋" w:eastAsia="仿宋" w:cs="宋体"/>
          <w:color w:val="000000"/>
          <w:kern w:val="0"/>
          <w:sz w:val="28"/>
          <w:szCs w:val="28"/>
          <w:lang w:val="zh-CN"/>
        </w:rPr>
      </w:pPr>
      <w:r>
        <w:rPr>
          <w:rFonts w:hint="eastAsia" w:ascii="仿宋" w:hAnsi="仿宋" w:eastAsia="仿宋"/>
          <w:color w:val="000000"/>
          <w:sz w:val="28"/>
          <w:szCs w:val="28"/>
        </w:rPr>
        <w:t>（</w:t>
      </w:r>
      <w:r>
        <w:rPr>
          <w:rFonts w:ascii="仿宋" w:hAnsi="仿宋" w:eastAsia="仿宋"/>
          <w:color w:val="000000"/>
          <w:sz w:val="28"/>
          <w:szCs w:val="28"/>
        </w:rPr>
        <w:t>3</w:t>
      </w:r>
      <w:r>
        <w:rPr>
          <w:rFonts w:hint="eastAsia" w:ascii="仿宋" w:hAnsi="仿宋" w:eastAsia="仿宋"/>
          <w:color w:val="000000"/>
          <w:sz w:val="28"/>
          <w:szCs w:val="28"/>
        </w:rPr>
        <w:t>）</w:t>
      </w:r>
      <w:r>
        <w:rPr>
          <w:rFonts w:hint="eastAsia" w:ascii="仿宋" w:hAnsi="仿宋" w:eastAsia="仿宋" w:cs="宋体"/>
          <w:color w:val="000000"/>
          <w:kern w:val="0"/>
          <w:sz w:val="28"/>
          <w:szCs w:val="28"/>
          <w:lang w:val="zh-CN"/>
        </w:rPr>
        <w:t>对明显有违事实的、经相关专家或评委认定无依据的、经其他采购活动当事人举证无依据的。</w:t>
      </w:r>
    </w:p>
    <w:p w14:paraId="3EA4BEB6">
      <w:pPr>
        <w:tabs>
          <w:tab w:val="left" w:pos="8820"/>
        </w:tabs>
        <w:snapToGrid w:val="0"/>
        <w:spacing w:line="360" w:lineRule="auto"/>
        <w:ind w:firstLine="537" w:firstLineChars="192"/>
        <w:contextualSpacing/>
        <w:rPr>
          <w:rFonts w:ascii="仿宋" w:hAnsi="仿宋" w:eastAsia="仿宋" w:cs="宋体"/>
          <w:color w:val="000000"/>
          <w:kern w:val="0"/>
          <w:sz w:val="28"/>
          <w:szCs w:val="28"/>
          <w:lang w:val="zh-CN"/>
        </w:rPr>
      </w:pPr>
      <w:r>
        <w:rPr>
          <w:rFonts w:hint="eastAsia" w:ascii="仿宋" w:hAnsi="仿宋" w:eastAsia="仿宋" w:cs="宋体"/>
          <w:color w:val="000000"/>
          <w:kern w:val="0"/>
          <w:sz w:val="28"/>
          <w:szCs w:val="28"/>
          <w:lang w:val="zh-CN"/>
        </w:rPr>
        <w:t>（</w:t>
      </w:r>
      <w:r>
        <w:rPr>
          <w:rFonts w:ascii="仿宋" w:hAnsi="仿宋" w:eastAsia="仿宋" w:cs="宋体"/>
          <w:color w:val="000000"/>
          <w:kern w:val="0"/>
          <w:sz w:val="28"/>
          <w:szCs w:val="28"/>
        </w:rPr>
        <w:t>4</w:t>
      </w:r>
      <w:r>
        <w:rPr>
          <w:rFonts w:hint="eastAsia" w:ascii="仿宋" w:hAnsi="仿宋" w:eastAsia="仿宋" w:cs="宋体"/>
          <w:color w:val="000000"/>
          <w:kern w:val="0"/>
          <w:sz w:val="28"/>
          <w:szCs w:val="28"/>
          <w:lang w:val="zh-CN"/>
        </w:rPr>
        <w:t>）经查实质询人使用虚假佐证材料的。</w:t>
      </w:r>
    </w:p>
    <w:p w14:paraId="1327749C">
      <w:pPr>
        <w:tabs>
          <w:tab w:val="left" w:pos="8820"/>
        </w:tabs>
        <w:snapToGrid w:val="0"/>
        <w:spacing w:line="360" w:lineRule="auto"/>
        <w:ind w:firstLine="540" w:firstLineChars="192"/>
        <w:contextualSpacing/>
        <w:rPr>
          <w:rFonts w:ascii="仿宋" w:hAnsi="仿宋" w:eastAsia="仿宋"/>
          <w:b/>
          <w:color w:val="000000"/>
          <w:sz w:val="28"/>
          <w:szCs w:val="28"/>
        </w:rPr>
      </w:pPr>
      <w:r>
        <w:rPr>
          <w:rFonts w:hint="eastAsia" w:ascii="仿宋" w:hAnsi="仿宋" w:eastAsia="仿宋"/>
          <w:b/>
          <w:color w:val="000000"/>
          <w:sz w:val="28"/>
          <w:szCs w:val="28"/>
        </w:rPr>
        <w:t>3、处理结果的披露</w:t>
      </w:r>
    </w:p>
    <w:p w14:paraId="3FECEED8">
      <w:pPr>
        <w:tabs>
          <w:tab w:val="left" w:pos="8820"/>
        </w:tabs>
        <w:autoSpaceDE w:val="0"/>
        <w:autoSpaceDN w:val="0"/>
        <w:adjustRightInd w:val="0"/>
        <w:snapToGrid w:val="0"/>
        <w:spacing w:line="360" w:lineRule="auto"/>
        <w:ind w:firstLine="560" w:firstLineChars="200"/>
        <w:contextualSpacing/>
        <w:rPr>
          <w:color w:val="000000"/>
          <w:sz w:val="28"/>
          <w:szCs w:val="28"/>
        </w:rPr>
      </w:pPr>
      <w:r>
        <w:rPr>
          <w:rFonts w:hint="eastAsia" w:ascii="仿宋" w:hAnsi="仿宋" w:eastAsia="仿宋"/>
          <w:color w:val="000000"/>
          <w:sz w:val="28"/>
          <w:szCs w:val="28"/>
        </w:rPr>
        <w:t>（1）采购人或采购组织方参照</w:t>
      </w:r>
      <w:r>
        <w:rPr>
          <w:rFonts w:hint="eastAsia" w:ascii="仿宋" w:hAnsi="仿宋" w:eastAsia="仿宋" w:cs="宋体"/>
          <w:color w:val="000000"/>
          <w:kern w:val="0"/>
          <w:sz w:val="28"/>
          <w:szCs w:val="28"/>
        </w:rPr>
        <w:t>有关规定进行</w:t>
      </w:r>
      <w:r>
        <w:rPr>
          <w:rFonts w:hint="eastAsia" w:ascii="仿宋" w:hAnsi="仿宋" w:eastAsia="仿宋" w:cs="宋体"/>
          <w:color w:val="000000"/>
          <w:kern w:val="0"/>
          <w:sz w:val="28"/>
          <w:szCs w:val="28"/>
          <w:lang w:val="zh-CN"/>
        </w:rPr>
        <w:t>处理，并书面通知相关当事人。</w:t>
      </w:r>
    </w:p>
    <w:p w14:paraId="112536DD">
      <w:pPr>
        <w:tabs>
          <w:tab w:val="left" w:pos="8820"/>
        </w:tabs>
        <w:snapToGrid w:val="0"/>
        <w:spacing w:line="360" w:lineRule="auto"/>
        <w:ind w:firstLine="537" w:firstLineChars="192"/>
        <w:contextualSpacing/>
        <w:rPr>
          <w:rFonts w:ascii="仿宋" w:hAnsi="仿宋" w:eastAsia="仿宋" w:cs="宋体"/>
          <w:color w:val="000000"/>
          <w:kern w:val="0"/>
          <w:sz w:val="28"/>
          <w:szCs w:val="28"/>
          <w:lang w:val="zh-CN"/>
        </w:rPr>
      </w:pPr>
      <w:r>
        <w:rPr>
          <w:rFonts w:hint="eastAsia" w:ascii="仿宋" w:hAnsi="仿宋" w:eastAsia="仿宋"/>
          <w:color w:val="000000"/>
          <w:sz w:val="28"/>
          <w:szCs w:val="28"/>
        </w:rPr>
        <w:t>（2）采购人或采购组织方将</w:t>
      </w:r>
      <w:r>
        <w:rPr>
          <w:rFonts w:hint="eastAsia" w:ascii="仿宋" w:hAnsi="仿宋" w:eastAsia="仿宋" w:cs="宋体"/>
          <w:color w:val="000000"/>
          <w:kern w:val="0"/>
          <w:sz w:val="28"/>
          <w:szCs w:val="28"/>
          <w:lang w:val="zh-CN"/>
        </w:rPr>
        <w:t>视</w:t>
      </w:r>
      <w:r>
        <w:rPr>
          <w:rFonts w:hint="eastAsia" w:ascii="仿宋" w:hAnsi="仿宋" w:eastAsia="仿宋" w:cs="宋体"/>
          <w:color w:val="000000"/>
          <w:kern w:val="0"/>
          <w:sz w:val="28"/>
          <w:szCs w:val="28"/>
        </w:rPr>
        <w:t>情况将质询处理结果报上级主管部门</w:t>
      </w:r>
      <w:r>
        <w:rPr>
          <w:rFonts w:hint="eastAsia" w:ascii="仿宋" w:hAnsi="仿宋" w:eastAsia="仿宋" w:cs="宋体"/>
          <w:color w:val="000000"/>
          <w:kern w:val="0"/>
          <w:sz w:val="28"/>
          <w:szCs w:val="28"/>
          <w:lang w:val="zh-CN"/>
        </w:rPr>
        <w:t>。</w:t>
      </w:r>
    </w:p>
    <w:p w14:paraId="710C291F">
      <w:pPr>
        <w:autoSpaceDE w:val="0"/>
        <w:autoSpaceDN w:val="0"/>
        <w:adjustRightInd w:val="0"/>
        <w:snapToGrid w:val="0"/>
        <w:spacing w:line="360" w:lineRule="auto"/>
        <w:ind w:firstLine="562" w:firstLineChars="200"/>
        <w:contextualSpacing/>
        <w:rPr>
          <w:rFonts w:ascii="仿宋" w:hAnsi="仿宋" w:eastAsia="仿宋"/>
          <w:b/>
          <w:color w:val="000000"/>
          <w:sz w:val="28"/>
          <w:szCs w:val="28"/>
        </w:rPr>
      </w:pPr>
      <w:r>
        <w:rPr>
          <w:rFonts w:hint="eastAsia" w:ascii="仿宋" w:hAnsi="仿宋" w:eastAsia="仿宋"/>
          <w:b/>
          <w:color w:val="000000"/>
          <w:sz w:val="28"/>
          <w:szCs w:val="28"/>
        </w:rPr>
        <w:t>四、</w:t>
      </w:r>
      <w:r>
        <w:rPr>
          <w:rFonts w:hint="eastAsia" w:ascii="仿宋" w:hAnsi="仿宋" w:eastAsia="仿宋"/>
          <w:b/>
          <w:color w:val="000000"/>
          <w:sz w:val="28"/>
          <w:szCs w:val="28"/>
          <w:lang w:val="zh-CN"/>
        </w:rPr>
        <w:t>质询函范本</w:t>
      </w:r>
    </w:p>
    <w:p w14:paraId="2AB6528A">
      <w:pPr>
        <w:jc w:val="center"/>
        <w:rPr>
          <w:rFonts w:ascii="黑体" w:hAnsi="黑体" w:eastAsia="黑体" w:cs="仿宋"/>
          <w:bCs/>
          <w:sz w:val="28"/>
          <w:szCs w:val="28"/>
        </w:rPr>
      </w:pPr>
    </w:p>
    <w:p w14:paraId="4DCB4B10">
      <w:pPr>
        <w:jc w:val="center"/>
        <w:rPr>
          <w:rFonts w:ascii="黑体" w:hAnsi="黑体" w:eastAsia="黑体" w:cs="仿宋"/>
          <w:bCs/>
          <w:sz w:val="28"/>
          <w:szCs w:val="28"/>
        </w:rPr>
      </w:pPr>
      <w:r>
        <w:rPr>
          <w:rFonts w:hint="eastAsia" w:ascii="黑体" w:hAnsi="黑体" w:eastAsia="黑体" w:cs="仿宋"/>
          <w:bCs/>
          <w:sz w:val="28"/>
          <w:szCs w:val="28"/>
        </w:rPr>
        <w:t>质询函范本</w:t>
      </w:r>
    </w:p>
    <w:p w14:paraId="7BB501EB">
      <w:pPr>
        <w:adjustRightInd w:val="0"/>
        <w:snapToGrid w:val="0"/>
        <w:spacing w:before="240" w:beforeLines="100" w:line="360" w:lineRule="auto"/>
        <w:rPr>
          <w:rFonts w:ascii="黑体" w:hAnsi="黑体" w:eastAsia="黑体" w:cs="仿宋"/>
          <w:bCs/>
          <w:sz w:val="24"/>
        </w:rPr>
      </w:pPr>
      <w:r>
        <w:rPr>
          <w:rFonts w:hint="eastAsia" w:ascii="黑体" w:hAnsi="黑体" w:eastAsia="黑体" w:cs="仿宋"/>
          <w:bCs/>
          <w:sz w:val="24"/>
        </w:rPr>
        <w:t>一、质询供应商基本信息</w:t>
      </w:r>
    </w:p>
    <w:p w14:paraId="7BB1D6FC">
      <w:pPr>
        <w:adjustRightInd w:val="0"/>
        <w:snapToGrid w:val="0"/>
        <w:spacing w:line="360" w:lineRule="auto"/>
        <w:rPr>
          <w:rFonts w:ascii="仿宋" w:hAnsi="仿宋" w:eastAsia="仿宋" w:cs="仿宋"/>
          <w:sz w:val="24"/>
          <w:u w:val="dotted"/>
        </w:rPr>
      </w:pPr>
      <w:r>
        <w:rPr>
          <w:rFonts w:hint="eastAsia" w:ascii="仿宋" w:hAnsi="仿宋" w:eastAsia="仿宋" w:cs="仿宋"/>
          <w:sz w:val="24"/>
        </w:rPr>
        <w:t>质询供应商：</w:t>
      </w:r>
    </w:p>
    <w:p w14:paraId="6DC8D17D">
      <w:pPr>
        <w:adjustRightInd w:val="0"/>
        <w:snapToGrid w:val="0"/>
        <w:spacing w:line="360" w:lineRule="auto"/>
        <w:rPr>
          <w:rFonts w:ascii="仿宋" w:hAnsi="仿宋" w:eastAsia="仿宋" w:cs="仿宋"/>
          <w:sz w:val="24"/>
        </w:rPr>
      </w:pPr>
      <w:r>
        <w:rPr>
          <w:rFonts w:hint="eastAsia" w:ascii="仿宋" w:hAnsi="仿宋" w:eastAsia="仿宋" w:cs="仿宋"/>
          <w:sz w:val="24"/>
        </w:rPr>
        <w:t>地址：邮编：</w:t>
      </w:r>
    </w:p>
    <w:p w14:paraId="3C416B28">
      <w:pPr>
        <w:adjustRightInd w:val="0"/>
        <w:snapToGrid w:val="0"/>
        <w:spacing w:line="360" w:lineRule="auto"/>
        <w:rPr>
          <w:rFonts w:ascii="仿宋" w:hAnsi="仿宋" w:eastAsia="仿宋" w:cs="仿宋"/>
          <w:sz w:val="24"/>
        </w:rPr>
      </w:pPr>
      <w:r>
        <w:rPr>
          <w:rFonts w:hint="eastAsia" w:ascii="仿宋" w:hAnsi="仿宋" w:eastAsia="仿宋" w:cs="仿宋"/>
          <w:sz w:val="24"/>
        </w:rPr>
        <w:t>联系人：联系电话：</w:t>
      </w:r>
    </w:p>
    <w:p w14:paraId="103AF50E">
      <w:pPr>
        <w:adjustRightInd w:val="0"/>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0455B6D2">
      <w:pPr>
        <w:adjustRightInd w:val="0"/>
        <w:snapToGrid w:val="0"/>
        <w:spacing w:line="360" w:lineRule="auto"/>
        <w:rPr>
          <w:rFonts w:ascii="仿宋" w:hAnsi="仿宋" w:eastAsia="仿宋" w:cs="仿宋"/>
          <w:sz w:val="24"/>
        </w:rPr>
      </w:pPr>
      <w:r>
        <w:rPr>
          <w:rFonts w:hint="eastAsia" w:ascii="仿宋" w:hAnsi="仿宋" w:eastAsia="仿宋" w:cs="仿宋"/>
          <w:sz w:val="24"/>
        </w:rPr>
        <w:t>联系电话：</w:t>
      </w:r>
    </w:p>
    <w:p w14:paraId="03550FF0">
      <w:pPr>
        <w:adjustRightInd w:val="0"/>
        <w:snapToGrid w:val="0"/>
        <w:spacing w:line="360" w:lineRule="auto"/>
        <w:rPr>
          <w:rFonts w:ascii="仿宋" w:hAnsi="仿宋" w:eastAsia="仿宋" w:cs="仿宋"/>
          <w:sz w:val="24"/>
        </w:rPr>
      </w:pPr>
      <w:r>
        <w:rPr>
          <w:rFonts w:hint="eastAsia" w:ascii="仿宋" w:hAnsi="仿宋" w:eastAsia="仿宋" w:cs="仿宋"/>
          <w:sz w:val="24"/>
        </w:rPr>
        <w:t>地址：邮编：</w:t>
      </w:r>
    </w:p>
    <w:p w14:paraId="3358C19B">
      <w:pPr>
        <w:adjustRightInd w:val="0"/>
        <w:snapToGrid w:val="0"/>
        <w:spacing w:line="360" w:lineRule="auto"/>
        <w:rPr>
          <w:rFonts w:ascii="黑体" w:hAnsi="黑体" w:eastAsia="黑体" w:cs="仿宋"/>
          <w:bCs/>
          <w:sz w:val="24"/>
        </w:rPr>
      </w:pPr>
      <w:r>
        <w:rPr>
          <w:rFonts w:hint="eastAsia" w:ascii="黑体" w:hAnsi="黑体" w:eastAsia="黑体" w:cs="仿宋"/>
          <w:bCs/>
          <w:sz w:val="24"/>
        </w:rPr>
        <w:t>二、质询项目基本情况</w:t>
      </w:r>
    </w:p>
    <w:p w14:paraId="32D2C033">
      <w:pPr>
        <w:adjustRightInd w:val="0"/>
        <w:snapToGrid w:val="0"/>
        <w:spacing w:line="360" w:lineRule="auto"/>
        <w:rPr>
          <w:rFonts w:ascii="仿宋" w:hAnsi="仿宋" w:eastAsia="仿宋" w:cs="仿宋"/>
          <w:sz w:val="24"/>
        </w:rPr>
      </w:pPr>
      <w:r>
        <w:rPr>
          <w:rFonts w:hint="eastAsia" w:ascii="仿宋" w:hAnsi="仿宋" w:eastAsia="仿宋" w:cs="仿宋"/>
          <w:sz w:val="24"/>
        </w:rPr>
        <w:t>质询项目的名称：</w:t>
      </w:r>
    </w:p>
    <w:p w14:paraId="22692C98">
      <w:pPr>
        <w:adjustRightInd w:val="0"/>
        <w:snapToGrid w:val="0"/>
        <w:spacing w:line="360" w:lineRule="auto"/>
        <w:rPr>
          <w:rFonts w:ascii="仿宋" w:hAnsi="仿宋" w:eastAsia="仿宋" w:cs="仿宋"/>
          <w:sz w:val="24"/>
        </w:rPr>
      </w:pPr>
      <w:r>
        <w:rPr>
          <w:rFonts w:hint="eastAsia" w:ascii="仿宋" w:hAnsi="仿宋" w:eastAsia="仿宋" w:cs="仿宋"/>
          <w:sz w:val="24"/>
        </w:rPr>
        <w:t>质询项目的编号：包号：</w:t>
      </w:r>
    </w:p>
    <w:p w14:paraId="1222B440">
      <w:pPr>
        <w:adjustRightInd w:val="0"/>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0E84800E">
      <w:pPr>
        <w:adjustRightInd w:val="0"/>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E5064B1">
      <w:pPr>
        <w:adjustRightInd w:val="0"/>
        <w:snapToGrid w:val="0"/>
        <w:spacing w:line="360" w:lineRule="auto"/>
        <w:rPr>
          <w:rFonts w:ascii="黑体" w:hAnsi="黑体" w:eastAsia="黑体" w:cs="仿宋"/>
          <w:bCs/>
          <w:sz w:val="24"/>
        </w:rPr>
      </w:pPr>
      <w:r>
        <w:rPr>
          <w:rFonts w:hint="eastAsia" w:ascii="黑体" w:hAnsi="黑体" w:eastAsia="黑体" w:cs="仿宋"/>
          <w:bCs/>
          <w:sz w:val="24"/>
        </w:rPr>
        <w:t>三、质询事项具体内容</w:t>
      </w:r>
    </w:p>
    <w:p w14:paraId="406D8D23">
      <w:pPr>
        <w:adjustRightInd w:val="0"/>
        <w:snapToGrid w:val="0"/>
        <w:spacing w:line="360" w:lineRule="auto"/>
        <w:rPr>
          <w:rFonts w:ascii="仿宋" w:hAnsi="仿宋" w:eastAsia="仿宋" w:cs="仿宋"/>
          <w:sz w:val="24"/>
          <w:u w:val="dotted"/>
        </w:rPr>
      </w:pPr>
      <w:r>
        <w:rPr>
          <w:rFonts w:hint="eastAsia" w:ascii="仿宋" w:hAnsi="仿宋" w:eastAsia="仿宋" w:cs="仿宋"/>
          <w:sz w:val="24"/>
        </w:rPr>
        <w:t>质询事项1：</w:t>
      </w:r>
    </w:p>
    <w:p w14:paraId="1DAED774">
      <w:pPr>
        <w:adjustRightInd w:val="0"/>
        <w:snapToGrid w:val="0"/>
        <w:spacing w:line="360" w:lineRule="auto"/>
        <w:rPr>
          <w:rFonts w:ascii="仿宋" w:hAnsi="仿宋" w:eastAsia="仿宋" w:cs="仿宋"/>
          <w:sz w:val="24"/>
          <w:u w:val="dotted"/>
        </w:rPr>
      </w:pPr>
      <w:r>
        <w:rPr>
          <w:rFonts w:hint="eastAsia" w:ascii="仿宋" w:hAnsi="仿宋" w:eastAsia="仿宋" w:cs="仿宋"/>
          <w:sz w:val="24"/>
        </w:rPr>
        <w:t>事实依据：</w:t>
      </w:r>
    </w:p>
    <w:p w14:paraId="5F842FEB">
      <w:pPr>
        <w:adjustRightInd w:val="0"/>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5E956A10">
      <w:pPr>
        <w:adjustRightInd w:val="0"/>
        <w:snapToGrid w:val="0"/>
        <w:spacing w:line="360" w:lineRule="auto"/>
        <w:rPr>
          <w:rFonts w:ascii="仿宋" w:hAnsi="仿宋" w:eastAsia="仿宋" w:cs="仿宋"/>
          <w:sz w:val="24"/>
          <w:u w:val="dotted"/>
        </w:rPr>
      </w:pPr>
      <w:r>
        <w:rPr>
          <w:rFonts w:hint="eastAsia" w:ascii="仿宋" w:hAnsi="仿宋" w:eastAsia="仿宋" w:cs="仿宋"/>
          <w:sz w:val="24"/>
        </w:rPr>
        <w:t>质询事项2</w:t>
      </w:r>
    </w:p>
    <w:p w14:paraId="7A9D0BBD">
      <w:pPr>
        <w:adjustRightInd w:val="0"/>
        <w:snapToGrid w:val="0"/>
        <w:spacing w:line="360" w:lineRule="auto"/>
        <w:rPr>
          <w:rFonts w:ascii="仿宋" w:hAnsi="仿宋" w:eastAsia="仿宋" w:cs="仿宋"/>
          <w:sz w:val="24"/>
        </w:rPr>
      </w:pPr>
      <w:r>
        <w:rPr>
          <w:rFonts w:hint="eastAsia" w:ascii="仿宋" w:hAnsi="仿宋" w:eastAsia="仿宋" w:cs="仿宋"/>
          <w:sz w:val="24"/>
        </w:rPr>
        <w:t>……</w:t>
      </w:r>
    </w:p>
    <w:p w14:paraId="29DB670A">
      <w:pPr>
        <w:adjustRightInd w:val="0"/>
        <w:snapToGrid w:val="0"/>
        <w:spacing w:line="360" w:lineRule="auto"/>
        <w:rPr>
          <w:rFonts w:ascii="黑体" w:hAnsi="黑体" w:eastAsia="黑体" w:cs="仿宋"/>
          <w:bCs/>
          <w:sz w:val="24"/>
        </w:rPr>
      </w:pPr>
      <w:r>
        <w:rPr>
          <w:rFonts w:hint="eastAsia" w:ascii="黑体" w:hAnsi="黑体" w:eastAsia="黑体" w:cs="仿宋"/>
          <w:bCs/>
          <w:sz w:val="24"/>
        </w:rPr>
        <w:t>四、与质询事项相关的质询请求</w:t>
      </w:r>
    </w:p>
    <w:p w14:paraId="2758A2B6">
      <w:pPr>
        <w:adjustRightInd w:val="0"/>
        <w:snapToGrid w:val="0"/>
        <w:spacing w:line="360" w:lineRule="auto"/>
        <w:rPr>
          <w:rFonts w:ascii="仿宋" w:hAnsi="仿宋" w:eastAsia="仿宋" w:cs="仿宋"/>
          <w:sz w:val="24"/>
          <w:u w:val="dotted"/>
        </w:rPr>
      </w:pPr>
      <w:r>
        <w:rPr>
          <w:rFonts w:hint="eastAsia" w:ascii="仿宋" w:hAnsi="仿宋" w:eastAsia="仿宋" w:cs="仿宋"/>
          <w:sz w:val="24"/>
        </w:rPr>
        <w:t>请求：</w:t>
      </w:r>
    </w:p>
    <w:p w14:paraId="110F61D9">
      <w:pPr>
        <w:rPr>
          <w:rFonts w:ascii="仿宋_GB2312" w:hAnsi="Calibri" w:eastAsia="仿宋_GB2312"/>
          <w:sz w:val="24"/>
        </w:rPr>
      </w:pPr>
      <w:r>
        <w:rPr>
          <w:rFonts w:hint="eastAsia" w:ascii="仿宋_GB2312" w:hAnsi="Calibri" w:eastAsia="仿宋_GB2312"/>
          <w:sz w:val="24"/>
        </w:rPr>
        <w:t xml:space="preserve">签字(签章)：                   公章：                      </w:t>
      </w:r>
    </w:p>
    <w:p w14:paraId="3DEF7DBB">
      <w:pPr>
        <w:rPr>
          <w:rFonts w:ascii="仿宋_GB2312" w:hAnsi="Calibri" w:eastAsia="仿宋_GB2312"/>
          <w:sz w:val="24"/>
        </w:rPr>
      </w:pPr>
      <w:r>
        <w:rPr>
          <w:rFonts w:hint="eastAsia" w:ascii="仿宋_GB2312" w:hAnsi="Calibri" w:eastAsia="仿宋_GB2312"/>
          <w:sz w:val="24"/>
        </w:rPr>
        <w:t xml:space="preserve">日期：    </w:t>
      </w:r>
    </w:p>
    <w:p w14:paraId="62EEDCD2">
      <w:pPr>
        <w:rPr>
          <w:rFonts w:ascii="黑体" w:hAnsi="黑体" w:eastAsia="黑体"/>
          <w:b/>
          <w:sz w:val="24"/>
        </w:rPr>
      </w:pPr>
      <w:r>
        <w:rPr>
          <w:rFonts w:hint="eastAsia" w:ascii="黑体" w:hAnsi="黑体" w:eastAsia="黑体"/>
          <w:b/>
          <w:sz w:val="24"/>
        </w:rPr>
        <w:t>质询函制作说明：</w:t>
      </w:r>
    </w:p>
    <w:p w14:paraId="7DC4BD6E">
      <w:pPr>
        <w:widowControl/>
        <w:jc w:val="left"/>
        <w:rPr>
          <w:rFonts w:ascii="仿宋_GB2312" w:hAnsi="Calibri" w:eastAsia="仿宋_GB2312"/>
          <w:sz w:val="24"/>
        </w:rPr>
      </w:pPr>
      <w:r>
        <w:rPr>
          <w:rFonts w:hint="eastAsia" w:ascii="仿宋_GB2312" w:hAnsi="Calibri" w:eastAsia="仿宋_GB2312"/>
          <w:sz w:val="24"/>
        </w:rPr>
        <w:t>1.供应商提出质询时，应提交质询函和必要的证明材料。</w:t>
      </w:r>
    </w:p>
    <w:p w14:paraId="63A5ADC6">
      <w:pPr>
        <w:widowControl/>
        <w:jc w:val="left"/>
        <w:rPr>
          <w:rFonts w:ascii="仿宋_GB2312" w:hAnsi="Calibri" w:eastAsia="仿宋_GB2312"/>
          <w:sz w:val="24"/>
        </w:rPr>
      </w:pPr>
      <w:r>
        <w:rPr>
          <w:rFonts w:hint="eastAsia" w:ascii="仿宋_GB2312" w:hAnsi="Calibri" w:eastAsia="仿宋_GB2312"/>
          <w:sz w:val="24"/>
        </w:rPr>
        <w:t>2.质询供应商若对项目的某一分包进行质询，质询函中应列明具体分包号。</w:t>
      </w:r>
    </w:p>
    <w:p w14:paraId="09192299">
      <w:pPr>
        <w:widowControl/>
        <w:jc w:val="left"/>
        <w:rPr>
          <w:rFonts w:ascii="仿宋_GB2312" w:hAnsi="Calibri" w:eastAsia="仿宋_GB2312"/>
          <w:sz w:val="24"/>
        </w:rPr>
      </w:pPr>
      <w:r>
        <w:rPr>
          <w:rFonts w:hint="eastAsia" w:ascii="仿宋_GB2312" w:hAnsi="Calibri" w:eastAsia="仿宋_GB2312"/>
          <w:sz w:val="24"/>
        </w:rPr>
        <w:t>3.质询函的质询事项应具体、明确，并有必要的事实依据和法律依据。</w:t>
      </w:r>
    </w:p>
    <w:p w14:paraId="7E7371D8">
      <w:pPr>
        <w:widowControl/>
        <w:jc w:val="left"/>
        <w:rPr>
          <w:rFonts w:ascii="仿宋_GB2312" w:hAnsi="Calibri" w:eastAsia="仿宋_GB2312"/>
          <w:sz w:val="24"/>
        </w:rPr>
      </w:pPr>
      <w:r>
        <w:rPr>
          <w:rFonts w:hint="eastAsia" w:ascii="仿宋_GB2312" w:hAnsi="Calibri" w:eastAsia="仿宋_GB2312"/>
          <w:sz w:val="24"/>
        </w:rPr>
        <w:t>4.质询函的质询请求应与质询事项相关。</w:t>
      </w:r>
    </w:p>
    <w:p w14:paraId="27DF1B9B">
      <w:pPr>
        <w:widowControl/>
        <w:jc w:val="left"/>
      </w:pPr>
      <w:r>
        <w:rPr>
          <w:rFonts w:hint="eastAsia" w:ascii="仿宋_GB2312" w:hAnsi="Calibri" w:eastAsia="仿宋_GB2312"/>
          <w:sz w:val="24"/>
        </w:rPr>
        <w:t>5.质询函应由法定代表人或参加本次采购授权人签字或者盖章，并加盖公章。</w:t>
      </w:r>
    </w:p>
    <w:p w14:paraId="41203334"/>
    <w:p w14:paraId="4095ABA4"/>
    <w:p w14:paraId="460DB757"/>
    <w:sectPr>
      <w:headerReference r:id="rId5" w:type="first"/>
      <w:footerReference r:id="rId7" w:type="first"/>
      <w:headerReference r:id="rId4" w:type="default"/>
      <w:footerReference r:id="rId6" w:type="default"/>
      <w:pgSz w:w="11905" w:h="16838"/>
      <w:pgMar w:top="1440" w:right="1797" w:bottom="1440" w:left="1797" w:header="850"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FFD0856-375E-4629-BEB5-B7FAFECACE2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0C2EC2A-E264-43AD-8DB9-2184FC48F95F}"/>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embedRegular r:id="rId3" w:fontKey="{5C11D12F-E025-40A2-8975-17693DD6A3D5}"/>
  </w:font>
  <w:font w:name="Calibri Light">
    <w:panose1 w:val="020F0302020204030204"/>
    <w:charset w:val="00"/>
    <w:family w:val="swiss"/>
    <w:pitch w:val="default"/>
    <w:sig w:usb0="E4002EFF" w:usb1="C000247B" w:usb2="00000009" w:usb3="00000000" w:csb0="200001FF" w:csb1="00000000"/>
  </w:font>
  <w:font w:name="方正小标宋简体">
    <w:altName w:val="黑体"/>
    <w:panose1 w:val="02010601030101010101"/>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仿宋">
    <w:panose1 w:val="02010609060101010101"/>
    <w:charset w:val="86"/>
    <w:family w:val="modern"/>
    <w:pitch w:val="default"/>
    <w:sig w:usb0="800002BF" w:usb1="38CF7CFA" w:usb2="00000016" w:usb3="00000000" w:csb0="00040001" w:csb1="00000000"/>
    <w:embedRegular r:id="rId4" w:fontKey="{87B07110-10D3-40E2-8611-CFFD15D0C9BB}"/>
  </w:font>
  <w:font w:name="SourceHanSansCN-Regular">
    <w:altName w:val="Times New Roman"/>
    <w:panose1 w:val="00000000000000000000"/>
    <w:charset w:val="00"/>
    <w:family w:val="roman"/>
    <w:pitch w:val="default"/>
    <w:sig w:usb0="00000000" w:usb1="00000000" w:usb2="00000000" w:usb3="00000000" w:csb0="00040001" w:csb1="00000000"/>
    <w:embedRegular r:id="rId5" w:fontKey="{D66A1E0D-9074-42EF-B512-4FAC6BEB2691}"/>
  </w:font>
  <w:font w:name="方正仿宋_GBK">
    <w:panose1 w:val="03000509000000000000"/>
    <w:charset w:val="86"/>
    <w:family w:val="script"/>
    <w:pitch w:val="default"/>
    <w:sig w:usb0="00000001" w:usb1="080E0000" w:usb2="00000000" w:usb3="00000000" w:csb0="00040000" w:csb1="00000000"/>
    <w:embedRegular r:id="rId6" w:fontKey="{34E5320E-C4F1-493C-A73B-0F6BDC005B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935A2">
    <w:pPr>
      <w:pStyle w:val="9"/>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7835" cy="147955"/>
              <wp:effectExtent l="0" t="0" r="0" b="0"/>
              <wp:wrapNone/>
              <wp:docPr id="3" name="文本框 3"/>
              <wp:cNvGraphicFramePr/>
              <a:graphic xmlns:a="http://schemas.openxmlformats.org/drawingml/2006/main">
                <a:graphicData uri="http://schemas.microsoft.com/office/word/2010/wordprocessingShape">
                  <wps:wsp>
                    <wps:cNvSpPr txBox="1"/>
                    <wps:spPr>
                      <a:xfrm>
                        <a:off x="0" y="0"/>
                        <a:ext cx="457835" cy="147955"/>
                      </a:xfrm>
                      <a:prstGeom prst="rect">
                        <a:avLst/>
                      </a:prstGeom>
                      <a:noFill/>
                      <a:ln w="6350">
                        <a:noFill/>
                      </a:ln>
                    </wps:spPr>
                    <wps:txbx>
                      <w:txbxContent>
                        <w:p w14:paraId="0E847C61">
                          <w:pPr>
                            <w:pStyle w:val="9"/>
                          </w:pPr>
                          <w:r>
                            <w:t xml:space="preserve">第 </w:t>
                          </w:r>
                          <w:r>
                            <w:fldChar w:fldCharType="begin"/>
                          </w:r>
                          <w:r>
                            <w:instrText xml:space="preserve"> PAGE  \* MERGEFORMAT </w:instrText>
                          </w:r>
                          <w:r>
                            <w:fldChar w:fldCharType="separate"/>
                          </w:r>
                          <w:r>
                            <w:t>36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36.05pt;mso-position-horizontal:center;mso-position-horizontal-relative:margin;mso-wrap-style:none;z-index:251659264;mso-width-relative:page;mso-height-relative:page;" filled="f" stroked="f" coordsize="21600,21600" o:gfxdata="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l4FrNEAAAADAQAADwAAAAAAAAABACAAAAAiAAAAZHJzL2Rvd25yZXYueG1sUEsBAhQA&#10;FAAAAAgAh07iQELF2mUyAgAAUwQAAA4AAAAAAAAAAQAgAAAAIAEAAGRycy9lMm9Eb2MueG1sUEsF&#10;BgAAAAAGAAYAWQEAAMQFAAAAAA==&#10;">
              <v:fill on="f" focussize="0,0"/>
              <v:stroke on="f" weight="0.5pt"/>
              <v:imagedata o:title=""/>
              <o:lock v:ext="edit" aspectratio="f"/>
              <v:textbox inset="0mm,0mm,0mm,0mm" style="mso-fit-shape-to-text:t;">
                <w:txbxContent>
                  <w:p w14:paraId="0E847C61">
                    <w:pPr>
                      <w:pStyle w:val="9"/>
                    </w:pPr>
                    <w:r>
                      <w:t xml:space="preserve">第 </w:t>
                    </w:r>
                    <w:r>
                      <w:fldChar w:fldCharType="begin"/>
                    </w:r>
                    <w:r>
                      <w:instrText xml:space="preserve"> PAGE  \* MERGEFORMAT </w:instrText>
                    </w:r>
                    <w:r>
                      <w:fldChar w:fldCharType="separate"/>
                    </w:r>
                    <w:r>
                      <w:t>36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A3BED">
    <w:pPr>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00685" cy="147955"/>
              <wp:effectExtent l="0" t="0" r="0" b="0"/>
              <wp:wrapNone/>
              <wp:docPr id="4" name="文本框 4"/>
              <wp:cNvGraphicFramePr/>
              <a:graphic xmlns:a="http://schemas.openxmlformats.org/drawingml/2006/main">
                <a:graphicData uri="http://schemas.microsoft.com/office/word/2010/wordprocessingShape">
                  <wps:wsp>
                    <wps:cNvSpPr txBox="1"/>
                    <wps:spPr>
                      <a:xfrm>
                        <a:off x="0" y="0"/>
                        <a:ext cx="400685" cy="147955"/>
                      </a:xfrm>
                      <a:prstGeom prst="rect">
                        <a:avLst/>
                      </a:prstGeom>
                      <a:noFill/>
                      <a:ln w="6350">
                        <a:noFill/>
                      </a:ln>
                    </wps:spPr>
                    <wps:txbx>
                      <w:txbxContent>
                        <w:p w14:paraId="60125691">
                          <w:pPr>
                            <w:pStyle w:val="9"/>
                          </w:pPr>
                          <w:r>
                            <w:t xml:space="preserve">第 </w:t>
                          </w:r>
                          <w:r>
                            <w:fldChar w:fldCharType="begin"/>
                          </w:r>
                          <w:r>
                            <w:instrText xml:space="preserve"> PAGE  \* MERGEFORMAT </w:instrText>
                          </w:r>
                          <w:r>
                            <w:fldChar w:fldCharType="separate"/>
                          </w:r>
                          <w:r>
                            <w:t>33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31.55pt;mso-position-horizontal:center;mso-position-horizontal-relative:margin;mso-wrap-style:none;z-index:251660288;mso-width-relative:page;mso-height-relative:page;" filled="f" stroked="f" coordsize="21600,21600" o:gfxdata="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rfO0gAAAAMBAAAPAAAAAAAAAAEAIAAAACIAAABkcnMvZG93bnJldi54bWxQSwECFAAU&#10;AAAACACHTuJAQkz/zzACAABTBAAADgAAAAAAAAABACAAAAAhAQAAZHJzL2Uyb0RvYy54bWxQSwUG&#10;AAAAAAYABgBZAQAAwwUAAAAA&#10;">
              <v:fill on="f" focussize="0,0"/>
              <v:stroke on="f" weight="0.5pt"/>
              <v:imagedata o:title=""/>
              <o:lock v:ext="edit" aspectratio="f"/>
              <v:textbox inset="0mm,0mm,0mm,0mm" style="mso-fit-shape-to-text:t;">
                <w:txbxContent>
                  <w:p w14:paraId="60125691">
                    <w:pPr>
                      <w:pStyle w:val="9"/>
                    </w:pPr>
                    <w:r>
                      <w:t xml:space="preserve">第 </w:t>
                    </w:r>
                    <w:r>
                      <w:fldChar w:fldCharType="begin"/>
                    </w:r>
                    <w:r>
                      <w:instrText xml:space="preserve"> PAGE  \* MERGEFORMAT </w:instrText>
                    </w:r>
                    <w:r>
                      <w:fldChar w:fldCharType="separate"/>
                    </w:r>
                    <w:r>
                      <w:t>33</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DF759">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AED55">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6C2B3">
    <w:pPr>
      <w:pStyle w:val="10"/>
      <w:jc w:val="both"/>
      <w:rPr>
        <w:b/>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3643FF"/>
    <w:multiLevelType w:val="singleLevel"/>
    <w:tmpl w:val="113643FF"/>
    <w:lvl w:ilvl="0" w:tentative="0">
      <w:start w:val="2"/>
      <w:numFmt w:val="decimal"/>
      <w:lvlText w:val="%1."/>
      <w:lvlJc w:val="left"/>
      <w:pPr>
        <w:tabs>
          <w:tab w:val="left" w:pos="312"/>
        </w:tabs>
      </w:pPr>
    </w:lvl>
  </w:abstractNum>
  <w:abstractNum w:abstractNumId="1">
    <w:nsid w:val="50757C65"/>
    <w:multiLevelType w:val="singleLevel"/>
    <w:tmpl w:val="50757C65"/>
    <w:lvl w:ilvl="0" w:tentative="0">
      <w:start w:val="1"/>
      <w:numFmt w:val="decimal"/>
      <w:lvlText w:val="%1."/>
      <w:lvlJc w:val="left"/>
      <w:pPr>
        <w:ind w:left="425" w:hanging="425"/>
      </w:pPr>
      <w:rPr>
        <w:rFonts w:hint="default"/>
      </w:rPr>
    </w:lvl>
  </w:abstractNum>
  <w:abstractNum w:abstractNumId="2">
    <w:nsid w:val="52B657A7"/>
    <w:multiLevelType w:val="multilevel"/>
    <w:tmpl w:val="52B657A7"/>
    <w:lvl w:ilvl="0" w:tentative="0">
      <w:start w:val="1"/>
      <w:numFmt w:val="bullet"/>
      <w:pStyle w:val="28"/>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3">
    <w:nsid w:val="6B4A530F"/>
    <w:multiLevelType w:val="multilevel"/>
    <w:tmpl w:val="6B4A530F"/>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2MTgxMWRhMDU2YWZhMDZlMTU0ZTEyYTMwYzFkMDIifQ=="/>
  </w:docVars>
  <w:rsids>
    <w:rsidRoot w:val="34C05356"/>
    <w:rsid w:val="0074571C"/>
    <w:rsid w:val="00B14C0A"/>
    <w:rsid w:val="00E81A91"/>
    <w:rsid w:val="11AA3420"/>
    <w:rsid w:val="16C84ABE"/>
    <w:rsid w:val="188D76D1"/>
    <w:rsid w:val="34C05356"/>
    <w:rsid w:val="4A407EA2"/>
    <w:rsid w:val="67220C03"/>
    <w:rsid w:val="78EA70A7"/>
    <w:rsid w:val="797A39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2"/>
    <w:basedOn w:val="1"/>
    <w:next w:val="1"/>
    <w:qFormat/>
    <w:uiPriority w:val="0"/>
    <w:pPr>
      <w:keepNext/>
      <w:keepLines/>
      <w:adjustRightInd w:val="0"/>
      <w:spacing w:before="260" w:after="260" w:line="416" w:lineRule="atLeast"/>
      <w:textAlignment w:val="baseline"/>
      <w:outlineLvl w:val="1"/>
    </w:pPr>
    <w:rPr>
      <w:rFonts w:ascii="Arial" w:hAnsi="Arial" w:eastAsia="黑体"/>
      <w:b/>
      <w:kern w:val="0"/>
      <w:sz w:val="32"/>
    </w:rPr>
  </w:style>
  <w:style w:type="paragraph" w:styleId="4">
    <w:name w:val="heading 3"/>
    <w:basedOn w:val="1"/>
    <w:next w:val="1"/>
    <w:qFormat/>
    <w:uiPriority w:val="99"/>
    <w:pPr>
      <w:keepNext/>
      <w:keepLines/>
      <w:spacing w:before="20" w:after="20" w:line="415" w:lineRule="auto"/>
      <w:ind w:firstLine="137" w:firstLineChars="49"/>
      <w:outlineLvl w:val="2"/>
    </w:pPr>
    <w:rPr>
      <w:rFonts w:hAnsi="黑体" w:eastAsia="黑体"/>
      <w:sz w:val="24"/>
      <w:szCs w:val="20"/>
    </w:rPr>
  </w:style>
  <w:style w:type="character" w:default="1" w:styleId="17">
    <w:name w:val="Default Paragraph Font"/>
    <w:semiHidden/>
    <w:unhideWhenUsed/>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rPr>
      <w:rFonts w:ascii="仿宋_GB2312" w:eastAsia="仿宋_GB2312"/>
      <w:kern w:val="0"/>
      <w:sz w:val="24"/>
      <w:szCs w:val="20"/>
    </w:rPr>
  </w:style>
  <w:style w:type="paragraph" w:styleId="5">
    <w:name w:val="Normal Indent"/>
    <w:basedOn w:val="1"/>
    <w:qFormat/>
    <w:uiPriority w:val="0"/>
    <w:pPr>
      <w:ind w:firstLine="420"/>
    </w:pPr>
    <w:rPr>
      <w:kern w:val="0"/>
      <w:sz w:val="20"/>
      <w:szCs w:val="20"/>
    </w:rPr>
  </w:style>
  <w:style w:type="paragraph" w:styleId="6">
    <w:name w:val="toa heading"/>
    <w:basedOn w:val="1"/>
    <w:next w:val="1"/>
    <w:qFormat/>
    <w:uiPriority w:val="0"/>
    <w:pPr>
      <w:adjustRightInd w:val="0"/>
      <w:spacing w:line="360" w:lineRule="atLeast"/>
      <w:jc w:val="center"/>
      <w:textAlignment w:val="baseline"/>
    </w:pPr>
    <w:rPr>
      <w:rFonts w:ascii="Arial" w:hAnsi="Arial" w:eastAsia="黑体"/>
      <w:kern w:val="0"/>
      <w:sz w:val="36"/>
      <w:szCs w:val="20"/>
    </w:rPr>
  </w:style>
  <w:style w:type="paragraph" w:styleId="7">
    <w:name w:val="Body Text Indent"/>
    <w:basedOn w:val="1"/>
    <w:next w:val="8"/>
    <w:unhideWhenUsed/>
    <w:qFormat/>
    <w:uiPriority w:val="99"/>
    <w:pPr>
      <w:spacing w:after="120"/>
      <w:ind w:left="420" w:leftChars="200"/>
    </w:pPr>
  </w:style>
  <w:style w:type="paragraph" w:styleId="8">
    <w:name w:val="envelope return"/>
    <w:basedOn w:val="1"/>
    <w:unhideWhenUsed/>
    <w:qFormat/>
    <w:uiPriority w:val="99"/>
    <w:pPr>
      <w:snapToGrid w:val="0"/>
    </w:pPr>
    <w:rPr>
      <w:rFonts w:ascii="Arial" w:hAnsi="Arial"/>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Body Text Indent 3"/>
    <w:basedOn w:val="1"/>
    <w:next w:val="6"/>
    <w:qFormat/>
    <w:uiPriority w:val="0"/>
    <w:pPr>
      <w:spacing w:line="520" w:lineRule="exact"/>
      <w:ind w:firstLine="539" w:firstLineChars="184"/>
    </w:pPr>
    <w:rPr>
      <w:rFonts w:ascii="宋体"/>
      <w:b/>
      <w:spacing w:val="6"/>
      <w:sz w:val="28"/>
    </w:rPr>
  </w:style>
  <w:style w:type="paragraph" w:styleId="12">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3">
    <w:name w:val="Title"/>
    <w:basedOn w:val="1"/>
    <w:next w:val="1"/>
    <w:qFormat/>
    <w:uiPriority w:val="0"/>
    <w:pPr>
      <w:jc w:val="center"/>
      <w:outlineLvl w:val="0"/>
    </w:pPr>
    <w:rPr>
      <w:rFonts w:ascii="Calibri Light" w:hAnsi="Calibri Light" w:eastAsia="方正小标宋简体"/>
      <w:bCs/>
      <w:sz w:val="36"/>
      <w:szCs w:val="32"/>
    </w:rPr>
  </w:style>
  <w:style w:type="paragraph" w:styleId="14">
    <w:name w:val="Body Text First Indent"/>
    <w:basedOn w:val="2"/>
    <w:qFormat/>
    <w:uiPriority w:val="0"/>
    <w:pPr>
      <w:spacing w:after="120"/>
      <w:ind w:firstLine="420" w:firstLineChars="100"/>
    </w:pPr>
    <w:rPr>
      <w:rFonts w:ascii="Times New Roman" w:eastAsia="宋体"/>
      <w:szCs w:val="24"/>
    </w:rPr>
  </w:style>
  <w:style w:type="paragraph" w:styleId="15">
    <w:name w:val="Body Text First Indent 2"/>
    <w:basedOn w:val="7"/>
    <w:next w:val="1"/>
    <w:qFormat/>
    <w:uiPriority w:val="0"/>
    <w:pPr>
      <w:ind w:firstLine="420" w:firstLineChars="200"/>
    </w:pPr>
    <w:rPr>
      <w:szCs w:val="24"/>
    </w:rPr>
  </w:style>
  <w:style w:type="paragraph" w:customStyle="1" w:styleId="18">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9">
    <w:name w:val="List Paragraph"/>
    <w:basedOn w:val="1"/>
    <w:qFormat/>
    <w:uiPriority w:val="34"/>
    <w:pPr>
      <w:ind w:firstLine="420" w:firstLineChars="200"/>
    </w:pPr>
    <w:rPr>
      <w:rFonts w:ascii="Calibri" w:hAnsi="Calibri"/>
      <w:szCs w:val="20"/>
    </w:rPr>
  </w:style>
  <w:style w:type="paragraph" w:customStyle="1" w:styleId="20">
    <w:name w:val="正文缩进2格"/>
    <w:basedOn w:val="1"/>
    <w:qFormat/>
    <w:uiPriority w:val="0"/>
    <w:pPr>
      <w:spacing w:line="600" w:lineRule="exact"/>
      <w:ind w:firstLine="639" w:firstLineChars="206"/>
    </w:pPr>
    <w:rPr>
      <w:rFonts w:ascii="仿宋_GB2312" w:hAnsi="宋体" w:eastAsia="仿宋_GB2312"/>
      <w:kern w:val="0"/>
      <w:sz w:val="31"/>
      <w:szCs w:val="28"/>
    </w:rPr>
  </w:style>
  <w:style w:type="paragraph" w:customStyle="1" w:styleId="21">
    <w:name w:val="msonormalcxspmidd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2">
    <w:name w:val="正文缩进1"/>
    <w:basedOn w:val="1"/>
    <w:next w:val="23"/>
    <w:qFormat/>
    <w:uiPriority w:val="0"/>
    <w:pPr>
      <w:widowControl/>
      <w:ind w:firstLine="420"/>
      <w:jc w:val="left"/>
    </w:pPr>
    <w:rPr>
      <w:kern w:val="0"/>
    </w:rPr>
  </w:style>
  <w:style w:type="paragraph" w:customStyle="1" w:styleId="23">
    <w:name w:val="List Paragraph1"/>
    <w:basedOn w:val="1"/>
    <w:next w:val="24"/>
    <w:qFormat/>
    <w:uiPriority w:val="0"/>
    <w:pPr>
      <w:ind w:firstLine="420"/>
    </w:pPr>
    <w:rPr>
      <w:rFonts w:hAnsi="宋体" w:cs="宋体"/>
      <w:kern w:val="0"/>
      <w:szCs w:val="20"/>
    </w:rPr>
  </w:style>
  <w:style w:type="paragraph" w:customStyle="1" w:styleId="24">
    <w:name w:val="Char Char Char Char"/>
    <w:basedOn w:val="1"/>
    <w:qFormat/>
    <w:uiPriority w:val="0"/>
    <w:pPr>
      <w:widowControl/>
      <w:spacing w:line="500" w:lineRule="exact"/>
      <w:outlineLvl w:val="2"/>
    </w:pPr>
    <w:rPr>
      <w:rFonts w:ascii="黑体" w:hAnsi="Verdana" w:eastAsia="黑体" w:cs="黑体"/>
      <w:kern w:val="0"/>
      <w:sz w:val="28"/>
      <w:szCs w:val="28"/>
      <w:lang w:eastAsia="en-US"/>
    </w:rPr>
  </w:style>
  <w:style w:type="paragraph" w:customStyle="1" w:styleId="25">
    <w:name w:val="样式1"/>
    <w:basedOn w:val="1"/>
    <w:qFormat/>
    <w:uiPriority w:val="0"/>
    <w:pPr>
      <w:tabs>
        <w:tab w:val="left" w:pos="709"/>
      </w:tabs>
      <w:adjustRightInd w:val="0"/>
      <w:ind w:left="709" w:hanging="709"/>
      <w:textAlignment w:val="baseline"/>
    </w:pPr>
    <w:rPr>
      <w:rFonts w:ascii="宋体" w:hAnsi="宋体"/>
      <w:kern w:val="0"/>
    </w:rPr>
  </w:style>
  <w:style w:type="paragraph" w:customStyle="1" w:styleId="26">
    <w:name w:val="Body text|2"/>
    <w:basedOn w:val="1"/>
    <w:qFormat/>
    <w:uiPriority w:val="0"/>
    <w:pPr>
      <w:spacing w:line="365" w:lineRule="auto"/>
      <w:jc w:val="left"/>
    </w:pPr>
    <w:rPr>
      <w:rFonts w:ascii="宋体" w:hAnsi="宋体" w:cs="宋体"/>
      <w:sz w:val="40"/>
      <w:szCs w:val="40"/>
      <w:lang w:val="zh-TW" w:eastAsia="zh-TW" w:bidi="zh-TW"/>
    </w:rPr>
  </w:style>
  <w:style w:type="character" w:customStyle="1" w:styleId="27">
    <w:name w:val="样式4 字符"/>
    <w:link w:val="28"/>
    <w:qFormat/>
    <w:uiPriority w:val="0"/>
    <w:rPr>
      <w:rFonts w:ascii="Helvetica" w:hAnsi="Helvetica" w:cs="Times New Roman"/>
      <w:color w:val="000000"/>
    </w:rPr>
  </w:style>
  <w:style w:type="paragraph" w:customStyle="1" w:styleId="28">
    <w:name w:val="样式4"/>
    <w:basedOn w:val="12"/>
    <w:link w:val="27"/>
    <w:qFormat/>
    <w:uiPriority w:val="0"/>
    <w:pPr>
      <w:widowControl w:val="0"/>
      <w:numPr>
        <w:ilvl w:val="0"/>
        <w:numId w:val="1"/>
      </w:numPr>
      <w:shd w:val="clear" w:color="auto" w:fill="FFFFFF"/>
      <w:ind w:firstLine="177" w:firstLineChars="177"/>
    </w:pPr>
    <w:rPr>
      <w:rFonts w:ascii="Helvetica" w:hAnsi="Helvetica" w:cs="Times New Roman"/>
      <w:color w:val="000000"/>
    </w:rPr>
  </w:style>
  <w:style w:type="paragraph" w:customStyle="1" w:styleId="29">
    <w:name w:val="普通正文"/>
    <w:basedOn w:val="1"/>
    <w:qFormat/>
    <w:uiPriority w:val="99"/>
    <w:pPr>
      <w:adjustRightInd w:val="0"/>
      <w:spacing w:before="120" w:after="120" w:line="360" w:lineRule="auto"/>
      <w:ind w:firstLine="480"/>
      <w:jc w:val="left"/>
      <w:textAlignment w:val="baseline"/>
    </w:pPr>
    <w:rPr>
      <w:rFonts w:ascii="Arial" w:hAnsi="Arial"/>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36</Pages>
  <Words>12682</Words>
  <Characters>13809</Characters>
  <Lines>122</Lines>
  <Paragraphs>34</Paragraphs>
  <TotalTime>261</TotalTime>
  <ScaleCrop>false</ScaleCrop>
  <LinksUpToDate>false</LinksUpToDate>
  <CharactersWithSpaces>14078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2024-08-23T02:50:00Z</dcterms:created>
  <dc:creator>满目</dc:creator>
  <cp:lastModifiedBy>姜  君</cp:lastModifiedBy>
  <dcterms:modified xsi:type="dcterms:W3CDTF">2025-10-09T07:55:46Z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90D1E57DCC7144939908FE655D6CA281_11</vt:lpwstr>
  </property>
  <property fmtid="{D5CDD505-2E9C-101B-9397-08002B2CF9AE}" pid="4" name="KSOTemplateDocerSaveRecord">
    <vt:lpwstr>eyJoZGlkIjoiMGRkNTk5ZjA5YWZiMjQ4N2FjZjQ2MmExYTFlODRiZjYiLCJ1c2VySWQiOiIxNjU1OTQ5OTkwIn0=</vt:lpwstr>
  </property>
</Properties>
</file>